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Arial" w:cs="Arial" w:eastAsia="Arial" w:hAnsi="Arial"/>
          <w:sz w:val="25"/>
          <w:szCs w:val="25"/>
          <w:b w:val="1"/>
          <w:bCs w:val="1"/>
          <w:color w:val="auto"/>
        </w:rPr>
        <w:drawing>
          <wp:anchor simplePos="0" relativeHeight="251657728" behindDoc="1" locked="0" layoutInCell="0" allowOverlap="1">
            <wp:simplePos x="0" y="0"/>
            <wp:positionH relativeFrom="page">
              <wp:posOffset>208280</wp:posOffset>
            </wp:positionH>
            <wp:positionV relativeFrom="page">
              <wp:posOffset>174625</wp:posOffset>
            </wp:positionV>
            <wp:extent cx="713232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8255"/>
                    </a:xfrm>
                    <a:prstGeom prst="rect">
                      <a:avLst/>
                    </a:prstGeom>
                    <a:noFill/>
                  </pic:spPr>
                </pic:pic>
              </a:graphicData>
            </a:graphic>
          </wp:anchor>
        </w:drawing>
        <w:t>UNITED STATES</w:t>
      </w:r>
    </w:p>
    <w:p>
      <w:pPr>
        <w:spacing w:after="0" w:line="38" w:lineRule="exact"/>
        <w:rPr>
          <w:sz w:val="24"/>
          <w:szCs w:val="24"/>
          <w:color w:val="auto"/>
        </w:rPr>
      </w:pPr>
    </w:p>
    <w:p>
      <w:pPr>
        <w:jc w:val="center"/>
        <w:spacing w:after="0"/>
        <w:rPr>
          <w:sz w:val="20"/>
          <w:szCs w:val="20"/>
          <w:color w:val="auto"/>
        </w:rPr>
      </w:pPr>
      <w:r>
        <w:rPr>
          <w:rFonts w:ascii="Arial" w:cs="Arial" w:eastAsia="Arial" w:hAnsi="Arial"/>
          <w:sz w:val="25"/>
          <w:szCs w:val="25"/>
          <w:b w:val="1"/>
          <w:bCs w:val="1"/>
          <w:color w:val="auto"/>
        </w:rPr>
        <w:t>SECURITIES AND EXCHANGE COMMISSION</w:t>
      </w:r>
    </w:p>
    <w:p>
      <w:pPr>
        <w:spacing w:after="0" w:line="6"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236220</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4"/>
          <w:szCs w:val="24"/>
          <w:color w:val="auto"/>
        </w:rPr>
      </w:pPr>
    </w:p>
    <w:p>
      <w:pPr>
        <w:spacing w:after="0" w:line="210" w:lineRule="exact"/>
        <w:rPr>
          <w:sz w:val="24"/>
          <w:szCs w:val="24"/>
          <w:color w:val="auto"/>
        </w:rPr>
      </w:pPr>
    </w:p>
    <w:p>
      <w:pPr>
        <w:jc w:val="center"/>
        <w:spacing w:after="0"/>
        <w:rPr>
          <w:sz w:val="20"/>
          <w:szCs w:val="20"/>
          <w:color w:val="auto"/>
        </w:rPr>
      </w:pPr>
      <w:r>
        <w:rPr>
          <w:rFonts w:ascii="Arial" w:cs="Arial" w:eastAsia="Arial" w:hAnsi="Arial"/>
          <w:sz w:val="25"/>
          <w:szCs w:val="25"/>
          <w:b w:val="1"/>
          <w:bCs w:val="1"/>
          <w:color w:val="auto"/>
        </w:rPr>
        <w:t>FORM 10-Q</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252095</wp:posOffset>
            </wp:positionV>
            <wp:extent cx="713232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4"/>
          <w:szCs w:val="24"/>
          <w:color w:val="auto"/>
        </w:rPr>
      </w:pPr>
    </w:p>
    <w:p>
      <w:pPr>
        <w:spacing w:after="0" w:line="331" w:lineRule="exact"/>
        <w:rPr>
          <w:sz w:val="24"/>
          <w:szCs w:val="24"/>
          <w:color w:val="auto"/>
        </w:rPr>
      </w:pPr>
    </w:p>
    <w:p>
      <w:pPr>
        <w:spacing w:after="0"/>
        <w:rPr>
          <w:sz w:val="20"/>
          <w:szCs w:val="20"/>
          <w:color w:val="auto"/>
        </w:rPr>
      </w:pPr>
      <w:r>
        <w:rPr>
          <w:rFonts w:ascii="Arial" w:cs="Arial" w:eastAsia="Arial" w:hAnsi="Arial"/>
          <w:sz w:val="12"/>
          <w:szCs w:val="12"/>
          <w:b w:val="1"/>
          <w:bCs w:val="1"/>
          <w:color w:val="auto"/>
        </w:rPr>
        <w:t>(Mark One)</w:t>
      </w:r>
    </w:p>
    <w:p>
      <w:pPr>
        <w:ind w:left="380" w:hanging="372"/>
        <w:spacing w:after="0"/>
        <w:tabs>
          <w:tab w:leader="none" w:pos="380" w:val="left"/>
        </w:tabs>
        <w:numPr>
          <w:ilvl w:val="0"/>
          <w:numId w:val="1"/>
        </w:numPr>
        <w:rPr>
          <w:rFonts w:ascii="MS PGothic" w:cs="MS PGothic" w:eastAsia="MS PGothic" w:hAnsi="MS PGothic"/>
          <w:sz w:val="18"/>
          <w:szCs w:val="18"/>
          <w:color w:val="auto"/>
        </w:rPr>
      </w:pPr>
      <w:r>
        <w:rPr>
          <w:rFonts w:ascii="Arial" w:cs="Arial" w:eastAsia="Arial" w:hAnsi="Arial"/>
          <w:sz w:val="18"/>
          <w:szCs w:val="18"/>
          <w:b w:val="1"/>
          <w:bCs w:val="1"/>
          <w:color w:val="auto"/>
        </w:rPr>
        <w:t>QUARTERLY REPORT PURSUANT TO SECTION 13 OR 15(d) OF THE SECURITIES EXCHANGE ACT OF 1934</w:t>
      </w:r>
    </w:p>
    <w:p>
      <w:pPr>
        <w:spacing w:after="0" w:line="374" w:lineRule="exact"/>
        <w:rPr>
          <w:sz w:val="24"/>
          <w:szCs w:val="24"/>
          <w:color w:val="auto"/>
        </w:rPr>
      </w:pPr>
    </w:p>
    <w:p>
      <w:pPr>
        <w:ind w:left="3560"/>
        <w:spacing w:after="0"/>
        <w:rPr>
          <w:sz w:val="20"/>
          <w:szCs w:val="20"/>
          <w:color w:val="auto"/>
        </w:rPr>
      </w:pPr>
      <w:r>
        <w:rPr>
          <w:rFonts w:ascii="Arial" w:cs="Arial" w:eastAsia="Arial" w:hAnsi="Arial"/>
          <w:sz w:val="18"/>
          <w:szCs w:val="18"/>
          <w:b w:val="1"/>
          <w:bCs w:val="1"/>
          <w:color w:val="auto"/>
        </w:rPr>
        <w:t>FOR THE QUARTERLY PERIOD ENDED JUNE 30, 2017</w:t>
      </w:r>
    </w:p>
    <w:p>
      <w:pPr>
        <w:spacing w:after="0" w:line="144" w:lineRule="exact"/>
        <w:rPr>
          <w:sz w:val="24"/>
          <w:szCs w:val="24"/>
          <w:color w:val="auto"/>
        </w:rPr>
      </w:pPr>
    </w:p>
    <w:p>
      <w:pPr>
        <w:ind w:left="5480"/>
        <w:spacing w:after="0"/>
        <w:rPr>
          <w:sz w:val="20"/>
          <w:szCs w:val="20"/>
          <w:color w:val="auto"/>
        </w:rPr>
      </w:pPr>
      <w:r>
        <w:rPr>
          <w:rFonts w:ascii="Arial" w:cs="Arial" w:eastAsia="Arial" w:hAnsi="Arial"/>
          <w:sz w:val="18"/>
          <w:szCs w:val="18"/>
          <w:b w:val="1"/>
          <w:bCs w:val="1"/>
          <w:color w:val="auto"/>
        </w:rPr>
        <w:t>OR</w:t>
      </w:r>
    </w:p>
    <w:p>
      <w:pPr>
        <w:spacing w:after="0" w:line="225" w:lineRule="exact"/>
        <w:rPr>
          <w:sz w:val="24"/>
          <w:szCs w:val="24"/>
          <w:color w:val="auto"/>
        </w:rPr>
      </w:pPr>
    </w:p>
    <w:p>
      <w:pPr>
        <w:ind w:left="380" w:hanging="372"/>
        <w:spacing w:after="0"/>
        <w:tabs>
          <w:tab w:leader="none" w:pos="380" w:val="left"/>
        </w:tabs>
        <w:numPr>
          <w:ilvl w:val="0"/>
          <w:numId w:val="2"/>
        </w:numPr>
        <w:rPr>
          <w:rFonts w:ascii="MS PGothic" w:cs="MS PGothic" w:eastAsia="MS PGothic" w:hAnsi="MS PGothic"/>
          <w:sz w:val="18"/>
          <w:szCs w:val="18"/>
          <w:color w:val="auto"/>
        </w:rPr>
      </w:pPr>
      <w:r>
        <w:rPr>
          <w:rFonts w:ascii="Arial" w:cs="Arial" w:eastAsia="Arial" w:hAnsi="Arial"/>
          <w:sz w:val="18"/>
          <w:szCs w:val="18"/>
          <w:b w:val="1"/>
          <w:bCs w:val="1"/>
          <w:color w:val="auto"/>
        </w:rPr>
        <w:t>TRANSITION REPORT PURSUANT TO SECTION 13 OR 15(d) OF THE SECURITIES EXCHANGE ACT OF 1934</w:t>
      </w:r>
    </w:p>
    <w:p>
      <w:pPr>
        <w:spacing w:after="0" w:line="374" w:lineRule="exact"/>
        <w:rPr>
          <w:sz w:val="24"/>
          <w:szCs w:val="24"/>
          <w:color w:val="auto"/>
        </w:rPr>
      </w:pPr>
    </w:p>
    <w:tbl>
      <w:tblPr>
        <w:tblLayout w:type="fixed"/>
        <w:tblInd w:w="0" w:type="dxa"/>
        <w:tblCellMar>
          <w:top w:w="0" w:type="dxa"/>
          <w:left w:w="0" w:type="dxa"/>
          <w:bottom w:w="0" w:type="dxa"/>
          <w:right w:w="0" w:type="dxa"/>
        </w:tblCellMar>
      </w:tblPr>
      <w:tr>
        <w:trPr>
          <w:trHeight w:val="207"/>
        </w:trPr>
        <w:tc>
          <w:tcPr>
            <w:tcW w:w="6840" w:type="dxa"/>
            <w:vAlign w:val="bottom"/>
          </w:tcPr>
          <w:p>
            <w:pPr>
              <w:ind w:left="3460"/>
              <w:spacing w:after="0"/>
              <w:rPr>
                <w:sz w:val="20"/>
                <w:szCs w:val="20"/>
                <w:color w:val="auto"/>
              </w:rPr>
            </w:pPr>
            <w:r>
              <w:rPr>
                <w:rFonts w:ascii="Arial" w:cs="Arial" w:eastAsia="Arial" w:hAnsi="Arial"/>
                <w:sz w:val="18"/>
                <w:szCs w:val="18"/>
                <w:b w:val="1"/>
                <w:bCs w:val="1"/>
                <w:color w:val="auto"/>
              </w:rPr>
              <w:t>FOR THE TRANSITION PERIOD FROM</w:t>
            </w:r>
          </w:p>
        </w:tc>
        <w:tc>
          <w:tcPr>
            <w:tcW w:w="540" w:type="dxa"/>
            <w:vAlign w:val="bottom"/>
            <w:tcBorders>
              <w:bottom w:val="single" w:sz="8" w:color="auto"/>
            </w:tcBorders>
          </w:tcPr>
          <w:p>
            <w:pPr>
              <w:spacing w:after="0"/>
              <w:rPr>
                <w:sz w:val="17"/>
                <w:szCs w:val="17"/>
                <w:color w:val="auto"/>
              </w:rPr>
            </w:pPr>
          </w:p>
        </w:tc>
        <w:tc>
          <w:tcPr>
            <w:tcW w:w="340" w:type="dxa"/>
            <w:vAlign w:val="bottom"/>
          </w:tcPr>
          <w:p>
            <w:pPr>
              <w:ind w:left="40"/>
              <w:spacing w:after="0"/>
              <w:rPr>
                <w:sz w:val="20"/>
                <w:szCs w:val="20"/>
                <w:color w:val="auto"/>
              </w:rPr>
            </w:pPr>
            <w:r>
              <w:rPr>
                <w:rFonts w:ascii="Arial" w:cs="Arial" w:eastAsia="Arial" w:hAnsi="Arial"/>
                <w:sz w:val="18"/>
                <w:szCs w:val="18"/>
                <w:b w:val="1"/>
                <w:bCs w:val="1"/>
                <w:color w:val="auto"/>
              </w:rPr>
              <w:t>TO</w:t>
            </w:r>
          </w:p>
        </w:tc>
        <w:tc>
          <w:tcPr>
            <w:tcW w:w="540" w:type="dxa"/>
            <w:vAlign w:val="bottom"/>
            <w:tcBorders>
              <w:bottom w:val="single" w:sz="8" w:color="auto"/>
            </w:tcBorders>
          </w:tcPr>
          <w:p>
            <w:pPr>
              <w:spacing w:after="0"/>
              <w:rPr>
                <w:sz w:val="17"/>
                <w:szCs w:val="17"/>
                <w:color w:val="auto"/>
              </w:rPr>
            </w:pPr>
          </w:p>
        </w:tc>
        <w:tc>
          <w:tcPr>
            <w:tcW w:w="29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385"/>
        </w:trPr>
        <w:tc>
          <w:tcPr>
            <w:tcW w:w="7380" w:type="dxa"/>
            <w:vAlign w:val="bottom"/>
            <w:gridSpan w:val="2"/>
          </w:tcPr>
          <w:p>
            <w:pPr>
              <w:jc w:val="center"/>
              <w:ind w:left="3801"/>
              <w:spacing w:after="0"/>
              <w:rPr>
                <w:sz w:val="20"/>
                <w:szCs w:val="20"/>
                <w:color w:val="auto"/>
              </w:rPr>
            </w:pPr>
            <w:r>
              <w:rPr>
                <w:rFonts w:ascii="Arial" w:cs="Arial" w:eastAsia="Arial" w:hAnsi="Arial"/>
                <w:sz w:val="18"/>
                <w:szCs w:val="18"/>
                <w:b w:val="1"/>
                <w:bCs w:val="1"/>
                <w:color w:val="auto"/>
                <w:w w:val="99"/>
              </w:rPr>
              <w:t>COMMISSION FILE NUMBER: 814-00736</w:t>
            </w:r>
          </w:p>
        </w:tc>
        <w:tc>
          <w:tcPr>
            <w:tcW w:w="34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29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64"/>
        </w:trPr>
        <w:tc>
          <w:tcPr>
            <w:tcW w:w="6840" w:type="dxa"/>
            <w:vAlign w:val="bottom"/>
            <w:tcBorders>
              <w:bottom w:val="single" w:sz="8" w:color="auto"/>
            </w:tcBorders>
          </w:tcPr>
          <w:p>
            <w:pPr>
              <w:spacing w:after="0"/>
              <w:rPr>
                <w:sz w:val="24"/>
                <w:szCs w:val="24"/>
                <w:color w:val="auto"/>
              </w:rPr>
            </w:pPr>
          </w:p>
        </w:tc>
        <w:tc>
          <w:tcPr>
            <w:tcW w:w="880" w:type="dxa"/>
            <w:vAlign w:val="bottom"/>
            <w:tcBorders>
              <w:bottom w:val="single" w:sz="8" w:color="auto"/>
            </w:tcBorders>
            <w:gridSpan w:val="2"/>
          </w:tcPr>
          <w:p>
            <w:pPr>
              <w:spacing w:after="0"/>
              <w:rPr>
                <w:sz w:val="24"/>
                <w:szCs w:val="24"/>
                <w:color w:val="auto"/>
              </w:rPr>
            </w:pPr>
          </w:p>
        </w:tc>
        <w:tc>
          <w:tcPr>
            <w:tcW w:w="540" w:type="dxa"/>
            <w:vAlign w:val="bottom"/>
            <w:tcBorders>
              <w:bottom w:val="single" w:sz="8" w:color="auto"/>
            </w:tcBorders>
          </w:tcPr>
          <w:p>
            <w:pPr>
              <w:spacing w:after="0"/>
              <w:rPr>
                <w:sz w:val="24"/>
                <w:szCs w:val="24"/>
                <w:color w:val="auto"/>
              </w:rPr>
            </w:pPr>
          </w:p>
        </w:tc>
        <w:tc>
          <w:tcPr>
            <w:tcW w:w="298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389"/>
        </w:trPr>
        <w:tc>
          <w:tcPr>
            <w:tcW w:w="11240" w:type="dxa"/>
            <w:vAlign w:val="bottom"/>
            <w:gridSpan w:val="5"/>
          </w:tcPr>
          <w:p>
            <w:pPr>
              <w:jc w:val="center"/>
              <w:spacing w:after="0"/>
              <w:rPr>
                <w:sz w:val="20"/>
                <w:szCs w:val="20"/>
                <w:color w:val="auto"/>
              </w:rPr>
            </w:pPr>
            <w:r>
              <w:rPr>
                <w:rFonts w:ascii="Arial" w:cs="Arial" w:eastAsia="Arial" w:hAnsi="Arial"/>
                <w:sz w:val="31"/>
                <w:szCs w:val="31"/>
                <w:b w:val="1"/>
                <w:bCs w:val="1"/>
                <w:color w:val="auto"/>
                <w:w w:val="99"/>
              </w:rPr>
              <w:t>PENNANTPARK INVESTMENT CORPORATION</w:t>
            </w:r>
          </w:p>
        </w:tc>
        <w:tc>
          <w:tcPr>
            <w:tcW w:w="0" w:type="dxa"/>
            <w:vAlign w:val="bottom"/>
          </w:tcPr>
          <w:p>
            <w:pPr>
              <w:spacing w:after="0"/>
              <w:rPr>
                <w:sz w:val="1"/>
                <w:szCs w:val="1"/>
                <w:color w:val="auto"/>
              </w:rPr>
            </w:pPr>
          </w:p>
        </w:tc>
      </w:tr>
      <w:tr>
        <w:trPr>
          <w:trHeight w:val="186"/>
        </w:trPr>
        <w:tc>
          <w:tcPr>
            <w:tcW w:w="7380" w:type="dxa"/>
            <w:vAlign w:val="bottom"/>
            <w:gridSpan w:val="2"/>
          </w:tcPr>
          <w:p>
            <w:pPr>
              <w:jc w:val="center"/>
              <w:ind w:left="3801"/>
              <w:spacing w:after="0"/>
              <w:rPr>
                <w:sz w:val="20"/>
                <w:szCs w:val="20"/>
                <w:color w:val="auto"/>
              </w:rPr>
            </w:pPr>
            <w:r>
              <w:rPr>
                <w:rFonts w:ascii="Arial" w:cs="Arial" w:eastAsia="Arial" w:hAnsi="Arial"/>
                <w:sz w:val="14"/>
                <w:szCs w:val="14"/>
                <w:b w:val="1"/>
                <w:bCs w:val="1"/>
                <w:color w:val="auto"/>
                <w:w w:val="92"/>
              </w:rPr>
              <w:t>(Exact name of registrant as specified in its charter)</w:t>
            </w:r>
          </w:p>
        </w:tc>
        <w:tc>
          <w:tcPr>
            <w:tcW w:w="34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29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82"/>
        </w:trPr>
        <w:tc>
          <w:tcPr>
            <w:tcW w:w="6840" w:type="dxa"/>
            <w:vAlign w:val="bottom"/>
            <w:tcBorders>
              <w:bottom w:val="single" w:sz="8" w:color="auto"/>
            </w:tcBorders>
          </w:tcPr>
          <w:p>
            <w:pPr>
              <w:spacing w:after="0"/>
              <w:rPr>
                <w:sz w:val="24"/>
                <w:szCs w:val="24"/>
                <w:color w:val="auto"/>
              </w:rPr>
            </w:pPr>
          </w:p>
        </w:tc>
        <w:tc>
          <w:tcPr>
            <w:tcW w:w="540" w:type="dxa"/>
            <w:vAlign w:val="bottom"/>
            <w:tcBorders>
              <w:bottom w:val="single" w:sz="8" w:color="auto"/>
            </w:tcBorders>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540" w:type="dxa"/>
            <w:vAlign w:val="bottom"/>
            <w:tcBorders>
              <w:bottom w:val="single" w:sz="8" w:color="auto"/>
            </w:tcBorders>
          </w:tcPr>
          <w:p>
            <w:pPr>
              <w:spacing w:after="0"/>
              <w:rPr>
                <w:sz w:val="24"/>
                <w:szCs w:val="24"/>
                <w:color w:val="auto"/>
              </w:rPr>
            </w:pPr>
          </w:p>
        </w:tc>
        <w:tc>
          <w:tcPr>
            <w:tcW w:w="298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400"/>
        </w:trPr>
        <w:tc>
          <w:tcPr>
            <w:tcW w:w="7380" w:type="dxa"/>
            <w:vAlign w:val="bottom"/>
            <w:gridSpan w:val="2"/>
          </w:tcPr>
          <w:p>
            <w:pPr>
              <w:jc w:val="center"/>
              <w:ind w:right="1740"/>
              <w:spacing w:after="0"/>
              <w:rPr>
                <w:sz w:val="20"/>
                <w:szCs w:val="20"/>
                <w:color w:val="auto"/>
              </w:rPr>
            </w:pPr>
            <w:r>
              <w:rPr>
                <w:rFonts w:ascii="Arial" w:cs="Arial" w:eastAsia="Arial" w:hAnsi="Arial"/>
                <w:sz w:val="14"/>
                <w:szCs w:val="14"/>
                <w:b w:val="1"/>
                <w:bCs w:val="1"/>
                <w:color w:val="auto"/>
              </w:rPr>
              <w:t>MARYLAND</w:t>
            </w:r>
          </w:p>
        </w:tc>
        <w:tc>
          <w:tcPr>
            <w:tcW w:w="3860" w:type="dxa"/>
            <w:vAlign w:val="bottom"/>
            <w:gridSpan w:val="3"/>
          </w:tcPr>
          <w:p>
            <w:pPr>
              <w:jc w:val="right"/>
              <w:ind w:right="2282"/>
              <w:spacing w:after="0"/>
              <w:rPr>
                <w:sz w:val="20"/>
                <w:szCs w:val="20"/>
                <w:color w:val="auto"/>
              </w:rPr>
            </w:pPr>
            <w:r>
              <w:rPr>
                <w:rFonts w:ascii="Arial" w:cs="Arial" w:eastAsia="Arial" w:hAnsi="Arial"/>
                <w:sz w:val="14"/>
                <w:szCs w:val="14"/>
                <w:b w:val="1"/>
                <w:bCs w:val="1"/>
                <w:color w:val="auto"/>
              </w:rPr>
              <w:t>20-8250744</w:t>
            </w:r>
          </w:p>
        </w:tc>
        <w:tc>
          <w:tcPr>
            <w:tcW w:w="0" w:type="dxa"/>
            <w:vAlign w:val="bottom"/>
          </w:tcPr>
          <w:p>
            <w:pPr>
              <w:spacing w:after="0"/>
              <w:rPr>
                <w:sz w:val="1"/>
                <w:szCs w:val="1"/>
                <w:color w:val="auto"/>
              </w:rPr>
            </w:pPr>
          </w:p>
        </w:tc>
      </w:tr>
      <w:tr>
        <w:trPr>
          <w:trHeight w:val="168"/>
        </w:trPr>
        <w:tc>
          <w:tcPr>
            <w:tcW w:w="7380" w:type="dxa"/>
            <w:vAlign w:val="bottom"/>
            <w:gridSpan w:val="2"/>
          </w:tcPr>
          <w:p>
            <w:pPr>
              <w:jc w:val="center"/>
              <w:ind w:right="1720"/>
              <w:spacing w:after="0"/>
              <w:rPr>
                <w:sz w:val="20"/>
                <w:szCs w:val="20"/>
                <w:color w:val="auto"/>
              </w:rPr>
            </w:pPr>
            <w:r>
              <w:rPr>
                <w:rFonts w:ascii="Arial" w:cs="Arial" w:eastAsia="Arial" w:hAnsi="Arial"/>
                <w:sz w:val="12"/>
                <w:szCs w:val="12"/>
                <w:b w:val="1"/>
                <w:bCs w:val="1"/>
                <w:color w:val="auto"/>
                <w:w w:val="88"/>
              </w:rPr>
              <w:t>(State or other jurisdiction of incorporation or organization)</w:t>
            </w:r>
          </w:p>
        </w:tc>
        <w:tc>
          <w:tcPr>
            <w:tcW w:w="3860" w:type="dxa"/>
            <w:vAlign w:val="bottom"/>
            <w:gridSpan w:val="3"/>
          </w:tcPr>
          <w:p>
            <w:pPr>
              <w:jc w:val="center"/>
              <w:ind w:right="1462"/>
              <w:spacing w:after="0"/>
              <w:rPr>
                <w:sz w:val="20"/>
                <w:szCs w:val="20"/>
                <w:color w:val="auto"/>
              </w:rPr>
            </w:pPr>
            <w:r>
              <w:rPr>
                <w:rFonts w:ascii="Arial" w:cs="Arial" w:eastAsia="Arial" w:hAnsi="Arial"/>
                <w:sz w:val="12"/>
                <w:szCs w:val="12"/>
                <w:b w:val="1"/>
                <w:bCs w:val="1"/>
                <w:color w:val="auto"/>
                <w:w w:val="90"/>
              </w:rPr>
              <w:t>(I.R.S. Employer Identification No.)</w:t>
            </w:r>
          </w:p>
        </w:tc>
        <w:tc>
          <w:tcPr>
            <w:tcW w:w="0" w:type="dxa"/>
            <w:vAlign w:val="bottom"/>
          </w:tcPr>
          <w:p>
            <w:pPr>
              <w:spacing w:after="0"/>
              <w:rPr>
                <w:sz w:val="1"/>
                <w:szCs w:val="1"/>
                <w:color w:val="auto"/>
              </w:rPr>
            </w:pPr>
          </w:p>
        </w:tc>
      </w:tr>
      <w:tr>
        <w:trPr>
          <w:trHeight w:val="456"/>
        </w:trPr>
        <w:tc>
          <w:tcPr>
            <w:tcW w:w="7380" w:type="dxa"/>
            <w:vAlign w:val="bottom"/>
            <w:gridSpan w:val="2"/>
          </w:tcPr>
          <w:p>
            <w:pPr>
              <w:jc w:val="center"/>
              <w:ind w:right="1740"/>
              <w:spacing w:after="0"/>
              <w:rPr>
                <w:sz w:val="20"/>
                <w:szCs w:val="20"/>
                <w:color w:val="auto"/>
              </w:rPr>
            </w:pPr>
            <w:r>
              <w:rPr>
                <w:rFonts w:ascii="Arial" w:cs="Arial" w:eastAsia="Arial" w:hAnsi="Arial"/>
                <w:sz w:val="14"/>
                <w:szCs w:val="14"/>
                <w:b w:val="1"/>
                <w:bCs w:val="1"/>
                <w:color w:val="auto"/>
                <w:w w:val="92"/>
              </w:rPr>
              <w:t>590 Madison Avenue, 15</w:t>
            </w:r>
            <w:r>
              <w:rPr>
                <w:rFonts w:ascii="Arial" w:cs="Arial" w:eastAsia="Arial" w:hAnsi="Arial"/>
                <w:sz w:val="12"/>
                <w:szCs w:val="12"/>
                <w:b w:val="1"/>
                <w:bCs w:val="1"/>
                <w:color w:val="auto"/>
                <w:w w:val="92"/>
              </w:rPr>
              <w:t>th</w:t>
            </w:r>
            <w:r>
              <w:rPr>
                <w:rFonts w:ascii="Arial" w:cs="Arial" w:eastAsia="Arial" w:hAnsi="Arial"/>
                <w:sz w:val="14"/>
                <w:szCs w:val="14"/>
                <w:b w:val="1"/>
                <w:bCs w:val="1"/>
                <w:color w:val="auto"/>
                <w:w w:val="92"/>
              </w:rPr>
              <w:t xml:space="preserve"> Floor</w:t>
            </w:r>
          </w:p>
        </w:tc>
        <w:tc>
          <w:tcPr>
            <w:tcW w:w="34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29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86"/>
        </w:trPr>
        <w:tc>
          <w:tcPr>
            <w:tcW w:w="7380" w:type="dxa"/>
            <w:vAlign w:val="bottom"/>
            <w:gridSpan w:val="2"/>
          </w:tcPr>
          <w:p>
            <w:pPr>
              <w:jc w:val="center"/>
              <w:ind w:right="1740"/>
              <w:spacing w:after="0"/>
              <w:rPr>
                <w:sz w:val="20"/>
                <w:szCs w:val="20"/>
                <w:color w:val="auto"/>
              </w:rPr>
            </w:pPr>
            <w:r>
              <w:rPr>
                <w:rFonts w:ascii="Arial" w:cs="Arial" w:eastAsia="Arial" w:hAnsi="Arial"/>
                <w:sz w:val="14"/>
                <w:szCs w:val="14"/>
                <w:b w:val="1"/>
                <w:bCs w:val="1"/>
                <w:color w:val="auto"/>
                <w:w w:val="97"/>
              </w:rPr>
              <w:t>New York, N.Y.</w:t>
            </w:r>
          </w:p>
        </w:tc>
        <w:tc>
          <w:tcPr>
            <w:tcW w:w="3860" w:type="dxa"/>
            <w:vAlign w:val="bottom"/>
            <w:gridSpan w:val="3"/>
            <w:vMerge w:val="restart"/>
          </w:tcPr>
          <w:p>
            <w:pPr>
              <w:jc w:val="right"/>
              <w:ind w:right="2462"/>
              <w:spacing w:after="0"/>
              <w:rPr>
                <w:sz w:val="20"/>
                <w:szCs w:val="20"/>
                <w:color w:val="auto"/>
              </w:rPr>
            </w:pPr>
            <w:r>
              <w:rPr>
                <w:rFonts w:ascii="Arial" w:cs="Arial" w:eastAsia="Arial" w:hAnsi="Arial"/>
                <w:sz w:val="14"/>
                <w:szCs w:val="14"/>
                <w:b w:val="1"/>
                <w:bCs w:val="1"/>
                <w:color w:val="auto"/>
              </w:rPr>
              <w:t>10022</w:t>
            </w:r>
          </w:p>
        </w:tc>
        <w:tc>
          <w:tcPr>
            <w:tcW w:w="0" w:type="dxa"/>
            <w:vAlign w:val="bottom"/>
          </w:tcPr>
          <w:p>
            <w:pPr>
              <w:spacing w:after="0"/>
              <w:rPr>
                <w:sz w:val="1"/>
                <w:szCs w:val="1"/>
                <w:color w:val="auto"/>
              </w:rPr>
            </w:pPr>
          </w:p>
        </w:tc>
      </w:tr>
      <w:tr>
        <w:trPr>
          <w:trHeight w:val="71"/>
        </w:trPr>
        <w:tc>
          <w:tcPr>
            <w:tcW w:w="6840" w:type="dxa"/>
            <w:vAlign w:val="bottom"/>
          </w:tcPr>
          <w:p>
            <w:pPr>
              <w:spacing w:after="0"/>
              <w:rPr>
                <w:sz w:val="6"/>
                <w:szCs w:val="6"/>
                <w:color w:val="auto"/>
              </w:rPr>
            </w:pPr>
          </w:p>
        </w:tc>
        <w:tc>
          <w:tcPr>
            <w:tcW w:w="540" w:type="dxa"/>
            <w:vAlign w:val="bottom"/>
          </w:tcPr>
          <w:p>
            <w:pPr>
              <w:spacing w:after="0"/>
              <w:rPr>
                <w:sz w:val="6"/>
                <w:szCs w:val="6"/>
                <w:color w:val="auto"/>
              </w:rPr>
            </w:pPr>
          </w:p>
        </w:tc>
        <w:tc>
          <w:tcPr>
            <w:tcW w:w="3860" w:type="dxa"/>
            <w:vAlign w:val="bottom"/>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50"/>
        </w:trPr>
        <w:tc>
          <w:tcPr>
            <w:tcW w:w="7380" w:type="dxa"/>
            <w:vAlign w:val="bottom"/>
            <w:gridSpan w:val="2"/>
          </w:tcPr>
          <w:p>
            <w:pPr>
              <w:jc w:val="center"/>
              <w:ind w:right="1740"/>
              <w:spacing w:after="0"/>
              <w:rPr>
                <w:sz w:val="20"/>
                <w:szCs w:val="20"/>
                <w:color w:val="auto"/>
              </w:rPr>
            </w:pPr>
            <w:r>
              <w:rPr>
                <w:rFonts w:ascii="Arial" w:cs="Arial" w:eastAsia="Arial" w:hAnsi="Arial"/>
                <w:sz w:val="12"/>
                <w:szCs w:val="12"/>
                <w:b w:val="1"/>
                <w:bCs w:val="1"/>
                <w:color w:val="auto"/>
                <w:w w:val="85"/>
              </w:rPr>
              <w:t>(Address of principal executive offices)</w:t>
            </w:r>
          </w:p>
        </w:tc>
        <w:tc>
          <w:tcPr>
            <w:tcW w:w="34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2980" w:type="dxa"/>
            <w:vAlign w:val="bottom"/>
          </w:tcPr>
          <w:p>
            <w:pPr>
              <w:jc w:val="center"/>
              <w:ind w:right="2342"/>
              <w:spacing w:after="0"/>
              <w:rPr>
                <w:sz w:val="20"/>
                <w:szCs w:val="20"/>
                <w:color w:val="auto"/>
              </w:rPr>
            </w:pPr>
            <w:r>
              <w:rPr>
                <w:rFonts w:ascii="Arial" w:cs="Arial" w:eastAsia="Arial" w:hAnsi="Arial"/>
                <w:sz w:val="12"/>
                <w:szCs w:val="12"/>
                <w:b w:val="1"/>
                <w:bCs w:val="1"/>
                <w:color w:val="auto"/>
                <w:w w:val="90"/>
              </w:rPr>
              <w:t>(Zip Code)</w:t>
            </w:r>
          </w:p>
        </w:tc>
        <w:tc>
          <w:tcPr>
            <w:tcW w:w="0" w:type="dxa"/>
            <w:vAlign w:val="bottom"/>
          </w:tcPr>
          <w:p>
            <w:pPr>
              <w:spacing w:after="0"/>
              <w:rPr>
                <w:sz w:val="1"/>
                <w:szCs w:val="1"/>
                <w:color w:val="auto"/>
              </w:rPr>
            </w:pPr>
          </w:p>
        </w:tc>
      </w:tr>
      <w:tr>
        <w:trPr>
          <w:trHeight w:val="309"/>
        </w:trPr>
        <w:tc>
          <w:tcPr>
            <w:tcW w:w="6840" w:type="dxa"/>
            <w:vAlign w:val="bottom"/>
          </w:tcPr>
          <w:p>
            <w:pPr>
              <w:jc w:val="center"/>
              <w:ind w:left="4341"/>
              <w:spacing w:after="0"/>
              <w:rPr>
                <w:sz w:val="20"/>
                <w:szCs w:val="20"/>
                <w:color w:val="auto"/>
              </w:rPr>
            </w:pPr>
            <w:r>
              <w:rPr>
                <w:rFonts w:ascii="Arial" w:cs="Arial" w:eastAsia="Arial" w:hAnsi="Arial"/>
                <w:sz w:val="14"/>
                <w:szCs w:val="14"/>
                <w:b w:val="1"/>
                <w:bCs w:val="1"/>
                <w:color w:val="auto"/>
                <w:w w:val="93"/>
              </w:rPr>
              <w:t>(212) 905-1000</w:t>
            </w:r>
          </w:p>
        </w:tc>
        <w:tc>
          <w:tcPr>
            <w:tcW w:w="5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29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50"/>
        </w:trPr>
        <w:tc>
          <w:tcPr>
            <w:tcW w:w="7380" w:type="dxa"/>
            <w:vAlign w:val="bottom"/>
            <w:gridSpan w:val="2"/>
          </w:tcPr>
          <w:p>
            <w:pPr>
              <w:jc w:val="center"/>
              <w:ind w:left="3781"/>
              <w:spacing w:after="0"/>
              <w:rPr>
                <w:sz w:val="20"/>
                <w:szCs w:val="20"/>
                <w:color w:val="auto"/>
              </w:rPr>
            </w:pPr>
            <w:r>
              <w:rPr>
                <w:rFonts w:ascii="Arial" w:cs="Arial" w:eastAsia="Arial" w:hAnsi="Arial"/>
                <w:sz w:val="12"/>
                <w:szCs w:val="12"/>
                <w:b w:val="1"/>
                <w:bCs w:val="1"/>
                <w:color w:val="auto"/>
                <w:w w:val="88"/>
              </w:rPr>
              <w:t>(Registrant’s Telephone Number, Including Area Code)</w:t>
            </w:r>
          </w:p>
        </w:tc>
        <w:tc>
          <w:tcPr>
            <w:tcW w:w="34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2980" w:type="dxa"/>
            <w:vAlign w:val="bottom"/>
          </w:tcPr>
          <w:p>
            <w:pPr>
              <w:spacing w:after="0"/>
              <w:rPr>
                <w:sz w:val="13"/>
                <w:szCs w:val="13"/>
                <w:color w:val="auto"/>
              </w:rPr>
            </w:pPr>
          </w:p>
        </w:tc>
        <w:tc>
          <w:tcPr>
            <w:tcW w:w="0" w:type="dxa"/>
            <w:vAlign w:val="bottom"/>
          </w:tcPr>
          <w:p>
            <w:pPr>
              <w:spacing w:after="0"/>
              <w:rPr>
                <w:sz w:val="1"/>
                <w:szCs w:val="1"/>
                <w:color w:val="auto"/>
              </w:rPr>
            </w:pPr>
          </w:p>
        </w:tc>
      </w:tr>
    </w:tbl>
    <w:p>
      <w:pPr>
        <w:spacing w:after="0" w:line="271" w:lineRule="exact"/>
        <w:rPr>
          <w:sz w:val="24"/>
          <w:szCs w:val="24"/>
          <w:color w:val="auto"/>
        </w:rPr>
      </w:pPr>
    </w:p>
    <w:p>
      <w:pPr>
        <w:ind w:right="160" w:firstLine="468"/>
        <w:spacing w:after="0" w:line="181" w:lineRule="exact"/>
        <w:rPr>
          <w:sz w:val="20"/>
          <w:szCs w:val="20"/>
          <w:color w:val="auto"/>
        </w:rPr>
      </w:pPr>
      <w:r>
        <w:rPr>
          <w:rFonts w:ascii="Arial" w:cs="Arial" w:eastAsia="Arial" w:hAnsi="Arial"/>
          <w:sz w:val="13"/>
          <w:szCs w:val="13"/>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3"/>
          <w:szCs w:val="13"/>
          <w:color w:val="auto"/>
        </w:rPr>
        <w:t>☒</w:t>
      </w:r>
      <w:r>
        <w:rPr>
          <w:rFonts w:ascii="Arial" w:cs="Arial" w:eastAsia="Arial" w:hAnsi="Arial"/>
          <w:sz w:val="13"/>
          <w:szCs w:val="13"/>
          <w:color w:val="auto"/>
        </w:rPr>
        <w:t xml:space="preserve"> No </w:t>
      </w:r>
      <w:r>
        <w:rPr>
          <w:rFonts w:ascii="MS PGothic" w:cs="MS PGothic" w:eastAsia="MS PGothic" w:hAnsi="MS PGothic"/>
          <w:sz w:val="13"/>
          <w:szCs w:val="13"/>
          <w:color w:val="auto"/>
        </w:rPr>
        <w:t>☐</w:t>
      </w:r>
    </w:p>
    <w:p>
      <w:pPr>
        <w:spacing w:after="0" w:line="126" w:lineRule="exact"/>
        <w:rPr>
          <w:sz w:val="24"/>
          <w:szCs w:val="24"/>
          <w:color w:val="auto"/>
        </w:rPr>
      </w:pPr>
    </w:p>
    <w:p>
      <w:pPr>
        <w:ind w:right="120" w:firstLine="468"/>
        <w:spacing w:after="0" w:line="238" w:lineRule="auto"/>
        <w:rPr>
          <w:sz w:val="20"/>
          <w:szCs w:val="20"/>
          <w:color w:val="auto"/>
        </w:rPr>
      </w:pPr>
      <w:r>
        <w:rPr>
          <w:rFonts w:ascii="Arial" w:cs="Arial" w:eastAsia="Arial" w:hAnsi="Arial"/>
          <w:sz w:val="14"/>
          <w:szCs w:val="14"/>
          <w:color w:val="auto"/>
        </w:rPr>
        <w:t>Indicate by check mark whether the registrant has submitted electronically and posted on its corporate Web site, if any, every Interactive Data File required to be submitted and posted pursuant to Rule 405 of Regulation S-T (§232.405 of this chapter) during the preceding 12 months (or for such shorter period that the registrant was required to submit and post such files). Yes No</w:t>
      </w:r>
    </w:p>
    <w:p>
      <w:pPr>
        <w:spacing w:after="0" w:line="129" w:lineRule="exact"/>
        <w:rPr>
          <w:sz w:val="24"/>
          <w:szCs w:val="24"/>
          <w:color w:val="auto"/>
        </w:rPr>
      </w:pPr>
    </w:p>
    <w:p>
      <w:pPr>
        <w:ind w:right="60" w:firstLine="468"/>
        <w:spacing w:after="0" w:line="253" w:lineRule="auto"/>
        <w:rPr>
          <w:sz w:val="20"/>
          <w:szCs w:val="20"/>
          <w:color w:val="auto"/>
        </w:rPr>
      </w:pPr>
      <w:r>
        <w:rPr>
          <w:rFonts w:ascii="Arial" w:cs="Arial" w:eastAsia="Arial" w:hAnsi="Arial"/>
          <w:sz w:val="14"/>
          <w:szCs w:val="14"/>
          <w:color w:val="auto"/>
        </w:rPr>
        <w:t>Indicate by check mark whether the registrant is a large accelerated filer, an accelerated filer, a non-accelerated filer, smaller reporting company, or an emerging growth company. See the definitions of “large accelerated filer,” “accelerated filer,” “smaller reporting company,” and “emerging growth company” in Rule 12b-2 of the Exchange Act.</w:t>
      </w:r>
    </w:p>
    <w:p>
      <w:pPr>
        <w:spacing w:after="0" w:line="160" w:lineRule="exact"/>
        <w:rPr>
          <w:sz w:val="24"/>
          <w:szCs w:val="24"/>
          <w:color w:val="auto"/>
        </w:rPr>
      </w:pPr>
    </w:p>
    <w:tbl>
      <w:tblPr>
        <w:tblLayout w:type="fixed"/>
        <w:tblInd w:w="0" w:type="dxa"/>
        <w:tblCellMar>
          <w:top w:w="0" w:type="dxa"/>
          <w:left w:w="0" w:type="dxa"/>
          <w:bottom w:w="0" w:type="dxa"/>
          <w:right w:w="0" w:type="dxa"/>
        </w:tblCellMar>
      </w:tblPr>
      <w:tr>
        <w:trPr>
          <w:trHeight w:val="226"/>
        </w:trPr>
        <w:tc>
          <w:tcPr>
            <w:tcW w:w="1760" w:type="dxa"/>
            <w:vAlign w:val="bottom"/>
          </w:tcPr>
          <w:p>
            <w:pPr>
              <w:spacing w:after="0"/>
              <w:rPr>
                <w:sz w:val="20"/>
                <w:szCs w:val="20"/>
                <w:color w:val="auto"/>
              </w:rPr>
            </w:pPr>
            <w:r>
              <w:rPr>
                <w:rFonts w:ascii="Arial" w:cs="Arial" w:eastAsia="Arial" w:hAnsi="Arial"/>
                <w:sz w:val="14"/>
                <w:szCs w:val="14"/>
                <w:color w:val="auto"/>
              </w:rPr>
              <w:t>Large accelerated filer</w:t>
            </w:r>
          </w:p>
        </w:tc>
        <w:tc>
          <w:tcPr>
            <w:tcW w:w="4400" w:type="dxa"/>
            <w:vAlign w:val="bottom"/>
          </w:tcPr>
          <w:p>
            <w:pPr>
              <w:ind w:left="200"/>
              <w:spacing w:after="0" w:line="141" w:lineRule="exact"/>
              <w:rPr>
                <w:sz w:val="20"/>
                <w:szCs w:val="20"/>
                <w:color w:val="auto"/>
              </w:rPr>
            </w:pPr>
            <w:r>
              <w:rPr>
                <w:rFonts w:ascii="MS PGothic" w:cs="MS PGothic" w:eastAsia="MS PGothic" w:hAnsi="MS PGothic"/>
                <w:sz w:val="14"/>
                <w:szCs w:val="14"/>
                <w:color w:val="auto"/>
              </w:rPr>
              <w:t>☐</w:t>
            </w:r>
          </w:p>
        </w:tc>
        <w:tc>
          <w:tcPr>
            <w:tcW w:w="3140" w:type="dxa"/>
            <w:vAlign w:val="bottom"/>
          </w:tcPr>
          <w:p>
            <w:pPr>
              <w:ind w:left="1340"/>
              <w:spacing w:after="0"/>
              <w:rPr>
                <w:sz w:val="20"/>
                <w:szCs w:val="20"/>
                <w:color w:val="auto"/>
              </w:rPr>
            </w:pPr>
            <w:r>
              <w:rPr>
                <w:rFonts w:ascii="Arial" w:cs="Arial" w:eastAsia="Arial" w:hAnsi="Arial"/>
                <w:sz w:val="14"/>
                <w:szCs w:val="14"/>
                <w:color w:val="auto"/>
              </w:rPr>
              <w:t>Accelerated filer</w:t>
            </w:r>
          </w:p>
        </w:tc>
        <w:tc>
          <w:tcPr>
            <w:tcW w:w="360" w:type="dxa"/>
            <w:vAlign w:val="bottom"/>
          </w:tcPr>
          <w:p>
            <w:pPr>
              <w:ind w:left="220"/>
              <w:spacing w:after="0" w:line="141" w:lineRule="exact"/>
              <w:rPr>
                <w:sz w:val="20"/>
                <w:szCs w:val="20"/>
                <w:color w:val="auto"/>
              </w:rPr>
            </w:pPr>
            <w:r>
              <w:rPr>
                <w:rFonts w:ascii="MS PGothic" w:cs="MS PGothic" w:eastAsia="MS PGothic" w:hAnsi="MS PGothic"/>
                <w:sz w:val="14"/>
                <w:szCs w:val="14"/>
                <w:color w:val="auto"/>
                <w:w w:val="85"/>
              </w:rPr>
              <w:t>☒</w:t>
            </w:r>
          </w:p>
        </w:tc>
      </w:tr>
      <w:tr>
        <w:trPr>
          <w:trHeight w:val="338"/>
        </w:trPr>
        <w:tc>
          <w:tcPr>
            <w:tcW w:w="1760" w:type="dxa"/>
            <w:vAlign w:val="bottom"/>
          </w:tcPr>
          <w:p>
            <w:pPr>
              <w:spacing w:after="0"/>
              <w:rPr>
                <w:sz w:val="20"/>
                <w:szCs w:val="20"/>
                <w:color w:val="auto"/>
              </w:rPr>
            </w:pPr>
            <w:r>
              <w:rPr>
                <w:rFonts w:ascii="Arial" w:cs="Arial" w:eastAsia="Arial" w:hAnsi="Arial"/>
                <w:sz w:val="14"/>
                <w:szCs w:val="14"/>
                <w:color w:val="auto"/>
              </w:rPr>
              <w:t>Non-accelerated filer</w:t>
            </w:r>
          </w:p>
        </w:tc>
        <w:tc>
          <w:tcPr>
            <w:tcW w:w="4400" w:type="dxa"/>
            <w:vAlign w:val="bottom"/>
          </w:tcPr>
          <w:p>
            <w:pPr>
              <w:ind w:left="200"/>
              <w:spacing w:after="0" w:line="161" w:lineRule="exact"/>
              <w:rPr>
                <w:sz w:val="20"/>
                <w:szCs w:val="20"/>
                <w:color w:val="auto"/>
              </w:rPr>
            </w:pPr>
            <w:r>
              <w:rPr>
                <w:rFonts w:ascii="MS PGothic" w:cs="MS PGothic" w:eastAsia="MS PGothic" w:hAnsi="MS PGothic"/>
                <w:sz w:val="14"/>
                <w:szCs w:val="14"/>
                <w:color w:val="auto"/>
              </w:rPr>
              <w:t>☐</w:t>
            </w:r>
            <w:r>
              <w:rPr>
                <w:rFonts w:ascii="Arial" w:cs="Arial" w:eastAsia="Arial" w:hAnsi="Arial"/>
                <w:sz w:val="14"/>
                <w:szCs w:val="14"/>
                <w:color w:val="auto"/>
              </w:rPr>
              <w:t xml:space="preserve"> (Do not check if a smaller reporting company)</w:t>
            </w:r>
          </w:p>
        </w:tc>
        <w:tc>
          <w:tcPr>
            <w:tcW w:w="3140" w:type="dxa"/>
            <w:vAlign w:val="bottom"/>
          </w:tcPr>
          <w:p>
            <w:pPr>
              <w:ind w:left="1340"/>
              <w:spacing w:after="0"/>
              <w:rPr>
                <w:sz w:val="20"/>
                <w:szCs w:val="20"/>
                <w:color w:val="auto"/>
              </w:rPr>
            </w:pPr>
            <w:r>
              <w:rPr>
                <w:rFonts w:ascii="Arial" w:cs="Arial" w:eastAsia="Arial" w:hAnsi="Arial"/>
                <w:sz w:val="14"/>
                <w:szCs w:val="14"/>
                <w:color w:val="auto"/>
              </w:rPr>
              <w:t>Smaller reporting company</w:t>
            </w:r>
          </w:p>
        </w:tc>
        <w:tc>
          <w:tcPr>
            <w:tcW w:w="360" w:type="dxa"/>
            <w:vAlign w:val="bottom"/>
          </w:tcPr>
          <w:p>
            <w:pPr>
              <w:ind w:left="220"/>
              <w:spacing w:after="0" w:line="141" w:lineRule="exact"/>
              <w:rPr>
                <w:sz w:val="20"/>
                <w:szCs w:val="20"/>
                <w:color w:val="auto"/>
              </w:rPr>
            </w:pPr>
            <w:r>
              <w:rPr>
                <w:rFonts w:ascii="MS PGothic" w:cs="MS PGothic" w:eastAsia="MS PGothic" w:hAnsi="MS PGothic"/>
                <w:sz w:val="14"/>
                <w:szCs w:val="14"/>
                <w:color w:val="auto"/>
                <w:w w:val="85"/>
              </w:rPr>
              <w:t>☐</w:t>
            </w:r>
          </w:p>
        </w:tc>
      </w:tr>
      <w:tr>
        <w:trPr>
          <w:trHeight w:val="378"/>
        </w:trPr>
        <w:tc>
          <w:tcPr>
            <w:tcW w:w="1760" w:type="dxa"/>
            <w:vAlign w:val="bottom"/>
          </w:tcPr>
          <w:p>
            <w:pPr>
              <w:spacing w:after="0"/>
              <w:rPr>
                <w:sz w:val="20"/>
                <w:szCs w:val="20"/>
                <w:color w:val="auto"/>
              </w:rPr>
            </w:pPr>
            <w:r>
              <w:rPr>
                <w:rFonts w:ascii="Arial" w:cs="Arial" w:eastAsia="Arial" w:hAnsi="Arial"/>
                <w:sz w:val="14"/>
                <w:szCs w:val="14"/>
                <w:color w:val="auto"/>
              </w:rPr>
              <w:t>Emerging growth company</w:t>
            </w:r>
          </w:p>
        </w:tc>
        <w:tc>
          <w:tcPr>
            <w:tcW w:w="4400" w:type="dxa"/>
            <w:vAlign w:val="bottom"/>
          </w:tcPr>
          <w:p>
            <w:pPr>
              <w:ind w:left="200"/>
              <w:spacing w:after="0" w:line="141" w:lineRule="exact"/>
              <w:rPr>
                <w:sz w:val="20"/>
                <w:szCs w:val="20"/>
                <w:color w:val="auto"/>
              </w:rPr>
            </w:pPr>
            <w:r>
              <w:rPr>
                <w:rFonts w:ascii="MS PGothic" w:cs="MS PGothic" w:eastAsia="MS PGothic" w:hAnsi="MS PGothic"/>
                <w:sz w:val="14"/>
                <w:szCs w:val="14"/>
                <w:color w:val="auto"/>
              </w:rPr>
              <w:t>☐</w:t>
            </w:r>
          </w:p>
        </w:tc>
        <w:tc>
          <w:tcPr>
            <w:tcW w:w="3140" w:type="dxa"/>
            <w:vAlign w:val="bottom"/>
          </w:tcPr>
          <w:p>
            <w:pPr>
              <w:spacing w:after="0"/>
              <w:rPr>
                <w:sz w:val="24"/>
                <w:szCs w:val="24"/>
                <w:color w:val="auto"/>
              </w:rPr>
            </w:pPr>
          </w:p>
        </w:tc>
        <w:tc>
          <w:tcPr>
            <w:tcW w:w="360" w:type="dxa"/>
            <w:vAlign w:val="bottom"/>
          </w:tcPr>
          <w:p>
            <w:pPr>
              <w:spacing w:after="0"/>
              <w:rPr>
                <w:sz w:val="24"/>
                <w:szCs w:val="24"/>
                <w:color w:val="auto"/>
              </w:rPr>
            </w:pPr>
          </w:p>
        </w:tc>
      </w:tr>
    </w:tbl>
    <w:p>
      <w:pPr>
        <w:spacing w:after="0" w:line="126" w:lineRule="exact"/>
        <w:rPr>
          <w:sz w:val="24"/>
          <w:szCs w:val="24"/>
          <w:color w:val="auto"/>
        </w:rPr>
      </w:pPr>
    </w:p>
    <w:p>
      <w:pPr>
        <w:ind w:right="100" w:firstLine="468"/>
        <w:spacing w:after="0" w:line="180" w:lineRule="exact"/>
        <w:rPr>
          <w:sz w:val="20"/>
          <w:szCs w:val="20"/>
          <w:color w:val="auto"/>
        </w:rPr>
      </w:pPr>
      <w:r>
        <w:rPr>
          <w:rFonts w:ascii="Arial" w:cs="Arial" w:eastAsia="Arial" w:hAnsi="Arial"/>
          <w:sz w:val="14"/>
          <w:szCs w:val="14"/>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4"/>
          <w:szCs w:val="14"/>
          <w:color w:val="auto"/>
        </w:rPr>
        <w:t>☐</w:t>
      </w:r>
    </w:p>
    <w:p>
      <w:pPr>
        <w:spacing w:after="0" w:line="113" w:lineRule="exact"/>
        <w:rPr>
          <w:sz w:val="24"/>
          <w:szCs w:val="24"/>
          <w:color w:val="auto"/>
        </w:rPr>
      </w:pPr>
    </w:p>
    <w:p>
      <w:pPr>
        <w:ind w:left="480"/>
        <w:spacing w:after="0" w:line="161" w:lineRule="exact"/>
        <w:tabs>
          <w:tab w:leader="none" w:pos="7140" w:val="left"/>
        </w:tabs>
        <w:rPr>
          <w:sz w:val="20"/>
          <w:szCs w:val="20"/>
          <w:color w:val="auto"/>
        </w:rPr>
      </w:pPr>
      <w:r>
        <w:rPr>
          <w:rFonts w:ascii="Arial" w:cs="Arial" w:eastAsia="Arial" w:hAnsi="Arial"/>
          <w:sz w:val="14"/>
          <w:szCs w:val="14"/>
          <w:color w:val="auto"/>
        </w:rPr>
        <w:t>Indicate by check mark whether the registrant is a shell company (as defined in Rule 12b-2 of the Exchange Act).</w:t>
        <w:tab/>
        <w:t xml:space="preserve">Yes </w:t>
      </w:r>
      <w:r>
        <w:rPr>
          <w:rFonts w:ascii="MS PGothic" w:cs="MS PGothic" w:eastAsia="MS PGothic" w:hAnsi="MS PGothic"/>
          <w:sz w:val="14"/>
          <w:szCs w:val="14"/>
          <w:color w:val="auto"/>
        </w:rPr>
        <w:t>☐</w:t>
      </w:r>
      <w:r>
        <w:rPr>
          <w:rFonts w:ascii="Arial" w:cs="Arial" w:eastAsia="Arial" w:hAnsi="Arial"/>
          <w:sz w:val="14"/>
          <w:szCs w:val="14"/>
          <w:color w:val="auto"/>
        </w:rPr>
        <w:t xml:space="preserve"> No </w:t>
      </w:r>
      <w:r>
        <w:rPr>
          <w:rFonts w:ascii="MS PGothic" w:cs="MS PGothic" w:eastAsia="MS PGothic" w:hAnsi="MS PGothic"/>
          <w:sz w:val="14"/>
          <w:szCs w:val="14"/>
          <w:color w:val="auto"/>
        </w:rPr>
        <w:t>☒</w:t>
      </w:r>
    </w:p>
    <w:p>
      <w:pPr>
        <w:spacing w:after="0" w:line="190" w:lineRule="exact"/>
        <w:rPr>
          <w:sz w:val="24"/>
          <w:szCs w:val="24"/>
          <w:color w:val="auto"/>
        </w:rPr>
      </w:pPr>
    </w:p>
    <w:p>
      <w:pPr>
        <w:ind w:left="480"/>
        <w:spacing w:after="0"/>
        <w:rPr>
          <w:sz w:val="20"/>
          <w:szCs w:val="20"/>
          <w:color w:val="auto"/>
        </w:rPr>
      </w:pPr>
      <w:r>
        <w:rPr>
          <w:rFonts w:ascii="Arial" w:cs="Arial" w:eastAsia="Arial" w:hAnsi="Arial"/>
          <w:sz w:val="14"/>
          <w:szCs w:val="14"/>
          <w:color w:val="auto"/>
        </w:rPr>
        <w:t>The number of shares of the registrant’s common stock, $0.001 par value per share, outstanding as of August 7, 2017 was 71,060,836.</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106680</wp:posOffset>
            </wp:positionV>
            <wp:extent cx="713232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424180</wp:posOffset>
            </wp:positionV>
            <wp:extent cx="7149465" cy="171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306" w:right="339" w:bottom="1440" w:gutter="0" w:footer="0" w:header="0"/>
        </w:sectPr>
      </w:pPr>
    </w:p>
    <w:bookmarkStart w:id="1" w:name="page2"/>
    <w:bookmarkEnd w:id="1"/>
    <w:p>
      <w:pPr>
        <w:jc w:val="center"/>
        <w:ind w:left="460"/>
        <w:spacing w:after="0"/>
        <w:rPr>
          <w:sz w:val="20"/>
          <w:szCs w:val="20"/>
          <w:color w:val="auto"/>
        </w:rPr>
      </w:pPr>
      <w:r>
        <w:rPr>
          <w:rFonts w:ascii="Arial" w:cs="Arial" w:eastAsia="Arial" w:hAnsi="Arial"/>
          <w:sz w:val="14"/>
          <w:szCs w:val="14"/>
          <w:b w:val="1"/>
          <w:bCs w:val="1"/>
          <w:color w:val="auto"/>
        </w:rPr>
        <w:t>PENNANTPARK INVESTMENT CORPORATION</w:t>
      </w:r>
    </w:p>
    <w:p>
      <w:pPr>
        <w:jc w:val="center"/>
        <w:ind w:left="460"/>
        <w:spacing w:after="0" w:line="226" w:lineRule="auto"/>
        <w:rPr>
          <w:sz w:val="20"/>
          <w:szCs w:val="20"/>
          <w:color w:val="auto"/>
        </w:rPr>
      </w:pPr>
      <w:r>
        <w:rPr>
          <w:rFonts w:ascii="Arial" w:cs="Arial" w:eastAsia="Arial" w:hAnsi="Arial"/>
          <w:sz w:val="14"/>
          <w:szCs w:val="14"/>
          <w:b w:val="1"/>
          <w:bCs w:val="1"/>
          <w:color w:val="auto"/>
        </w:rPr>
        <w:t>FORM 10-Q FOR THE QUARTER ENDED JUNE 30, 2017</w:t>
      </w:r>
    </w:p>
    <w:p>
      <w:pPr>
        <w:jc w:val="center"/>
        <w:ind w:left="460"/>
        <w:spacing w:after="0"/>
        <w:rPr>
          <w:sz w:val="20"/>
          <w:szCs w:val="20"/>
          <w:color w:val="auto"/>
        </w:rPr>
      </w:pPr>
      <w:r>
        <w:rPr>
          <w:rFonts w:ascii="Arial" w:cs="Arial" w:eastAsia="Arial" w:hAnsi="Arial"/>
          <w:sz w:val="14"/>
          <w:szCs w:val="14"/>
          <w:b w:val="1"/>
          <w:bCs w:val="1"/>
          <w:color w:val="auto"/>
        </w:rPr>
        <w:t>TABLE OF CONTENTS</w:t>
      </w:r>
    </w:p>
    <w:p>
      <w:pPr>
        <w:spacing w:after="0" w:line="200" w:lineRule="exact"/>
        <w:rPr>
          <w:sz w:val="20"/>
          <w:szCs w:val="20"/>
          <w:color w:val="auto"/>
        </w:rPr>
      </w:pPr>
    </w:p>
    <w:p>
      <w:pPr>
        <w:spacing w:after="0" w:line="217"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9160" w:type="dxa"/>
            <w:vAlign w:val="bottom"/>
          </w:tcPr>
          <w:p>
            <w:pPr>
              <w:ind w:left="3580"/>
              <w:spacing w:after="0"/>
              <w:rPr>
                <w:rFonts w:ascii="Arial" w:cs="Arial" w:eastAsia="Arial" w:hAnsi="Arial"/>
                <w:sz w:val="14"/>
                <w:szCs w:val="14"/>
                <w:b w:val="1"/>
                <w:bCs w:val="1"/>
                <w:u w:val="single" w:color="auto"/>
                <w:color w:val="0000EE"/>
              </w:rPr>
            </w:pPr>
            <w:hyperlink w:anchor="page3">
              <w:r>
                <w:rPr>
                  <w:rFonts w:ascii="Arial" w:cs="Arial" w:eastAsia="Arial" w:hAnsi="Arial"/>
                  <w:sz w:val="14"/>
                  <w:szCs w:val="14"/>
                  <w:b w:val="1"/>
                  <w:bCs w:val="1"/>
                  <w:u w:val="single" w:color="auto"/>
                  <w:color w:val="0000EE"/>
                </w:rPr>
                <w:t>PART I. CONSOLIDATED FINANCIAL INFORMATION</w:t>
              </w:r>
            </w:hyperlink>
          </w:p>
        </w:tc>
        <w:tc>
          <w:tcPr>
            <w:tcW w:w="2100" w:type="dxa"/>
            <w:vAlign w:val="bottom"/>
          </w:tcPr>
          <w:p>
            <w:pPr>
              <w:spacing w:after="0"/>
              <w:rPr>
                <w:sz w:val="16"/>
                <w:szCs w:val="16"/>
                <w:color w:val="auto"/>
              </w:rPr>
            </w:pPr>
          </w:p>
        </w:tc>
      </w:tr>
      <w:tr>
        <w:trPr>
          <w:trHeight w:val="297"/>
        </w:trPr>
        <w:tc>
          <w:tcPr>
            <w:tcW w:w="9160" w:type="dxa"/>
            <w:vAlign w:val="bottom"/>
          </w:tcPr>
          <w:p>
            <w:pPr>
              <w:spacing w:after="0"/>
              <w:rPr>
                <w:rFonts w:ascii="Arial" w:cs="Arial" w:eastAsia="Arial" w:hAnsi="Arial"/>
                <w:sz w:val="14"/>
                <w:szCs w:val="14"/>
                <w:b w:val="1"/>
                <w:bCs w:val="1"/>
                <w:u w:val="single" w:color="auto"/>
                <w:color w:val="0000EE"/>
              </w:rPr>
            </w:pPr>
            <w:hyperlink w:anchor="page4">
              <w:r>
                <w:rPr>
                  <w:rFonts w:ascii="Arial" w:cs="Arial" w:eastAsia="Arial" w:hAnsi="Arial"/>
                  <w:sz w:val="14"/>
                  <w:szCs w:val="14"/>
                  <w:b w:val="1"/>
                  <w:bCs w:val="1"/>
                  <w:u w:val="single" w:color="auto"/>
                  <w:color w:val="0000EE"/>
                </w:rPr>
                <w:t>Item 1. Consolidated Financial Statements</w:t>
              </w:r>
            </w:hyperlink>
          </w:p>
        </w:tc>
        <w:tc>
          <w:tcPr>
            <w:tcW w:w="2100" w:type="dxa"/>
            <w:vAlign w:val="bottom"/>
          </w:tcPr>
          <w:p>
            <w:pPr>
              <w:spacing w:after="0"/>
              <w:rPr>
                <w:sz w:val="24"/>
                <w:szCs w:val="24"/>
                <w:color w:val="auto"/>
              </w:rPr>
            </w:pPr>
          </w:p>
        </w:tc>
      </w:tr>
      <w:tr>
        <w:trPr>
          <w:trHeight w:val="338"/>
        </w:trPr>
        <w:tc>
          <w:tcPr>
            <w:tcW w:w="9160" w:type="dxa"/>
            <w:vAlign w:val="bottom"/>
          </w:tcPr>
          <w:p>
            <w:pPr>
              <w:ind w:left="360"/>
              <w:spacing w:after="0"/>
              <w:rPr>
                <w:rFonts w:ascii="Arial" w:cs="Arial" w:eastAsia="Arial" w:hAnsi="Arial"/>
                <w:sz w:val="14"/>
                <w:szCs w:val="14"/>
                <w:u w:val="single" w:color="auto"/>
                <w:color w:val="0000EE"/>
              </w:rPr>
            </w:pPr>
            <w:hyperlink w:anchor="page4">
              <w:r>
                <w:rPr>
                  <w:rFonts w:ascii="Arial" w:cs="Arial" w:eastAsia="Arial" w:hAnsi="Arial"/>
                  <w:sz w:val="14"/>
                  <w:szCs w:val="14"/>
                  <w:u w:val="single" w:color="auto"/>
                  <w:color w:val="0000EE"/>
                </w:rPr>
                <w:t>Consolidated Statements of Assets and Liabilities as of June 30, 2017 (unaudited) and September 30, 2016</w:t>
              </w:r>
            </w:hyperlink>
          </w:p>
        </w:tc>
        <w:tc>
          <w:tcPr>
            <w:tcW w:w="2100" w:type="dxa"/>
            <w:vAlign w:val="bottom"/>
          </w:tcPr>
          <w:p>
            <w:pPr>
              <w:jc w:val="right"/>
              <w:spacing w:after="0"/>
              <w:rPr>
                <w:sz w:val="20"/>
                <w:szCs w:val="20"/>
                <w:color w:val="auto"/>
              </w:rPr>
            </w:pPr>
            <w:r>
              <w:rPr>
                <w:rFonts w:ascii="Arial" w:cs="Arial" w:eastAsia="Arial" w:hAnsi="Arial"/>
                <w:sz w:val="14"/>
                <w:szCs w:val="14"/>
                <w:color w:val="auto"/>
              </w:rPr>
              <w:t>4</w:t>
            </w:r>
          </w:p>
        </w:tc>
      </w:tr>
      <w:tr>
        <w:trPr>
          <w:trHeight w:val="338"/>
        </w:trPr>
        <w:tc>
          <w:tcPr>
            <w:tcW w:w="9160" w:type="dxa"/>
            <w:vAlign w:val="bottom"/>
          </w:tcPr>
          <w:p>
            <w:pPr>
              <w:ind w:left="360"/>
              <w:spacing w:after="0"/>
              <w:rPr>
                <w:rFonts w:ascii="Arial" w:cs="Arial" w:eastAsia="Arial" w:hAnsi="Arial"/>
                <w:sz w:val="14"/>
                <w:szCs w:val="14"/>
                <w:u w:val="single" w:color="auto"/>
                <w:color w:val="0000EE"/>
              </w:rPr>
            </w:pPr>
            <w:hyperlink w:anchor="page5">
              <w:r>
                <w:rPr>
                  <w:rFonts w:ascii="Arial" w:cs="Arial" w:eastAsia="Arial" w:hAnsi="Arial"/>
                  <w:sz w:val="14"/>
                  <w:szCs w:val="14"/>
                  <w:u w:val="single" w:color="auto"/>
                  <w:color w:val="0000EE"/>
                </w:rPr>
                <w:t>Consolidated Statements of Operations for the three and nine months ended June 30, 2017 and 2016 (unaudited)</w:t>
              </w:r>
            </w:hyperlink>
          </w:p>
        </w:tc>
        <w:tc>
          <w:tcPr>
            <w:tcW w:w="2100" w:type="dxa"/>
            <w:vAlign w:val="bottom"/>
          </w:tcPr>
          <w:p>
            <w:pPr>
              <w:jc w:val="right"/>
              <w:spacing w:after="0"/>
              <w:rPr>
                <w:sz w:val="20"/>
                <w:szCs w:val="20"/>
                <w:color w:val="auto"/>
              </w:rPr>
            </w:pPr>
            <w:r>
              <w:rPr>
                <w:rFonts w:ascii="Arial" w:cs="Arial" w:eastAsia="Arial" w:hAnsi="Arial"/>
                <w:sz w:val="14"/>
                <w:szCs w:val="14"/>
                <w:color w:val="auto"/>
              </w:rPr>
              <w:t>5</w:t>
            </w:r>
          </w:p>
        </w:tc>
      </w:tr>
      <w:tr>
        <w:trPr>
          <w:trHeight w:val="338"/>
        </w:trPr>
        <w:tc>
          <w:tcPr>
            <w:tcW w:w="9160" w:type="dxa"/>
            <w:vAlign w:val="bottom"/>
          </w:tcPr>
          <w:p>
            <w:pPr>
              <w:ind w:left="360"/>
              <w:spacing w:after="0"/>
              <w:rPr>
                <w:rFonts w:ascii="Arial" w:cs="Arial" w:eastAsia="Arial" w:hAnsi="Arial"/>
                <w:sz w:val="14"/>
                <w:szCs w:val="14"/>
                <w:u w:val="single" w:color="auto"/>
                <w:color w:val="0000EE"/>
              </w:rPr>
            </w:pPr>
            <w:hyperlink w:anchor="page6">
              <w:r>
                <w:rPr>
                  <w:rFonts w:ascii="Arial" w:cs="Arial" w:eastAsia="Arial" w:hAnsi="Arial"/>
                  <w:sz w:val="14"/>
                  <w:szCs w:val="14"/>
                  <w:u w:val="single" w:color="auto"/>
                  <w:color w:val="0000EE"/>
                </w:rPr>
                <w:t>Consolidated Statements of Changes in Net Assets for the nine months ended June 30, 2017 and 2016 (unaudited)</w:t>
              </w:r>
            </w:hyperlink>
          </w:p>
        </w:tc>
        <w:tc>
          <w:tcPr>
            <w:tcW w:w="2100" w:type="dxa"/>
            <w:vAlign w:val="bottom"/>
          </w:tcPr>
          <w:p>
            <w:pPr>
              <w:jc w:val="right"/>
              <w:spacing w:after="0"/>
              <w:rPr>
                <w:sz w:val="20"/>
                <w:szCs w:val="20"/>
                <w:color w:val="auto"/>
              </w:rPr>
            </w:pPr>
            <w:r>
              <w:rPr>
                <w:rFonts w:ascii="Arial" w:cs="Arial" w:eastAsia="Arial" w:hAnsi="Arial"/>
                <w:sz w:val="14"/>
                <w:szCs w:val="14"/>
                <w:color w:val="auto"/>
              </w:rPr>
              <w:t>6</w:t>
            </w:r>
          </w:p>
        </w:tc>
      </w:tr>
      <w:tr>
        <w:trPr>
          <w:trHeight w:val="338"/>
        </w:trPr>
        <w:tc>
          <w:tcPr>
            <w:tcW w:w="9160" w:type="dxa"/>
            <w:vAlign w:val="bottom"/>
          </w:tcPr>
          <w:p>
            <w:pPr>
              <w:ind w:left="360"/>
              <w:spacing w:after="0"/>
              <w:rPr>
                <w:rFonts w:ascii="Arial" w:cs="Arial" w:eastAsia="Arial" w:hAnsi="Arial"/>
                <w:sz w:val="14"/>
                <w:szCs w:val="14"/>
                <w:u w:val="single" w:color="auto"/>
                <w:color w:val="0000EE"/>
              </w:rPr>
            </w:pPr>
            <w:hyperlink w:anchor="page7">
              <w:r>
                <w:rPr>
                  <w:rFonts w:ascii="Arial" w:cs="Arial" w:eastAsia="Arial" w:hAnsi="Arial"/>
                  <w:sz w:val="14"/>
                  <w:szCs w:val="14"/>
                  <w:u w:val="single" w:color="auto"/>
                  <w:color w:val="0000EE"/>
                </w:rPr>
                <w:t>Consolidated Statements of Cash Flows for the nine months ended June 30, 2017 and 2016 (unaudited)</w:t>
              </w:r>
            </w:hyperlink>
          </w:p>
        </w:tc>
        <w:tc>
          <w:tcPr>
            <w:tcW w:w="2100" w:type="dxa"/>
            <w:vAlign w:val="bottom"/>
          </w:tcPr>
          <w:p>
            <w:pPr>
              <w:jc w:val="right"/>
              <w:spacing w:after="0"/>
              <w:rPr>
                <w:sz w:val="20"/>
                <w:szCs w:val="20"/>
                <w:color w:val="auto"/>
              </w:rPr>
            </w:pPr>
            <w:r>
              <w:rPr>
                <w:rFonts w:ascii="Arial" w:cs="Arial" w:eastAsia="Arial" w:hAnsi="Arial"/>
                <w:sz w:val="14"/>
                <w:szCs w:val="14"/>
                <w:color w:val="auto"/>
              </w:rPr>
              <w:t>7</w:t>
            </w:r>
          </w:p>
        </w:tc>
      </w:tr>
      <w:tr>
        <w:trPr>
          <w:trHeight w:val="338"/>
        </w:trPr>
        <w:tc>
          <w:tcPr>
            <w:tcW w:w="9160" w:type="dxa"/>
            <w:vAlign w:val="bottom"/>
          </w:tcPr>
          <w:p>
            <w:pPr>
              <w:ind w:left="360"/>
              <w:spacing w:after="0"/>
              <w:rPr>
                <w:rFonts w:ascii="Arial" w:cs="Arial" w:eastAsia="Arial" w:hAnsi="Arial"/>
                <w:sz w:val="14"/>
                <w:szCs w:val="14"/>
                <w:u w:val="single" w:color="auto"/>
                <w:color w:val="0000EE"/>
              </w:rPr>
            </w:pPr>
            <w:hyperlink w:anchor="page8">
              <w:r>
                <w:rPr>
                  <w:rFonts w:ascii="Arial" w:cs="Arial" w:eastAsia="Arial" w:hAnsi="Arial"/>
                  <w:sz w:val="14"/>
                  <w:szCs w:val="14"/>
                  <w:u w:val="single" w:color="auto"/>
                  <w:color w:val="0000EE"/>
                </w:rPr>
                <w:t>Consolidated Schedules of Investments as of June 30, 2017 (unaudited) and September 30, 2016</w:t>
              </w:r>
            </w:hyperlink>
          </w:p>
        </w:tc>
        <w:tc>
          <w:tcPr>
            <w:tcW w:w="2100" w:type="dxa"/>
            <w:vAlign w:val="bottom"/>
          </w:tcPr>
          <w:p>
            <w:pPr>
              <w:jc w:val="right"/>
              <w:spacing w:after="0"/>
              <w:rPr>
                <w:sz w:val="20"/>
                <w:szCs w:val="20"/>
                <w:color w:val="auto"/>
              </w:rPr>
            </w:pPr>
            <w:r>
              <w:rPr>
                <w:rFonts w:ascii="Arial" w:cs="Arial" w:eastAsia="Arial" w:hAnsi="Arial"/>
                <w:sz w:val="14"/>
                <w:szCs w:val="14"/>
                <w:color w:val="auto"/>
              </w:rPr>
              <w:t>8</w:t>
            </w:r>
          </w:p>
        </w:tc>
      </w:tr>
      <w:tr>
        <w:trPr>
          <w:trHeight w:val="338"/>
        </w:trPr>
        <w:tc>
          <w:tcPr>
            <w:tcW w:w="9160" w:type="dxa"/>
            <w:vAlign w:val="bottom"/>
          </w:tcPr>
          <w:p>
            <w:pPr>
              <w:ind w:left="360"/>
              <w:spacing w:after="0"/>
              <w:rPr>
                <w:rFonts w:ascii="Arial" w:cs="Arial" w:eastAsia="Arial" w:hAnsi="Arial"/>
                <w:sz w:val="14"/>
                <w:szCs w:val="14"/>
                <w:u w:val="single" w:color="auto"/>
                <w:color w:val="0000EE"/>
              </w:rPr>
            </w:pPr>
            <w:hyperlink w:anchor="page14">
              <w:r>
                <w:rPr>
                  <w:rFonts w:ascii="Arial" w:cs="Arial" w:eastAsia="Arial" w:hAnsi="Arial"/>
                  <w:sz w:val="14"/>
                  <w:szCs w:val="14"/>
                  <w:u w:val="single" w:color="auto"/>
                  <w:color w:val="0000EE"/>
                </w:rPr>
                <w:t>Notes to Consolidated Financial Statements (unaudited)</w:t>
              </w:r>
            </w:hyperlink>
          </w:p>
        </w:tc>
        <w:tc>
          <w:tcPr>
            <w:tcW w:w="2100" w:type="dxa"/>
            <w:vAlign w:val="bottom"/>
          </w:tcPr>
          <w:p>
            <w:pPr>
              <w:jc w:val="right"/>
              <w:spacing w:after="0"/>
              <w:rPr>
                <w:sz w:val="20"/>
                <w:szCs w:val="20"/>
                <w:color w:val="auto"/>
              </w:rPr>
            </w:pPr>
            <w:r>
              <w:rPr>
                <w:rFonts w:ascii="Arial" w:cs="Arial" w:eastAsia="Arial" w:hAnsi="Arial"/>
                <w:sz w:val="14"/>
                <w:szCs w:val="14"/>
                <w:color w:val="auto"/>
              </w:rPr>
              <w:t>14</w:t>
            </w:r>
          </w:p>
        </w:tc>
      </w:tr>
      <w:tr>
        <w:trPr>
          <w:trHeight w:val="338"/>
        </w:trPr>
        <w:tc>
          <w:tcPr>
            <w:tcW w:w="9160" w:type="dxa"/>
            <w:vAlign w:val="bottom"/>
          </w:tcPr>
          <w:p>
            <w:pPr>
              <w:ind w:left="360"/>
              <w:spacing w:after="0"/>
              <w:rPr>
                <w:rFonts w:ascii="Arial" w:cs="Arial" w:eastAsia="Arial" w:hAnsi="Arial"/>
                <w:sz w:val="14"/>
                <w:szCs w:val="14"/>
                <w:u w:val="single" w:color="auto"/>
                <w:color w:val="0000EE"/>
              </w:rPr>
            </w:pPr>
            <w:hyperlink w:anchor="page25">
              <w:r>
                <w:rPr>
                  <w:rFonts w:ascii="Arial" w:cs="Arial" w:eastAsia="Arial" w:hAnsi="Arial"/>
                  <w:sz w:val="14"/>
                  <w:szCs w:val="14"/>
                  <w:u w:val="single" w:color="auto"/>
                  <w:color w:val="0000EE"/>
                </w:rPr>
                <w:t>Report of Independent Registered Public Accounting Firm</w:t>
              </w:r>
            </w:hyperlink>
          </w:p>
        </w:tc>
        <w:tc>
          <w:tcPr>
            <w:tcW w:w="2100" w:type="dxa"/>
            <w:vAlign w:val="bottom"/>
          </w:tcPr>
          <w:p>
            <w:pPr>
              <w:jc w:val="right"/>
              <w:spacing w:after="0"/>
              <w:rPr>
                <w:sz w:val="20"/>
                <w:szCs w:val="20"/>
                <w:color w:val="auto"/>
              </w:rPr>
            </w:pPr>
            <w:r>
              <w:rPr>
                <w:rFonts w:ascii="Arial" w:cs="Arial" w:eastAsia="Arial" w:hAnsi="Arial"/>
                <w:sz w:val="14"/>
                <w:szCs w:val="14"/>
                <w:color w:val="auto"/>
              </w:rPr>
              <w:t>25</w:t>
            </w:r>
          </w:p>
        </w:tc>
      </w:tr>
      <w:tr>
        <w:trPr>
          <w:trHeight w:val="338"/>
        </w:trPr>
        <w:tc>
          <w:tcPr>
            <w:tcW w:w="9160" w:type="dxa"/>
            <w:vAlign w:val="bottom"/>
          </w:tcPr>
          <w:p>
            <w:pPr>
              <w:spacing w:after="0"/>
              <w:rPr>
                <w:rFonts w:ascii="Arial" w:cs="Arial" w:eastAsia="Arial" w:hAnsi="Arial"/>
                <w:sz w:val="14"/>
                <w:szCs w:val="14"/>
                <w:b w:val="1"/>
                <w:bCs w:val="1"/>
                <w:u w:val="single" w:color="auto"/>
                <w:color w:val="0000EE"/>
              </w:rPr>
            </w:pPr>
            <w:hyperlink w:anchor="page26">
              <w:r>
                <w:rPr>
                  <w:rFonts w:ascii="Arial" w:cs="Arial" w:eastAsia="Arial" w:hAnsi="Arial"/>
                  <w:sz w:val="14"/>
                  <w:szCs w:val="14"/>
                  <w:b w:val="1"/>
                  <w:bCs w:val="1"/>
                  <w:u w:val="single" w:color="auto"/>
                  <w:color w:val="0000EE"/>
                </w:rPr>
                <w:t>Item 2. Management’s Discussion and Analysis of Financial Condition and Results of Operations</w:t>
              </w:r>
            </w:hyperlink>
          </w:p>
        </w:tc>
        <w:tc>
          <w:tcPr>
            <w:tcW w:w="2100" w:type="dxa"/>
            <w:vAlign w:val="bottom"/>
          </w:tcPr>
          <w:p>
            <w:pPr>
              <w:jc w:val="right"/>
              <w:spacing w:after="0"/>
              <w:rPr>
                <w:sz w:val="20"/>
                <w:szCs w:val="20"/>
                <w:color w:val="auto"/>
              </w:rPr>
            </w:pPr>
            <w:r>
              <w:rPr>
                <w:rFonts w:ascii="Arial" w:cs="Arial" w:eastAsia="Arial" w:hAnsi="Arial"/>
                <w:sz w:val="14"/>
                <w:szCs w:val="14"/>
                <w:color w:val="auto"/>
              </w:rPr>
              <w:t>26</w:t>
            </w:r>
          </w:p>
        </w:tc>
      </w:tr>
      <w:tr>
        <w:trPr>
          <w:trHeight w:val="338"/>
        </w:trPr>
        <w:tc>
          <w:tcPr>
            <w:tcW w:w="9160" w:type="dxa"/>
            <w:vAlign w:val="bottom"/>
          </w:tcPr>
          <w:p>
            <w:pPr>
              <w:spacing w:after="0"/>
              <w:rPr>
                <w:rFonts w:ascii="Arial" w:cs="Arial" w:eastAsia="Arial" w:hAnsi="Arial"/>
                <w:sz w:val="14"/>
                <w:szCs w:val="14"/>
                <w:b w:val="1"/>
                <w:bCs w:val="1"/>
                <w:u w:val="single" w:color="auto"/>
                <w:color w:val="0000EE"/>
              </w:rPr>
            </w:pPr>
            <w:hyperlink w:anchor="page33">
              <w:r>
                <w:rPr>
                  <w:rFonts w:ascii="Arial" w:cs="Arial" w:eastAsia="Arial" w:hAnsi="Arial"/>
                  <w:sz w:val="14"/>
                  <w:szCs w:val="14"/>
                  <w:b w:val="1"/>
                  <w:bCs w:val="1"/>
                  <w:u w:val="single" w:color="auto"/>
                  <w:color w:val="0000EE"/>
                </w:rPr>
                <w:t>Item 3. Quantitative and Qualitative Disclosures About Market Risk</w:t>
              </w:r>
            </w:hyperlink>
          </w:p>
        </w:tc>
        <w:tc>
          <w:tcPr>
            <w:tcW w:w="2100" w:type="dxa"/>
            <w:vAlign w:val="bottom"/>
          </w:tcPr>
          <w:p>
            <w:pPr>
              <w:jc w:val="right"/>
              <w:spacing w:after="0"/>
              <w:rPr>
                <w:sz w:val="20"/>
                <w:szCs w:val="20"/>
                <w:color w:val="auto"/>
              </w:rPr>
            </w:pPr>
            <w:r>
              <w:rPr>
                <w:rFonts w:ascii="Arial" w:cs="Arial" w:eastAsia="Arial" w:hAnsi="Arial"/>
                <w:sz w:val="14"/>
                <w:szCs w:val="14"/>
                <w:color w:val="auto"/>
              </w:rPr>
              <w:t>33</w:t>
            </w:r>
          </w:p>
        </w:tc>
      </w:tr>
      <w:tr>
        <w:trPr>
          <w:trHeight w:val="338"/>
        </w:trPr>
        <w:tc>
          <w:tcPr>
            <w:tcW w:w="9160" w:type="dxa"/>
            <w:vAlign w:val="bottom"/>
          </w:tcPr>
          <w:p>
            <w:pPr>
              <w:spacing w:after="0"/>
              <w:rPr>
                <w:rFonts w:ascii="Arial" w:cs="Arial" w:eastAsia="Arial" w:hAnsi="Arial"/>
                <w:sz w:val="14"/>
                <w:szCs w:val="14"/>
                <w:b w:val="1"/>
                <w:bCs w:val="1"/>
                <w:u w:val="single" w:color="auto"/>
                <w:color w:val="0000EE"/>
              </w:rPr>
            </w:pPr>
            <w:hyperlink w:anchor="page33">
              <w:r>
                <w:rPr>
                  <w:rFonts w:ascii="Arial" w:cs="Arial" w:eastAsia="Arial" w:hAnsi="Arial"/>
                  <w:sz w:val="14"/>
                  <w:szCs w:val="14"/>
                  <w:b w:val="1"/>
                  <w:bCs w:val="1"/>
                  <w:u w:val="single" w:color="auto"/>
                  <w:color w:val="0000EE"/>
                </w:rPr>
                <w:t>Item 4. Controls and Procedures</w:t>
              </w:r>
            </w:hyperlink>
          </w:p>
        </w:tc>
        <w:tc>
          <w:tcPr>
            <w:tcW w:w="2100" w:type="dxa"/>
            <w:vAlign w:val="bottom"/>
          </w:tcPr>
          <w:p>
            <w:pPr>
              <w:jc w:val="right"/>
              <w:spacing w:after="0"/>
              <w:rPr>
                <w:sz w:val="20"/>
                <w:szCs w:val="20"/>
                <w:color w:val="auto"/>
              </w:rPr>
            </w:pPr>
            <w:r>
              <w:rPr>
                <w:rFonts w:ascii="Arial" w:cs="Arial" w:eastAsia="Arial" w:hAnsi="Arial"/>
                <w:sz w:val="14"/>
                <w:szCs w:val="14"/>
                <w:color w:val="auto"/>
              </w:rPr>
              <w:t>33</w:t>
            </w:r>
          </w:p>
        </w:tc>
      </w:tr>
      <w:tr>
        <w:trPr>
          <w:trHeight w:val="338"/>
        </w:trPr>
        <w:tc>
          <w:tcPr>
            <w:tcW w:w="9160" w:type="dxa"/>
            <w:vAlign w:val="bottom"/>
          </w:tcPr>
          <w:p>
            <w:pPr>
              <w:ind w:left="4300"/>
              <w:spacing w:after="0"/>
              <w:rPr>
                <w:rFonts w:ascii="Arial" w:cs="Arial" w:eastAsia="Arial" w:hAnsi="Arial"/>
                <w:sz w:val="14"/>
                <w:szCs w:val="14"/>
                <w:b w:val="1"/>
                <w:bCs w:val="1"/>
                <w:u w:val="single" w:color="auto"/>
                <w:color w:val="0000EE"/>
              </w:rPr>
            </w:pPr>
            <w:hyperlink w:anchor="page34">
              <w:r>
                <w:rPr>
                  <w:rFonts w:ascii="Arial" w:cs="Arial" w:eastAsia="Arial" w:hAnsi="Arial"/>
                  <w:sz w:val="14"/>
                  <w:szCs w:val="14"/>
                  <w:b w:val="1"/>
                  <w:bCs w:val="1"/>
                  <w:u w:val="single" w:color="auto"/>
                  <w:color w:val="0000EE"/>
                </w:rPr>
                <w:t>PART II. OTHER INFORMATION</w:t>
              </w:r>
            </w:hyperlink>
          </w:p>
        </w:tc>
        <w:tc>
          <w:tcPr>
            <w:tcW w:w="2100" w:type="dxa"/>
            <w:vAlign w:val="bottom"/>
          </w:tcPr>
          <w:p>
            <w:pPr>
              <w:spacing w:after="0"/>
              <w:rPr>
                <w:sz w:val="24"/>
                <w:szCs w:val="24"/>
                <w:color w:val="auto"/>
              </w:rPr>
            </w:pPr>
          </w:p>
        </w:tc>
      </w:tr>
      <w:tr>
        <w:trPr>
          <w:trHeight w:val="337"/>
        </w:trPr>
        <w:tc>
          <w:tcPr>
            <w:tcW w:w="9160" w:type="dxa"/>
            <w:vAlign w:val="bottom"/>
          </w:tcPr>
          <w:p>
            <w:pPr>
              <w:spacing w:after="0"/>
              <w:rPr>
                <w:rFonts w:ascii="Arial" w:cs="Arial" w:eastAsia="Arial" w:hAnsi="Arial"/>
                <w:sz w:val="14"/>
                <w:szCs w:val="14"/>
                <w:b w:val="1"/>
                <w:bCs w:val="1"/>
                <w:u w:val="single" w:color="auto"/>
                <w:color w:val="0000EE"/>
              </w:rPr>
            </w:pPr>
            <w:hyperlink w:anchor="page34">
              <w:r>
                <w:rPr>
                  <w:rFonts w:ascii="Arial" w:cs="Arial" w:eastAsia="Arial" w:hAnsi="Arial"/>
                  <w:sz w:val="14"/>
                  <w:szCs w:val="14"/>
                  <w:b w:val="1"/>
                  <w:bCs w:val="1"/>
                  <w:u w:val="single" w:color="auto"/>
                  <w:color w:val="0000EE"/>
                </w:rPr>
                <w:t>Item 1. Legal Proceedings</w:t>
              </w:r>
            </w:hyperlink>
          </w:p>
        </w:tc>
        <w:tc>
          <w:tcPr>
            <w:tcW w:w="2100" w:type="dxa"/>
            <w:vAlign w:val="bottom"/>
          </w:tcPr>
          <w:p>
            <w:pPr>
              <w:jc w:val="right"/>
              <w:spacing w:after="0"/>
              <w:rPr>
                <w:sz w:val="20"/>
                <w:szCs w:val="20"/>
                <w:color w:val="auto"/>
              </w:rPr>
            </w:pPr>
            <w:r>
              <w:rPr>
                <w:rFonts w:ascii="Arial" w:cs="Arial" w:eastAsia="Arial" w:hAnsi="Arial"/>
                <w:sz w:val="14"/>
                <w:szCs w:val="14"/>
                <w:color w:val="auto"/>
              </w:rPr>
              <w:t>34</w:t>
            </w:r>
          </w:p>
        </w:tc>
      </w:tr>
      <w:tr>
        <w:trPr>
          <w:trHeight w:val="338"/>
        </w:trPr>
        <w:tc>
          <w:tcPr>
            <w:tcW w:w="9160" w:type="dxa"/>
            <w:vAlign w:val="bottom"/>
          </w:tcPr>
          <w:p>
            <w:pPr>
              <w:spacing w:after="0"/>
              <w:rPr>
                <w:rFonts w:ascii="Arial" w:cs="Arial" w:eastAsia="Arial" w:hAnsi="Arial"/>
                <w:sz w:val="14"/>
                <w:szCs w:val="14"/>
                <w:b w:val="1"/>
                <w:bCs w:val="1"/>
                <w:u w:val="single" w:color="auto"/>
                <w:color w:val="0000EE"/>
              </w:rPr>
            </w:pPr>
            <w:hyperlink w:anchor="page34">
              <w:r>
                <w:rPr>
                  <w:rFonts w:ascii="Arial" w:cs="Arial" w:eastAsia="Arial" w:hAnsi="Arial"/>
                  <w:sz w:val="14"/>
                  <w:szCs w:val="14"/>
                  <w:b w:val="1"/>
                  <w:bCs w:val="1"/>
                  <w:u w:val="single" w:color="auto"/>
                  <w:color w:val="0000EE"/>
                </w:rPr>
                <w:t>Item 1A. Risk Factors</w:t>
              </w:r>
            </w:hyperlink>
          </w:p>
        </w:tc>
        <w:tc>
          <w:tcPr>
            <w:tcW w:w="2100" w:type="dxa"/>
            <w:vAlign w:val="bottom"/>
          </w:tcPr>
          <w:p>
            <w:pPr>
              <w:jc w:val="right"/>
              <w:spacing w:after="0"/>
              <w:rPr>
                <w:sz w:val="20"/>
                <w:szCs w:val="20"/>
                <w:color w:val="auto"/>
              </w:rPr>
            </w:pPr>
            <w:r>
              <w:rPr>
                <w:rFonts w:ascii="Arial" w:cs="Arial" w:eastAsia="Arial" w:hAnsi="Arial"/>
                <w:sz w:val="14"/>
                <w:szCs w:val="14"/>
                <w:color w:val="auto"/>
              </w:rPr>
              <w:t>34</w:t>
            </w:r>
          </w:p>
        </w:tc>
      </w:tr>
      <w:tr>
        <w:trPr>
          <w:trHeight w:val="338"/>
        </w:trPr>
        <w:tc>
          <w:tcPr>
            <w:tcW w:w="9160" w:type="dxa"/>
            <w:vAlign w:val="bottom"/>
          </w:tcPr>
          <w:p>
            <w:pPr>
              <w:spacing w:after="0"/>
              <w:rPr>
                <w:rFonts w:ascii="Arial" w:cs="Arial" w:eastAsia="Arial" w:hAnsi="Arial"/>
                <w:sz w:val="14"/>
                <w:szCs w:val="14"/>
                <w:b w:val="1"/>
                <w:bCs w:val="1"/>
                <w:u w:val="single" w:color="auto"/>
                <w:color w:val="0000EE"/>
              </w:rPr>
            </w:pPr>
            <w:hyperlink w:anchor="page34">
              <w:r>
                <w:rPr>
                  <w:rFonts w:ascii="Arial" w:cs="Arial" w:eastAsia="Arial" w:hAnsi="Arial"/>
                  <w:sz w:val="14"/>
                  <w:szCs w:val="14"/>
                  <w:b w:val="1"/>
                  <w:bCs w:val="1"/>
                  <w:u w:val="single" w:color="auto"/>
                  <w:color w:val="0000EE"/>
                </w:rPr>
                <w:t>Item 2. Unregistered Sales of Equity Securities and Use of Proceeds</w:t>
              </w:r>
            </w:hyperlink>
          </w:p>
        </w:tc>
        <w:tc>
          <w:tcPr>
            <w:tcW w:w="2100" w:type="dxa"/>
            <w:vAlign w:val="bottom"/>
          </w:tcPr>
          <w:p>
            <w:pPr>
              <w:jc w:val="right"/>
              <w:spacing w:after="0"/>
              <w:rPr>
                <w:sz w:val="20"/>
                <w:szCs w:val="20"/>
                <w:color w:val="auto"/>
              </w:rPr>
            </w:pPr>
            <w:r>
              <w:rPr>
                <w:rFonts w:ascii="Arial" w:cs="Arial" w:eastAsia="Arial" w:hAnsi="Arial"/>
                <w:sz w:val="14"/>
                <w:szCs w:val="14"/>
                <w:color w:val="auto"/>
              </w:rPr>
              <w:t>34</w:t>
            </w:r>
          </w:p>
        </w:tc>
      </w:tr>
      <w:tr>
        <w:trPr>
          <w:trHeight w:val="338"/>
        </w:trPr>
        <w:tc>
          <w:tcPr>
            <w:tcW w:w="9160" w:type="dxa"/>
            <w:vAlign w:val="bottom"/>
          </w:tcPr>
          <w:p>
            <w:pPr>
              <w:spacing w:after="0"/>
              <w:rPr>
                <w:rFonts w:ascii="Arial" w:cs="Arial" w:eastAsia="Arial" w:hAnsi="Arial"/>
                <w:sz w:val="14"/>
                <w:szCs w:val="14"/>
                <w:b w:val="1"/>
                <w:bCs w:val="1"/>
                <w:u w:val="single" w:color="auto"/>
                <w:color w:val="0000EE"/>
              </w:rPr>
            </w:pPr>
            <w:hyperlink w:anchor="page34">
              <w:r>
                <w:rPr>
                  <w:rFonts w:ascii="Arial" w:cs="Arial" w:eastAsia="Arial" w:hAnsi="Arial"/>
                  <w:sz w:val="14"/>
                  <w:szCs w:val="14"/>
                  <w:b w:val="1"/>
                  <w:bCs w:val="1"/>
                  <w:u w:val="single" w:color="auto"/>
                  <w:color w:val="0000EE"/>
                </w:rPr>
                <w:t>Item 3. Defaults Upon Senior Securities</w:t>
              </w:r>
            </w:hyperlink>
          </w:p>
        </w:tc>
        <w:tc>
          <w:tcPr>
            <w:tcW w:w="2100" w:type="dxa"/>
            <w:vAlign w:val="bottom"/>
          </w:tcPr>
          <w:p>
            <w:pPr>
              <w:jc w:val="right"/>
              <w:spacing w:after="0"/>
              <w:rPr>
                <w:sz w:val="20"/>
                <w:szCs w:val="20"/>
                <w:color w:val="auto"/>
              </w:rPr>
            </w:pPr>
            <w:r>
              <w:rPr>
                <w:rFonts w:ascii="Arial" w:cs="Arial" w:eastAsia="Arial" w:hAnsi="Arial"/>
                <w:sz w:val="14"/>
                <w:szCs w:val="14"/>
                <w:color w:val="auto"/>
              </w:rPr>
              <w:t>34</w:t>
            </w:r>
          </w:p>
        </w:tc>
      </w:tr>
      <w:tr>
        <w:trPr>
          <w:trHeight w:val="338"/>
        </w:trPr>
        <w:tc>
          <w:tcPr>
            <w:tcW w:w="9160" w:type="dxa"/>
            <w:vAlign w:val="bottom"/>
          </w:tcPr>
          <w:p>
            <w:pPr>
              <w:spacing w:after="0"/>
              <w:rPr>
                <w:rFonts w:ascii="Arial" w:cs="Arial" w:eastAsia="Arial" w:hAnsi="Arial"/>
                <w:sz w:val="14"/>
                <w:szCs w:val="14"/>
                <w:b w:val="1"/>
                <w:bCs w:val="1"/>
                <w:u w:val="single" w:color="auto"/>
                <w:color w:val="0000EE"/>
              </w:rPr>
            </w:pPr>
            <w:hyperlink w:anchor="page34">
              <w:r>
                <w:rPr>
                  <w:rFonts w:ascii="Arial" w:cs="Arial" w:eastAsia="Arial" w:hAnsi="Arial"/>
                  <w:sz w:val="14"/>
                  <w:szCs w:val="14"/>
                  <w:b w:val="1"/>
                  <w:bCs w:val="1"/>
                  <w:u w:val="single" w:color="auto"/>
                  <w:color w:val="0000EE"/>
                </w:rPr>
                <w:t>Item 4. Mine Safety Disclosures</w:t>
              </w:r>
            </w:hyperlink>
          </w:p>
        </w:tc>
        <w:tc>
          <w:tcPr>
            <w:tcW w:w="2100" w:type="dxa"/>
            <w:vAlign w:val="bottom"/>
          </w:tcPr>
          <w:p>
            <w:pPr>
              <w:jc w:val="right"/>
              <w:spacing w:after="0"/>
              <w:rPr>
                <w:sz w:val="20"/>
                <w:szCs w:val="20"/>
                <w:color w:val="auto"/>
              </w:rPr>
            </w:pPr>
            <w:r>
              <w:rPr>
                <w:rFonts w:ascii="Arial" w:cs="Arial" w:eastAsia="Arial" w:hAnsi="Arial"/>
                <w:sz w:val="14"/>
                <w:szCs w:val="14"/>
                <w:color w:val="auto"/>
              </w:rPr>
              <w:t>34</w:t>
            </w:r>
          </w:p>
        </w:tc>
      </w:tr>
      <w:tr>
        <w:trPr>
          <w:trHeight w:val="338"/>
        </w:trPr>
        <w:tc>
          <w:tcPr>
            <w:tcW w:w="9160" w:type="dxa"/>
            <w:vAlign w:val="bottom"/>
          </w:tcPr>
          <w:p>
            <w:pPr>
              <w:spacing w:after="0"/>
              <w:rPr>
                <w:rFonts w:ascii="Arial" w:cs="Arial" w:eastAsia="Arial" w:hAnsi="Arial"/>
                <w:sz w:val="14"/>
                <w:szCs w:val="14"/>
                <w:b w:val="1"/>
                <w:bCs w:val="1"/>
                <w:u w:val="single" w:color="auto"/>
                <w:color w:val="0000EE"/>
              </w:rPr>
            </w:pPr>
            <w:hyperlink w:anchor="page34">
              <w:r>
                <w:rPr>
                  <w:rFonts w:ascii="Arial" w:cs="Arial" w:eastAsia="Arial" w:hAnsi="Arial"/>
                  <w:sz w:val="14"/>
                  <w:szCs w:val="14"/>
                  <w:b w:val="1"/>
                  <w:bCs w:val="1"/>
                  <w:u w:val="single" w:color="auto"/>
                  <w:color w:val="0000EE"/>
                </w:rPr>
                <w:t>Item 5. Other Information</w:t>
              </w:r>
            </w:hyperlink>
          </w:p>
        </w:tc>
        <w:tc>
          <w:tcPr>
            <w:tcW w:w="2100" w:type="dxa"/>
            <w:vAlign w:val="bottom"/>
          </w:tcPr>
          <w:p>
            <w:pPr>
              <w:jc w:val="right"/>
              <w:spacing w:after="0"/>
              <w:rPr>
                <w:sz w:val="20"/>
                <w:szCs w:val="20"/>
                <w:color w:val="auto"/>
              </w:rPr>
            </w:pPr>
            <w:r>
              <w:rPr>
                <w:rFonts w:ascii="Arial" w:cs="Arial" w:eastAsia="Arial" w:hAnsi="Arial"/>
                <w:sz w:val="14"/>
                <w:szCs w:val="14"/>
                <w:color w:val="auto"/>
              </w:rPr>
              <w:t>34</w:t>
            </w:r>
          </w:p>
        </w:tc>
      </w:tr>
      <w:tr>
        <w:trPr>
          <w:trHeight w:val="338"/>
        </w:trPr>
        <w:tc>
          <w:tcPr>
            <w:tcW w:w="9160" w:type="dxa"/>
            <w:vAlign w:val="bottom"/>
          </w:tcPr>
          <w:p>
            <w:pPr>
              <w:spacing w:after="0"/>
              <w:rPr>
                <w:rFonts w:ascii="Arial" w:cs="Arial" w:eastAsia="Arial" w:hAnsi="Arial"/>
                <w:sz w:val="14"/>
                <w:szCs w:val="14"/>
                <w:b w:val="1"/>
                <w:bCs w:val="1"/>
                <w:u w:val="single" w:color="auto"/>
                <w:color w:val="0000EE"/>
              </w:rPr>
            </w:pPr>
            <w:hyperlink w:anchor="page35">
              <w:r>
                <w:rPr>
                  <w:rFonts w:ascii="Arial" w:cs="Arial" w:eastAsia="Arial" w:hAnsi="Arial"/>
                  <w:sz w:val="14"/>
                  <w:szCs w:val="14"/>
                  <w:b w:val="1"/>
                  <w:bCs w:val="1"/>
                  <w:u w:val="single" w:color="auto"/>
                  <w:color w:val="0000EE"/>
                </w:rPr>
                <w:t>Item 6. Exhibits</w:t>
              </w:r>
            </w:hyperlink>
          </w:p>
        </w:tc>
        <w:tc>
          <w:tcPr>
            <w:tcW w:w="2100" w:type="dxa"/>
            <w:vAlign w:val="bottom"/>
          </w:tcPr>
          <w:p>
            <w:pPr>
              <w:jc w:val="right"/>
              <w:spacing w:after="0"/>
              <w:rPr>
                <w:sz w:val="20"/>
                <w:szCs w:val="20"/>
                <w:color w:val="auto"/>
              </w:rPr>
            </w:pPr>
            <w:r>
              <w:rPr>
                <w:rFonts w:ascii="Arial" w:cs="Arial" w:eastAsia="Arial" w:hAnsi="Arial"/>
                <w:sz w:val="14"/>
                <w:szCs w:val="14"/>
                <w:color w:val="auto"/>
              </w:rPr>
              <w:t>35</w:t>
            </w:r>
          </w:p>
        </w:tc>
      </w:tr>
      <w:tr>
        <w:trPr>
          <w:trHeight w:val="338"/>
        </w:trPr>
        <w:tc>
          <w:tcPr>
            <w:tcW w:w="9160" w:type="dxa"/>
            <w:vAlign w:val="bottom"/>
          </w:tcPr>
          <w:p>
            <w:pPr>
              <w:spacing w:after="0"/>
              <w:rPr>
                <w:rFonts w:ascii="Arial" w:cs="Arial" w:eastAsia="Arial" w:hAnsi="Arial"/>
                <w:sz w:val="14"/>
                <w:szCs w:val="14"/>
                <w:b w:val="1"/>
                <w:bCs w:val="1"/>
                <w:u w:val="single" w:color="auto"/>
                <w:color w:val="0000EE"/>
              </w:rPr>
            </w:pPr>
            <w:hyperlink w:anchor="page36">
              <w:r>
                <w:rPr>
                  <w:rFonts w:ascii="Arial" w:cs="Arial" w:eastAsia="Arial" w:hAnsi="Arial"/>
                  <w:sz w:val="14"/>
                  <w:szCs w:val="14"/>
                  <w:b w:val="1"/>
                  <w:bCs w:val="1"/>
                  <w:u w:val="single" w:color="auto"/>
                  <w:color w:val="0000EE"/>
                </w:rPr>
                <w:t>SIGNATURES</w:t>
              </w:r>
            </w:hyperlink>
          </w:p>
        </w:tc>
        <w:tc>
          <w:tcPr>
            <w:tcW w:w="2100" w:type="dxa"/>
            <w:vAlign w:val="bottom"/>
          </w:tcPr>
          <w:p>
            <w:pPr>
              <w:jc w:val="right"/>
              <w:spacing w:after="0"/>
              <w:rPr>
                <w:sz w:val="20"/>
                <w:szCs w:val="20"/>
                <w:color w:val="auto"/>
              </w:rPr>
            </w:pPr>
            <w:r>
              <w:rPr>
                <w:rFonts w:ascii="Arial" w:cs="Arial" w:eastAsia="Arial" w:hAnsi="Arial"/>
                <w:sz w:val="14"/>
                <w:szCs w:val="14"/>
                <w:color w:val="auto"/>
              </w:rPr>
              <w:t>36</w:t>
            </w:r>
          </w:p>
        </w:tc>
      </w:tr>
      <w:tr>
        <w:trPr>
          <w:trHeight w:val="661"/>
        </w:trPr>
        <w:tc>
          <w:tcPr>
            <w:tcW w:w="9160" w:type="dxa"/>
            <w:vAlign w:val="bottom"/>
          </w:tcPr>
          <w:p>
            <w:pPr>
              <w:ind w:left="5580"/>
              <w:spacing w:after="0"/>
              <w:rPr>
                <w:sz w:val="20"/>
                <w:szCs w:val="20"/>
                <w:color w:val="auto"/>
              </w:rPr>
            </w:pPr>
            <w:r>
              <w:rPr>
                <w:rFonts w:ascii="Arial" w:cs="Arial" w:eastAsia="Arial" w:hAnsi="Arial"/>
                <w:sz w:val="14"/>
                <w:szCs w:val="14"/>
                <w:color w:val="auto"/>
              </w:rPr>
              <w:t>2</w:t>
            </w:r>
          </w:p>
        </w:tc>
        <w:tc>
          <w:tcPr>
            <w:tcW w:w="2100" w:type="dxa"/>
            <w:vAlign w:val="bottom"/>
          </w:tcPr>
          <w:p>
            <w:pPr>
              <w:spacing w:after="0"/>
              <w:rPr>
                <w:sz w:val="24"/>
                <w:szCs w:val="24"/>
                <w:color w:val="auto"/>
              </w:rPr>
            </w:pPr>
          </w:p>
        </w:tc>
      </w:tr>
      <w:tr>
        <w:trPr>
          <w:trHeight w:val="100"/>
        </w:trPr>
        <w:tc>
          <w:tcPr>
            <w:tcW w:w="9160" w:type="dxa"/>
            <w:vAlign w:val="bottom"/>
            <w:tcBorders>
              <w:bottom w:val="single" w:sz="8" w:color="9A9A9A"/>
            </w:tcBorders>
          </w:tcPr>
          <w:p>
            <w:pPr>
              <w:spacing w:after="0"/>
              <w:rPr>
                <w:sz w:val="8"/>
                <w:szCs w:val="8"/>
                <w:color w:val="auto"/>
              </w:rPr>
            </w:pPr>
          </w:p>
        </w:tc>
        <w:tc>
          <w:tcPr>
            <w:tcW w:w="2100" w:type="dxa"/>
            <w:vAlign w:val="bottom"/>
            <w:tcBorders>
              <w:bottom w:val="single" w:sz="8" w:color="9A9A9A"/>
            </w:tcBorders>
          </w:tcPr>
          <w:p>
            <w:pPr>
              <w:spacing w:after="0"/>
              <w:rPr>
                <w:sz w:val="8"/>
                <w:szCs w:val="8"/>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7145655</wp:posOffset>
            </wp:positionH>
            <wp:positionV relativeFrom="paragraph">
              <wp:posOffset>-8255</wp:posOffset>
            </wp:positionV>
            <wp:extent cx="8255"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-16510</wp:posOffset>
            </wp:positionV>
            <wp:extent cx="8890" cy="171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8890" cy="17145"/>
                    </a:xfrm>
                    <a:prstGeom prst="rect">
                      <a:avLst/>
                    </a:prstGeom>
                    <a:noFill/>
                  </pic:spPr>
                </pic:pic>
              </a:graphicData>
            </a:graphic>
          </wp:anchor>
        </w:drawing>
      </w:r>
    </w:p>
    <w:p>
      <w:pPr>
        <w:sectPr>
          <w:pgSz w:w="11900" w:h="16838" w:orient="portrait"/>
          <w:cols w:equalWidth="0" w:num="1">
            <w:col w:w="11260"/>
          </w:cols>
          <w:pgMar w:left="320" w:top="333" w:right="319" w:bottom="1440" w:gutter="0" w:footer="0" w:header="0"/>
        </w:sectPr>
      </w:pPr>
    </w:p>
    <w:bookmarkStart w:id="2" w:name="page3"/>
    <w:bookmarkEnd w:id="2"/>
    <w:p>
      <w:pPr>
        <w:jc w:val="center"/>
        <w:ind w:right="-19"/>
        <w:spacing w:after="0"/>
        <w:rPr>
          <w:sz w:val="20"/>
          <w:szCs w:val="20"/>
          <w:color w:val="auto"/>
        </w:rPr>
      </w:pPr>
      <w:r>
        <w:rPr>
          <w:rFonts w:ascii="Arial" w:cs="Arial" w:eastAsia="Arial" w:hAnsi="Arial"/>
          <w:sz w:val="14"/>
          <w:szCs w:val="14"/>
          <w:b w:val="1"/>
          <w:bCs w:val="1"/>
          <w:color w:val="auto"/>
        </w:rPr>
        <w:t>PART I—CONSOLIDATED FINANCIAL INFORMATION</w:t>
      </w:r>
    </w:p>
    <w:p>
      <w:pPr>
        <w:spacing w:after="0" w:line="289" w:lineRule="exact"/>
        <w:rPr>
          <w:sz w:val="20"/>
          <w:szCs w:val="20"/>
          <w:color w:val="auto"/>
        </w:rPr>
      </w:pPr>
    </w:p>
    <w:p>
      <w:pPr>
        <w:spacing w:after="0" w:line="243" w:lineRule="auto"/>
        <w:rPr>
          <w:sz w:val="20"/>
          <w:szCs w:val="20"/>
          <w:color w:val="auto"/>
        </w:rPr>
      </w:pPr>
      <w:r>
        <w:rPr>
          <w:rFonts w:ascii="Arial" w:cs="Arial" w:eastAsia="Arial" w:hAnsi="Arial"/>
          <w:sz w:val="13"/>
          <w:szCs w:val="13"/>
          <w:color w:val="auto"/>
        </w:rPr>
        <w:t>We are filing this Quarterly Report on Form 10-Q, or the Report, in compliance with Rule 13a-13 promulgated by the Securities and Exchange Commission, or the SEC. In this Report, “Company,” “we,” “our” or “us” refer to PennantPark Investment Corporation and its consolidated subsidiaries unless the context suggests otherwise. “PennantPark Investment” refers to only PennantPark Investment Corporation; “our SBIC Funds” refers collectively to our consolidated subsidiaries, PennantPark SBIC LP, or SBIC I, and its general partner, PennantPark SBIC GP, LLC, and PennantPark SBIC II LP, or SBIC II, and its general partner, PennantPark SBIC GP II, LLC; “Taxable Subsidiaries” refers to PNNT Cascade Environmental Holdings, LLC, PNNT CI (Galls) Prime Investment Holdings, LLC, PNNT ecoserve, LLC, PNNT Investment Holdings, LLC and PNNT New Gulf Resources, LLC; “PennantPark Investment Advisers” or “Investment Adviser” refers to PennantPark Investment Advisers, LLC; “PennantPark Investment Administration” or “Administrator” refers to PennantPark Investment Administration, LLC; “SBA” refers to the Small Business Administration; “SBIC” refers to a small business investment company under the Small Business Investment Act of 1958, as amended, or the “1958 Act”; “Credit Facility” refers to our multi-currency, senior secured revolving credit facility, as amended and restated; “2025 Notes” refers to our 6.25% notes due 2025; “2019 Notes” refers to our 4.50% notes due 2019; “our Notes” refers, collectively, to our 2025 Notes and our 2019 Notes; “BDC” refers to a business development company under the Investment Company Act of 1940, as amended, or the “1940 Act”; “Code” refers to the Internal Revenue Code of 1986, as amended; and “RIC” refers to a regulated investment company under the Code. References to our portfolio or investments include investments we make through our SBIC Funds and other consolidated subsidiaries.</w:t>
      </w:r>
    </w:p>
    <w:p>
      <w:pPr>
        <w:spacing w:after="0" w:line="200" w:lineRule="exact"/>
        <w:rPr>
          <w:sz w:val="20"/>
          <w:szCs w:val="20"/>
          <w:color w:val="auto"/>
        </w:rPr>
      </w:pPr>
    </w:p>
    <w:p>
      <w:pPr>
        <w:spacing w:after="0" w:line="200" w:lineRule="exact"/>
        <w:rPr>
          <w:sz w:val="20"/>
          <w:szCs w:val="20"/>
          <w:color w:val="auto"/>
        </w:rPr>
      </w:pPr>
    </w:p>
    <w:p>
      <w:pPr>
        <w:spacing w:after="0" w:line="379"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72390</wp:posOffset>
            </wp:positionV>
            <wp:extent cx="7149465" cy="171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20"/>
          </w:cols>
          <w:pgMar w:left="320" w:top="333" w:right="359" w:bottom="1440" w:gutter="0" w:footer="0" w:header="0"/>
        </w:sectPr>
      </w:pPr>
    </w:p>
    <w:bookmarkStart w:id="3" w:name="page4"/>
    <w:bookmarkEnd w:id="3"/>
    <w:tbl>
      <w:tblPr>
        <w:tblLayout w:type="fixed"/>
        <w:tblInd w:w="0" w:type="dxa"/>
        <w:tblCellMar>
          <w:top w:w="0" w:type="dxa"/>
          <w:left w:w="0" w:type="dxa"/>
          <w:bottom w:w="0" w:type="dxa"/>
          <w:right w:w="0" w:type="dxa"/>
        </w:tblCellMar>
      </w:tblPr>
      <w:tr>
        <w:trPr>
          <w:trHeight w:val="186"/>
        </w:trPr>
        <w:tc>
          <w:tcPr>
            <w:tcW w:w="800" w:type="dxa"/>
            <w:vAlign w:val="bottom"/>
          </w:tcPr>
          <w:p>
            <w:pPr>
              <w:spacing w:after="0"/>
              <w:rPr>
                <w:sz w:val="20"/>
                <w:szCs w:val="20"/>
                <w:color w:val="auto"/>
              </w:rPr>
            </w:pPr>
            <w:r>
              <w:rPr>
                <w:rFonts w:ascii="Arial" w:cs="Arial" w:eastAsia="Arial" w:hAnsi="Arial"/>
                <w:sz w:val="14"/>
                <w:szCs w:val="14"/>
                <w:b w:val="1"/>
                <w:bCs w:val="1"/>
                <w:color w:val="auto"/>
              </w:rPr>
              <w:t>Item 1.</w:t>
            </w:r>
          </w:p>
        </w:tc>
        <w:tc>
          <w:tcPr>
            <w:tcW w:w="7020" w:type="dxa"/>
            <w:vAlign w:val="bottom"/>
          </w:tcPr>
          <w:p>
            <w:pPr>
              <w:ind w:left="580"/>
              <w:spacing w:after="0"/>
              <w:rPr>
                <w:sz w:val="20"/>
                <w:szCs w:val="20"/>
                <w:color w:val="auto"/>
              </w:rPr>
            </w:pPr>
            <w:r>
              <w:rPr>
                <w:rFonts w:ascii="Arial" w:cs="Arial" w:eastAsia="Arial" w:hAnsi="Arial"/>
                <w:sz w:val="14"/>
                <w:szCs w:val="14"/>
                <w:b w:val="1"/>
                <w:bCs w:val="1"/>
                <w:color w:val="auto"/>
              </w:rPr>
              <w:t>Consolidated Financial Statements</w:t>
            </w:r>
          </w:p>
        </w:tc>
        <w:tc>
          <w:tcPr>
            <w:tcW w:w="260" w:type="dxa"/>
            <w:vAlign w:val="bottom"/>
          </w:tcPr>
          <w:p>
            <w:pPr>
              <w:spacing w:after="0"/>
              <w:rPr>
                <w:sz w:val="16"/>
                <w:szCs w:val="16"/>
                <w:color w:val="auto"/>
              </w:rPr>
            </w:pPr>
          </w:p>
        </w:tc>
        <w:tc>
          <w:tcPr>
            <w:tcW w:w="12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400" w:type="dxa"/>
            <w:vAlign w:val="bottom"/>
          </w:tcPr>
          <w:p>
            <w:pPr>
              <w:spacing w:after="0"/>
              <w:rPr>
                <w:sz w:val="16"/>
                <w:szCs w:val="16"/>
                <w:color w:val="auto"/>
              </w:rPr>
            </w:pPr>
          </w:p>
        </w:tc>
        <w:tc>
          <w:tcPr>
            <w:tcW w:w="120" w:type="dxa"/>
            <w:vAlign w:val="bottom"/>
          </w:tcPr>
          <w:p>
            <w:pPr>
              <w:spacing w:after="0"/>
              <w:rPr>
                <w:sz w:val="16"/>
                <w:szCs w:val="16"/>
                <w:color w:val="auto"/>
              </w:rPr>
            </w:pPr>
          </w:p>
        </w:tc>
      </w:tr>
      <w:tr>
        <w:trPr>
          <w:trHeight w:val="259"/>
        </w:trPr>
        <w:tc>
          <w:tcPr>
            <w:tcW w:w="800" w:type="dxa"/>
            <w:vAlign w:val="bottom"/>
          </w:tcPr>
          <w:p>
            <w:pPr>
              <w:spacing w:after="0"/>
              <w:rPr>
                <w:sz w:val="22"/>
                <w:szCs w:val="22"/>
                <w:color w:val="auto"/>
              </w:rPr>
            </w:pPr>
          </w:p>
        </w:tc>
        <w:tc>
          <w:tcPr>
            <w:tcW w:w="7280" w:type="dxa"/>
            <w:vAlign w:val="bottom"/>
            <w:gridSpan w:val="2"/>
          </w:tcPr>
          <w:p>
            <w:pPr>
              <w:ind w:left="2440"/>
              <w:spacing w:after="0"/>
              <w:rPr>
                <w:sz w:val="20"/>
                <w:szCs w:val="20"/>
                <w:color w:val="auto"/>
              </w:rPr>
            </w:pPr>
            <w:r>
              <w:rPr>
                <w:rFonts w:ascii="Arial" w:cs="Arial" w:eastAsia="Arial" w:hAnsi="Arial"/>
                <w:sz w:val="14"/>
                <w:szCs w:val="14"/>
                <w:b w:val="1"/>
                <w:bCs w:val="1"/>
                <w:color w:val="auto"/>
              </w:rPr>
              <w:t>PENNANTPARK INVESTMENT CORPORATION AND SUBSIDIARIES</w:t>
            </w:r>
          </w:p>
        </w:tc>
        <w:tc>
          <w:tcPr>
            <w:tcW w:w="124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400" w:type="dxa"/>
            <w:vAlign w:val="bottom"/>
          </w:tcPr>
          <w:p>
            <w:pPr>
              <w:spacing w:after="0"/>
              <w:rPr>
                <w:sz w:val="22"/>
                <w:szCs w:val="22"/>
                <w:color w:val="auto"/>
              </w:rPr>
            </w:pPr>
          </w:p>
        </w:tc>
        <w:tc>
          <w:tcPr>
            <w:tcW w:w="120" w:type="dxa"/>
            <w:vAlign w:val="bottom"/>
          </w:tcPr>
          <w:p>
            <w:pPr>
              <w:spacing w:after="0"/>
              <w:rPr>
                <w:sz w:val="22"/>
                <w:szCs w:val="22"/>
                <w:color w:val="auto"/>
              </w:rPr>
            </w:pPr>
          </w:p>
        </w:tc>
      </w:tr>
      <w:tr>
        <w:trPr>
          <w:trHeight w:val="186"/>
        </w:trPr>
        <w:tc>
          <w:tcPr>
            <w:tcW w:w="800" w:type="dxa"/>
            <w:vAlign w:val="bottom"/>
          </w:tcPr>
          <w:p>
            <w:pPr>
              <w:spacing w:after="0"/>
              <w:rPr>
                <w:sz w:val="16"/>
                <w:szCs w:val="16"/>
                <w:color w:val="auto"/>
              </w:rPr>
            </w:pPr>
          </w:p>
        </w:tc>
        <w:tc>
          <w:tcPr>
            <w:tcW w:w="7020" w:type="dxa"/>
            <w:vAlign w:val="bottom"/>
          </w:tcPr>
          <w:p>
            <w:pPr>
              <w:ind w:left="2640"/>
              <w:spacing w:after="0"/>
              <w:rPr>
                <w:sz w:val="20"/>
                <w:szCs w:val="20"/>
                <w:color w:val="auto"/>
              </w:rPr>
            </w:pPr>
            <w:r>
              <w:rPr>
                <w:rFonts w:ascii="Arial" w:cs="Arial" w:eastAsia="Arial" w:hAnsi="Arial"/>
                <w:sz w:val="14"/>
                <w:szCs w:val="14"/>
                <w:b w:val="1"/>
                <w:bCs w:val="1"/>
                <w:color w:val="auto"/>
              </w:rPr>
              <w:t>CONSOLIDATED STATEMENTS OF ASSETS AND LIABILITIES</w:t>
            </w:r>
          </w:p>
        </w:tc>
        <w:tc>
          <w:tcPr>
            <w:tcW w:w="260" w:type="dxa"/>
            <w:vAlign w:val="bottom"/>
          </w:tcPr>
          <w:p>
            <w:pPr>
              <w:spacing w:after="0"/>
              <w:rPr>
                <w:sz w:val="16"/>
                <w:szCs w:val="16"/>
                <w:color w:val="auto"/>
              </w:rPr>
            </w:pPr>
          </w:p>
        </w:tc>
        <w:tc>
          <w:tcPr>
            <w:tcW w:w="12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400" w:type="dxa"/>
            <w:vAlign w:val="bottom"/>
          </w:tcPr>
          <w:p>
            <w:pPr>
              <w:spacing w:after="0"/>
              <w:rPr>
                <w:sz w:val="16"/>
                <w:szCs w:val="16"/>
                <w:color w:val="auto"/>
              </w:rPr>
            </w:pPr>
          </w:p>
        </w:tc>
        <w:tc>
          <w:tcPr>
            <w:tcW w:w="120" w:type="dxa"/>
            <w:vAlign w:val="bottom"/>
          </w:tcPr>
          <w:p>
            <w:pPr>
              <w:spacing w:after="0"/>
              <w:rPr>
                <w:sz w:val="16"/>
                <w:szCs w:val="16"/>
                <w:color w:val="auto"/>
              </w:rPr>
            </w:pPr>
          </w:p>
        </w:tc>
      </w:tr>
      <w:tr>
        <w:trPr>
          <w:trHeight w:val="516"/>
        </w:trPr>
        <w:tc>
          <w:tcPr>
            <w:tcW w:w="800" w:type="dxa"/>
            <w:vAlign w:val="bottom"/>
          </w:tcPr>
          <w:p>
            <w:pPr>
              <w:spacing w:after="0"/>
              <w:rPr>
                <w:sz w:val="24"/>
                <w:szCs w:val="24"/>
                <w:color w:val="auto"/>
              </w:rPr>
            </w:pPr>
          </w:p>
        </w:tc>
        <w:tc>
          <w:tcPr>
            <w:tcW w:w="70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400" w:type="dxa"/>
            <w:vAlign w:val="bottom"/>
            <w:gridSpan w:val="2"/>
          </w:tcPr>
          <w:p>
            <w:pPr>
              <w:jc w:val="right"/>
              <w:ind w:right="500"/>
              <w:spacing w:after="0"/>
              <w:rPr>
                <w:sz w:val="20"/>
                <w:szCs w:val="20"/>
                <w:color w:val="auto"/>
              </w:rPr>
            </w:pPr>
            <w:r>
              <w:rPr>
                <w:rFonts w:ascii="Arial" w:cs="Arial" w:eastAsia="Arial" w:hAnsi="Arial"/>
                <w:sz w:val="14"/>
                <w:szCs w:val="14"/>
                <w:b w:val="1"/>
                <w:bCs w:val="1"/>
                <w:color w:val="auto"/>
                <w:w w:val="96"/>
              </w:rPr>
              <w:t>June 30, 2017</w:t>
            </w: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520" w:type="dxa"/>
            <w:vAlign w:val="bottom"/>
            <w:gridSpan w:val="2"/>
          </w:tcPr>
          <w:p>
            <w:pPr>
              <w:jc w:val="right"/>
              <w:ind w:right="280"/>
              <w:spacing w:after="0"/>
              <w:rPr>
                <w:sz w:val="20"/>
                <w:szCs w:val="20"/>
                <w:color w:val="auto"/>
              </w:rPr>
            </w:pPr>
            <w:r>
              <w:rPr>
                <w:rFonts w:ascii="Arial" w:cs="Arial" w:eastAsia="Arial" w:hAnsi="Arial"/>
                <w:sz w:val="14"/>
                <w:szCs w:val="14"/>
                <w:b w:val="1"/>
                <w:bCs w:val="1"/>
                <w:color w:val="auto"/>
                <w:w w:val="93"/>
              </w:rPr>
              <w:t>September 30, 2016</w:t>
            </w:r>
          </w:p>
        </w:tc>
      </w:tr>
      <w:tr>
        <w:trPr>
          <w:trHeight w:val="171"/>
        </w:trPr>
        <w:tc>
          <w:tcPr>
            <w:tcW w:w="800" w:type="dxa"/>
            <w:vAlign w:val="bottom"/>
          </w:tcPr>
          <w:p>
            <w:pPr>
              <w:spacing w:after="0"/>
              <w:rPr>
                <w:sz w:val="14"/>
                <w:szCs w:val="14"/>
                <w:color w:val="auto"/>
              </w:rPr>
            </w:pPr>
          </w:p>
        </w:tc>
        <w:tc>
          <w:tcPr>
            <w:tcW w:w="70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400" w:type="dxa"/>
            <w:vAlign w:val="bottom"/>
            <w:gridSpan w:val="2"/>
          </w:tcPr>
          <w:p>
            <w:pPr>
              <w:jc w:val="right"/>
              <w:ind w:right="560"/>
              <w:spacing w:after="0"/>
              <w:rPr>
                <w:sz w:val="20"/>
                <w:szCs w:val="20"/>
                <w:color w:val="auto"/>
              </w:rPr>
            </w:pPr>
            <w:r>
              <w:rPr>
                <w:rFonts w:ascii="Arial" w:cs="Arial" w:eastAsia="Arial" w:hAnsi="Arial"/>
                <w:sz w:val="14"/>
                <w:szCs w:val="14"/>
                <w:b w:val="1"/>
                <w:bCs w:val="1"/>
                <w:color w:val="auto"/>
              </w:rPr>
              <w:t>(unaudited)</w:t>
            </w: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00" w:type="dxa"/>
            <w:vAlign w:val="bottom"/>
          </w:tcPr>
          <w:p>
            <w:pPr>
              <w:spacing w:after="0"/>
              <w:rPr>
                <w:sz w:val="14"/>
                <w:szCs w:val="14"/>
                <w:color w:val="auto"/>
              </w:rPr>
            </w:pPr>
          </w:p>
        </w:tc>
        <w:tc>
          <w:tcPr>
            <w:tcW w:w="120" w:type="dxa"/>
            <w:vAlign w:val="bottom"/>
          </w:tcPr>
          <w:p>
            <w:pPr>
              <w:spacing w:after="0"/>
              <w:rPr>
                <w:sz w:val="14"/>
                <w:szCs w:val="14"/>
                <w:color w:val="auto"/>
              </w:rPr>
            </w:pPr>
          </w:p>
        </w:tc>
      </w:tr>
      <w:tr>
        <w:trPr>
          <w:trHeight w:val="155"/>
        </w:trPr>
        <w:tc>
          <w:tcPr>
            <w:tcW w:w="800" w:type="dxa"/>
            <w:vAlign w:val="bottom"/>
            <w:tcBorders>
              <w:top w:val="single" w:sz="8" w:color="CCECFF"/>
            </w:tcBorders>
            <w:shd w:val="clear" w:color="auto" w:fill="CCECFF"/>
          </w:tcPr>
          <w:p>
            <w:pPr>
              <w:spacing w:after="0" w:line="155" w:lineRule="exact"/>
              <w:rPr>
                <w:sz w:val="20"/>
                <w:szCs w:val="20"/>
                <w:color w:val="auto"/>
              </w:rPr>
            </w:pPr>
            <w:r>
              <w:rPr>
                <w:rFonts w:ascii="Arial" w:cs="Arial" w:eastAsia="Arial" w:hAnsi="Arial"/>
                <w:sz w:val="14"/>
                <w:szCs w:val="14"/>
                <w:b w:val="1"/>
                <w:bCs w:val="1"/>
                <w:color w:val="auto"/>
              </w:rPr>
              <w:t>Assets</w:t>
            </w:r>
          </w:p>
        </w:tc>
        <w:tc>
          <w:tcPr>
            <w:tcW w:w="7020" w:type="dxa"/>
            <w:vAlign w:val="bottom"/>
            <w:tcBorders>
              <w:top w:val="single" w:sz="8" w:color="CCECFF"/>
            </w:tcBorders>
            <w:shd w:val="clear" w:color="auto" w:fill="CCECFF"/>
          </w:tcPr>
          <w:p>
            <w:pPr>
              <w:spacing w:after="0"/>
              <w:rPr>
                <w:sz w:val="13"/>
                <w:szCs w:val="13"/>
                <w:color w:val="auto"/>
              </w:rPr>
            </w:pPr>
          </w:p>
        </w:tc>
        <w:tc>
          <w:tcPr>
            <w:tcW w:w="260" w:type="dxa"/>
            <w:vAlign w:val="bottom"/>
            <w:tcBorders>
              <w:top w:val="single" w:sz="8" w:color="auto"/>
            </w:tcBorders>
            <w:shd w:val="clear" w:color="auto" w:fill="CCECFF"/>
          </w:tcPr>
          <w:p>
            <w:pPr>
              <w:spacing w:after="0"/>
              <w:rPr>
                <w:sz w:val="13"/>
                <w:szCs w:val="13"/>
                <w:color w:val="auto"/>
              </w:rPr>
            </w:pPr>
          </w:p>
        </w:tc>
        <w:tc>
          <w:tcPr>
            <w:tcW w:w="1240" w:type="dxa"/>
            <w:vAlign w:val="bottom"/>
            <w:tcBorders>
              <w:top w:val="single" w:sz="8" w:color="auto"/>
            </w:tcBorders>
            <w:shd w:val="clear" w:color="auto" w:fill="CCECFF"/>
          </w:tcPr>
          <w:p>
            <w:pPr>
              <w:spacing w:after="0"/>
              <w:rPr>
                <w:sz w:val="13"/>
                <w:szCs w:val="13"/>
                <w:color w:val="auto"/>
              </w:rPr>
            </w:pPr>
          </w:p>
        </w:tc>
        <w:tc>
          <w:tcPr>
            <w:tcW w:w="160" w:type="dxa"/>
            <w:vAlign w:val="bottom"/>
            <w:tcBorders>
              <w:top w:val="single" w:sz="8" w:color="CCECFF"/>
            </w:tcBorders>
            <w:shd w:val="clear" w:color="auto" w:fill="CCECFF"/>
          </w:tcPr>
          <w:p>
            <w:pPr>
              <w:spacing w:after="0"/>
              <w:rPr>
                <w:sz w:val="13"/>
                <w:szCs w:val="13"/>
                <w:color w:val="auto"/>
              </w:rPr>
            </w:pPr>
          </w:p>
        </w:tc>
        <w:tc>
          <w:tcPr>
            <w:tcW w:w="120" w:type="dxa"/>
            <w:vAlign w:val="bottom"/>
            <w:tcBorders>
              <w:top w:val="single" w:sz="8" w:color="CCECFF"/>
            </w:tcBorders>
            <w:shd w:val="clear" w:color="auto" w:fill="CCECFF"/>
          </w:tcPr>
          <w:p>
            <w:pPr>
              <w:spacing w:after="0"/>
              <w:rPr>
                <w:sz w:val="13"/>
                <w:szCs w:val="13"/>
                <w:color w:val="auto"/>
              </w:rPr>
            </w:pPr>
          </w:p>
        </w:tc>
        <w:tc>
          <w:tcPr>
            <w:tcW w:w="120" w:type="dxa"/>
            <w:vAlign w:val="bottom"/>
            <w:tcBorders>
              <w:top w:val="single" w:sz="8" w:color="auto"/>
            </w:tcBorders>
            <w:shd w:val="clear" w:color="auto" w:fill="CCECFF"/>
          </w:tcPr>
          <w:p>
            <w:pPr>
              <w:spacing w:after="0"/>
              <w:rPr>
                <w:sz w:val="13"/>
                <w:szCs w:val="13"/>
                <w:color w:val="auto"/>
              </w:rPr>
            </w:pPr>
          </w:p>
        </w:tc>
        <w:tc>
          <w:tcPr>
            <w:tcW w:w="1400" w:type="dxa"/>
            <w:vAlign w:val="bottom"/>
            <w:tcBorders>
              <w:top w:val="single" w:sz="8" w:color="auto"/>
            </w:tcBorders>
            <w:shd w:val="clear" w:color="auto" w:fill="CCECFF"/>
          </w:tcPr>
          <w:p>
            <w:pPr>
              <w:spacing w:after="0"/>
              <w:rPr>
                <w:sz w:val="13"/>
                <w:szCs w:val="13"/>
                <w:color w:val="auto"/>
              </w:rPr>
            </w:pPr>
          </w:p>
        </w:tc>
        <w:tc>
          <w:tcPr>
            <w:tcW w:w="120" w:type="dxa"/>
            <w:vAlign w:val="bottom"/>
            <w:tcBorders>
              <w:top w:val="single" w:sz="8" w:color="CCECFF"/>
            </w:tcBorders>
            <w:shd w:val="clear" w:color="auto" w:fill="CCECFF"/>
          </w:tcPr>
          <w:p>
            <w:pPr>
              <w:spacing w:after="0"/>
              <w:rPr>
                <w:sz w:val="13"/>
                <w:szCs w:val="13"/>
                <w:color w:val="auto"/>
              </w:rPr>
            </w:pPr>
          </w:p>
        </w:tc>
      </w:tr>
      <w:tr>
        <w:trPr>
          <w:trHeight w:val="162"/>
        </w:trPr>
        <w:tc>
          <w:tcPr>
            <w:tcW w:w="7820" w:type="dxa"/>
            <w:vAlign w:val="bottom"/>
            <w:gridSpan w:val="2"/>
          </w:tcPr>
          <w:p>
            <w:pPr>
              <w:spacing w:after="0"/>
              <w:rPr>
                <w:sz w:val="20"/>
                <w:szCs w:val="20"/>
                <w:color w:val="auto"/>
              </w:rPr>
            </w:pPr>
            <w:r>
              <w:rPr>
                <w:rFonts w:ascii="Arial" w:cs="Arial" w:eastAsia="Arial" w:hAnsi="Arial"/>
                <w:sz w:val="14"/>
                <w:szCs w:val="14"/>
                <w:color w:val="auto"/>
              </w:rPr>
              <w:t>Investments at fair value</w:t>
            </w:r>
          </w:p>
        </w:tc>
        <w:tc>
          <w:tcPr>
            <w:tcW w:w="26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00" w:type="dxa"/>
            <w:vAlign w:val="bottom"/>
          </w:tcPr>
          <w:p>
            <w:pPr>
              <w:spacing w:after="0"/>
              <w:rPr>
                <w:sz w:val="14"/>
                <w:szCs w:val="14"/>
                <w:color w:val="auto"/>
              </w:rPr>
            </w:pPr>
          </w:p>
        </w:tc>
        <w:tc>
          <w:tcPr>
            <w:tcW w:w="120" w:type="dxa"/>
            <w:vAlign w:val="bottom"/>
          </w:tcPr>
          <w:p>
            <w:pPr>
              <w:spacing w:after="0"/>
              <w:rPr>
                <w:sz w:val="14"/>
                <w:szCs w:val="14"/>
                <w:color w:val="auto"/>
              </w:rPr>
            </w:pPr>
          </w:p>
        </w:tc>
      </w:tr>
      <w:tr>
        <w:trPr>
          <w:trHeight w:val="162"/>
        </w:trPr>
        <w:tc>
          <w:tcPr>
            <w:tcW w:w="7820" w:type="dxa"/>
            <w:vAlign w:val="bottom"/>
            <w:gridSpan w:val="2"/>
            <w:shd w:val="clear" w:color="auto" w:fill="CCECFF"/>
          </w:tcPr>
          <w:p>
            <w:pPr>
              <w:ind w:left="260"/>
              <w:spacing w:after="0"/>
              <w:rPr>
                <w:sz w:val="20"/>
                <w:szCs w:val="20"/>
                <w:color w:val="auto"/>
              </w:rPr>
            </w:pPr>
            <w:r>
              <w:rPr>
                <w:rFonts w:ascii="Arial" w:cs="Arial" w:eastAsia="Arial" w:hAnsi="Arial"/>
                <w:sz w:val="14"/>
                <w:szCs w:val="14"/>
                <w:color w:val="auto"/>
              </w:rPr>
              <w:t>Non-controlled, non-affiliated investments (cost—$772,411,106 and $805,189,545, respectively)</w:t>
            </w:r>
          </w:p>
        </w:tc>
        <w:tc>
          <w:tcPr>
            <w:tcW w:w="260" w:type="dxa"/>
            <w:vAlign w:val="bottom"/>
            <w:shd w:val="clear" w:color="auto" w:fill="CCECFF"/>
          </w:tcPr>
          <w:p>
            <w:pPr>
              <w:jc w:val="right"/>
              <w:ind w:right="149"/>
              <w:spacing w:after="0"/>
              <w:rPr>
                <w:sz w:val="20"/>
                <w:szCs w:val="20"/>
                <w:color w:val="auto"/>
              </w:rPr>
            </w:pPr>
            <w:r>
              <w:rPr>
                <w:rFonts w:ascii="Arial" w:cs="Arial" w:eastAsia="Arial" w:hAnsi="Arial"/>
                <w:sz w:val="10"/>
                <w:szCs w:val="10"/>
                <w:color w:val="auto"/>
                <w:w w:val="71"/>
              </w:rPr>
              <w:t>$</w:t>
            </w:r>
          </w:p>
        </w:tc>
        <w:tc>
          <w:tcPr>
            <w:tcW w:w="1240" w:type="dxa"/>
            <w:vAlign w:val="bottom"/>
            <w:shd w:val="clear" w:color="auto" w:fill="CCECFF"/>
          </w:tcPr>
          <w:p>
            <w:pPr>
              <w:jc w:val="right"/>
              <w:spacing w:after="0"/>
              <w:rPr>
                <w:sz w:val="20"/>
                <w:szCs w:val="20"/>
                <w:color w:val="auto"/>
              </w:rPr>
            </w:pPr>
            <w:r>
              <w:rPr>
                <w:rFonts w:ascii="Arial" w:cs="Arial" w:eastAsia="Arial" w:hAnsi="Arial"/>
                <w:sz w:val="14"/>
                <w:szCs w:val="14"/>
                <w:color w:val="auto"/>
              </w:rPr>
              <w:t>788,252,925</w:t>
            </w:r>
          </w:p>
        </w:tc>
        <w:tc>
          <w:tcPr>
            <w:tcW w:w="160" w:type="dxa"/>
            <w:vAlign w:val="bottom"/>
            <w:shd w:val="clear" w:color="auto" w:fill="CCECFF"/>
          </w:tcPr>
          <w:p>
            <w:pPr>
              <w:spacing w:after="0"/>
              <w:rPr>
                <w:sz w:val="14"/>
                <w:szCs w:val="14"/>
                <w:color w:val="auto"/>
              </w:rPr>
            </w:pPr>
          </w:p>
        </w:tc>
        <w:tc>
          <w:tcPr>
            <w:tcW w:w="240" w:type="dxa"/>
            <w:vAlign w:val="bottom"/>
            <w:gridSpan w:val="2"/>
            <w:shd w:val="clear" w:color="auto" w:fill="CCECFF"/>
          </w:tcPr>
          <w:p>
            <w:pPr>
              <w:jc w:val="right"/>
              <w:spacing w:after="0"/>
              <w:rPr>
                <w:sz w:val="20"/>
                <w:szCs w:val="20"/>
                <w:color w:val="auto"/>
              </w:rPr>
            </w:pPr>
            <w:r>
              <w:rPr>
                <w:rFonts w:ascii="Arial" w:cs="Arial" w:eastAsia="Arial" w:hAnsi="Arial"/>
                <w:sz w:val="14"/>
                <w:szCs w:val="14"/>
                <w:color w:val="auto"/>
              </w:rPr>
              <w:t>$</w:t>
            </w:r>
          </w:p>
        </w:tc>
        <w:tc>
          <w:tcPr>
            <w:tcW w:w="1400" w:type="dxa"/>
            <w:vAlign w:val="bottom"/>
            <w:shd w:val="clear" w:color="auto" w:fill="CCECFF"/>
          </w:tcPr>
          <w:p>
            <w:pPr>
              <w:jc w:val="right"/>
              <w:spacing w:after="0"/>
              <w:rPr>
                <w:sz w:val="20"/>
                <w:szCs w:val="20"/>
                <w:color w:val="auto"/>
              </w:rPr>
            </w:pPr>
            <w:r>
              <w:rPr>
                <w:rFonts w:ascii="Arial" w:cs="Arial" w:eastAsia="Arial" w:hAnsi="Arial"/>
                <w:sz w:val="14"/>
                <w:szCs w:val="14"/>
                <w:color w:val="auto"/>
              </w:rPr>
              <w:t>813,467,491</w:t>
            </w:r>
          </w:p>
        </w:tc>
        <w:tc>
          <w:tcPr>
            <w:tcW w:w="120" w:type="dxa"/>
            <w:vAlign w:val="bottom"/>
            <w:shd w:val="clear" w:color="auto" w:fill="CCECFF"/>
          </w:tcPr>
          <w:p>
            <w:pPr>
              <w:spacing w:after="0"/>
              <w:rPr>
                <w:sz w:val="14"/>
                <w:szCs w:val="14"/>
                <w:color w:val="auto"/>
              </w:rPr>
            </w:pPr>
          </w:p>
        </w:tc>
      </w:tr>
      <w:tr>
        <w:trPr>
          <w:trHeight w:val="162"/>
        </w:trPr>
        <w:tc>
          <w:tcPr>
            <w:tcW w:w="7820" w:type="dxa"/>
            <w:vAlign w:val="bottom"/>
            <w:gridSpan w:val="2"/>
          </w:tcPr>
          <w:p>
            <w:pPr>
              <w:ind w:left="260"/>
              <w:spacing w:after="0"/>
              <w:rPr>
                <w:sz w:val="20"/>
                <w:szCs w:val="20"/>
                <w:color w:val="auto"/>
              </w:rPr>
            </w:pPr>
            <w:r>
              <w:rPr>
                <w:rFonts w:ascii="Arial" w:cs="Arial" w:eastAsia="Arial" w:hAnsi="Arial"/>
                <w:sz w:val="14"/>
                <w:szCs w:val="14"/>
                <w:color w:val="auto"/>
              </w:rPr>
              <w:t>Non-controlled, affiliated investments (cost—$183,090,652 and $262,476,906, respectively)</w:t>
            </w:r>
          </w:p>
        </w:tc>
        <w:tc>
          <w:tcPr>
            <w:tcW w:w="260" w:type="dxa"/>
            <w:vAlign w:val="bottom"/>
          </w:tcPr>
          <w:p>
            <w:pPr>
              <w:spacing w:after="0"/>
              <w:rPr>
                <w:sz w:val="14"/>
                <w:szCs w:val="14"/>
                <w:color w:val="auto"/>
              </w:rPr>
            </w:pPr>
          </w:p>
        </w:tc>
        <w:tc>
          <w:tcPr>
            <w:tcW w:w="1240" w:type="dxa"/>
            <w:vAlign w:val="bottom"/>
          </w:tcPr>
          <w:p>
            <w:pPr>
              <w:jc w:val="right"/>
              <w:spacing w:after="0"/>
              <w:rPr>
                <w:sz w:val="20"/>
                <w:szCs w:val="20"/>
                <w:color w:val="auto"/>
              </w:rPr>
            </w:pPr>
            <w:r>
              <w:rPr>
                <w:rFonts w:ascii="Arial" w:cs="Arial" w:eastAsia="Arial" w:hAnsi="Arial"/>
                <w:sz w:val="14"/>
                <w:szCs w:val="14"/>
                <w:color w:val="auto"/>
              </w:rPr>
              <w:t>185,505,287</w:t>
            </w:r>
          </w:p>
        </w:tc>
        <w:tc>
          <w:tcPr>
            <w:tcW w:w="1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00" w:type="dxa"/>
            <w:vAlign w:val="bottom"/>
          </w:tcPr>
          <w:p>
            <w:pPr>
              <w:jc w:val="right"/>
              <w:spacing w:after="0"/>
              <w:rPr>
                <w:sz w:val="20"/>
                <w:szCs w:val="20"/>
                <w:color w:val="auto"/>
              </w:rPr>
            </w:pPr>
            <w:r>
              <w:rPr>
                <w:rFonts w:ascii="Arial" w:cs="Arial" w:eastAsia="Arial" w:hAnsi="Arial"/>
                <w:sz w:val="14"/>
                <w:szCs w:val="14"/>
                <w:color w:val="auto"/>
              </w:rPr>
              <w:t>215,192,547</w:t>
            </w:r>
          </w:p>
        </w:tc>
        <w:tc>
          <w:tcPr>
            <w:tcW w:w="120" w:type="dxa"/>
            <w:vAlign w:val="bottom"/>
          </w:tcPr>
          <w:p>
            <w:pPr>
              <w:spacing w:after="0"/>
              <w:rPr>
                <w:sz w:val="14"/>
                <w:szCs w:val="14"/>
                <w:color w:val="auto"/>
              </w:rPr>
            </w:pPr>
          </w:p>
        </w:tc>
      </w:tr>
      <w:tr>
        <w:trPr>
          <w:trHeight w:val="162"/>
        </w:trPr>
        <w:tc>
          <w:tcPr>
            <w:tcW w:w="7820" w:type="dxa"/>
            <w:vAlign w:val="bottom"/>
            <w:gridSpan w:val="2"/>
            <w:shd w:val="clear" w:color="auto" w:fill="CCECFF"/>
          </w:tcPr>
          <w:p>
            <w:pPr>
              <w:ind w:left="260"/>
              <w:spacing w:after="0"/>
              <w:rPr>
                <w:sz w:val="20"/>
                <w:szCs w:val="20"/>
                <w:color w:val="auto"/>
              </w:rPr>
            </w:pPr>
            <w:r>
              <w:rPr>
                <w:rFonts w:ascii="Arial" w:cs="Arial" w:eastAsia="Arial" w:hAnsi="Arial"/>
                <w:sz w:val="14"/>
                <w:szCs w:val="14"/>
                <w:color w:val="auto"/>
              </w:rPr>
              <w:t>Controlled, affiliated investments (cost—$199,972,502 and $186,290,695, respectively)</w:t>
            </w:r>
          </w:p>
        </w:tc>
        <w:tc>
          <w:tcPr>
            <w:tcW w:w="260" w:type="dxa"/>
            <w:vAlign w:val="bottom"/>
            <w:tcBorders>
              <w:bottom w:val="single" w:sz="8" w:color="auto"/>
            </w:tcBorders>
            <w:shd w:val="clear" w:color="auto" w:fill="CCECFF"/>
          </w:tcPr>
          <w:p>
            <w:pPr>
              <w:spacing w:after="0"/>
              <w:rPr>
                <w:sz w:val="14"/>
                <w:szCs w:val="14"/>
                <w:color w:val="auto"/>
              </w:rPr>
            </w:pPr>
          </w:p>
        </w:tc>
        <w:tc>
          <w:tcPr>
            <w:tcW w:w="1240" w:type="dxa"/>
            <w:vAlign w:val="bottom"/>
            <w:tcBorders>
              <w:bottom w:val="single" w:sz="8" w:color="auto"/>
            </w:tcBorders>
            <w:shd w:val="clear" w:color="auto" w:fill="CCECFF"/>
          </w:tcPr>
          <w:p>
            <w:pPr>
              <w:jc w:val="right"/>
              <w:spacing w:after="0"/>
              <w:rPr>
                <w:sz w:val="20"/>
                <w:szCs w:val="20"/>
                <w:color w:val="auto"/>
              </w:rPr>
            </w:pPr>
            <w:r>
              <w:rPr>
                <w:rFonts w:ascii="Arial" w:cs="Arial" w:eastAsia="Arial" w:hAnsi="Arial"/>
                <w:sz w:val="14"/>
                <w:szCs w:val="14"/>
                <w:color w:val="auto"/>
              </w:rPr>
              <w:t>125,166,048</w:t>
            </w:r>
          </w:p>
        </w:tc>
        <w:tc>
          <w:tcPr>
            <w:tcW w:w="160" w:type="dxa"/>
            <w:vAlign w:val="bottom"/>
            <w:shd w:val="clear" w:color="auto" w:fill="CCECFF"/>
          </w:tcPr>
          <w:p>
            <w:pPr>
              <w:spacing w:after="0"/>
              <w:rPr>
                <w:sz w:val="14"/>
                <w:szCs w:val="14"/>
                <w:color w:val="auto"/>
              </w:rPr>
            </w:pPr>
          </w:p>
        </w:tc>
        <w:tc>
          <w:tcPr>
            <w:tcW w:w="120" w:type="dxa"/>
            <w:vAlign w:val="bottom"/>
            <w:shd w:val="clear" w:color="auto" w:fill="CCECFF"/>
          </w:tcPr>
          <w:p>
            <w:pPr>
              <w:spacing w:after="0"/>
              <w:rPr>
                <w:sz w:val="14"/>
                <w:szCs w:val="14"/>
                <w:color w:val="auto"/>
              </w:rPr>
            </w:pPr>
          </w:p>
        </w:tc>
        <w:tc>
          <w:tcPr>
            <w:tcW w:w="120" w:type="dxa"/>
            <w:vAlign w:val="bottom"/>
            <w:tcBorders>
              <w:bottom w:val="single" w:sz="8" w:color="auto"/>
            </w:tcBorders>
            <w:shd w:val="clear" w:color="auto" w:fill="CCECFF"/>
          </w:tcPr>
          <w:p>
            <w:pPr>
              <w:spacing w:after="0"/>
              <w:rPr>
                <w:sz w:val="14"/>
                <w:szCs w:val="14"/>
                <w:color w:val="auto"/>
              </w:rPr>
            </w:pPr>
          </w:p>
        </w:tc>
        <w:tc>
          <w:tcPr>
            <w:tcW w:w="1400" w:type="dxa"/>
            <w:vAlign w:val="bottom"/>
            <w:tcBorders>
              <w:bottom w:val="single" w:sz="8" w:color="auto"/>
            </w:tcBorders>
            <w:shd w:val="clear" w:color="auto" w:fill="CCECFF"/>
          </w:tcPr>
          <w:p>
            <w:pPr>
              <w:jc w:val="right"/>
              <w:spacing w:after="0"/>
              <w:rPr>
                <w:sz w:val="20"/>
                <w:szCs w:val="20"/>
                <w:color w:val="auto"/>
              </w:rPr>
            </w:pPr>
            <w:r>
              <w:rPr>
                <w:rFonts w:ascii="Arial" w:cs="Arial" w:eastAsia="Arial" w:hAnsi="Arial"/>
                <w:sz w:val="14"/>
                <w:szCs w:val="14"/>
                <w:color w:val="auto"/>
              </w:rPr>
              <w:t>125,019,637</w:t>
            </w:r>
          </w:p>
        </w:tc>
        <w:tc>
          <w:tcPr>
            <w:tcW w:w="120" w:type="dxa"/>
            <w:vAlign w:val="bottom"/>
            <w:shd w:val="clear" w:color="auto" w:fill="CCECFF"/>
          </w:tcPr>
          <w:p>
            <w:pPr>
              <w:spacing w:after="0"/>
              <w:rPr>
                <w:sz w:val="14"/>
                <w:szCs w:val="14"/>
                <w:color w:val="auto"/>
              </w:rPr>
            </w:pPr>
          </w:p>
        </w:tc>
      </w:tr>
      <w:tr>
        <w:trPr>
          <w:trHeight w:val="155"/>
        </w:trPr>
        <w:tc>
          <w:tcPr>
            <w:tcW w:w="7820" w:type="dxa"/>
            <w:vAlign w:val="bottom"/>
            <w:gridSpan w:val="2"/>
          </w:tcPr>
          <w:p>
            <w:pPr>
              <w:ind w:left="260"/>
              <w:spacing w:after="0" w:line="155" w:lineRule="exact"/>
              <w:rPr>
                <w:sz w:val="20"/>
                <w:szCs w:val="20"/>
                <w:color w:val="auto"/>
              </w:rPr>
            </w:pPr>
            <w:r>
              <w:rPr>
                <w:rFonts w:ascii="Arial" w:cs="Arial" w:eastAsia="Arial" w:hAnsi="Arial"/>
                <w:sz w:val="14"/>
                <w:szCs w:val="14"/>
                <w:color w:val="auto"/>
              </w:rPr>
              <w:t>Total of investments (cost—$1,155,474,260 and $1,253,957,146, respectively)</w:t>
            </w:r>
          </w:p>
        </w:tc>
        <w:tc>
          <w:tcPr>
            <w:tcW w:w="260" w:type="dxa"/>
            <w:vAlign w:val="bottom"/>
          </w:tcPr>
          <w:p>
            <w:pPr>
              <w:spacing w:after="0"/>
              <w:rPr>
                <w:sz w:val="13"/>
                <w:szCs w:val="13"/>
                <w:color w:val="auto"/>
              </w:rPr>
            </w:pPr>
          </w:p>
        </w:tc>
        <w:tc>
          <w:tcPr>
            <w:tcW w:w="1240" w:type="dxa"/>
            <w:vAlign w:val="bottom"/>
          </w:tcPr>
          <w:p>
            <w:pPr>
              <w:jc w:val="right"/>
              <w:spacing w:after="0" w:line="155" w:lineRule="exact"/>
              <w:rPr>
                <w:sz w:val="20"/>
                <w:szCs w:val="20"/>
                <w:color w:val="auto"/>
              </w:rPr>
            </w:pPr>
            <w:r>
              <w:rPr>
                <w:rFonts w:ascii="Arial" w:cs="Arial" w:eastAsia="Arial" w:hAnsi="Arial"/>
                <w:sz w:val="14"/>
                <w:szCs w:val="14"/>
                <w:color w:val="auto"/>
              </w:rPr>
              <w:t>1,098,924,260</w:t>
            </w:r>
          </w:p>
        </w:tc>
        <w:tc>
          <w:tcPr>
            <w:tcW w:w="1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400" w:type="dxa"/>
            <w:vAlign w:val="bottom"/>
          </w:tcPr>
          <w:p>
            <w:pPr>
              <w:jc w:val="right"/>
              <w:spacing w:after="0" w:line="155" w:lineRule="exact"/>
              <w:rPr>
                <w:sz w:val="20"/>
                <w:szCs w:val="20"/>
                <w:color w:val="auto"/>
              </w:rPr>
            </w:pPr>
            <w:r>
              <w:rPr>
                <w:rFonts w:ascii="Arial" w:cs="Arial" w:eastAsia="Arial" w:hAnsi="Arial"/>
                <w:sz w:val="14"/>
                <w:szCs w:val="14"/>
                <w:color w:val="auto"/>
              </w:rPr>
              <w:t>1,153,679,675</w:t>
            </w:r>
          </w:p>
        </w:tc>
        <w:tc>
          <w:tcPr>
            <w:tcW w:w="120" w:type="dxa"/>
            <w:vAlign w:val="bottom"/>
          </w:tcPr>
          <w:p>
            <w:pPr>
              <w:spacing w:after="0"/>
              <w:rPr>
                <w:sz w:val="13"/>
                <w:szCs w:val="13"/>
                <w:color w:val="auto"/>
              </w:rPr>
            </w:pPr>
          </w:p>
        </w:tc>
      </w:tr>
      <w:tr>
        <w:trPr>
          <w:trHeight w:val="162"/>
        </w:trPr>
        <w:tc>
          <w:tcPr>
            <w:tcW w:w="7820" w:type="dxa"/>
            <w:vAlign w:val="bottom"/>
            <w:gridSpan w:val="2"/>
            <w:shd w:val="clear" w:color="auto" w:fill="CCECFF"/>
          </w:tcPr>
          <w:p>
            <w:pPr>
              <w:spacing w:after="0"/>
              <w:rPr>
                <w:sz w:val="20"/>
                <w:szCs w:val="20"/>
                <w:color w:val="auto"/>
              </w:rPr>
            </w:pPr>
            <w:r>
              <w:rPr>
                <w:rFonts w:ascii="Arial" w:cs="Arial" w:eastAsia="Arial" w:hAnsi="Arial"/>
                <w:sz w:val="14"/>
                <w:szCs w:val="14"/>
                <w:color w:val="auto"/>
              </w:rPr>
              <w:t>Cash and cash equivalents (cost—$103,099,629 and $75,617,133, respectively)</w:t>
            </w:r>
          </w:p>
        </w:tc>
        <w:tc>
          <w:tcPr>
            <w:tcW w:w="260" w:type="dxa"/>
            <w:vAlign w:val="bottom"/>
            <w:shd w:val="clear" w:color="auto" w:fill="CCECFF"/>
          </w:tcPr>
          <w:p>
            <w:pPr>
              <w:spacing w:after="0"/>
              <w:rPr>
                <w:sz w:val="14"/>
                <w:szCs w:val="14"/>
                <w:color w:val="auto"/>
              </w:rPr>
            </w:pPr>
          </w:p>
        </w:tc>
        <w:tc>
          <w:tcPr>
            <w:tcW w:w="1240" w:type="dxa"/>
            <w:vAlign w:val="bottom"/>
            <w:shd w:val="clear" w:color="auto" w:fill="CCECFF"/>
          </w:tcPr>
          <w:p>
            <w:pPr>
              <w:jc w:val="right"/>
              <w:spacing w:after="0"/>
              <w:rPr>
                <w:sz w:val="20"/>
                <w:szCs w:val="20"/>
                <w:color w:val="auto"/>
              </w:rPr>
            </w:pPr>
            <w:r>
              <w:rPr>
                <w:rFonts w:ascii="Arial" w:cs="Arial" w:eastAsia="Arial" w:hAnsi="Arial"/>
                <w:sz w:val="14"/>
                <w:szCs w:val="14"/>
                <w:color w:val="auto"/>
              </w:rPr>
              <w:t>103,196,132</w:t>
            </w:r>
          </w:p>
        </w:tc>
        <w:tc>
          <w:tcPr>
            <w:tcW w:w="160" w:type="dxa"/>
            <w:vAlign w:val="bottom"/>
            <w:shd w:val="clear" w:color="auto" w:fill="CCECFF"/>
          </w:tcPr>
          <w:p>
            <w:pPr>
              <w:spacing w:after="0"/>
              <w:rPr>
                <w:sz w:val="14"/>
                <w:szCs w:val="14"/>
                <w:color w:val="auto"/>
              </w:rPr>
            </w:pPr>
          </w:p>
        </w:tc>
        <w:tc>
          <w:tcPr>
            <w:tcW w:w="120" w:type="dxa"/>
            <w:vAlign w:val="bottom"/>
            <w:shd w:val="clear" w:color="auto" w:fill="CCECFF"/>
          </w:tcPr>
          <w:p>
            <w:pPr>
              <w:spacing w:after="0"/>
              <w:rPr>
                <w:sz w:val="14"/>
                <w:szCs w:val="14"/>
                <w:color w:val="auto"/>
              </w:rPr>
            </w:pPr>
          </w:p>
        </w:tc>
        <w:tc>
          <w:tcPr>
            <w:tcW w:w="120" w:type="dxa"/>
            <w:vAlign w:val="bottom"/>
            <w:shd w:val="clear" w:color="auto" w:fill="CCECFF"/>
          </w:tcPr>
          <w:p>
            <w:pPr>
              <w:spacing w:after="0"/>
              <w:rPr>
                <w:sz w:val="14"/>
                <w:szCs w:val="14"/>
                <w:color w:val="auto"/>
              </w:rPr>
            </w:pPr>
          </w:p>
        </w:tc>
        <w:tc>
          <w:tcPr>
            <w:tcW w:w="1400" w:type="dxa"/>
            <w:vAlign w:val="bottom"/>
            <w:shd w:val="clear" w:color="auto" w:fill="CCECFF"/>
          </w:tcPr>
          <w:p>
            <w:pPr>
              <w:jc w:val="right"/>
              <w:spacing w:after="0"/>
              <w:rPr>
                <w:sz w:val="20"/>
                <w:szCs w:val="20"/>
                <w:color w:val="auto"/>
              </w:rPr>
            </w:pPr>
            <w:r>
              <w:rPr>
                <w:rFonts w:ascii="Arial" w:cs="Arial" w:eastAsia="Arial" w:hAnsi="Arial"/>
                <w:sz w:val="14"/>
                <w:szCs w:val="14"/>
                <w:color w:val="auto"/>
              </w:rPr>
              <w:t>75,608,113</w:t>
            </w:r>
          </w:p>
        </w:tc>
        <w:tc>
          <w:tcPr>
            <w:tcW w:w="120" w:type="dxa"/>
            <w:vAlign w:val="bottom"/>
            <w:shd w:val="clear" w:color="auto" w:fill="CCECFF"/>
          </w:tcPr>
          <w:p>
            <w:pPr>
              <w:spacing w:after="0"/>
              <w:rPr>
                <w:sz w:val="14"/>
                <w:szCs w:val="14"/>
                <w:color w:val="auto"/>
              </w:rPr>
            </w:pPr>
          </w:p>
        </w:tc>
      </w:tr>
      <w:tr>
        <w:trPr>
          <w:trHeight w:val="162"/>
        </w:trPr>
        <w:tc>
          <w:tcPr>
            <w:tcW w:w="7820" w:type="dxa"/>
            <w:vAlign w:val="bottom"/>
            <w:gridSpan w:val="2"/>
          </w:tcPr>
          <w:p>
            <w:pPr>
              <w:spacing w:after="0"/>
              <w:rPr>
                <w:sz w:val="20"/>
                <w:szCs w:val="20"/>
                <w:color w:val="auto"/>
              </w:rPr>
            </w:pPr>
            <w:r>
              <w:rPr>
                <w:rFonts w:ascii="Arial" w:cs="Arial" w:eastAsia="Arial" w:hAnsi="Arial"/>
                <w:sz w:val="14"/>
                <w:szCs w:val="14"/>
                <w:color w:val="auto"/>
              </w:rPr>
              <w:t>Interest receivable</w:t>
            </w:r>
          </w:p>
        </w:tc>
        <w:tc>
          <w:tcPr>
            <w:tcW w:w="260" w:type="dxa"/>
            <w:vAlign w:val="bottom"/>
          </w:tcPr>
          <w:p>
            <w:pPr>
              <w:spacing w:after="0"/>
              <w:rPr>
                <w:sz w:val="14"/>
                <w:szCs w:val="14"/>
                <w:color w:val="auto"/>
              </w:rPr>
            </w:pPr>
          </w:p>
        </w:tc>
        <w:tc>
          <w:tcPr>
            <w:tcW w:w="1240" w:type="dxa"/>
            <w:vAlign w:val="bottom"/>
          </w:tcPr>
          <w:p>
            <w:pPr>
              <w:jc w:val="right"/>
              <w:spacing w:after="0"/>
              <w:rPr>
                <w:sz w:val="20"/>
                <w:szCs w:val="20"/>
                <w:color w:val="auto"/>
              </w:rPr>
            </w:pPr>
            <w:r>
              <w:rPr>
                <w:rFonts w:ascii="Arial" w:cs="Arial" w:eastAsia="Arial" w:hAnsi="Arial"/>
                <w:sz w:val="14"/>
                <w:szCs w:val="14"/>
                <w:color w:val="auto"/>
              </w:rPr>
              <w:t>7,899,440</w:t>
            </w:r>
          </w:p>
        </w:tc>
        <w:tc>
          <w:tcPr>
            <w:tcW w:w="1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00" w:type="dxa"/>
            <w:vAlign w:val="bottom"/>
          </w:tcPr>
          <w:p>
            <w:pPr>
              <w:jc w:val="right"/>
              <w:spacing w:after="0"/>
              <w:rPr>
                <w:sz w:val="20"/>
                <w:szCs w:val="20"/>
                <w:color w:val="auto"/>
              </w:rPr>
            </w:pPr>
            <w:r>
              <w:rPr>
                <w:rFonts w:ascii="Arial" w:cs="Arial" w:eastAsia="Arial" w:hAnsi="Arial"/>
                <w:sz w:val="14"/>
                <w:szCs w:val="14"/>
                <w:color w:val="auto"/>
              </w:rPr>
              <w:t>7,032,858</w:t>
            </w:r>
          </w:p>
        </w:tc>
        <w:tc>
          <w:tcPr>
            <w:tcW w:w="120" w:type="dxa"/>
            <w:vAlign w:val="bottom"/>
          </w:tcPr>
          <w:p>
            <w:pPr>
              <w:spacing w:after="0"/>
              <w:rPr>
                <w:sz w:val="14"/>
                <w:szCs w:val="14"/>
                <w:color w:val="auto"/>
              </w:rPr>
            </w:pPr>
          </w:p>
        </w:tc>
      </w:tr>
      <w:tr>
        <w:trPr>
          <w:trHeight w:val="162"/>
        </w:trPr>
        <w:tc>
          <w:tcPr>
            <w:tcW w:w="7820" w:type="dxa"/>
            <w:vAlign w:val="bottom"/>
            <w:gridSpan w:val="2"/>
            <w:shd w:val="clear" w:color="auto" w:fill="CCECFF"/>
          </w:tcPr>
          <w:p>
            <w:pPr>
              <w:spacing w:after="0"/>
              <w:rPr>
                <w:sz w:val="20"/>
                <w:szCs w:val="20"/>
                <w:color w:val="auto"/>
              </w:rPr>
            </w:pPr>
            <w:r>
              <w:rPr>
                <w:rFonts w:ascii="Arial" w:cs="Arial" w:eastAsia="Arial" w:hAnsi="Arial"/>
                <w:sz w:val="14"/>
                <w:szCs w:val="14"/>
                <w:color w:val="auto"/>
              </w:rPr>
              <w:t>Receivable for investments sold</w:t>
            </w:r>
          </w:p>
        </w:tc>
        <w:tc>
          <w:tcPr>
            <w:tcW w:w="260" w:type="dxa"/>
            <w:vAlign w:val="bottom"/>
            <w:shd w:val="clear" w:color="auto" w:fill="CCECFF"/>
          </w:tcPr>
          <w:p>
            <w:pPr>
              <w:spacing w:after="0"/>
              <w:rPr>
                <w:sz w:val="14"/>
                <w:szCs w:val="14"/>
                <w:color w:val="auto"/>
              </w:rPr>
            </w:pPr>
          </w:p>
        </w:tc>
        <w:tc>
          <w:tcPr>
            <w:tcW w:w="1240" w:type="dxa"/>
            <w:vAlign w:val="bottom"/>
            <w:shd w:val="clear" w:color="auto" w:fill="CCECFF"/>
          </w:tcPr>
          <w:p>
            <w:pPr>
              <w:jc w:val="right"/>
              <w:spacing w:after="0"/>
              <w:rPr>
                <w:sz w:val="20"/>
                <w:szCs w:val="20"/>
                <w:color w:val="auto"/>
              </w:rPr>
            </w:pPr>
            <w:r>
              <w:rPr>
                <w:rFonts w:ascii="Arial" w:cs="Arial" w:eastAsia="Arial" w:hAnsi="Arial"/>
                <w:sz w:val="14"/>
                <w:szCs w:val="14"/>
                <w:color w:val="auto"/>
              </w:rPr>
              <w:t>12,478,824</w:t>
            </w:r>
          </w:p>
        </w:tc>
        <w:tc>
          <w:tcPr>
            <w:tcW w:w="160" w:type="dxa"/>
            <w:vAlign w:val="bottom"/>
            <w:shd w:val="clear" w:color="auto" w:fill="CCECFF"/>
          </w:tcPr>
          <w:p>
            <w:pPr>
              <w:spacing w:after="0"/>
              <w:rPr>
                <w:sz w:val="14"/>
                <w:szCs w:val="14"/>
                <w:color w:val="auto"/>
              </w:rPr>
            </w:pPr>
          </w:p>
        </w:tc>
        <w:tc>
          <w:tcPr>
            <w:tcW w:w="120" w:type="dxa"/>
            <w:vAlign w:val="bottom"/>
            <w:shd w:val="clear" w:color="auto" w:fill="CCECFF"/>
          </w:tcPr>
          <w:p>
            <w:pPr>
              <w:spacing w:after="0"/>
              <w:rPr>
                <w:sz w:val="14"/>
                <w:szCs w:val="14"/>
                <w:color w:val="auto"/>
              </w:rPr>
            </w:pPr>
          </w:p>
        </w:tc>
        <w:tc>
          <w:tcPr>
            <w:tcW w:w="120" w:type="dxa"/>
            <w:vAlign w:val="bottom"/>
            <w:shd w:val="clear" w:color="auto" w:fill="CCECFF"/>
          </w:tcPr>
          <w:p>
            <w:pPr>
              <w:spacing w:after="0"/>
              <w:rPr>
                <w:sz w:val="14"/>
                <w:szCs w:val="14"/>
                <w:color w:val="auto"/>
              </w:rPr>
            </w:pPr>
          </w:p>
        </w:tc>
        <w:tc>
          <w:tcPr>
            <w:tcW w:w="1520" w:type="dxa"/>
            <w:vAlign w:val="bottom"/>
            <w:gridSpan w:val="2"/>
            <w:shd w:val="clear" w:color="auto" w:fill="CCECFF"/>
          </w:tcPr>
          <w:p>
            <w:pPr>
              <w:jc w:val="right"/>
              <w:ind w:right="140"/>
              <w:spacing w:after="0"/>
              <w:rPr>
                <w:sz w:val="20"/>
                <w:szCs w:val="20"/>
                <w:color w:val="auto"/>
              </w:rPr>
            </w:pPr>
            <w:r>
              <w:rPr>
                <w:rFonts w:ascii="Arial" w:cs="Arial" w:eastAsia="Arial" w:hAnsi="Arial"/>
                <w:sz w:val="14"/>
                <w:szCs w:val="14"/>
                <w:color w:val="auto"/>
              </w:rPr>
              <w:t>—</w:t>
            </w:r>
          </w:p>
        </w:tc>
      </w:tr>
      <w:tr>
        <w:trPr>
          <w:trHeight w:val="162"/>
        </w:trPr>
        <w:tc>
          <w:tcPr>
            <w:tcW w:w="7820" w:type="dxa"/>
            <w:vAlign w:val="bottom"/>
            <w:tcBorders>
              <w:bottom w:val="single" w:sz="8" w:color="CCECFF"/>
            </w:tcBorders>
            <w:gridSpan w:val="2"/>
          </w:tcPr>
          <w:p>
            <w:pPr>
              <w:spacing w:after="0"/>
              <w:rPr>
                <w:sz w:val="20"/>
                <w:szCs w:val="20"/>
                <w:color w:val="auto"/>
              </w:rPr>
            </w:pPr>
            <w:r>
              <w:rPr>
                <w:rFonts w:ascii="Arial" w:cs="Arial" w:eastAsia="Arial" w:hAnsi="Arial"/>
                <w:sz w:val="14"/>
                <w:szCs w:val="14"/>
                <w:color w:val="auto"/>
              </w:rPr>
              <w:t>Prepaid expenses and other assets</w:t>
            </w:r>
          </w:p>
        </w:tc>
        <w:tc>
          <w:tcPr>
            <w:tcW w:w="260" w:type="dxa"/>
            <w:vAlign w:val="bottom"/>
            <w:tcBorders>
              <w:bottom w:val="single" w:sz="8" w:color="auto"/>
            </w:tcBorders>
          </w:tcPr>
          <w:p>
            <w:pPr>
              <w:spacing w:after="0"/>
              <w:rPr>
                <w:sz w:val="14"/>
                <w:szCs w:val="14"/>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5,150,297</w:t>
            </w:r>
          </w:p>
        </w:tc>
        <w:tc>
          <w:tcPr>
            <w:tcW w:w="160" w:type="dxa"/>
            <w:vAlign w:val="bottom"/>
            <w:tcBorders>
              <w:bottom w:val="single" w:sz="8" w:color="CCECFF"/>
            </w:tcBorders>
          </w:tcPr>
          <w:p>
            <w:pPr>
              <w:spacing w:after="0"/>
              <w:rPr>
                <w:sz w:val="14"/>
                <w:szCs w:val="14"/>
                <w:color w:val="auto"/>
              </w:rPr>
            </w:pPr>
          </w:p>
        </w:tc>
        <w:tc>
          <w:tcPr>
            <w:tcW w:w="120" w:type="dxa"/>
            <w:vAlign w:val="bottom"/>
            <w:tcBorders>
              <w:bottom w:val="single" w:sz="8" w:color="CCECFF"/>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14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2,615,232</w:t>
            </w:r>
          </w:p>
        </w:tc>
        <w:tc>
          <w:tcPr>
            <w:tcW w:w="120" w:type="dxa"/>
            <w:vAlign w:val="bottom"/>
            <w:tcBorders>
              <w:bottom w:val="single" w:sz="8" w:color="CCECFF"/>
            </w:tcBorders>
          </w:tcPr>
          <w:p>
            <w:pPr>
              <w:spacing w:after="0"/>
              <w:rPr>
                <w:sz w:val="14"/>
                <w:szCs w:val="14"/>
                <w:color w:val="auto"/>
              </w:rPr>
            </w:pPr>
          </w:p>
        </w:tc>
      </w:tr>
      <w:tr>
        <w:trPr>
          <w:trHeight w:val="155"/>
        </w:trPr>
        <w:tc>
          <w:tcPr>
            <w:tcW w:w="800" w:type="dxa"/>
            <w:vAlign w:val="bottom"/>
            <w:shd w:val="clear" w:color="auto" w:fill="CCECFF"/>
          </w:tcPr>
          <w:p>
            <w:pPr>
              <w:spacing w:after="0"/>
              <w:rPr>
                <w:sz w:val="13"/>
                <w:szCs w:val="13"/>
                <w:color w:val="auto"/>
              </w:rPr>
            </w:pPr>
          </w:p>
        </w:tc>
        <w:tc>
          <w:tcPr>
            <w:tcW w:w="7020" w:type="dxa"/>
            <w:vAlign w:val="bottom"/>
            <w:shd w:val="clear" w:color="auto" w:fill="CCECFF"/>
          </w:tcPr>
          <w:p>
            <w:pPr>
              <w:ind w:left="200"/>
              <w:spacing w:after="0" w:line="155" w:lineRule="exact"/>
              <w:rPr>
                <w:sz w:val="20"/>
                <w:szCs w:val="20"/>
                <w:color w:val="auto"/>
              </w:rPr>
            </w:pPr>
            <w:r>
              <w:rPr>
                <w:rFonts w:ascii="Arial" w:cs="Arial" w:eastAsia="Arial" w:hAnsi="Arial"/>
                <w:sz w:val="14"/>
                <w:szCs w:val="14"/>
                <w:b w:val="1"/>
                <w:bCs w:val="1"/>
                <w:color w:val="auto"/>
              </w:rPr>
              <w:t>Total assets</w:t>
            </w:r>
          </w:p>
        </w:tc>
        <w:tc>
          <w:tcPr>
            <w:tcW w:w="260" w:type="dxa"/>
            <w:vAlign w:val="bottom"/>
            <w:tcBorders>
              <w:bottom w:val="single" w:sz="8" w:color="auto"/>
            </w:tcBorders>
            <w:shd w:val="clear" w:color="auto" w:fill="CCECFF"/>
          </w:tcPr>
          <w:p>
            <w:pPr>
              <w:spacing w:after="0"/>
              <w:rPr>
                <w:sz w:val="13"/>
                <w:szCs w:val="13"/>
                <w:color w:val="auto"/>
              </w:rPr>
            </w:pPr>
          </w:p>
        </w:tc>
        <w:tc>
          <w:tcPr>
            <w:tcW w:w="1240" w:type="dxa"/>
            <w:vAlign w:val="bottom"/>
            <w:tcBorders>
              <w:bottom w:val="single" w:sz="8" w:color="auto"/>
            </w:tcBorders>
            <w:shd w:val="clear" w:color="auto" w:fill="CCECFF"/>
          </w:tcPr>
          <w:p>
            <w:pPr>
              <w:jc w:val="right"/>
              <w:spacing w:after="0" w:line="155" w:lineRule="exact"/>
              <w:rPr>
                <w:sz w:val="20"/>
                <w:szCs w:val="20"/>
                <w:color w:val="auto"/>
              </w:rPr>
            </w:pPr>
            <w:r>
              <w:rPr>
                <w:rFonts w:ascii="Arial" w:cs="Arial" w:eastAsia="Arial" w:hAnsi="Arial"/>
                <w:sz w:val="14"/>
                <w:szCs w:val="14"/>
                <w:color w:val="auto"/>
              </w:rPr>
              <w:t>1,227,648,953</w:t>
            </w:r>
          </w:p>
        </w:tc>
        <w:tc>
          <w:tcPr>
            <w:tcW w:w="160" w:type="dxa"/>
            <w:vAlign w:val="bottom"/>
            <w:shd w:val="clear" w:color="auto" w:fill="CCECFF"/>
          </w:tcPr>
          <w:p>
            <w:pPr>
              <w:spacing w:after="0"/>
              <w:rPr>
                <w:sz w:val="13"/>
                <w:szCs w:val="13"/>
                <w:color w:val="auto"/>
              </w:rPr>
            </w:pPr>
          </w:p>
        </w:tc>
        <w:tc>
          <w:tcPr>
            <w:tcW w:w="120" w:type="dxa"/>
            <w:vAlign w:val="bottom"/>
            <w:shd w:val="clear" w:color="auto" w:fill="CCECFF"/>
          </w:tcPr>
          <w:p>
            <w:pPr>
              <w:spacing w:after="0"/>
              <w:rPr>
                <w:sz w:val="13"/>
                <w:szCs w:val="13"/>
                <w:color w:val="auto"/>
              </w:rPr>
            </w:pPr>
          </w:p>
        </w:tc>
        <w:tc>
          <w:tcPr>
            <w:tcW w:w="120" w:type="dxa"/>
            <w:vAlign w:val="bottom"/>
            <w:tcBorders>
              <w:bottom w:val="single" w:sz="8" w:color="auto"/>
            </w:tcBorders>
            <w:shd w:val="clear" w:color="auto" w:fill="CCECFF"/>
          </w:tcPr>
          <w:p>
            <w:pPr>
              <w:spacing w:after="0"/>
              <w:rPr>
                <w:sz w:val="13"/>
                <w:szCs w:val="13"/>
                <w:color w:val="auto"/>
              </w:rPr>
            </w:pPr>
          </w:p>
        </w:tc>
        <w:tc>
          <w:tcPr>
            <w:tcW w:w="1400" w:type="dxa"/>
            <w:vAlign w:val="bottom"/>
            <w:tcBorders>
              <w:bottom w:val="single" w:sz="8" w:color="auto"/>
            </w:tcBorders>
            <w:shd w:val="clear" w:color="auto" w:fill="CCECFF"/>
          </w:tcPr>
          <w:p>
            <w:pPr>
              <w:jc w:val="right"/>
              <w:spacing w:after="0" w:line="155" w:lineRule="exact"/>
              <w:rPr>
                <w:sz w:val="20"/>
                <w:szCs w:val="20"/>
                <w:color w:val="auto"/>
              </w:rPr>
            </w:pPr>
            <w:r>
              <w:rPr>
                <w:rFonts w:ascii="Arial" w:cs="Arial" w:eastAsia="Arial" w:hAnsi="Arial"/>
                <w:sz w:val="14"/>
                <w:szCs w:val="14"/>
                <w:color w:val="auto"/>
              </w:rPr>
              <w:t>1,238,935,878</w:t>
            </w:r>
          </w:p>
        </w:tc>
        <w:tc>
          <w:tcPr>
            <w:tcW w:w="120" w:type="dxa"/>
            <w:vAlign w:val="bottom"/>
            <w:shd w:val="clear" w:color="auto" w:fill="CCECFF"/>
          </w:tcPr>
          <w:p>
            <w:pPr>
              <w:spacing w:after="0"/>
              <w:rPr>
                <w:sz w:val="13"/>
                <w:szCs w:val="13"/>
                <w:color w:val="auto"/>
              </w:rPr>
            </w:pPr>
          </w:p>
        </w:tc>
      </w:tr>
      <w:tr>
        <w:trPr>
          <w:trHeight w:val="156"/>
        </w:trPr>
        <w:tc>
          <w:tcPr>
            <w:tcW w:w="800" w:type="dxa"/>
            <w:vAlign w:val="bottom"/>
          </w:tcPr>
          <w:p>
            <w:pPr>
              <w:spacing w:after="0" w:line="155" w:lineRule="exact"/>
              <w:rPr>
                <w:sz w:val="20"/>
                <w:szCs w:val="20"/>
                <w:color w:val="auto"/>
              </w:rPr>
            </w:pPr>
            <w:r>
              <w:rPr>
                <w:rFonts w:ascii="Arial" w:cs="Arial" w:eastAsia="Arial" w:hAnsi="Arial"/>
                <w:sz w:val="14"/>
                <w:szCs w:val="14"/>
                <w:b w:val="1"/>
                <w:bCs w:val="1"/>
                <w:color w:val="auto"/>
              </w:rPr>
              <w:t>Liabilities</w:t>
            </w:r>
          </w:p>
        </w:tc>
        <w:tc>
          <w:tcPr>
            <w:tcW w:w="702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2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400" w:type="dxa"/>
            <w:vAlign w:val="bottom"/>
          </w:tcPr>
          <w:p>
            <w:pPr>
              <w:spacing w:after="0"/>
              <w:rPr>
                <w:sz w:val="13"/>
                <w:szCs w:val="13"/>
                <w:color w:val="auto"/>
              </w:rPr>
            </w:pPr>
          </w:p>
        </w:tc>
        <w:tc>
          <w:tcPr>
            <w:tcW w:w="120" w:type="dxa"/>
            <w:vAlign w:val="bottom"/>
          </w:tcPr>
          <w:p>
            <w:pPr>
              <w:spacing w:after="0"/>
              <w:rPr>
                <w:sz w:val="13"/>
                <w:szCs w:val="13"/>
                <w:color w:val="auto"/>
              </w:rPr>
            </w:pPr>
          </w:p>
        </w:tc>
      </w:tr>
      <w:tr>
        <w:trPr>
          <w:trHeight w:val="162"/>
        </w:trPr>
        <w:tc>
          <w:tcPr>
            <w:tcW w:w="7820" w:type="dxa"/>
            <w:vAlign w:val="bottom"/>
            <w:gridSpan w:val="2"/>
            <w:shd w:val="clear" w:color="auto" w:fill="CCECFF"/>
          </w:tcPr>
          <w:p>
            <w:pPr>
              <w:spacing w:after="0"/>
              <w:rPr>
                <w:sz w:val="20"/>
                <w:szCs w:val="20"/>
                <w:color w:val="auto"/>
              </w:rPr>
            </w:pPr>
            <w:r>
              <w:rPr>
                <w:rFonts w:ascii="Arial" w:cs="Arial" w:eastAsia="Arial" w:hAnsi="Arial"/>
                <w:sz w:val="14"/>
                <w:szCs w:val="14"/>
                <w:color w:val="auto"/>
              </w:rPr>
              <w:t>Distributions payable</w:t>
            </w:r>
          </w:p>
        </w:tc>
        <w:tc>
          <w:tcPr>
            <w:tcW w:w="260" w:type="dxa"/>
            <w:vAlign w:val="bottom"/>
            <w:shd w:val="clear" w:color="auto" w:fill="CCECFF"/>
          </w:tcPr>
          <w:p>
            <w:pPr>
              <w:spacing w:after="0"/>
              <w:rPr>
                <w:sz w:val="14"/>
                <w:szCs w:val="14"/>
                <w:color w:val="auto"/>
              </w:rPr>
            </w:pPr>
          </w:p>
        </w:tc>
        <w:tc>
          <w:tcPr>
            <w:tcW w:w="1240" w:type="dxa"/>
            <w:vAlign w:val="bottom"/>
            <w:shd w:val="clear" w:color="auto" w:fill="CCECFF"/>
          </w:tcPr>
          <w:p>
            <w:pPr>
              <w:jc w:val="right"/>
              <w:spacing w:after="0"/>
              <w:rPr>
                <w:sz w:val="20"/>
                <w:szCs w:val="20"/>
                <w:color w:val="auto"/>
              </w:rPr>
            </w:pPr>
            <w:r>
              <w:rPr>
                <w:rFonts w:ascii="Arial" w:cs="Arial" w:eastAsia="Arial" w:hAnsi="Arial"/>
                <w:sz w:val="14"/>
                <w:szCs w:val="14"/>
                <w:color w:val="auto"/>
              </w:rPr>
              <w:t>12,790,950</w:t>
            </w:r>
          </w:p>
        </w:tc>
        <w:tc>
          <w:tcPr>
            <w:tcW w:w="160" w:type="dxa"/>
            <w:vAlign w:val="bottom"/>
            <w:shd w:val="clear" w:color="auto" w:fill="CCECFF"/>
          </w:tcPr>
          <w:p>
            <w:pPr>
              <w:spacing w:after="0"/>
              <w:rPr>
                <w:sz w:val="14"/>
                <w:szCs w:val="14"/>
                <w:color w:val="auto"/>
              </w:rPr>
            </w:pPr>
          </w:p>
        </w:tc>
        <w:tc>
          <w:tcPr>
            <w:tcW w:w="120" w:type="dxa"/>
            <w:vAlign w:val="bottom"/>
            <w:shd w:val="clear" w:color="auto" w:fill="CCECFF"/>
          </w:tcPr>
          <w:p>
            <w:pPr>
              <w:spacing w:after="0"/>
              <w:rPr>
                <w:sz w:val="14"/>
                <w:szCs w:val="14"/>
                <w:color w:val="auto"/>
              </w:rPr>
            </w:pPr>
          </w:p>
        </w:tc>
        <w:tc>
          <w:tcPr>
            <w:tcW w:w="120" w:type="dxa"/>
            <w:vAlign w:val="bottom"/>
            <w:shd w:val="clear" w:color="auto" w:fill="CCECFF"/>
          </w:tcPr>
          <w:p>
            <w:pPr>
              <w:spacing w:after="0"/>
              <w:rPr>
                <w:sz w:val="14"/>
                <w:szCs w:val="14"/>
                <w:color w:val="auto"/>
              </w:rPr>
            </w:pPr>
          </w:p>
        </w:tc>
        <w:tc>
          <w:tcPr>
            <w:tcW w:w="1400" w:type="dxa"/>
            <w:vAlign w:val="bottom"/>
            <w:shd w:val="clear" w:color="auto" w:fill="CCECFF"/>
          </w:tcPr>
          <w:p>
            <w:pPr>
              <w:jc w:val="right"/>
              <w:spacing w:after="0"/>
              <w:rPr>
                <w:sz w:val="20"/>
                <w:szCs w:val="20"/>
                <w:color w:val="auto"/>
              </w:rPr>
            </w:pPr>
            <w:r>
              <w:rPr>
                <w:rFonts w:ascii="Arial" w:cs="Arial" w:eastAsia="Arial" w:hAnsi="Arial"/>
                <w:sz w:val="14"/>
                <w:szCs w:val="14"/>
                <w:color w:val="auto"/>
              </w:rPr>
              <w:t>19,897,034</w:t>
            </w:r>
          </w:p>
        </w:tc>
        <w:tc>
          <w:tcPr>
            <w:tcW w:w="120" w:type="dxa"/>
            <w:vAlign w:val="bottom"/>
            <w:shd w:val="clear" w:color="auto" w:fill="CCECFF"/>
          </w:tcPr>
          <w:p>
            <w:pPr>
              <w:spacing w:after="0"/>
              <w:rPr>
                <w:sz w:val="14"/>
                <w:szCs w:val="14"/>
                <w:color w:val="auto"/>
              </w:rPr>
            </w:pPr>
          </w:p>
        </w:tc>
      </w:tr>
      <w:tr>
        <w:trPr>
          <w:trHeight w:val="162"/>
        </w:trPr>
        <w:tc>
          <w:tcPr>
            <w:tcW w:w="7820" w:type="dxa"/>
            <w:vAlign w:val="bottom"/>
            <w:gridSpan w:val="2"/>
          </w:tcPr>
          <w:p>
            <w:pPr>
              <w:spacing w:after="0"/>
              <w:rPr>
                <w:sz w:val="20"/>
                <w:szCs w:val="20"/>
                <w:color w:val="auto"/>
              </w:rPr>
            </w:pPr>
            <w:r>
              <w:rPr>
                <w:rFonts w:ascii="Arial" w:cs="Arial" w:eastAsia="Arial" w:hAnsi="Arial"/>
                <w:sz w:val="14"/>
                <w:szCs w:val="14"/>
                <w:color w:val="auto"/>
              </w:rPr>
              <w:t>Credit Facility payable (cost—$82,105,300 and $50,339,700, respectively) (See Notes 5 and 10)</w:t>
            </w:r>
          </w:p>
        </w:tc>
        <w:tc>
          <w:tcPr>
            <w:tcW w:w="260" w:type="dxa"/>
            <w:vAlign w:val="bottom"/>
          </w:tcPr>
          <w:p>
            <w:pPr>
              <w:spacing w:after="0"/>
              <w:rPr>
                <w:sz w:val="14"/>
                <w:szCs w:val="14"/>
                <w:color w:val="auto"/>
              </w:rPr>
            </w:pPr>
          </w:p>
        </w:tc>
        <w:tc>
          <w:tcPr>
            <w:tcW w:w="1240" w:type="dxa"/>
            <w:vAlign w:val="bottom"/>
          </w:tcPr>
          <w:p>
            <w:pPr>
              <w:jc w:val="right"/>
              <w:spacing w:after="0"/>
              <w:rPr>
                <w:sz w:val="20"/>
                <w:szCs w:val="20"/>
                <w:color w:val="auto"/>
              </w:rPr>
            </w:pPr>
            <w:r>
              <w:rPr>
                <w:rFonts w:ascii="Arial" w:cs="Arial" w:eastAsia="Arial" w:hAnsi="Arial"/>
                <w:sz w:val="14"/>
                <w:szCs w:val="14"/>
                <w:color w:val="auto"/>
              </w:rPr>
              <w:t>75,908,513</w:t>
            </w:r>
          </w:p>
        </w:tc>
        <w:tc>
          <w:tcPr>
            <w:tcW w:w="1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00" w:type="dxa"/>
            <w:vAlign w:val="bottom"/>
          </w:tcPr>
          <w:p>
            <w:pPr>
              <w:jc w:val="right"/>
              <w:spacing w:after="0"/>
              <w:rPr>
                <w:sz w:val="20"/>
                <w:szCs w:val="20"/>
                <w:color w:val="auto"/>
              </w:rPr>
            </w:pPr>
            <w:r>
              <w:rPr>
                <w:rFonts w:ascii="Arial" w:cs="Arial" w:eastAsia="Arial" w:hAnsi="Arial"/>
                <w:sz w:val="14"/>
                <w:szCs w:val="14"/>
                <w:color w:val="auto"/>
              </w:rPr>
              <w:t>39,551,187</w:t>
            </w:r>
          </w:p>
        </w:tc>
        <w:tc>
          <w:tcPr>
            <w:tcW w:w="120" w:type="dxa"/>
            <w:vAlign w:val="bottom"/>
          </w:tcPr>
          <w:p>
            <w:pPr>
              <w:spacing w:after="0"/>
              <w:rPr>
                <w:sz w:val="14"/>
                <w:szCs w:val="14"/>
                <w:color w:val="auto"/>
              </w:rPr>
            </w:pPr>
          </w:p>
        </w:tc>
      </w:tr>
      <w:tr>
        <w:trPr>
          <w:trHeight w:val="162"/>
        </w:trPr>
        <w:tc>
          <w:tcPr>
            <w:tcW w:w="7820" w:type="dxa"/>
            <w:vAlign w:val="bottom"/>
            <w:gridSpan w:val="2"/>
            <w:shd w:val="clear" w:color="auto" w:fill="CCECFF"/>
          </w:tcPr>
          <w:p>
            <w:pPr>
              <w:spacing w:after="0"/>
              <w:rPr>
                <w:sz w:val="20"/>
                <w:szCs w:val="20"/>
                <w:color w:val="auto"/>
              </w:rPr>
            </w:pPr>
            <w:r>
              <w:rPr>
                <w:rFonts w:ascii="Arial" w:cs="Arial" w:eastAsia="Arial" w:hAnsi="Arial"/>
                <w:sz w:val="14"/>
                <w:szCs w:val="14"/>
                <w:color w:val="auto"/>
              </w:rPr>
              <w:t>2019 Notes payable (par—$250,000,000) (See Notes 5 and 10)</w:t>
            </w:r>
          </w:p>
        </w:tc>
        <w:tc>
          <w:tcPr>
            <w:tcW w:w="260" w:type="dxa"/>
            <w:vAlign w:val="bottom"/>
            <w:shd w:val="clear" w:color="auto" w:fill="CCECFF"/>
          </w:tcPr>
          <w:p>
            <w:pPr>
              <w:spacing w:after="0"/>
              <w:rPr>
                <w:sz w:val="14"/>
                <w:szCs w:val="14"/>
                <w:color w:val="auto"/>
              </w:rPr>
            </w:pPr>
          </w:p>
        </w:tc>
        <w:tc>
          <w:tcPr>
            <w:tcW w:w="1240" w:type="dxa"/>
            <w:vAlign w:val="bottom"/>
            <w:shd w:val="clear" w:color="auto" w:fill="CCECFF"/>
          </w:tcPr>
          <w:p>
            <w:pPr>
              <w:jc w:val="right"/>
              <w:spacing w:after="0"/>
              <w:rPr>
                <w:sz w:val="20"/>
                <w:szCs w:val="20"/>
                <w:color w:val="auto"/>
              </w:rPr>
            </w:pPr>
            <w:r>
              <w:rPr>
                <w:rFonts w:ascii="Arial" w:cs="Arial" w:eastAsia="Arial" w:hAnsi="Arial"/>
                <w:sz w:val="14"/>
                <w:szCs w:val="14"/>
                <w:color w:val="auto"/>
              </w:rPr>
              <w:t>253,375,000</w:t>
            </w:r>
          </w:p>
        </w:tc>
        <w:tc>
          <w:tcPr>
            <w:tcW w:w="160" w:type="dxa"/>
            <w:vAlign w:val="bottom"/>
            <w:shd w:val="clear" w:color="auto" w:fill="CCECFF"/>
          </w:tcPr>
          <w:p>
            <w:pPr>
              <w:spacing w:after="0"/>
              <w:rPr>
                <w:sz w:val="14"/>
                <w:szCs w:val="14"/>
                <w:color w:val="auto"/>
              </w:rPr>
            </w:pPr>
          </w:p>
        </w:tc>
        <w:tc>
          <w:tcPr>
            <w:tcW w:w="120" w:type="dxa"/>
            <w:vAlign w:val="bottom"/>
            <w:shd w:val="clear" w:color="auto" w:fill="CCECFF"/>
          </w:tcPr>
          <w:p>
            <w:pPr>
              <w:spacing w:after="0"/>
              <w:rPr>
                <w:sz w:val="14"/>
                <w:szCs w:val="14"/>
                <w:color w:val="auto"/>
              </w:rPr>
            </w:pPr>
          </w:p>
        </w:tc>
        <w:tc>
          <w:tcPr>
            <w:tcW w:w="120" w:type="dxa"/>
            <w:vAlign w:val="bottom"/>
            <w:shd w:val="clear" w:color="auto" w:fill="CCECFF"/>
          </w:tcPr>
          <w:p>
            <w:pPr>
              <w:spacing w:after="0"/>
              <w:rPr>
                <w:sz w:val="14"/>
                <w:szCs w:val="14"/>
                <w:color w:val="auto"/>
              </w:rPr>
            </w:pPr>
          </w:p>
        </w:tc>
        <w:tc>
          <w:tcPr>
            <w:tcW w:w="1400" w:type="dxa"/>
            <w:vAlign w:val="bottom"/>
            <w:shd w:val="clear" w:color="auto" w:fill="CCECFF"/>
          </w:tcPr>
          <w:p>
            <w:pPr>
              <w:jc w:val="right"/>
              <w:spacing w:after="0"/>
              <w:rPr>
                <w:sz w:val="20"/>
                <w:szCs w:val="20"/>
                <w:color w:val="auto"/>
              </w:rPr>
            </w:pPr>
            <w:r>
              <w:rPr>
                <w:rFonts w:ascii="Arial" w:cs="Arial" w:eastAsia="Arial" w:hAnsi="Arial"/>
                <w:sz w:val="14"/>
                <w:szCs w:val="14"/>
                <w:color w:val="auto"/>
              </w:rPr>
              <w:t>254,175,000</w:t>
            </w:r>
          </w:p>
        </w:tc>
        <w:tc>
          <w:tcPr>
            <w:tcW w:w="120" w:type="dxa"/>
            <w:vAlign w:val="bottom"/>
            <w:shd w:val="clear" w:color="auto" w:fill="CCECFF"/>
          </w:tcPr>
          <w:p>
            <w:pPr>
              <w:spacing w:after="0"/>
              <w:rPr>
                <w:sz w:val="14"/>
                <w:szCs w:val="14"/>
                <w:color w:val="auto"/>
              </w:rPr>
            </w:pPr>
          </w:p>
        </w:tc>
      </w:tr>
      <w:tr>
        <w:trPr>
          <w:trHeight w:val="162"/>
        </w:trPr>
        <w:tc>
          <w:tcPr>
            <w:tcW w:w="7820" w:type="dxa"/>
            <w:vAlign w:val="bottom"/>
            <w:gridSpan w:val="2"/>
          </w:tcPr>
          <w:p>
            <w:pPr>
              <w:spacing w:after="0"/>
              <w:rPr>
                <w:sz w:val="20"/>
                <w:szCs w:val="20"/>
                <w:color w:val="auto"/>
              </w:rPr>
            </w:pPr>
            <w:r>
              <w:rPr>
                <w:rFonts w:ascii="Arial" w:cs="Arial" w:eastAsia="Arial" w:hAnsi="Arial"/>
                <w:sz w:val="14"/>
                <w:szCs w:val="14"/>
                <w:color w:val="auto"/>
              </w:rPr>
              <w:t>2025 Notes payable (par—zero and $71,250,000, respectively) (See Notes 5 and 10)</w:t>
            </w:r>
          </w:p>
        </w:tc>
        <w:tc>
          <w:tcPr>
            <w:tcW w:w="260" w:type="dxa"/>
            <w:vAlign w:val="bottom"/>
          </w:tcPr>
          <w:p>
            <w:pPr>
              <w:spacing w:after="0"/>
              <w:rPr>
                <w:sz w:val="14"/>
                <w:szCs w:val="14"/>
                <w:color w:val="auto"/>
              </w:rPr>
            </w:pPr>
          </w:p>
        </w:tc>
        <w:tc>
          <w:tcPr>
            <w:tcW w:w="140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00" w:type="dxa"/>
            <w:vAlign w:val="bottom"/>
          </w:tcPr>
          <w:p>
            <w:pPr>
              <w:jc w:val="right"/>
              <w:spacing w:after="0"/>
              <w:rPr>
                <w:sz w:val="20"/>
                <w:szCs w:val="20"/>
                <w:color w:val="auto"/>
              </w:rPr>
            </w:pPr>
            <w:r>
              <w:rPr>
                <w:rFonts w:ascii="Arial" w:cs="Arial" w:eastAsia="Arial" w:hAnsi="Arial"/>
                <w:sz w:val="14"/>
                <w:szCs w:val="14"/>
                <w:color w:val="auto"/>
              </w:rPr>
              <w:t>72,618,000</w:t>
            </w:r>
          </w:p>
        </w:tc>
        <w:tc>
          <w:tcPr>
            <w:tcW w:w="120" w:type="dxa"/>
            <w:vAlign w:val="bottom"/>
          </w:tcPr>
          <w:p>
            <w:pPr>
              <w:spacing w:after="0"/>
              <w:rPr>
                <w:sz w:val="14"/>
                <w:szCs w:val="14"/>
                <w:color w:val="auto"/>
              </w:rPr>
            </w:pPr>
          </w:p>
        </w:tc>
      </w:tr>
      <w:tr>
        <w:trPr>
          <w:trHeight w:val="162"/>
        </w:trPr>
        <w:tc>
          <w:tcPr>
            <w:tcW w:w="7820" w:type="dxa"/>
            <w:vAlign w:val="bottom"/>
            <w:gridSpan w:val="2"/>
            <w:shd w:val="clear" w:color="auto" w:fill="CCECFF"/>
          </w:tcPr>
          <w:p>
            <w:pPr>
              <w:spacing w:after="0"/>
              <w:rPr>
                <w:sz w:val="20"/>
                <w:szCs w:val="20"/>
                <w:color w:val="auto"/>
              </w:rPr>
            </w:pPr>
            <w:r>
              <w:rPr>
                <w:rFonts w:ascii="Arial" w:cs="Arial" w:eastAsia="Arial" w:hAnsi="Arial"/>
                <w:sz w:val="14"/>
                <w:szCs w:val="14"/>
                <w:color w:val="auto"/>
              </w:rPr>
              <w:t>SBA debentures payable, net (par—$225,000,000 and $197,500,000, respectively) (See Notes 5 and 10)</w:t>
            </w:r>
          </w:p>
        </w:tc>
        <w:tc>
          <w:tcPr>
            <w:tcW w:w="260" w:type="dxa"/>
            <w:vAlign w:val="bottom"/>
            <w:shd w:val="clear" w:color="auto" w:fill="CCECFF"/>
          </w:tcPr>
          <w:p>
            <w:pPr>
              <w:spacing w:after="0"/>
              <w:rPr>
                <w:sz w:val="14"/>
                <w:szCs w:val="14"/>
                <w:color w:val="auto"/>
              </w:rPr>
            </w:pPr>
          </w:p>
        </w:tc>
        <w:tc>
          <w:tcPr>
            <w:tcW w:w="1240" w:type="dxa"/>
            <w:vAlign w:val="bottom"/>
            <w:shd w:val="clear" w:color="auto" w:fill="CCECFF"/>
          </w:tcPr>
          <w:p>
            <w:pPr>
              <w:jc w:val="right"/>
              <w:spacing w:after="0"/>
              <w:rPr>
                <w:sz w:val="20"/>
                <w:szCs w:val="20"/>
                <w:color w:val="auto"/>
              </w:rPr>
            </w:pPr>
            <w:r>
              <w:rPr>
                <w:rFonts w:ascii="Arial" w:cs="Arial" w:eastAsia="Arial" w:hAnsi="Arial"/>
                <w:sz w:val="14"/>
                <w:szCs w:val="14"/>
                <w:color w:val="auto"/>
              </w:rPr>
              <w:t>220,590,278</w:t>
            </w:r>
          </w:p>
        </w:tc>
        <w:tc>
          <w:tcPr>
            <w:tcW w:w="160" w:type="dxa"/>
            <w:vAlign w:val="bottom"/>
            <w:shd w:val="clear" w:color="auto" w:fill="CCECFF"/>
          </w:tcPr>
          <w:p>
            <w:pPr>
              <w:spacing w:after="0"/>
              <w:rPr>
                <w:sz w:val="14"/>
                <w:szCs w:val="14"/>
                <w:color w:val="auto"/>
              </w:rPr>
            </w:pPr>
          </w:p>
        </w:tc>
        <w:tc>
          <w:tcPr>
            <w:tcW w:w="120" w:type="dxa"/>
            <w:vAlign w:val="bottom"/>
            <w:shd w:val="clear" w:color="auto" w:fill="CCECFF"/>
          </w:tcPr>
          <w:p>
            <w:pPr>
              <w:spacing w:after="0"/>
              <w:rPr>
                <w:sz w:val="14"/>
                <w:szCs w:val="14"/>
                <w:color w:val="auto"/>
              </w:rPr>
            </w:pPr>
          </w:p>
        </w:tc>
        <w:tc>
          <w:tcPr>
            <w:tcW w:w="120" w:type="dxa"/>
            <w:vAlign w:val="bottom"/>
            <w:shd w:val="clear" w:color="auto" w:fill="CCECFF"/>
          </w:tcPr>
          <w:p>
            <w:pPr>
              <w:spacing w:after="0"/>
              <w:rPr>
                <w:sz w:val="14"/>
                <w:szCs w:val="14"/>
                <w:color w:val="auto"/>
              </w:rPr>
            </w:pPr>
          </w:p>
        </w:tc>
        <w:tc>
          <w:tcPr>
            <w:tcW w:w="1400" w:type="dxa"/>
            <w:vAlign w:val="bottom"/>
            <w:shd w:val="clear" w:color="auto" w:fill="CCECFF"/>
          </w:tcPr>
          <w:p>
            <w:pPr>
              <w:jc w:val="right"/>
              <w:spacing w:after="0"/>
              <w:rPr>
                <w:sz w:val="20"/>
                <w:szCs w:val="20"/>
                <w:color w:val="auto"/>
              </w:rPr>
            </w:pPr>
            <w:r>
              <w:rPr>
                <w:rFonts w:ascii="Arial" w:cs="Arial" w:eastAsia="Arial" w:hAnsi="Arial"/>
                <w:sz w:val="14"/>
                <w:szCs w:val="14"/>
                <w:color w:val="auto"/>
              </w:rPr>
              <w:t>193,244,534</w:t>
            </w:r>
          </w:p>
        </w:tc>
        <w:tc>
          <w:tcPr>
            <w:tcW w:w="120" w:type="dxa"/>
            <w:vAlign w:val="bottom"/>
            <w:shd w:val="clear" w:color="auto" w:fill="CCECFF"/>
          </w:tcPr>
          <w:p>
            <w:pPr>
              <w:spacing w:after="0"/>
              <w:rPr>
                <w:sz w:val="14"/>
                <w:szCs w:val="14"/>
                <w:color w:val="auto"/>
              </w:rPr>
            </w:pPr>
          </w:p>
        </w:tc>
      </w:tr>
      <w:tr>
        <w:trPr>
          <w:trHeight w:val="162"/>
        </w:trPr>
        <w:tc>
          <w:tcPr>
            <w:tcW w:w="7820" w:type="dxa"/>
            <w:vAlign w:val="bottom"/>
            <w:gridSpan w:val="2"/>
          </w:tcPr>
          <w:p>
            <w:pPr>
              <w:spacing w:after="0"/>
              <w:rPr>
                <w:sz w:val="20"/>
                <w:szCs w:val="20"/>
                <w:color w:val="auto"/>
              </w:rPr>
            </w:pPr>
            <w:r>
              <w:rPr>
                <w:rFonts w:ascii="Arial" w:cs="Arial" w:eastAsia="Arial" w:hAnsi="Arial"/>
                <w:sz w:val="14"/>
                <w:szCs w:val="14"/>
                <w:color w:val="auto"/>
              </w:rPr>
              <w:t>Base management fee payable, net (See Note 3)</w:t>
            </w:r>
          </w:p>
        </w:tc>
        <w:tc>
          <w:tcPr>
            <w:tcW w:w="260" w:type="dxa"/>
            <w:vAlign w:val="bottom"/>
          </w:tcPr>
          <w:p>
            <w:pPr>
              <w:spacing w:after="0"/>
              <w:rPr>
                <w:sz w:val="14"/>
                <w:szCs w:val="14"/>
                <w:color w:val="auto"/>
              </w:rPr>
            </w:pPr>
          </w:p>
        </w:tc>
        <w:tc>
          <w:tcPr>
            <w:tcW w:w="1240" w:type="dxa"/>
            <w:vAlign w:val="bottom"/>
          </w:tcPr>
          <w:p>
            <w:pPr>
              <w:jc w:val="right"/>
              <w:spacing w:after="0"/>
              <w:rPr>
                <w:sz w:val="20"/>
                <w:szCs w:val="20"/>
                <w:color w:val="auto"/>
              </w:rPr>
            </w:pPr>
            <w:r>
              <w:rPr>
                <w:rFonts w:ascii="Arial" w:cs="Arial" w:eastAsia="Arial" w:hAnsi="Arial"/>
                <w:sz w:val="14"/>
                <w:szCs w:val="14"/>
                <w:color w:val="auto"/>
              </w:rPr>
              <w:t>4,907,784</w:t>
            </w:r>
          </w:p>
        </w:tc>
        <w:tc>
          <w:tcPr>
            <w:tcW w:w="1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00" w:type="dxa"/>
            <w:vAlign w:val="bottom"/>
          </w:tcPr>
          <w:p>
            <w:pPr>
              <w:jc w:val="right"/>
              <w:spacing w:after="0"/>
              <w:rPr>
                <w:sz w:val="20"/>
                <w:szCs w:val="20"/>
                <w:color w:val="auto"/>
              </w:rPr>
            </w:pPr>
            <w:r>
              <w:rPr>
                <w:rFonts w:ascii="Arial" w:cs="Arial" w:eastAsia="Arial" w:hAnsi="Arial"/>
                <w:sz w:val="14"/>
                <w:szCs w:val="14"/>
                <w:color w:val="auto"/>
              </w:rPr>
              <w:t>5,074,830</w:t>
            </w:r>
          </w:p>
        </w:tc>
        <w:tc>
          <w:tcPr>
            <w:tcW w:w="120" w:type="dxa"/>
            <w:vAlign w:val="bottom"/>
          </w:tcPr>
          <w:p>
            <w:pPr>
              <w:spacing w:after="0"/>
              <w:rPr>
                <w:sz w:val="14"/>
                <w:szCs w:val="14"/>
                <w:color w:val="auto"/>
              </w:rPr>
            </w:pPr>
          </w:p>
        </w:tc>
      </w:tr>
      <w:tr>
        <w:trPr>
          <w:trHeight w:val="162"/>
        </w:trPr>
        <w:tc>
          <w:tcPr>
            <w:tcW w:w="7820" w:type="dxa"/>
            <w:vAlign w:val="bottom"/>
            <w:gridSpan w:val="2"/>
            <w:shd w:val="clear" w:color="auto" w:fill="CCECFF"/>
          </w:tcPr>
          <w:p>
            <w:pPr>
              <w:spacing w:after="0"/>
              <w:rPr>
                <w:sz w:val="20"/>
                <w:szCs w:val="20"/>
                <w:color w:val="auto"/>
              </w:rPr>
            </w:pPr>
            <w:r>
              <w:rPr>
                <w:rFonts w:ascii="Arial" w:cs="Arial" w:eastAsia="Arial" w:hAnsi="Arial"/>
                <w:sz w:val="14"/>
                <w:szCs w:val="14"/>
                <w:color w:val="auto"/>
              </w:rPr>
              <w:t>Performance-based incentive fee payable, net (See Note 3)</w:t>
            </w:r>
          </w:p>
        </w:tc>
        <w:tc>
          <w:tcPr>
            <w:tcW w:w="260" w:type="dxa"/>
            <w:vAlign w:val="bottom"/>
            <w:shd w:val="clear" w:color="auto" w:fill="CCECFF"/>
          </w:tcPr>
          <w:p>
            <w:pPr>
              <w:spacing w:after="0"/>
              <w:rPr>
                <w:sz w:val="14"/>
                <w:szCs w:val="14"/>
                <w:color w:val="auto"/>
              </w:rPr>
            </w:pPr>
          </w:p>
        </w:tc>
        <w:tc>
          <w:tcPr>
            <w:tcW w:w="1240" w:type="dxa"/>
            <w:vAlign w:val="bottom"/>
            <w:shd w:val="clear" w:color="auto" w:fill="CCECFF"/>
          </w:tcPr>
          <w:p>
            <w:pPr>
              <w:jc w:val="right"/>
              <w:spacing w:after="0"/>
              <w:rPr>
                <w:sz w:val="20"/>
                <w:szCs w:val="20"/>
                <w:color w:val="auto"/>
              </w:rPr>
            </w:pPr>
            <w:r>
              <w:rPr>
                <w:rFonts w:ascii="Arial" w:cs="Arial" w:eastAsia="Arial" w:hAnsi="Arial"/>
                <w:sz w:val="14"/>
                <w:szCs w:val="14"/>
                <w:color w:val="auto"/>
              </w:rPr>
              <w:t>1,140,859</w:t>
            </w:r>
          </w:p>
        </w:tc>
        <w:tc>
          <w:tcPr>
            <w:tcW w:w="160" w:type="dxa"/>
            <w:vAlign w:val="bottom"/>
            <w:shd w:val="clear" w:color="auto" w:fill="CCECFF"/>
          </w:tcPr>
          <w:p>
            <w:pPr>
              <w:spacing w:after="0"/>
              <w:rPr>
                <w:sz w:val="14"/>
                <w:szCs w:val="14"/>
                <w:color w:val="auto"/>
              </w:rPr>
            </w:pPr>
          </w:p>
        </w:tc>
        <w:tc>
          <w:tcPr>
            <w:tcW w:w="120" w:type="dxa"/>
            <w:vAlign w:val="bottom"/>
            <w:shd w:val="clear" w:color="auto" w:fill="CCECFF"/>
          </w:tcPr>
          <w:p>
            <w:pPr>
              <w:spacing w:after="0"/>
              <w:rPr>
                <w:sz w:val="14"/>
                <w:szCs w:val="14"/>
                <w:color w:val="auto"/>
              </w:rPr>
            </w:pPr>
          </w:p>
        </w:tc>
        <w:tc>
          <w:tcPr>
            <w:tcW w:w="120" w:type="dxa"/>
            <w:vAlign w:val="bottom"/>
            <w:shd w:val="clear" w:color="auto" w:fill="CCECFF"/>
          </w:tcPr>
          <w:p>
            <w:pPr>
              <w:spacing w:after="0"/>
              <w:rPr>
                <w:sz w:val="14"/>
                <w:szCs w:val="14"/>
                <w:color w:val="auto"/>
              </w:rPr>
            </w:pPr>
          </w:p>
        </w:tc>
        <w:tc>
          <w:tcPr>
            <w:tcW w:w="1400" w:type="dxa"/>
            <w:vAlign w:val="bottom"/>
            <w:shd w:val="clear" w:color="auto" w:fill="CCECFF"/>
          </w:tcPr>
          <w:p>
            <w:pPr>
              <w:jc w:val="right"/>
              <w:spacing w:after="0"/>
              <w:rPr>
                <w:sz w:val="20"/>
                <w:szCs w:val="20"/>
                <w:color w:val="auto"/>
              </w:rPr>
            </w:pPr>
            <w:r>
              <w:rPr>
                <w:rFonts w:ascii="Arial" w:cs="Arial" w:eastAsia="Arial" w:hAnsi="Arial"/>
                <w:sz w:val="14"/>
                <w:szCs w:val="14"/>
                <w:color w:val="auto"/>
              </w:rPr>
              <w:t>2,865,444</w:t>
            </w:r>
          </w:p>
        </w:tc>
        <w:tc>
          <w:tcPr>
            <w:tcW w:w="120" w:type="dxa"/>
            <w:vAlign w:val="bottom"/>
            <w:shd w:val="clear" w:color="auto" w:fill="CCECFF"/>
          </w:tcPr>
          <w:p>
            <w:pPr>
              <w:spacing w:after="0"/>
              <w:rPr>
                <w:sz w:val="14"/>
                <w:szCs w:val="14"/>
                <w:color w:val="auto"/>
              </w:rPr>
            </w:pPr>
          </w:p>
        </w:tc>
      </w:tr>
      <w:tr>
        <w:trPr>
          <w:trHeight w:val="162"/>
        </w:trPr>
        <w:tc>
          <w:tcPr>
            <w:tcW w:w="7820" w:type="dxa"/>
            <w:vAlign w:val="bottom"/>
            <w:gridSpan w:val="2"/>
          </w:tcPr>
          <w:p>
            <w:pPr>
              <w:spacing w:after="0"/>
              <w:rPr>
                <w:sz w:val="20"/>
                <w:szCs w:val="20"/>
                <w:color w:val="auto"/>
              </w:rPr>
            </w:pPr>
            <w:r>
              <w:rPr>
                <w:rFonts w:ascii="Arial" w:cs="Arial" w:eastAsia="Arial" w:hAnsi="Arial"/>
                <w:sz w:val="14"/>
                <w:szCs w:val="14"/>
                <w:color w:val="auto"/>
              </w:rPr>
              <w:t>Interest payable on debt</w:t>
            </w:r>
          </w:p>
        </w:tc>
        <w:tc>
          <w:tcPr>
            <w:tcW w:w="260" w:type="dxa"/>
            <w:vAlign w:val="bottom"/>
          </w:tcPr>
          <w:p>
            <w:pPr>
              <w:spacing w:after="0"/>
              <w:rPr>
                <w:sz w:val="14"/>
                <w:szCs w:val="14"/>
                <w:color w:val="auto"/>
              </w:rPr>
            </w:pPr>
          </w:p>
        </w:tc>
        <w:tc>
          <w:tcPr>
            <w:tcW w:w="1240" w:type="dxa"/>
            <w:vAlign w:val="bottom"/>
          </w:tcPr>
          <w:p>
            <w:pPr>
              <w:jc w:val="right"/>
              <w:spacing w:after="0"/>
              <w:rPr>
                <w:sz w:val="20"/>
                <w:szCs w:val="20"/>
                <w:color w:val="auto"/>
              </w:rPr>
            </w:pPr>
            <w:r>
              <w:rPr>
                <w:rFonts w:ascii="Arial" w:cs="Arial" w:eastAsia="Arial" w:hAnsi="Arial"/>
                <w:sz w:val="14"/>
                <w:szCs w:val="14"/>
                <w:color w:val="auto"/>
              </w:rPr>
              <w:t>5,962,316</w:t>
            </w:r>
          </w:p>
        </w:tc>
        <w:tc>
          <w:tcPr>
            <w:tcW w:w="1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00" w:type="dxa"/>
            <w:vAlign w:val="bottom"/>
          </w:tcPr>
          <w:p>
            <w:pPr>
              <w:jc w:val="right"/>
              <w:spacing w:after="0"/>
              <w:rPr>
                <w:sz w:val="20"/>
                <w:szCs w:val="20"/>
                <w:color w:val="auto"/>
              </w:rPr>
            </w:pPr>
            <w:r>
              <w:rPr>
                <w:rFonts w:ascii="Arial" w:cs="Arial" w:eastAsia="Arial" w:hAnsi="Arial"/>
                <w:sz w:val="14"/>
                <w:szCs w:val="14"/>
                <w:color w:val="auto"/>
              </w:rPr>
              <w:t>7,520,113</w:t>
            </w:r>
          </w:p>
        </w:tc>
        <w:tc>
          <w:tcPr>
            <w:tcW w:w="120" w:type="dxa"/>
            <w:vAlign w:val="bottom"/>
          </w:tcPr>
          <w:p>
            <w:pPr>
              <w:spacing w:after="0"/>
              <w:rPr>
                <w:sz w:val="14"/>
                <w:szCs w:val="14"/>
                <w:color w:val="auto"/>
              </w:rPr>
            </w:pPr>
          </w:p>
        </w:tc>
      </w:tr>
      <w:tr>
        <w:trPr>
          <w:trHeight w:val="162"/>
        </w:trPr>
        <w:tc>
          <w:tcPr>
            <w:tcW w:w="7820" w:type="dxa"/>
            <w:vAlign w:val="bottom"/>
            <w:gridSpan w:val="2"/>
            <w:shd w:val="clear" w:color="auto" w:fill="CCECFF"/>
          </w:tcPr>
          <w:p>
            <w:pPr>
              <w:spacing w:after="0"/>
              <w:rPr>
                <w:sz w:val="20"/>
                <w:szCs w:val="20"/>
                <w:color w:val="auto"/>
              </w:rPr>
            </w:pPr>
            <w:r>
              <w:rPr>
                <w:rFonts w:ascii="Arial" w:cs="Arial" w:eastAsia="Arial" w:hAnsi="Arial"/>
                <w:sz w:val="14"/>
                <w:szCs w:val="14"/>
                <w:color w:val="auto"/>
              </w:rPr>
              <w:t>Accrued other expenses</w:t>
            </w:r>
          </w:p>
        </w:tc>
        <w:tc>
          <w:tcPr>
            <w:tcW w:w="260" w:type="dxa"/>
            <w:vAlign w:val="bottom"/>
            <w:tcBorders>
              <w:bottom w:val="single" w:sz="8" w:color="auto"/>
            </w:tcBorders>
            <w:shd w:val="clear" w:color="auto" w:fill="CCECFF"/>
          </w:tcPr>
          <w:p>
            <w:pPr>
              <w:spacing w:after="0"/>
              <w:rPr>
                <w:sz w:val="14"/>
                <w:szCs w:val="14"/>
                <w:color w:val="auto"/>
              </w:rPr>
            </w:pPr>
          </w:p>
        </w:tc>
        <w:tc>
          <w:tcPr>
            <w:tcW w:w="1240" w:type="dxa"/>
            <w:vAlign w:val="bottom"/>
            <w:tcBorders>
              <w:bottom w:val="single" w:sz="8" w:color="auto"/>
            </w:tcBorders>
            <w:shd w:val="clear" w:color="auto" w:fill="CCECFF"/>
          </w:tcPr>
          <w:p>
            <w:pPr>
              <w:jc w:val="right"/>
              <w:spacing w:after="0"/>
              <w:rPr>
                <w:sz w:val="20"/>
                <w:szCs w:val="20"/>
                <w:color w:val="auto"/>
              </w:rPr>
            </w:pPr>
            <w:r>
              <w:rPr>
                <w:rFonts w:ascii="Arial" w:cs="Arial" w:eastAsia="Arial" w:hAnsi="Arial"/>
                <w:sz w:val="14"/>
                <w:szCs w:val="14"/>
                <w:color w:val="auto"/>
              </w:rPr>
              <w:t>797,471</w:t>
            </w:r>
          </w:p>
        </w:tc>
        <w:tc>
          <w:tcPr>
            <w:tcW w:w="160" w:type="dxa"/>
            <w:vAlign w:val="bottom"/>
            <w:shd w:val="clear" w:color="auto" w:fill="CCECFF"/>
          </w:tcPr>
          <w:p>
            <w:pPr>
              <w:spacing w:after="0"/>
              <w:rPr>
                <w:sz w:val="14"/>
                <w:szCs w:val="14"/>
                <w:color w:val="auto"/>
              </w:rPr>
            </w:pPr>
          </w:p>
        </w:tc>
        <w:tc>
          <w:tcPr>
            <w:tcW w:w="120" w:type="dxa"/>
            <w:vAlign w:val="bottom"/>
            <w:shd w:val="clear" w:color="auto" w:fill="CCECFF"/>
          </w:tcPr>
          <w:p>
            <w:pPr>
              <w:spacing w:after="0"/>
              <w:rPr>
                <w:sz w:val="14"/>
                <w:szCs w:val="14"/>
                <w:color w:val="auto"/>
              </w:rPr>
            </w:pPr>
          </w:p>
        </w:tc>
        <w:tc>
          <w:tcPr>
            <w:tcW w:w="120" w:type="dxa"/>
            <w:vAlign w:val="bottom"/>
            <w:tcBorders>
              <w:bottom w:val="single" w:sz="8" w:color="auto"/>
            </w:tcBorders>
            <w:shd w:val="clear" w:color="auto" w:fill="CCECFF"/>
          </w:tcPr>
          <w:p>
            <w:pPr>
              <w:spacing w:after="0"/>
              <w:rPr>
                <w:sz w:val="14"/>
                <w:szCs w:val="14"/>
                <w:color w:val="auto"/>
              </w:rPr>
            </w:pPr>
          </w:p>
        </w:tc>
        <w:tc>
          <w:tcPr>
            <w:tcW w:w="1400" w:type="dxa"/>
            <w:vAlign w:val="bottom"/>
            <w:tcBorders>
              <w:bottom w:val="single" w:sz="8" w:color="auto"/>
            </w:tcBorders>
            <w:shd w:val="clear" w:color="auto" w:fill="CCECFF"/>
          </w:tcPr>
          <w:p>
            <w:pPr>
              <w:jc w:val="right"/>
              <w:spacing w:after="0"/>
              <w:rPr>
                <w:sz w:val="20"/>
                <w:szCs w:val="20"/>
                <w:color w:val="auto"/>
              </w:rPr>
            </w:pPr>
            <w:r>
              <w:rPr>
                <w:rFonts w:ascii="Arial" w:cs="Arial" w:eastAsia="Arial" w:hAnsi="Arial"/>
                <w:sz w:val="14"/>
                <w:szCs w:val="14"/>
                <w:color w:val="auto"/>
              </w:rPr>
              <w:t>622,880</w:t>
            </w:r>
          </w:p>
        </w:tc>
        <w:tc>
          <w:tcPr>
            <w:tcW w:w="120" w:type="dxa"/>
            <w:vAlign w:val="bottom"/>
            <w:shd w:val="clear" w:color="auto" w:fill="CCECFF"/>
          </w:tcPr>
          <w:p>
            <w:pPr>
              <w:spacing w:after="0"/>
              <w:rPr>
                <w:sz w:val="14"/>
                <w:szCs w:val="14"/>
                <w:color w:val="auto"/>
              </w:rPr>
            </w:pPr>
          </w:p>
        </w:tc>
      </w:tr>
      <w:tr>
        <w:trPr>
          <w:trHeight w:val="155"/>
        </w:trPr>
        <w:tc>
          <w:tcPr>
            <w:tcW w:w="800" w:type="dxa"/>
            <w:vAlign w:val="bottom"/>
            <w:tcBorders>
              <w:bottom w:val="single" w:sz="8" w:color="CCECFF"/>
            </w:tcBorders>
          </w:tcPr>
          <w:p>
            <w:pPr>
              <w:spacing w:after="0"/>
              <w:rPr>
                <w:sz w:val="13"/>
                <w:szCs w:val="13"/>
                <w:color w:val="auto"/>
              </w:rPr>
            </w:pPr>
          </w:p>
        </w:tc>
        <w:tc>
          <w:tcPr>
            <w:tcW w:w="7020" w:type="dxa"/>
            <w:vAlign w:val="bottom"/>
            <w:tcBorders>
              <w:bottom w:val="single" w:sz="8" w:color="CCECFF"/>
            </w:tcBorders>
          </w:tcPr>
          <w:p>
            <w:pPr>
              <w:ind w:left="200"/>
              <w:spacing w:after="0" w:line="155" w:lineRule="exact"/>
              <w:rPr>
                <w:sz w:val="20"/>
                <w:szCs w:val="20"/>
                <w:color w:val="auto"/>
              </w:rPr>
            </w:pPr>
            <w:r>
              <w:rPr>
                <w:rFonts w:ascii="Arial" w:cs="Arial" w:eastAsia="Arial" w:hAnsi="Arial"/>
                <w:sz w:val="14"/>
                <w:szCs w:val="14"/>
                <w:b w:val="1"/>
                <w:bCs w:val="1"/>
                <w:color w:val="auto"/>
              </w:rPr>
              <w:t>Total liabilities</w:t>
            </w:r>
          </w:p>
        </w:tc>
        <w:tc>
          <w:tcPr>
            <w:tcW w:w="260" w:type="dxa"/>
            <w:vAlign w:val="bottom"/>
            <w:tcBorders>
              <w:bottom w:val="single" w:sz="8" w:color="auto"/>
            </w:tcBorders>
          </w:tcPr>
          <w:p>
            <w:pPr>
              <w:spacing w:after="0"/>
              <w:rPr>
                <w:sz w:val="13"/>
                <w:szCs w:val="13"/>
                <w:color w:val="auto"/>
              </w:rPr>
            </w:pPr>
          </w:p>
        </w:tc>
        <w:tc>
          <w:tcPr>
            <w:tcW w:w="1240" w:type="dxa"/>
            <w:vAlign w:val="bottom"/>
            <w:tcBorders>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575,473,171</w:t>
            </w:r>
          </w:p>
        </w:tc>
        <w:tc>
          <w:tcPr>
            <w:tcW w:w="160" w:type="dxa"/>
            <w:vAlign w:val="bottom"/>
            <w:tcBorders>
              <w:bottom w:val="single" w:sz="8" w:color="CCECFF"/>
            </w:tcBorders>
          </w:tcPr>
          <w:p>
            <w:pPr>
              <w:spacing w:after="0"/>
              <w:rPr>
                <w:sz w:val="13"/>
                <w:szCs w:val="13"/>
                <w:color w:val="auto"/>
              </w:rPr>
            </w:pPr>
          </w:p>
        </w:tc>
        <w:tc>
          <w:tcPr>
            <w:tcW w:w="120" w:type="dxa"/>
            <w:vAlign w:val="bottom"/>
            <w:tcBorders>
              <w:bottom w:val="single" w:sz="8" w:color="CCECFF"/>
            </w:tcBorders>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1400" w:type="dxa"/>
            <w:vAlign w:val="bottom"/>
            <w:tcBorders>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595,569,022</w:t>
            </w:r>
          </w:p>
        </w:tc>
        <w:tc>
          <w:tcPr>
            <w:tcW w:w="120" w:type="dxa"/>
            <w:vAlign w:val="bottom"/>
            <w:tcBorders>
              <w:bottom w:val="single" w:sz="8" w:color="CCECFF"/>
            </w:tcBorders>
          </w:tcPr>
          <w:p>
            <w:pPr>
              <w:spacing w:after="0"/>
              <w:rPr>
                <w:sz w:val="13"/>
                <w:szCs w:val="13"/>
                <w:color w:val="auto"/>
              </w:rPr>
            </w:pPr>
          </w:p>
        </w:tc>
      </w:tr>
      <w:tr>
        <w:trPr>
          <w:trHeight w:val="156"/>
        </w:trPr>
        <w:tc>
          <w:tcPr>
            <w:tcW w:w="7820" w:type="dxa"/>
            <w:vAlign w:val="bottom"/>
            <w:gridSpan w:val="2"/>
            <w:shd w:val="clear" w:color="auto" w:fill="CCECFF"/>
          </w:tcPr>
          <w:p>
            <w:pPr>
              <w:spacing w:after="0" w:line="155" w:lineRule="exact"/>
              <w:rPr>
                <w:sz w:val="20"/>
                <w:szCs w:val="20"/>
                <w:color w:val="auto"/>
              </w:rPr>
            </w:pPr>
            <w:r>
              <w:rPr>
                <w:rFonts w:ascii="Arial" w:cs="Arial" w:eastAsia="Arial" w:hAnsi="Arial"/>
                <w:sz w:val="14"/>
                <w:szCs w:val="14"/>
                <w:color w:val="auto"/>
              </w:rPr>
              <w:t>Commitments and contingencies (See Note 11)</w:t>
            </w:r>
          </w:p>
        </w:tc>
        <w:tc>
          <w:tcPr>
            <w:tcW w:w="260" w:type="dxa"/>
            <w:vAlign w:val="bottom"/>
            <w:shd w:val="clear" w:color="auto" w:fill="CCECFF"/>
          </w:tcPr>
          <w:p>
            <w:pPr>
              <w:spacing w:after="0"/>
              <w:rPr>
                <w:sz w:val="13"/>
                <w:szCs w:val="13"/>
                <w:color w:val="auto"/>
              </w:rPr>
            </w:pPr>
          </w:p>
        </w:tc>
        <w:tc>
          <w:tcPr>
            <w:tcW w:w="1240" w:type="dxa"/>
            <w:vAlign w:val="bottom"/>
            <w:shd w:val="clear" w:color="auto" w:fill="CCECFF"/>
          </w:tcPr>
          <w:p>
            <w:pPr>
              <w:spacing w:after="0"/>
              <w:rPr>
                <w:sz w:val="13"/>
                <w:szCs w:val="13"/>
                <w:color w:val="auto"/>
              </w:rPr>
            </w:pPr>
          </w:p>
        </w:tc>
        <w:tc>
          <w:tcPr>
            <w:tcW w:w="160" w:type="dxa"/>
            <w:vAlign w:val="bottom"/>
            <w:shd w:val="clear" w:color="auto" w:fill="CCECFF"/>
          </w:tcPr>
          <w:p>
            <w:pPr>
              <w:spacing w:after="0"/>
              <w:rPr>
                <w:sz w:val="13"/>
                <w:szCs w:val="13"/>
                <w:color w:val="auto"/>
              </w:rPr>
            </w:pPr>
          </w:p>
        </w:tc>
        <w:tc>
          <w:tcPr>
            <w:tcW w:w="120" w:type="dxa"/>
            <w:vAlign w:val="bottom"/>
            <w:shd w:val="clear" w:color="auto" w:fill="CCECFF"/>
          </w:tcPr>
          <w:p>
            <w:pPr>
              <w:spacing w:after="0"/>
              <w:rPr>
                <w:sz w:val="13"/>
                <w:szCs w:val="13"/>
                <w:color w:val="auto"/>
              </w:rPr>
            </w:pPr>
          </w:p>
        </w:tc>
        <w:tc>
          <w:tcPr>
            <w:tcW w:w="120" w:type="dxa"/>
            <w:vAlign w:val="bottom"/>
            <w:shd w:val="clear" w:color="auto" w:fill="CCECFF"/>
          </w:tcPr>
          <w:p>
            <w:pPr>
              <w:spacing w:after="0"/>
              <w:rPr>
                <w:sz w:val="13"/>
                <w:szCs w:val="13"/>
                <w:color w:val="auto"/>
              </w:rPr>
            </w:pPr>
          </w:p>
        </w:tc>
        <w:tc>
          <w:tcPr>
            <w:tcW w:w="1400" w:type="dxa"/>
            <w:vAlign w:val="bottom"/>
            <w:shd w:val="clear" w:color="auto" w:fill="CCECFF"/>
          </w:tcPr>
          <w:p>
            <w:pPr>
              <w:spacing w:after="0"/>
              <w:rPr>
                <w:sz w:val="13"/>
                <w:szCs w:val="13"/>
                <w:color w:val="auto"/>
              </w:rPr>
            </w:pPr>
          </w:p>
        </w:tc>
        <w:tc>
          <w:tcPr>
            <w:tcW w:w="120" w:type="dxa"/>
            <w:vAlign w:val="bottom"/>
            <w:shd w:val="clear" w:color="auto" w:fill="CCECFF"/>
          </w:tcPr>
          <w:p>
            <w:pPr>
              <w:spacing w:after="0"/>
              <w:rPr>
                <w:sz w:val="13"/>
                <w:szCs w:val="13"/>
                <w:color w:val="auto"/>
              </w:rPr>
            </w:pPr>
          </w:p>
        </w:tc>
      </w:tr>
      <w:tr>
        <w:trPr>
          <w:trHeight w:val="162"/>
        </w:trPr>
        <w:tc>
          <w:tcPr>
            <w:tcW w:w="800" w:type="dxa"/>
            <w:vAlign w:val="bottom"/>
          </w:tcPr>
          <w:p>
            <w:pPr>
              <w:spacing w:after="0"/>
              <w:rPr>
                <w:sz w:val="20"/>
                <w:szCs w:val="20"/>
                <w:color w:val="auto"/>
              </w:rPr>
            </w:pPr>
            <w:r>
              <w:rPr>
                <w:rFonts w:ascii="Arial" w:cs="Arial" w:eastAsia="Arial" w:hAnsi="Arial"/>
                <w:sz w:val="14"/>
                <w:szCs w:val="14"/>
                <w:b w:val="1"/>
                <w:bCs w:val="1"/>
                <w:color w:val="auto"/>
              </w:rPr>
              <w:t>Net assets</w:t>
            </w:r>
          </w:p>
        </w:tc>
        <w:tc>
          <w:tcPr>
            <w:tcW w:w="70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00" w:type="dxa"/>
            <w:vAlign w:val="bottom"/>
          </w:tcPr>
          <w:p>
            <w:pPr>
              <w:spacing w:after="0"/>
              <w:rPr>
                <w:sz w:val="14"/>
                <w:szCs w:val="14"/>
                <w:color w:val="auto"/>
              </w:rPr>
            </w:pPr>
          </w:p>
        </w:tc>
        <w:tc>
          <w:tcPr>
            <w:tcW w:w="120" w:type="dxa"/>
            <w:vAlign w:val="bottom"/>
          </w:tcPr>
          <w:p>
            <w:pPr>
              <w:spacing w:after="0"/>
              <w:rPr>
                <w:sz w:val="14"/>
                <w:szCs w:val="14"/>
                <w:color w:val="auto"/>
              </w:rPr>
            </w:pPr>
          </w:p>
        </w:tc>
      </w:tr>
      <w:tr>
        <w:trPr>
          <w:trHeight w:val="143"/>
        </w:trPr>
        <w:tc>
          <w:tcPr>
            <w:tcW w:w="7820" w:type="dxa"/>
            <w:vAlign w:val="bottom"/>
            <w:gridSpan w:val="2"/>
            <w:shd w:val="clear" w:color="auto" w:fill="CCECFF"/>
          </w:tcPr>
          <w:p>
            <w:pPr>
              <w:spacing w:after="0" w:line="143" w:lineRule="exact"/>
              <w:rPr>
                <w:sz w:val="20"/>
                <w:szCs w:val="20"/>
                <w:color w:val="auto"/>
              </w:rPr>
            </w:pPr>
            <w:r>
              <w:rPr>
                <w:rFonts w:ascii="Arial" w:cs="Arial" w:eastAsia="Arial" w:hAnsi="Arial"/>
                <w:sz w:val="14"/>
                <w:szCs w:val="14"/>
                <w:color w:val="auto"/>
              </w:rPr>
              <w:t>Common stock, 71,060,836 shares issued and outstanding</w:t>
            </w:r>
          </w:p>
        </w:tc>
        <w:tc>
          <w:tcPr>
            <w:tcW w:w="260" w:type="dxa"/>
            <w:vAlign w:val="bottom"/>
            <w:shd w:val="clear" w:color="auto" w:fill="CCECFF"/>
          </w:tcPr>
          <w:p>
            <w:pPr>
              <w:spacing w:after="0"/>
              <w:rPr>
                <w:sz w:val="12"/>
                <w:szCs w:val="12"/>
                <w:color w:val="auto"/>
              </w:rPr>
            </w:pPr>
          </w:p>
        </w:tc>
        <w:tc>
          <w:tcPr>
            <w:tcW w:w="1240" w:type="dxa"/>
            <w:vAlign w:val="bottom"/>
            <w:shd w:val="clear" w:color="auto" w:fill="CCECFF"/>
          </w:tcPr>
          <w:p>
            <w:pPr>
              <w:spacing w:after="0"/>
              <w:rPr>
                <w:sz w:val="12"/>
                <w:szCs w:val="12"/>
                <w:color w:val="auto"/>
              </w:rPr>
            </w:pPr>
          </w:p>
        </w:tc>
        <w:tc>
          <w:tcPr>
            <w:tcW w:w="160" w:type="dxa"/>
            <w:vAlign w:val="bottom"/>
            <w:shd w:val="clear" w:color="auto" w:fill="CCECFF"/>
          </w:tcPr>
          <w:p>
            <w:pPr>
              <w:spacing w:after="0"/>
              <w:rPr>
                <w:sz w:val="12"/>
                <w:szCs w:val="12"/>
                <w:color w:val="auto"/>
              </w:rPr>
            </w:pPr>
          </w:p>
        </w:tc>
        <w:tc>
          <w:tcPr>
            <w:tcW w:w="120" w:type="dxa"/>
            <w:vAlign w:val="bottom"/>
            <w:shd w:val="clear" w:color="auto" w:fill="CCECFF"/>
          </w:tcPr>
          <w:p>
            <w:pPr>
              <w:spacing w:after="0"/>
              <w:rPr>
                <w:sz w:val="12"/>
                <w:szCs w:val="12"/>
                <w:color w:val="auto"/>
              </w:rPr>
            </w:pPr>
          </w:p>
        </w:tc>
        <w:tc>
          <w:tcPr>
            <w:tcW w:w="120" w:type="dxa"/>
            <w:vAlign w:val="bottom"/>
            <w:shd w:val="clear" w:color="auto" w:fill="CCECFF"/>
          </w:tcPr>
          <w:p>
            <w:pPr>
              <w:spacing w:after="0"/>
              <w:rPr>
                <w:sz w:val="12"/>
                <w:szCs w:val="12"/>
                <w:color w:val="auto"/>
              </w:rPr>
            </w:pPr>
          </w:p>
        </w:tc>
        <w:tc>
          <w:tcPr>
            <w:tcW w:w="1400" w:type="dxa"/>
            <w:vAlign w:val="bottom"/>
            <w:shd w:val="clear" w:color="auto" w:fill="CCECFF"/>
          </w:tcPr>
          <w:p>
            <w:pPr>
              <w:spacing w:after="0"/>
              <w:rPr>
                <w:sz w:val="12"/>
                <w:szCs w:val="12"/>
                <w:color w:val="auto"/>
              </w:rPr>
            </w:pPr>
          </w:p>
        </w:tc>
        <w:tc>
          <w:tcPr>
            <w:tcW w:w="120" w:type="dxa"/>
            <w:vAlign w:val="bottom"/>
            <w:shd w:val="clear" w:color="auto" w:fill="CCECFF"/>
          </w:tcPr>
          <w:p>
            <w:pPr>
              <w:spacing w:after="0"/>
              <w:rPr>
                <w:sz w:val="12"/>
                <w:szCs w:val="12"/>
                <w:color w:val="auto"/>
              </w:rPr>
            </w:pPr>
          </w:p>
        </w:tc>
      </w:tr>
      <w:tr>
        <w:trPr>
          <w:trHeight w:val="167"/>
        </w:trPr>
        <w:tc>
          <w:tcPr>
            <w:tcW w:w="7820" w:type="dxa"/>
            <w:vAlign w:val="bottom"/>
            <w:gridSpan w:val="2"/>
            <w:shd w:val="clear" w:color="auto" w:fill="CCECFF"/>
          </w:tcPr>
          <w:p>
            <w:pPr>
              <w:ind w:left="120"/>
              <w:spacing w:after="0"/>
              <w:rPr>
                <w:sz w:val="20"/>
                <w:szCs w:val="20"/>
                <w:color w:val="auto"/>
              </w:rPr>
            </w:pPr>
            <w:r>
              <w:rPr>
                <w:rFonts w:ascii="Arial" w:cs="Arial" w:eastAsia="Arial" w:hAnsi="Arial"/>
                <w:sz w:val="14"/>
                <w:szCs w:val="14"/>
                <w:color w:val="auto"/>
              </w:rPr>
              <w:t>Par value $0.001 per share and 100,000,000 shares authorized</w:t>
            </w:r>
          </w:p>
        </w:tc>
        <w:tc>
          <w:tcPr>
            <w:tcW w:w="260" w:type="dxa"/>
            <w:vAlign w:val="bottom"/>
            <w:shd w:val="clear" w:color="auto" w:fill="CCECFF"/>
          </w:tcPr>
          <w:p>
            <w:pPr>
              <w:spacing w:after="0"/>
              <w:rPr>
                <w:sz w:val="14"/>
                <w:szCs w:val="14"/>
                <w:color w:val="auto"/>
              </w:rPr>
            </w:pPr>
          </w:p>
        </w:tc>
        <w:tc>
          <w:tcPr>
            <w:tcW w:w="1240" w:type="dxa"/>
            <w:vAlign w:val="bottom"/>
            <w:shd w:val="clear" w:color="auto" w:fill="CCECFF"/>
          </w:tcPr>
          <w:p>
            <w:pPr>
              <w:jc w:val="right"/>
              <w:spacing w:after="0"/>
              <w:rPr>
                <w:sz w:val="20"/>
                <w:szCs w:val="20"/>
                <w:color w:val="auto"/>
              </w:rPr>
            </w:pPr>
            <w:r>
              <w:rPr>
                <w:rFonts w:ascii="Arial" w:cs="Arial" w:eastAsia="Arial" w:hAnsi="Arial"/>
                <w:sz w:val="14"/>
                <w:szCs w:val="14"/>
                <w:color w:val="auto"/>
              </w:rPr>
              <w:t>71,061</w:t>
            </w:r>
          </w:p>
        </w:tc>
        <w:tc>
          <w:tcPr>
            <w:tcW w:w="160" w:type="dxa"/>
            <w:vAlign w:val="bottom"/>
            <w:shd w:val="clear" w:color="auto" w:fill="CCECFF"/>
          </w:tcPr>
          <w:p>
            <w:pPr>
              <w:spacing w:after="0"/>
              <w:rPr>
                <w:sz w:val="14"/>
                <w:szCs w:val="14"/>
                <w:color w:val="auto"/>
              </w:rPr>
            </w:pPr>
          </w:p>
        </w:tc>
        <w:tc>
          <w:tcPr>
            <w:tcW w:w="120" w:type="dxa"/>
            <w:vAlign w:val="bottom"/>
            <w:shd w:val="clear" w:color="auto" w:fill="CCECFF"/>
          </w:tcPr>
          <w:p>
            <w:pPr>
              <w:spacing w:after="0"/>
              <w:rPr>
                <w:sz w:val="14"/>
                <w:szCs w:val="14"/>
                <w:color w:val="auto"/>
              </w:rPr>
            </w:pPr>
          </w:p>
        </w:tc>
        <w:tc>
          <w:tcPr>
            <w:tcW w:w="120" w:type="dxa"/>
            <w:vAlign w:val="bottom"/>
            <w:shd w:val="clear" w:color="auto" w:fill="CCECFF"/>
          </w:tcPr>
          <w:p>
            <w:pPr>
              <w:spacing w:after="0"/>
              <w:rPr>
                <w:sz w:val="14"/>
                <w:szCs w:val="14"/>
                <w:color w:val="auto"/>
              </w:rPr>
            </w:pPr>
          </w:p>
        </w:tc>
        <w:tc>
          <w:tcPr>
            <w:tcW w:w="1400" w:type="dxa"/>
            <w:vAlign w:val="bottom"/>
            <w:shd w:val="clear" w:color="auto" w:fill="CCECFF"/>
          </w:tcPr>
          <w:p>
            <w:pPr>
              <w:jc w:val="right"/>
              <w:spacing w:after="0"/>
              <w:rPr>
                <w:sz w:val="20"/>
                <w:szCs w:val="20"/>
                <w:color w:val="auto"/>
              </w:rPr>
            </w:pPr>
            <w:r>
              <w:rPr>
                <w:rFonts w:ascii="Arial" w:cs="Arial" w:eastAsia="Arial" w:hAnsi="Arial"/>
                <w:sz w:val="14"/>
                <w:szCs w:val="14"/>
                <w:color w:val="auto"/>
              </w:rPr>
              <w:t>71,061</w:t>
            </w:r>
          </w:p>
        </w:tc>
        <w:tc>
          <w:tcPr>
            <w:tcW w:w="120" w:type="dxa"/>
            <w:vAlign w:val="bottom"/>
            <w:shd w:val="clear" w:color="auto" w:fill="CCECFF"/>
          </w:tcPr>
          <w:p>
            <w:pPr>
              <w:spacing w:after="0"/>
              <w:rPr>
                <w:sz w:val="14"/>
                <w:szCs w:val="14"/>
                <w:color w:val="auto"/>
              </w:rPr>
            </w:pPr>
          </w:p>
        </w:tc>
      </w:tr>
      <w:tr>
        <w:trPr>
          <w:trHeight w:val="162"/>
        </w:trPr>
        <w:tc>
          <w:tcPr>
            <w:tcW w:w="7820" w:type="dxa"/>
            <w:vAlign w:val="bottom"/>
            <w:gridSpan w:val="2"/>
          </w:tcPr>
          <w:p>
            <w:pPr>
              <w:spacing w:after="0"/>
              <w:rPr>
                <w:sz w:val="20"/>
                <w:szCs w:val="20"/>
                <w:color w:val="auto"/>
              </w:rPr>
            </w:pPr>
            <w:r>
              <w:rPr>
                <w:rFonts w:ascii="Arial" w:cs="Arial" w:eastAsia="Arial" w:hAnsi="Arial"/>
                <w:sz w:val="14"/>
                <w:szCs w:val="14"/>
                <w:color w:val="auto"/>
              </w:rPr>
              <w:t>Paid-in capital in excess of par value</w:t>
            </w:r>
          </w:p>
        </w:tc>
        <w:tc>
          <w:tcPr>
            <w:tcW w:w="260" w:type="dxa"/>
            <w:vAlign w:val="bottom"/>
          </w:tcPr>
          <w:p>
            <w:pPr>
              <w:spacing w:after="0"/>
              <w:rPr>
                <w:sz w:val="14"/>
                <w:szCs w:val="14"/>
                <w:color w:val="auto"/>
              </w:rPr>
            </w:pPr>
          </w:p>
        </w:tc>
        <w:tc>
          <w:tcPr>
            <w:tcW w:w="1240" w:type="dxa"/>
            <w:vAlign w:val="bottom"/>
          </w:tcPr>
          <w:p>
            <w:pPr>
              <w:jc w:val="right"/>
              <w:spacing w:after="0"/>
              <w:rPr>
                <w:sz w:val="20"/>
                <w:szCs w:val="20"/>
                <w:color w:val="auto"/>
              </w:rPr>
            </w:pPr>
            <w:r>
              <w:rPr>
                <w:rFonts w:ascii="Arial" w:cs="Arial" w:eastAsia="Arial" w:hAnsi="Arial"/>
                <w:sz w:val="14"/>
                <w:szCs w:val="14"/>
                <w:color w:val="auto"/>
              </w:rPr>
              <w:t>819,983,676</w:t>
            </w:r>
          </w:p>
        </w:tc>
        <w:tc>
          <w:tcPr>
            <w:tcW w:w="1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00" w:type="dxa"/>
            <w:vAlign w:val="bottom"/>
          </w:tcPr>
          <w:p>
            <w:pPr>
              <w:jc w:val="right"/>
              <w:spacing w:after="0"/>
              <w:rPr>
                <w:sz w:val="20"/>
                <w:szCs w:val="20"/>
                <w:color w:val="auto"/>
              </w:rPr>
            </w:pPr>
            <w:r>
              <w:rPr>
                <w:rFonts w:ascii="Arial" w:cs="Arial" w:eastAsia="Arial" w:hAnsi="Arial"/>
                <w:sz w:val="14"/>
                <w:szCs w:val="14"/>
                <w:color w:val="auto"/>
              </w:rPr>
              <w:t>819,983,676</w:t>
            </w:r>
          </w:p>
        </w:tc>
        <w:tc>
          <w:tcPr>
            <w:tcW w:w="120" w:type="dxa"/>
            <w:vAlign w:val="bottom"/>
          </w:tcPr>
          <w:p>
            <w:pPr>
              <w:spacing w:after="0"/>
              <w:rPr>
                <w:sz w:val="14"/>
                <w:szCs w:val="14"/>
                <w:color w:val="auto"/>
              </w:rPr>
            </w:pPr>
          </w:p>
        </w:tc>
      </w:tr>
      <w:tr>
        <w:trPr>
          <w:trHeight w:val="162"/>
        </w:trPr>
        <w:tc>
          <w:tcPr>
            <w:tcW w:w="7820" w:type="dxa"/>
            <w:vAlign w:val="bottom"/>
            <w:gridSpan w:val="2"/>
            <w:shd w:val="clear" w:color="auto" w:fill="CCECFF"/>
          </w:tcPr>
          <w:p>
            <w:pPr>
              <w:spacing w:after="0"/>
              <w:rPr>
                <w:sz w:val="20"/>
                <w:szCs w:val="20"/>
                <w:color w:val="auto"/>
              </w:rPr>
            </w:pPr>
            <w:r>
              <w:rPr>
                <w:rFonts w:ascii="Arial" w:cs="Arial" w:eastAsia="Arial" w:hAnsi="Arial"/>
                <w:sz w:val="14"/>
                <w:szCs w:val="14"/>
                <w:color w:val="auto"/>
              </w:rPr>
              <w:t>Undistributed net investment income</w:t>
            </w:r>
          </w:p>
        </w:tc>
        <w:tc>
          <w:tcPr>
            <w:tcW w:w="260" w:type="dxa"/>
            <w:vAlign w:val="bottom"/>
            <w:shd w:val="clear" w:color="auto" w:fill="CCECFF"/>
          </w:tcPr>
          <w:p>
            <w:pPr>
              <w:spacing w:after="0"/>
              <w:rPr>
                <w:sz w:val="14"/>
                <w:szCs w:val="14"/>
                <w:color w:val="auto"/>
              </w:rPr>
            </w:pPr>
          </w:p>
        </w:tc>
        <w:tc>
          <w:tcPr>
            <w:tcW w:w="1240" w:type="dxa"/>
            <w:vAlign w:val="bottom"/>
            <w:shd w:val="clear" w:color="auto" w:fill="CCECFF"/>
          </w:tcPr>
          <w:p>
            <w:pPr>
              <w:jc w:val="right"/>
              <w:spacing w:after="0"/>
              <w:rPr>
                <w:sz w:val="20"/>
                <w:szCs w:val="20"/>
                <w:color w:val="auto"/>
              </w:rPr>
            </w:pPr>
            <w:r>
              <w:rPr>
                <w:rFonts w:ascii="Arial" w:cs="Arial" w:eastAsia="Arial" w:hAnsi="Arial"/>
                <w:sz w:val="14"/>
                <w:szCs w:val="14"/>
                <w:color w:val="auto"/>
              </w:rPr>
              <w:t>1,310,399</w:t>
            </w:r>
          </w:p>
        </w:tc>
        <w:tc>
          <w:tcPr>
            <w:tcW w:w="160" w:type="dxa"/>
            <w:vAlign w:val="bottom"/>
            <w:shd w:val="clear" w:color="auto" w:fill="CCECFF"/>
          </w:tcPr>
          <w:p>
            <w:pPr>
              <w:spacing w:after="0"/>
              <w:rPr>
                <w:sz w:val="14"/>
                <w:szCs w:val="14"/>
                <w:color w:val="auto"/>
              </w:rPr>
            </w:pPr>
          </w:p>
        </w:tc>
        <w:tc>
          <w:tcPr>
            <w:tcW w:w="120" w:type="dxa"/>
            <w:vAlign w:val="bottom"/>
            <w:shd w:val="clear" w:color="auto" w:fill="CCECFF"/>
          </w:tcPr>
          <w:p>
            <w:pPr>
              <w:spacing w:after="0"/>
              <w:rPr>
                <w:sz w:val="14"/>
                <w:szCs w:val="14"/>
                <w:color w:val="auto"/>
              </w:rPr>
            </w:pPr>
          </w:p>
        </w:tc>
        <w:tc>
          <w:tcPr>
            <w:tcW w:w="120" w:type="dxa"/>
            <w:vAlign w:val="bottom"/>
            <w:shd w:val="clear" w:color="auto" w:fill="CCECFF"/>
          </w:tcPr>
          <w:p>
            <w:pPr>
              <w:spacing w:after="0"/>
              <w:rPr>
                <w:sz w:val="14"/>
                <w:szCs w:val="14"/>
                <w:color w:val="auto"/>
              </w:rPr>
            </w:pPr>
          </w:p>
        </w:tc>
        <w:tc>
          <w:tcPr>
            <w:tcW w:w="1400" w:type="dxa"/>
            <w:vAlign w:val="bottom"/>
            <w:shd w:val="clear" w:color="auto" w:fill="CCECFF"/>
          </w:tcPr>
          <w:p>
            <w:pPr>
              <w:jc w:val="right"/>
              <w:spacing w:after="0"/>
              <w:rPr>
                <w:sz w:val="20"/>
                <w:szCs w:val="20"/>
                <w:color w:val="auto"/>
              </w:rPr>
            </w:pPr>
            <w:r>
              <w:rPr>
                <w:rFonts w:ascii="Arial" w:cs="Arial" w:eastAsia="Arial" w:hAnsi="Arial"/>
                <w:sz w:val="14"/>
                <w:szCs w:val="14"/>
                <w:color w:val="auto"/>
              </w:rPr>
              <w:t>3,119,380</w:t>
            </w:r>
          </w:p>
        </w:tc>
        <w:tc>
          <w:tcPr>
            <w:tcW w:w="120" w:type="dxa"/>
            <w:vAlign w:val="bottom"/>
            <w:shd w:val="clear" w:color="auto" w:fill="CCECFF"/>
          </w:tcPr>
          <w:p>
            <w:pPr>
              <w:spacing w:after="0"/>
              <w:rPr>
                <w:sz w:val="14"/>
                <w:szCs w:val="14"/>
                <w:color w:val="auto"/>
              </w:rPr>
            </w:pPr>
          </w:p>
        </w:tc>
      </w:tr>
      <w:tr>
        <w:trPr>
          <w:trHeight w:val="162"/>
        </w:trPr>
        <w:tc>
          <w:tcPr>
            <w:tcW w:w="7820" w:type="dxa"/>
            <w:vAlign w:val="bottom"/>
            <w:gridSpan w:val="2"/>
          </w:tcPr>
          <w:p>
            <w:pPr>
              <w:spacing w:after="0"/>
              <w:rPr>
                <w:sz w:val="20"/>
                <w:szCs w:val="20"/>
                <w:color w:val="auto"/>
              </w:rPr>
            </w:pPr>
            <w:r>
              <w:rPr>
                <w:rFonts w:ascii="Arial" w:cs="Arial" w:eastAsia="Arial" w:hAnsi="Arial"/>
                <w:sz w:val="14"/>
                <w:szCs w:val="14"/>
                <w:color w:val="auto"/>
              </w:rPr>
              <w:t>Accumulated net realized loss on investments</w:t>
            </w:r>
          </w:p>
        </w:tc>
        <w:tc>
          <w:tcPr>
            <w:tcW w:w="260" w:type="dxa"/>
            <w:vAlign w:val="bottom"/>
          </w:tcPr>
          <w:p>
            <w:pPr>
              <w:spacing w:after="0"/>
              <w:rPr>
                <w:sz w:val="14"/>
                <w:szCs w:val="14"/>
                <w:color w:val="auto"/>
              </w:rPr>
            </w:pPr>
          </w:p>
        </w:tc>
        <w:tc>
          <w:tcPr>
            <w:tcW w:w="1400" w:type="dxa"/>
            <w:vAlign w:val="bottom"/>
            <w:gridSpan w:val="2"/>
          </w:tcPr>
          <w:p>
            <w:pPr>
              <w:jc w:val="right"/>
              <w:ind w:right="100"/>
              <w:spacing w:after="0"/>
              <w:rPr>
                <w:sz w:val="20"/>
                <w:szCs w:val="20"/>
                <w:color w:val="auto"/>
              </w:rPr>
            </w:pPr>
            <w:r>
              <w:rPr>
                <w:rFonts w:ascii="Arial" w:cs="Arial" w:eastAsia="Arial" w:hAnsi="Arial"/>
                <w:sz w:val="14"/>
                <w:szCs w:val="14"/>
                <w:color w:val="auto"/>
              </w:rPr>
              <w:t>(115,562,130)</w:t>
            </w: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520" w:type="dxa"/>
            <w:vAlign w:val="bottom"/>
            <w:gridSpan w:val="2"/>
          </w:tcPr>
          <w:p>
            <w:pPr>
              <w:jc w:val="right"/>
              <w:ind w:right="80"/>
              <w:spacing w:after="0"/>
              <w:rPr>
                <w:sz w:val="20"/>
                <w:szCs w:val="20"/>
                <w:color w:val="auto"/>
              </w:rPr>
            </w:pPr>
            <w:r>
              <w:rPr>
                <w:rFonts w:ascii="Arial" w:cs="Arial" w:eastAsia="Arial" w:hAnsi="Arial"/>
                <w:sz w:val="14"/>
                <w:szCs w:val="14"/>
                <w:color w:val="auto"/>
              </w:rPr>
              <w:t>(84,771,820)</w:t>
            </w:r>
          </w:p>
        </w:tc>
      </w:tr>
      <w:tr>
        <w:trPr>
          <w:trHeight w:val="162"/>
        </w:trPr>
        <w:tc>
          <w:tcPr>
            <w:tcW w:w="7820" w:type="dxa"/>
            <w:vAlign w:val="bottom"/>
            <w:gridSpan w:val="2"/>
            <w:shd w:val="clear" w:color="auto" w:fill="CCECFF"/>
          </w:tcPr>
          <w:p>
            <w:pPr>
              <w:spacing w:after="0"/>
              <w:rPr>
                <w:sz w:val="20"/>
                <w:szCs w:val="20"/>
                <w:color w:val="auto"/>
              </w:rPr>
            </w:pPr>
            <w:r>
              <w:rPr>
                <w:rFonts w:ascii="Arial" w:cs="Arial" w:eastAsia="Arial" w:hAnsi="Arial"/>
                <w:sz w:val="14"/>
                <w:szCs w:val="14"/>
                <w:color w:val="auto"/>
              </w:rPr>
              <w:t>Net unrealized depreciation on investments</w:t>
            </w:r>
          </w:p>
        </w:tc>
        <w:tc>
          <w:tcPr>
            <w:tcW w:w="260" w:type="dxa"/>
            <w:vAlign w:val="bottom"/>
            <w:shd w:val="clear" w:color="auto" w:fill="CCECFF"/>
          </w:tcPr>
          <w:p>
            <w:pPr>
              <w:spacing w:after="0"/>
              <w:rPr>
                <w:sz w:val="14"/>
                <w:szCs w:val="14"/>
                <w:color w:val="auto"/>
              </w:rPr>
            </w:pPr>
          </w:p>
        </w:tc>
        <w:tc>
          <w:tcPr>
            <w:tcW w:w="1400" w:type="dxa"/>
            <w:vAlign w:val="bottom"/>
            <w:gridSpan w:val="2"/>
            <w:shd w:val="clear" w:color="auto" w:fill="CCECFF"/>
          </w:tcPr>
          <w:p>
            <w:pPr>
              <w:jc w:val="right"/>
              <w:ind w:right="100"/>
              <w:spacing w:after="0"/>
              <w:rPr>
                <w:sz w:val="20"/>
                <w:szCs w:val="20"/>
                <w:color w:val="auto"/>
              </w:rPr>
            </w:pPr>
            <w:r>
              <w:rPr>
                <w:rFonts w:ascii="Arial" w:cs="Arial" w:eastAsia="Arial" w:hAnsi="Arial"/>
                <w:sz w:val="14"/>
                <w:szCs w:val="14"/>
                <w:color w:val="auto"/>
              </w:rPr>
              <w:t>(56,449,011)</w:t>
            </w:r>
          </w:p>
        </w:tc>
        <w:tc>
          <w:tcPr>
            <w:tcW w:w="120" w:type="dxa"/>
            <w:vAlign w:val="bottom"/>
            <w:shd w:val="clear" w:color="auto" w:fill="CCECFF"/>
          </w:tcPr>
          <w:p>
            <w:pPr>
              <w:spacing w:after="0"/>
              <w:rPr>
                <w:sz w:val="14"/>
                <w:szCs w:val="14"/>
                <w:color w:val="auto"/>
              </w:rPr>
            </w:pPr>
          </w:p>
        </w:tc>
        <w:tc>
          <w:tcPr>
            <w:tcW w:w="120" w:type="dxa"/>
            <w:vAlign w:val="bottom"/>
            <w:shd w:val="clear" w:color="auto" w:fill="CCECFF"/>
          </w:tcPr>
          <w:p>
            <w:pPr>
              <w:spacing w:after="0"/>
              <w:rPr>
                <w:sz w:val="14"/>
                <w:szCs w:val="14"/>
                <w:color w:val="auto"/>
              </w:rPr>
            </w:pPr>
          </w:p>
        </w:tc>
        <w:tc>
          <w:tcPr>
            <w:tcW w:w="1520" w:type="dxa"/>
            <w:vAlign w:val="bottom"/>
            <w:gridSpan w:val="2"/>
            <w:shd w:val="clear" w:color="auto" w:fill="CCECFF"/>
          </w:tcPr>
          <w:p>
            <w:pPr>
              <w:jc w:val="right"/>
              <w:ind w:right="80"/>
              <w:spacing w:after="0"/>
              <w:rPr>
                <w:sz w:val="20"/>
                <w:szCs w:val="20"/>
                <w:color w:val="auto"/>
              </w:rPr>
            </w:pPr>
            <w:r>
              <w:rPr>
                <w:rFonts w:ascii="Arial" w:cs="Arial" w:eastAsia="Arial" w:hAnsi="Arial"/>
                <w:sz w:val="14"/>
                <w:szCs w:val="14"/>
                <w:color w:val="auto"/>
              </w:rPr>
              <w:t>(100,280,954)</w:t>
            </w:r>
          </w:p>
        </w:tc>
      </w:tr>
      <w:tr>
        <w:trPr>
          <w:trHeight w:val="162"/>
        </w:trPr>
        <w:tc>
          <w:tcPr>
            <w:tcW w:w="7820" w:type="dxa"/>
            <w:vAlign w:val="bottom"/>
            <w:tcBorders>
              <w:bottom w:val="single" w:sz="8" w:color="CCECFF"/>
            </w:tcBorders>
            <w:gridSpan w:val="2"/>
          </w:tcPr>
          <w:p>
            <w:pPr>
              <w:spacing w:after="0"/>
              <w:rPr>
                <w:sz w:val="20"/>
                <w:szCs w:val="20"/>
                <w:color w:val="auto"/>
              </w:rPr>
            </w:pPr>
            <w:r>
              <w:rPr>
                <w:rFonts w:ascii="Arial" w:cs="Arial" w:eastAsia="Arial" w:hAnsi="Arial"/>
                <w:sz w:val="14"/>
                <w:szCs w:val="14"/>
                <w:color w:val="auto"/>
              </w:rPr>
              <w:t>Net unrealized depreciation on debt</w:t>
            </w:r>
          </w:p>
        </w:tc>
        <w:tc>
          <w:tcPr>
            <w:tcW w:w="260" w:type="dxa"/>
            <w:vAlign w:val="bottom"/>
            <w:tcBorders>
              <w:bottom w:val="single" w:sz="8" w:color="auto"/>
            </w:tcBorders>
          </w:tcPr>
          <w:p>
            <w:pPr>
              <w:spacing w:after="0"/>
              <w:rPr>
                <w:sz w:val="14"/>
                <w:szCs w:val="14"/>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2,821,787</w:t>
            </w:r>
          </w:p>
        </w:tc>
        <w:tc>
          <w:tcPr>
            <w:tcW w:w="160" w:type="dxa"/>
            <w:vAlign w:val="bottom"/>
            <w:tcBorders>
              <w:bottom w:val="single" w:sz="8" w:color="CCECFF"/>
            </w:tcBorders>
          </w:tcPr>
          <w:p>
            <w:pPr>
              <w:spacing w:after="0"/>
              <w:rPr>
                <w:sz w:val="14"/>
                <w:szCs w:val="14"/>
                <w:color w:val="auto"/>
              </w:rPr>
            </w:pPr>
          </w:p>
        </w:tc>
        <w:tc>
          <w:tcPr>
            <w:tcW w:w="120" w:type="dxa"/>
            <w:vAlign w:val="bottom"/>
            <w:tcBorders>
              <w:bottom w:val="single" w:sz="8" w:color="CCECFF"/>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14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5,245,513</w:t>
            </w:r>
          </w:p>
        </w:tc>
        <w:tc>
          <w:tcPr>
            <w:tcW w:w="120" w:type="dxa"/>
            <w:vAlign w:val="bottom"/>
            <w:tcBorders>
              <w:bottom w:val="single" w:sz="8" w:color="CCECFF"/>
            </w:tcBorders>
          </w:tcPr>
          <w:p>
            <w:pPr>
              <w:spacing w:after="0"/>
              <w:rPr>
                <w:sz w:val="14"/>
                <w:szCs w:val="14"/>
                <w:color w:val="auto"/>
              </w:rPr>
            </w:pPr>
          </w:p>
        </w:tc>
      </w:tr>
      <w:tr>
        <w:trPr>
          <w:trHeight w:val="155"/>
        </w:trPr>
        <w:tc>
          <w:tcPr>
            <w:tcW w:w="800" w:type="dxa"/>
            <w:vAlign w:val="bottom"/>
            <w:shd w:val="clear" w:color="auto" w:fill="CCECFF"/>
          </w:tcPr>
          <w:p>
            <w:pPr>
              <w:spacing w:after="0"/>
              <w:rPr>
                <w:sz w:val="13"/>
                <w:szCs w:val="13"/>
                <w:color w:val="auto"/>
              </w:rPr>
            </w:pPr>
          </w:p>
        </w:tc>
        <w:tc>
          <w:tcPr>
            <w:tcW w:w="7020" w:type="dxa"/>
            <w:vAlign w:val="bottom"/>
            <w:shd w:val="clear" w:color="auto" w:fill="CCECFF"/>
          </w:tcPr>
          <w:p>
            <w:pPr>
              <w:ind w:left="200"/>
              <w:spacing w:after="0" w:line="155" w:lineRule="exact"/>
              <w:rPr>
                <w:sz w:val="20"/>
                <w:szCs w:val="20"/>
                <w:color w:val="auto"/>
              </w:rPr>
            </w:pPr>
            <w:r>
              <w:rPr>
                <w:rFonts w:ascii="Arial" w:cs="Arial" w:eastAsia="Arial" w:hAnsi="Arial"/>
                <w:sz w:val="14"/>
                <w:szCs w:val="14"/>
                <w:b w:val="1"/>
                <w:bCs w:val="1"/>
                <w:color w:val="auto"/>
              </w:rPr>
              <w:t>Total net assets</w:t>
            </w:r>
          </w:p>
        </w:tc>
        <w:tc>
          <w:tcPr>
            <w:tcW w:w="260" w:type="dxa"/>
            <w:vAlign w:val="bottom"/>
            <w:tcBorders>
              <w:bottom w:val="single" w:sz="8" w:color="auto"/>
            </w:tcBorders>
            <w:shd w:val="clear" w:color="auto" w:fill="CCECFF"/>
          </w:tcPr>
          <w:p>
            <w:pPr>
              <w:jc w:val="right"/>
              <w:ind w:right="149"/>
              <w:spacing w:after="0"/>
              <w:rPr>
                <w:sz w:val="20"/>
                <w:szCs w:val="20"/>
                <w:color w:val="auto"/>
              </w:rPr>
            </w:pPr>
            <w:r>
              <w:rPr>
                <w:rFonts w:ascii="Arial" w:cs="Arial" w:eastAsia="Arial" w:hAnsi="Arial"/>
                <w:sz w:val="10"/>
                <w:szCs w:val="10"/>
                <w:color w:val="auto"/>
                <w:w w:val="71"/>
              </w:rPr>
              <w:t>$</w:t>
            </w:r>
          </w:p>
        </w:tc>
        <w:tc>
          <w:tcPr>
            <w:tcW w:w="1240" w:type="dxa"/>
            <w:vAlign w:val="bottom"/>
            <w:tcBorders>
              <w:bottom w:val="single" w:sz="8" w:color="auto"/>
            </w:tcBorders>
            <w:shd w:val="clear" w:color="auto" w:fill="CCECFF"/>
          </w:tcPr>
          <w:p>
            <w:pPr>
              <w:jc w:val="right"/>
              <w:spacing w:after="0" w:line="155" w:lineRule="exact"/>
              <w:rPr>
                <w:sz w:val="20"/>
                <w:szCs w:val="20"/>
                <w:color w:val="auto"/>
              </w:rPr>
            </w:pPr>
            <w:r>
              <w:rPr>
                <w:rFonts w:ascii="Arial" w:cs="Arial" w:eastAsia="Arial" w:hAnsi="Arial"/>
                <w:sz w:val="14"/>
                <w:szCs w:val="14"/>
                <w:color w:val="auto"/>
              </w:rPr>
              <w:t>652,175,782</w:t>
            </w:r>
          </w:p>
        </w:tc>
        <w:tc>
          <w:tcPr>
            <w:tcW w:w="160" w:type="dxa"/>
            <w:vAlign w:val="bottom"/>
            <w:shd w:val="clear" w:color="auto" w:fill="CCECFF"/>
          </w:tcPr>
          <w:p>
            <w:pPr>
              <w:spacing w:after="0"/>
              <w:rPr>
                <w:sz w:val="13"/>
                <w:szCs w:val="13"/>
                <w:color w:val="auto"/>
              </w:rPr>
            </w:pPr>
          </w:p>
        </w:tc>
        <w:tc>
          <w:tcPr>
            <w:tcW w:w="120" w:type="dxa"/>
            <w:vAlign w:val="bottom"/>
            <w:shd w:val="clear" w:color="auto" w:fill="CCECFF"/>
          </w:tcPr>
          <w:p>
            <w:pPr>
              <w:spacing w:after="0"/>
              <w:rPr>
                <w:sz w:val="13"/>
                <w:szCs w:val="13"/>
                <w:color w:val="auto"/>
              </w:rPr>
            </w:pPr>
          </w:p>
        </w:tc>
        <w:tc>
          <w:tcPr>
            <w:tcW w:w="120" w:type="dxa"/>
            <w:vAlign w:val="bottom"/>
            <w:tcBorders>
              <w:bottom w:val="single" w:sz="8" w:color="auto"/>
            </w:tcBorders>
            <w:shd w:val="clear" w:color="auto" w:fill="CCECFF"/>
          </w:tcPr>
          <w:p>
            <w:pPr>
              <w:jc w:val="right"/>
              <w:spacing w:after="0" w:line="155" w:lineRule="exact"/>
              <w:rPr>
                <w:sz w:val="20"/>
                <w:szCs w:val="20"/>
                <w:color w:val="auto"/>
              </w:rPr>
            </w:pPr>
            <w:r>
              <w:rPr>
                <w:rFonts w:ascii="Arial" w:cs="Arial" w:eastAsia="Arial" w:hAnsi="Arial"/>
                <w:sz w:val="14"/>
                <w:szCs w:val="14"/>
                <w:color w:val="auto"/>
                <w:w w:val="76"/>
              </w:rPr>
              <w:t>$</w:t>
            </w:r>
          </w:p>
        </w:tc>
        <w:tc>
          <w:tcPr>
            <w:tcW w:w="1400" w:type="dxa"/>
            <w:vAlign w:val="bottom"/>
            <w:tcBorders>
              <w:bottom w:val="single" w:sz="8" w:color="auto"/>
            </w:tcBorders>
            <w:shd w:val="clear" w:color="auto" w:fill="CCECFF"/>
          </w:tcPr>
          <w:p>
            <w:pPr>
              <w:jc w:val="right"/>
              <w:spacing w:after="0" w:line="155" w:lineRule="exact"/>
              <w:rPr>
                <w:sz w:val="20"/>
                <w:szCs w:val="20"/>
                <w:color w:val="auto"/>
              </w:rPr>
            </w:pPr>
            <w:r>
              <w:rPr>
                <w:rFonts w:ascii="Arial" w:cs="Arial" w:eastAsia="Arial" w:hAnsi="Arial"/>
                <w:sz w:val="14"/>
                <w:szCs w:val="14"/>
                <w:color w:val="auto"/>
              </w:rPr>
              <w:t>643,366,856</w:t>
            </w:r>
          </w:p>
        </w:tc>
        <w:tc>
          <w:tcPr>
            <w:tcW w:w="120" w:type="dxa"/>
            <w:vAlign w:val="bottom"/>
            <w:shd w:val="clear" w:color="auto" w:fill="CCECFF"/>
          </w:tcPr>
          <w:p>
            <w:pPr>
              <w:spacing w:after="0"/>
              <w:rPr>
                <w:sz w:val="13"/>
                <w:szCs w:val="13"/>
                <w:color w:val="auto"/>
              </w:rPr>
            </w:pPr>
          </w:p>
        </w:tc>
      </w:tr>
      <w:tr>
        <w:trPr>
          <w:trHeight w:val="195"/>
        </w:trPr>
        <w:tc>
          <w:tcPr>
            <w:tcW w:w="800" w:type="dxa"/>
            <w:vAlign w:val="bottom"/>
            <w:tcBorders>
              <w:bottom w:val="single" w:sz="8" w:color="CCECFF"/>
            </w:tcBorders>
          </w:tcPr>
          <w:p>
            <w:pPr>
              <w:spacing w:after="0"/>
              <w:rPr>
                <w:sz w:val="17"/>
                <w:szCs w:val="17"/>
                <w:color w:val="auto"/>
              </w:rPr>
            </w:pPr>
          </w:p>
        </w:tc>
        <w:tc>
          <w:tcPr>
            <w:tcW w:w="7020" w:type="dxa"/>
            <w:vAlign w:val="bottom"/>
            <w:tcBorders>
              <w:bottom w:val="single" w:sz="8" w:color="CCECFF"/>
            </w:tcBorders>
          </w:tcPr>
          <w:p>
            <w:pPr>
              <w:ind w:left="200"/>
              <w:spacing w:after="0" w:line="155" w:lineRule="exact"/>
              <w:rPr>
                <w:sz w:val="20"/>
                <w:szCs w:val="20"/>
                <w:color w:val="auto"/>
              </w:rPr>
            </w:pPr>
            <w:r>
              <w:rPr>
                <w:rFonts w:ascii="Arial" w:cs="Arial" w:eastAsia="Arial" w:hAnsi="Arial"/>
                <w:sz w:val="14"/>
                <w:szCs w:val="14"/>
                <w:b w:val="1"/>
                <w:bCs w:val="1"/>
                <w:color w:val="auto"/>
              </w:rPr>
              <w:t>Total liabilities and net assets</w:t>
            </w:r>
          </w:p>
        </w:tc>
        <w:tc>
          <w:tcPr>
            <w:tcW w:w="260" w:type="dxa"/>
            <w:vAlign w:val="bottom"/>
            <w:tcBorders>
              <w:bottom w:val="single" w:sz="8" w:color="auto"/>
            </w:tcBorders>
          </w:tcPr>
          <w:p>
            <w:pPr>
              <w:jc w:val="right"/>
              <w:ind w:right="149"/>
              <w:spacing w:after="0"/>
              <w:rPr>
                <w:sz w:val="20"/>
                <w:szCs w:val="20"/>
                <w:color w:val="auto"/>
              </w:rPr>
            </w:pPr>
            <w:r>
              <w:rPr>
                <w:rFonts w:ascii="Arial" w:cs="Arial" w:eastAsia="Arial" w:hAnsi="Arial"/>
                <w:sz w:val="10"/>
                <w:szCs w:val="10"/>
                <w:color w:val="auto"/>
                <w:w w:val="71"/>
              </w:rPr>
              <w:t>$</w:t>
            </w:r>
          </w:p>
        </w:tc>
        <w:tc>
          <w:tcPr>
            <w:tcW w:w="1240" w:type="dxa"/>
            <w:vAlign w:val="bottom"/>
            <w:tcBorders>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1,227,648,953</w:t>
            </w:r>
          </w:p>
        </w:tc>
        <w:tc>
          <w:tcPr>
            <w:tcW w:w="160" w:type="dxa"/>
            <w:vAlign w:val="bottom"/>
            <w:tcBorders>
              <w:bottom w:val="single" w:sz="8" w:color="CCECFF"/>
            </w:tcBorders>
          </w:tcPr>
          <w:p>
            <w:pPr>
              <w:spacing w:after="0"/>
              <w:rPr>
                <w:sz w:val="17"/>
                <w:szCs w:val="17"/>
                <w:color w:val="auto"/>
              </w:rPr>
            </w:pPr>
          </w:p>
        </w:tc>
        <w:tc>
          <w:tcPr>
            <w:tcW w:w="120" w:type="dxa"/>
            <w:vAlign w:val="bottom"/>
            <w:tcBorders>
              <w:bottom w:val="single" w:sz="8" w:color="CCECFF"/>
            </w:tcBorders>
          </w:tcPr>
          <w:p>
            <w:pPr>
              <w:spacing w:after="0"/>
              <w:rPr>
                <w:sz w:val="17"/>
                <w:szCs w:val="17"/>
                <w:color w:val="auto"/>
              </w:rPr>
            </w:pPr>
          </w:p>
        </w:tc>
        <w:tc>
          <w:tcPr>
            <w:tcW w:w="120" w:type="dxa"/>
            <w:vAlign w:val="bottom"/>
            <w:tcBorders>
              <w:bottom w:val="single" w:sz="8" w:color="auto"/>
            </w:tcBorders>
          </w:tcPr>
          <w:p>
            <w:pPr>
              <w:jc w:val="right"/>
              <w:spacing w:after="0" w:line="155" w:lineRule="exact"/>
              <w:rPr>
                <w:sz w:val="20"/>
                <w:szCs w:val="20"/>
                <w:color w:val="auto"/>
              </w:rPr>
            </w:pPr>
            <w:r>
              <w:rPr>
                <w:rFonts w:ascii="Arial" w:cs="Arial" w:eastAsia="Arial" w:hAnsi="Arial"/>
                <w:sz w:val="14"/>
                <w:szCs w:val="14"/>
                <w:color w:val="auto"/>
                <w:w w:val="76"/>
              </w:rPr>
              <w:t>$</w:t>
            </w:r>
          </w:p>
        </w:tc>
        <w:tc>
          <w:tcPr>
            <w:tcW w:w="1400" w:type="dxa"/>
            <w:vAlign w:val="bottom"/>
            <w:tcBorders>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1,238,935,878</w:t>
            </w:r>
          </w:p>
        </w:tc>
        <w:tc>
          <w:tcPr>
            <w:tcW w:w="120" w:type="dxa"/>
            <w:vAlign w:val="bottom"/>
            <w:tcBorders>
              <w:bottom w:val="single" w:sz="8" w:color="CCECFF"/>
            </w:tcBorders>
          </w:tcPr>
          <w:p>
            <w:pPr>
              <w:spacing w:after="0"/>
              <w:rPr>
                <w:sz w:val="17"/>
                <w:szCs w:val="17"/>
                <w:color w:val="auto"/>
              </w:rPr>
            </w:pPr>
          </w:p>
        </w:tc>
      </w:tr>
      <w:tr>
        <w:trPr>
          <w:trHeight w:val="143"/>
        </w:trPr>
        <w:tc>
          <w:tcPr>
            <w:tcW w:w="7820" w:type="dxa"/>
            <w:vAlign w:val="bottom"/>
            <w:tcBorders>
              <w:bottom w:val="single" w:sz="8" w:color="CCECFF"/>
            </w:tcBorders>
            <w:gridSpan w:val="2"/>
            <w:shd w:val="clear" w:color="auto" w:fill="CCECFF"/>
          </w:tcPr>
          <w:p>
            <w:pPr>
              <w:spacing w:after="0" w:line="143" w:lineRule="exact"/>
              <w:rPr>
                <w:sz w:val="20"/>
                <w:szCs w:val="20"/>
                <w:color w:val="auto"/>
              </w:rPr>
            </w:pPr>
            <w:r>
              <w:rPr>
                <w:rFonts w:ascii="Arial" w:cs="Arial" w:eastAsia="Arial" w:hAnsi="Arial"/>
                <w:sz w:val="14"/>
                <w:szCs w:val="14"/>
                <w:b w:val="1"/>
                <w:bCs w:val="1"/>
                <w:color w:val="auto"/>
              </w:rPr>
              <w:t>Net asset value per share</w:t>
            </w:r>
          </w:p>
        </w:tc>
        <w:tc>
          <w:tcPr>
            <w:tcW w:w="260" w:type="dxa"/>
            <w:vAlign w:val="bottom"/>
            <w:tcBorders>
              <w:bottom w:val="single" w:sz="8" w:color="auto"/>
            </w:tcBorders>
            <w:shd w:val="clear" w:color="auto" w:fill="CCECFF"/>
          </w:tcPr>
          <w:p>
            <w:pPr>
              <w:jc w:val="right"/>
              <w:ind w:right="149"/>
              <w:spacing w:after="0"/>
              <w:rPr>
                <w:sz w:val="20"/>
                <w:szCs w:val="20"/>
                <w:color w:val="auto"/>
              </w:rPr>
            </w:pPr>
            <w:r>
              <w:rPr>
                <w:rFonts w:ascii="Arial" w:cs="Arial" w:eastAsia="Arial" w:hAnsi="Arial"/>
                <w:sz w:val="10"/>
                <w:szCs w:val="10"/>
                <w:color w:val="auto"/>
                <w:w w:val="71"/>
              </w:rPr>
              <w:t>$</w:t>
            </w:r>
          </w:p>
        </w:tc>
        <w:tc>
          <w:tcPr>
            <w:tcW w:w="1240" w:type="dxa"/>
            <w:vAlign w:val="bottom"/>
            <w:tcBorders>
              <w:bottom w:val="single" w:sz="8" w:color="auto"/>
            </w:tcBorders>
            <w:shd w:val="clear" w:color="auto" w:fill="CCECFF"/>
          </w:tcPr>
          <w:p>
            <w:pPr>
              <w:jc w:val="right"/>
              <w:spacing w:after="0" w:line="143" w:lineRule="exact"/>
              <w:rPr>
                <w:sz w:val="20"/>
                <w:szCs w:val="20"/>
                <w:color w:val="auto"/>
              </w:rPr>
            </w:pPr>
            <w:r>
              <w:rPr>
                <w:rFonts w:ascii="Arial" w:cs="Arial" w:eastAsia="Arial" w:hAnsi="Arial"/>
                <w:sz w:val="14"/>
                <w:szCs w:val="14"/>
                <w:color w:val="auto"/>
              </w:rPr>
              <w:t>9.18</w:t>
            </w:r>
          </w:p>
        </w:tc>
        <w:tc>
          <w:tcPr>
            <w:tcW w:w="160" w:type="dxa"/>
            <w:vAlign w:val="bottom"/>
            <w:tcBorders>
              <w:bottom w:val="single" w:sz="8" w:color="CCECFF"/>
            </w:tcBorders>
            <w:shd w:val="clear" w:color="auto" w:fill="CCECFF"/>
          </w:tcPr>
          <w:p>
            <w:pPr>
              <w:spacing w:after="0"/>
              <w:rPr>
                <w:sz w:val="12"/>
                <w:szCs w:val="12"/>
                <w:color w:val="auto"/>
              </w:rPr>
            </w:pPr>
          </w:p>
        </w:tc>
        <w:tc>
          <w:tcPr>
            <w:tcW w:w="120" w:type="dxa"/>
            <w:vAlign w:val="bottom"/>
            <w:tcBorders>
              <w:bottom w:val="single" w:sz="8" w:color="CCECFF"/>
            </w:tcBorders>
            <w:shd w:val="clear" w:color="auto" w:fill="CCECFF"/>
          </w:tcPr>
          <w:p>
            <w:pPr>
              <w:spacing w:after="0"/>
              <w:rPr>
                <w:sz w:val="12"/>
                <w:szCs w:val="12"/>
                <w:color w:val="auto"/>
              </w:rPr>
            </w:pPr>
          </w:p>
        </w:tc>
        <w:tc>
          <w:tcPr>
            <w:tcW w:w="120" w:type="dxa"/>
            <w:vAlign w:val="bottom"/>
            <w:tcBorders>
              <w:bottom w:val="single" w:sz="8" w:color="auto"/>
            </w:tcBorders>
            <w:shd w:val="clear" w:color="auto" w:fill="CCECFF"/>
          </w:tcPr>
          <w:p>
            <w:pPr>
              <w:jc w:val="right"/>
              <w:spacing w:after="0" w:line="143" w:lineRule="exact"/>
              <w:rPr>
                <w:sz w:val="20"/>
                <w:szCs w:val="20"/>
                <w:color w:val="auto"/>
              </w:rPr>
            </w:pPr>
            <w:r>
              <w:rPr>
                <w:rFonts w:ascii="Arial" w:cs="Arial" w:eastAsia="Arial" w:hAnsi="Arial"/>
                <w:sz w:val="14"/>
                <w:szCs w:val="14"/>
                <w:color w:val="auto"/>
                <w:w w:val="76"/>
              </w:rPr>
              <w:t>$</w:t>
            </w:r>
          </w:p>
        </w:tc>
        <w:tc>
          <w:tcPr>
            <w:tcW w:w="1400" w:type="dxa"/>
            <w:vAlign w:val="bottom"/>
            <w:tcBorders>
              <w:bottom w:val="single" w:sz="8" w:color="auto"/>
            </w:tcBorders>
            <w:shd w:val="clear" w:color="auto" w:fill="CCECFF"/>
          </w:tcPr>
          <w:p>
            <w:pPr>
              <w:jc w:val="right"/>
              <w:spacing w:after="0" w:line="143" w:lineRule="exact"/>
              <w:rPr>
                <w:sz w:val="20"/>
                <w:szCs w:val="20"/>
                <w:color w:val="auto"/>
              </w:rPr>
            </w:pPr>
            <w:r>
              <w:rPr>
                <w:rFonts w:ascii="Arial" w:cs="Arial" w:eastAsia="Arial" w:hAnsi="Arial"/>
                <w:sz w:val="14"/>
                <w:szCs w:val="14"/>
                <w:color w:val="auto"/>
              </w:rPr>
              <w:t>9.05</w:t>
            </w:r>
          </w:p>
        </w:tc>
        <w:tc>
          <w:tcPr>
            <w:tcW w:w="120" w:type="dxa"/>
            <w:vAlign w:val="bottom"/>
            <w:tcBorders>
              <w:bottom w:val="single" w:sz="8" w:color="CCECFF"/>
            </w:tcBorders>
            <w:shd w:val="clear" w:color="auto" w:fill="CCECFF"/>
          </w:tcPr>
          <w:p>
            <w:pPr>
              <w:spacing w:after="0"/>
              <w:rPr>
                <w:sz w:val="12"/>
                <w:szCs w:val="12"/>
                <w:color w:val="auto"/>
              </w:rPr>
            </w:pPr>
          </w:p>
        </w:tc>
      </w:tr>
      <w:tr>
        <w:trPr>
          <w:trHeight w:val="20"/>
        </w:trPr>
        <w:tc>
          <w:tcPr>
            <w:tcW w:w="800" w:type="dxa"/>
            <w:vAlign w:val="bottom"/>
          </w:tcPr>
          <w:p>
            <w:pPr>
              <w:spacing w:after="0" w:line="20" w:lineRule="exact"/>
              <w:rPr>
                <w:sz w:val="1"/>
                <w:szCs w:val="1"/>
                <w:color w:val="auto"/>
              </w:rPr>
            </w:pPr>
          </w:p>
        </w:tc>
        <w:tc>
          <w:tcPr>
            <w:tcW w:w="70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bl>
    <w:p>
      <w:pPr>
        <w:spacing w:after="0" w:line="346"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SEE NOTES TO CONSOLIDATED FINANCIAL STATEMENTS</w:t>
      </w:r>
    </w:p>
    <w:p>
      <w:pPr>
        <w:spacing w:after="0" w:line="136"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72390</wp:posOffset>
            </wp:positionV>
            <wp:extent cx="7149465" cy="171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333" w:right="339" w:bottom="1440" w:gutter="0" w:footer="0" w:header="0"/>
        </w:sectPr>
      </w:pPr>
    </w:p>
    <w:bookmarkStart w:id="4" w:name="page5"/>
    <w:bookmarkEnd w:id="4"/>
    <w:p>
      <w:pPr>
        <w:jc w:val="center"/>
        <w:spacing w:after="0"/>
        <w:rPr>
          <w:sz w:val="20"/>
          <w:szCs w:val="20"/>
          <w:color w:val="auto"/>
        </w:rPr>
      </w:pPr>
      <w:r>
        <w:rPr>
          <w:rFonts w:ascii="Arial" w:cs="Arial" w:eastAsia="Arial" w:hAnsi="Arial"/>
          <w:sz w:val="14"/>
          <w:szCs w:val="14"/>
          <w:b w:val="1"/>
          <w:bCs w:val="1"/>
          <w:color w:val="auto"/>
        </w:rPr>
        <w:t>PENNANTPARK INVESTMENT CORPORATION AND SUBSIDIARIES</w:t>
      </w:r>
    </w:p>
    <w:p>
      <w:pPr>
        <w:jc w:val="center"/>
        <w:spacing w:after="0" w:line="226" w:lineRule="auto"/>
        <w:rPr>
          <w:sz w:val="20"/>
          <w:szCs w:val="20"/>
          <w:color w:val="auto"/>
        </w:rPr>
      </w:pPr>
      <w:r>
        <w:rPr>
          <w:rFonts w:ascii="Arial" w:cs="Arial" w:eastAsia="Arial" w:hAnsi="Arial"/>
          <w:sz w:val="14"/>
          <w:szCs w:val="14"/>
          <w:b w:val="1"/>
          <w:bCs w:val="1"/>
          <w:color w:val="auto"/>
        </w:rPr>
        <w:t>CONSOLIDATED STATEMENTS OF OPERATIONS</w:t>
      </w:r>
    </w:p>
    <w:p>
      <w:pPr>
        <w:jc w:val="center"/>
        <w:spacing w:after="0"/>
        <w:rPr>
          <w:sz w:val="20"/>
          <w:szCs w:val="20"/>
          <w:color w:val="auto"/>
        </w:rPr>
      </w:pPr>
      <w:r>
        <w:rPr>
          <w:rFonts w:ascii="Arial" w:cs="Arial" w:eastAsia="Arial" w:hAnsi="Arial"/>
          <w:sz w:val="14"/>
          <w:szCs w:val="14"/>
          <w:b w:val="1"/>
          <w:bCs w:val="1"/>
          <w:color w:val="auto"/>
        </w:rPr>
        <w:t>(Unaudited)</w:t>
      </w:r>
    </w:p>
    <w:p>
      <w:pPr>
        <w:spacing w:after="0" w:line="363"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592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340" w:type="dxa"/>
            <w:vAlign w:val="bottom"/>
            <w:gridSpan w:val="5"/>
          </w:tcPr>
          <w:p>
            <w:pPr>
              <w:jc w:val="right"/>
              <w:ind w:right="420"/>
              <w:spacing w:after="0"/>
              <w:rPr>
                <w:sz w:val="20"/>
                <w:szCs w:val="20"/>
                <w:color w:val="auto"/>
              </w:rPr>
            </w:pPr>
            <w:r>
              <w:rPr>
                <w:rFonts w:ascii="Arial" w:cs="Arial" w:eastAsia="Arial" w:hAnsi="Arial"/>
                <w:sz w:val="14"/>
                <w:szCs w:val="14"/>
                <w:b w:val="1"/>
                <w:bCs w:val="1"/>
                <w:color w:val="auto"/>
                <w:w w:val="95"/>
              </w:rPr>
              <w:t>Three Months Ended June 30,</w:t>
            </w:r>
          </w:p>
        </w:tc>
        <w:tc>
          <w:tcPr>
            <w:tcW w:w="160" w:type="dxa"/>
            <w:vAlign w:val="bottom"/>
          </w:tcPr>
          <w:p>
            <w:pPr>
              <w:spacing w:after="0"/>
              <w:rPr>
                <w:sz w:val="14"/>
                <w:szCs w:val="14"/>
                <w:color w:val="auto"/>
              </w:rPr>
            </w:pPr>
          </w:p>
        </w:tc>
        <w:tc>
          <w:tcPr>
            <w:tcW w:w="2220" w:type="dxa"/>
            <w:vAlign w:val="bottom"/>
            <w:gridSpan w:val="5"/>
          </w:tcPr>
          <w:p>
            <w:pPr>
              <w:jc w:val="right"/>
              <w:ind w:right="360"/>
              <w:spacing w:after="0"/>
              <w:rPr>
                <w:sz w:val="20"/>
                <w:szCs w:val="20"/>
                <w:color w:val="auto"/>
              </w:rPr>
            </w:pPr>
            <w:r>
              <w:rPr>
                <w:rFonts w:ascii="Arial" w:cs="Arial" w:eastAsia="Arial" w:hAnsi="Arial"/>
                <w:sz w:val="14"/>
                <w:szCs w:val="14"/>
                <w:b w:val="1"/>
                <w:bCs w:val="1"/>
                <w:color w:val="auto"/>
                <w:w w:val="96"/>
              </w:rPr>
              <w:t>Nine Months Ended June 30,</w:t>
            </w:r>
          </w:p>
        </w:tc>
      </w:tr>
      <w:tr>
        <w:trPr>
          <w:trHeight w:val="156"/>
        </w:trPr>
        <w:tc>
          <w:tcPr>
            <w:tcW w:w="5920" w:type="dxa"/>
            <w:vAlign w:val="bottom"/>
            <w:tcBorders>
              <w:bottom w:val="single" w:sz="8" w:color="CCECFF"/>
            </w:tcBorders>
          </w:tcPr>
          <w:p>
            <w:pPr>
              <w:spacing w:after="0"/>
              <w:rPr>
                <w:sz w:val="13"/>
                <w:szCs w:val="13"/>
                <w:color w:val="auto"/>
              </w:rPr>
            </w:pPr>
          </w:p>
        </w:tc>
        <w:tc>
          <w:tcPr>
            <w:tcW w:w="480" w:type="dxa"/>
            <w:vAlign w:val="bottom"/>
            <w:tcBorders>
              <w:bottom w:val="single" w:sz="8" w:color="CCECFF"/>
            </w:tcBorders>
          </w:tcPr>
          <w:p>
            <w:pPr>
              <w:spacing w:after="0"/>
              <w:rPr>
                <w:sz w:val="13"/>
                <w:szCs w:val="13"/>
                <w:color w:val="auto"/>
              </w:rPr>
            </w:pPr>
          </w:p>
        </w:tc>
        <w:tc>
          <w:tcPr>
            <w:tcW w:w="120" w:type="dxa"/>
            <w:vAlign w:val="bottom"/>
            <w:tcBorders>
              <w:top w:val="single" w:sz="8" w:color="auto"/>
              <w:bottom w:val="single" w:sz="8" w:color="auto"/>
            </w:tcBorders>
          </w:tcPr>
          <w:p>
            <w:pPr>
              <w:spacing w:after="0"/>
              <w:rPr>
                <w:sz w:val="13"/>
                <w:szCs w:val="13"/>
                <w:color w:val="auto"/>
              </w:rPr>
            </w:pPr>
          </w:p>
        </w:tc>
        <w:tc>
          <w:tcPr>
            <w:tcW w:w="880" w:type="dxa"/>
            <w:vAlign w:val="bottom"/>
            <w:tcBorders>
              <w:top w:val="single" w:sz="8" w:color="auto"/>
              <w:bottom w:val="single" w:sz="8" w:color="auto"/>
            </w:tcBorders>
          </w:tcPr>
          <w:p>
            <w:pPr>
              <w:jc w:val="right"/>
              <w:ind w:right="288"/>
              <w:spacing w:after="0" w:line="155" w:lineRule="exact"/>
              <w:rPr>
                <w:sz w:val="20"/>
                <w:szCs w:val="20"/>
                <w:color w:val="auto"/>
              </w:rPr>
            </w:pPr>
            <w:r>
              <w:rPr>
                <w:rFonts w:ascii="Arial" w:cs="Arial" w:eastAsia="Arial" w:hAnsi="Arial"/>
                <w:sz w:val="14"/>
                <w:szCs w:val="14"/>
                <w:b w:val="1"/>
                <w:bCs w:val="1"/>
                <w:color w:val="auto"/>
              </w:rPr>
              <w:t>2017</w:t>
            </w:r>
          </w:p>
        </w:tc>
        <w:tc>
          <w:tcPr>
            <w:tcW w:w="220" w:type="dxa"/>
            <w:vAlign w:val="bottom"/>
            <w:tcBorders>
              <w:top w:val="single" w:sz="8" w:color="auto"/>
              <w:bottom w:val="single" w:sz="8" w:color="CCECFF"/>
            </w:tcBorders>
          </w:tcPr>
          <w:p>
            <w:pPr>
              <w:spacing w:after="0"/>
              <w:rPr>
                <w:sz w:val="13"/>
                <w:szCs w:val="13"/>
                <w:color w:val="auto"/>
              </w:rPr>
            </w:pPr>
          </w:p>
        </w:tc>
        <w:tc>
          <w:tcPr>
            <w:tcW w:w="180" w:type="dxa"/>
            <w:vAlign w:val="bottom"/>
            <w:tcBorders>
              <w:top w:val="single" w:sz="8" w:color="auto"/>
              <w:bottom w:val="single" w:sz="8" w:color="auto"/>
            </w:tcBorders>
          </w:tcPr>
          <w:p>
            <w:pPr>
              <w:spacing w:after="0"/>
              <w:rPr>
                <w:sz w:val="13"/>
                <w:szCs w:val="13"/>
                <w:color w:val="auto"/>
              </w:rPr>
            </w:pPr>
          </w:p>
        </w:tc>
        <w:tc>
          <w:tcPr>
            <w:tcW w:w="840" w:type="dxa"/>
            <w:vAlign w:val="bottom"/>
            <w:tcBorders>
              <w:top w:val="single" w:sz="8" w:color="auto"/>
              <w:bottom w:val="single" w:sz="8" w:color="auto"/>
            </w:tcBorders>
          </w:tcPr>
          <w:p>
            <w:pPr>
              <w:jc w:val="right"/>
              <w:ind w:right="308"/>
              <w:spacing w:after="0" w:line="155" w:lineRule="exact"/>
              <w:rPr>
                <w:sz w:val="20"/>
                <w:szCs w:val="20"/>
                <w:color w:val="auto"/>
              </w:rPr>
            </w:pPr>
            <w:r>
              <w:rPr>
                <w:rFonts w:ascii="Arial" w:cs="Arial" w:eastAsia="Arial" w:hAnsi="Arial"/>
                <w:sz w:val="14"/>
                <w:szCs w:val="14"/>
                <w:b w:val="1"/>
                <w:bCs w:val="1"/>
                <w:color w:val="auto"/>
              </w:rPr>
              <w:t>2016</w:t>
            </w:r>
          </w:p>
        </w:tc>
        <w:tc>
          <w:tcPr>
            <w:tcW w:w="220" w:type="dxa"/>
            <w:vAlign w:val="bottom"/>
            <w:tcBorders>
              <w:bottom w:val="single" w:sz="8" w:color="CCECFF"/>
            </w:tcBorders>
          </w:tcPr>
          <w:p>
            <w:pPr>
              <w:spacing w:after="0"/>
              <w:rPr>
                <w:sz w:val="13"/>
                <w:szCs w:val="13"/>
                <w:color w:val="auto"/>
              </w:rPr>
            </w:pPr>
          </w:p>
        </w:tc>
        <w:tc>
          <w:tcPr>
            <w:tcW w:w="160" w:type="dxa"/>
            <w:vAlign w:val="bottom"/>
            <w:tcBorders>
              <w:top w:val="single" w:sz="8" w:color="auto"/>
              <w:bottom w:val="single" w:sz="8" w:color="auto"/>
            </w:tcBorders>
          </w:tcPr>
          <w:p>
            <w:pPr>
              <w:spacing w:after="0"/>
              <w:rPr>
                <w:sz w:val="13"/>
                <w:szCs w:val="13"/>
                <w:color w:val="auto"/>
              </w:rPr>
            </w:pPr>
          </w:p>
        </w:tc>
        <w:tc>
          <w:tcPr>
            <w:tcW w:w="860" w:type="dxa"/>
            <w:vAlign w:val="bottom"/>
            <w:tcBorders>
              <w:top w:val="single" w:sz="8" w:color="auto"/>
              <w:bottom w:val="single" w:sz="8" w:color="auto"/>
            </w:tcBorders>
          </w:tcPr>
          <w:p>
            <w:pPr>
              <w:jc w:val="right"/>
              <w:ind w:right="308"/>
              <w:spacing w:after="0" w:line="155" w:lineRule="exact"/>
              <w:rPr>
                <w:sz w:val="20"/>
                <w:szCs w:val="20"/>
                <w:color w:val="auto"/>
              </w:rPr>
            </w:pPr>
            <w:r>
              <w:rPr>
                <w:rFonts w:ascii="Arial" w:cs="Arial" w:eastAsia="Arial" w:hAnsi="Arial"/>
                <w:sz w:val="14"/>
                <w:szCs w:val="14"/>
                <w:b w:val="1"/>
                <w:bCs w:val="1"/>
                <w:color w:val="auto"/>
              </w:rPr>
              <w:t>2017</w:t>
            </w:r>
          </w:p>
        </w:tc>
        <w:tc>
          <w:tcPr>
            <w:tcW w:w="220" w:type="dxa"/>
            <w:vAlign w:val="bottom"/>
            <w:tcBorders>
              <w:top w:val="single" w:sz="8" w:color="auto"/>
              <w:bottom w:val="single" w:sz="8" w:color="CCECFF"/>
            </w:tcBorders>
          </w:tcPr>
          <w:p>
            <w:pPr>
              <w:spacing w:after="0"/>
              <w:rPr>
                <w:sz w:val="13"/>
                <w:szCs w:val="13"/>
                <w:color w:val="auto"/>
              </w:rPr>
            </w:pPr>
          </w:p>
        </w:tc>
        <w:tc>
          <w:tcPr>
            <w:tcW w:w="200" w:type="dxa"/>
            <w:vAlign w:val="bottom"/>
            <w:tcBorders>
              <w:top w:val="single" w:sz="8" w:color="auto"/>
              <w:bottom w:val="single" w:sz="8" w:color="auto"/>
            </w:tcBorders>
          </w:tcPr>
          <w:p>
            <w:pPr>
              <w:spacing w:after="0"/>
              <w:rPr>
                <w:sz w:val="13"/>
                <w:szCs w:val="13"/>
                <w:color w:val="auto"/>
              </w:rPr>
            </w:pPr>
          </w:p>
        </w:tc>
        <w:tc>
          <w:tcPr>
            <w:tcW w:w="840" w:type="dxa"/>
            <w:vAlign w:val="bottom"/>
            <w:tcBorders>
              <w:top w:val="single" w:sz="8" w:color="auto"/>
              <w:bottom w:val="single" w:sz="8" w:color="auto"/>
            </w:tcBorders>
          </w:tcPr>
          <w:p>
            <w:pPr>
              <w:jc w:val="right"/>
              <w:ind w:right="308"/>
              <w:spacing w:after="0" w:line="155" w:lineRule="exact"/>
              <w:rPr>
                <w:sz w:val="20"/>
                <w:szCs w:val="20"/>
                <w:color w:val="auto"/>
              </w:rPr>
            </w:pPr>
            <w:r>
              <w:rPr>
                <w:rFonts w:ascii="Arial" w:cs="Arial" w:eastAsia="Arial" w:hAnsi="Arial"/>
                <w:sz w:val="14"/>
                <w:szCs w:val="14"/>
                <w:b w:val="1"/>
                <w:bCs w:val="1"/>
                <w:color w:val="auto"/>
              </w:rPr>
              <w:t>2016</w:t>
            </w:r>
          </w:p>
        </w:tc>
        <w:tc>
          <w:tcPr>
            <w:tcW w:w="100" w:type="dxa"/>
            <w:vAlign w:val="bottom"/>
            <w:tcBorders>
              <w:bottom w:val="single" w:sz="8" w:color="CCECFF"/>
            </w:tcBorders>
          </w:tcPr>
          <w:p>
            <w:pPr>
              <w:spacing w:after="0"/>
              <w:rPr>
                <w:sz w:val="13"/>
                <w:szCs w:val="13"/>
                <w:color w:val="auto"/>
              </w:rPr>
            </w:pPr>
          </w:p>
        </w:tc>
      </w:tr>
      <w:tr>
        <w:trPr>
          <w:trHeight w:val="155"/>
        </w:trPr>
        <w:tc>
          <w:tcPr>
            <w:tcW w:w="5920" w:type="dxa"/>
            <w:vAlign w:val="bottom"/>
            <w:shd w:val="clear" w:color="auto" w:fill="CCECFF"/>
          </w:tcPr>
          <w:p>
            <w:pPr>
              <w:spacing w:after="0" w:line="155" w:lineRule="exact"/>
              <w:rPr>
                <w:sz w:val="20"/>
                <w:szCs w:val="20"/>
                <w:color w:val="auto"/>
              </w:rPr>
            </w:pPr>
            <w:r>
              <w:rPr>
                <w:rFonts w:ascii="Arial" w:cs="Arial" w:eastAsia="Arial" w:hAnsi="Arial"/>
                <w:sz w:val="14"/>
                <w:szCs w:val="14"/>
                <w:b w:val="1"/>
                <w:bCs w:val="1"/>
                <w:color w:val="auto"/>
              </w:rPr>
              <w:t>Investment income:</w:t>
            </w:r>
          </w:p>
        </w:tc>
        <w:tc>
          <w:tcPr>
            <w:tcW w:w="480" w:type="dxa"/>
            <w:vAlign w:val="bottom"/>
            <w:shd w:val="clear" w:color="auto" w:fill="CCECFF"/>
          </w:tcPr>
          <w:p>
            <w:pPr>
              <w:spacing w:after="0"/>
              <w:rPr>
                <w:sz w:val="13"/>
                <w:szCs w:val="13"/>
                <w:color w:val="auto"/>
              </w:rPr>
            </w:pPr>
          </w:p>
        </w:tc>
        <w:tc>
          <w:tcPr>
            <w:tcW w:w="120" w:type="dxa"/>
            <w:vAlign w:val="bottom"/>
            <w:shd w:val="clear" w:color="auto" w:fill="CCECFF"/>
          </w:tcPr>
          <w:p>
            <w:pPr>
              <w:spacing w:after="0"/>
              <w:rPr>
                <w:sz w:val="13"/>
                <w:szCs w:val="13"/>
                <w:color w:val="auto"/>
              </w:rPr>
            </w:pPr>
          </w:p>
        </w:tc>
        <w:tc>
          <w:tcPr>
            <w:tcW w:w="880" w:type="dxa"/>
            <w:vAlign w:val="bottom"/>
            <w:shd w:val="clear" w:color="auto" w:fill="CCECFF"/>
          </w:tcPr>
          <w:p>
            <w:pPr>
              <w:spacing w:after="0"/>
              <w:rPr>
                <w:sz w:val="13"/>
                <w:szCs w:val="13"/>
                <w:color w:val="auto"/>
              </w:rPr>
            </w:pPr>
          </w:p>
        </w:tc>
        <w:tc>
          <w:tcPr>
            <w:tcW w:w="220" w:type="dxa"/>
            <w:vAlign w:val="bottom"/>
            <w:shd w:val="clear" w:color="auto" w:fill="CCECFF"/>
          </w:tcPr>
          <w:p>
            <w:pPr>
              <w:spacing w:after="0"/>
              <w:rPr>
                <w:sz w:val="13"/>
                <w:szCs w:val="13"/>
                <w:color w:val="auto"/>
              </w:rPr>
            </w:pPr>
          </w:p>
        </w:tc>
        <w:tc>
          <w:tcPr>
            <w:tcW w:w="180" w:type="dxa"/>
            <w:vAlign w:val="bottom"/>
            <w:shd w:val="clear" w:color="auto" w:fill="CCECFF"/>
          </w:tcPr>
          <w:p>
            <w:pPr>
              <w:spacing w:after="0"/>
              <w:rPr>
                <w:sz w:val="13"/>
                <w:szCs w:val="13"/>
                <w:color w:val="auto"/>
              </w:rPr>
            </w:pPr>
          </w:p>
        </w:tc>
        <w:tc>
          <w:tcPr>
            <w:tcW w:w="840" w:type="dxa"/>
            <w:vAlign w:val="bottom"/>
            <w:shd w:val="clear" w:color="auto" w:fill="CCECFF"/>
          </w:tcPr>
          <w:p>
            <w:pPr>
              <w:spacing w:after="0"/>
              <w:rPr>
                <w:sz w:val="13"/>
                <w:szCs w:val="13"/>
                <w:color w:val="auto"/>
              </w:rPr>
            </w:pPr>
          </w:p>
        </w:tc>
        <w:tc>
          <w:tcPr>
            <w:tcW w:w="220" w:type="dxa"/>
            <w:vAlign w:val="bottom"/>
            <w:shd w:val="clear" w:color="auto" w:fill="CCECFF"/>
          </w:tcPr>
          <w:p>
            <w:pPr>
              <w:spacing w:after="0"/>
              <w:rPr>
                <w:sz w:val="13"/>
                <w:szCs w:val="13"/>
                <w:color w:val="auto"/>
              </w:rPr>
            </w:pPr>
          </w:p>
        </w:tc>
        <w:tc>
          <w:tcPr>
            <w:tcW w:w="160" w:type="dxa"/>
            <w:vAlign w:val="bottom"/>
            <w:shd w:val="clear" w:color="auto" w:fill="CCECFF"/>
          </w:tcPr>
          <w:p>
            <w:pPr>
              <w:spacing w:after="0"/>
              <w:rPr>
                <w:sz w:val="13"/>
                <w:szCs w:val="13"/>
                <w:color w:val="auto"/>
              </w:rPr>
            </w:pPr>
          </w:p>
        </w:tc>
        <w:tc>
          <w:tcPr>
            <w:tcW w:w="860" w:type="dxa"/>
            <w:vAlign w:val="bottom"/>
            <w:shd w:val="clear" w:color="auto" w:fill="CCECFF"/>
          </w:tcPr>
          <w:p>
            <w:pPr>
              <w:spacing w:after="0"/>
              <w:rPr>
                <w:sz w:val="13"/>
                <w:szCs w:val="13"/>
                <w:color w:val="auto"/>
              </w:rPr>
            </w:pPr>
          </w:p>
        </w:tc>
        <w:tc>
          <w:tcPr>
            <w:tcW w:w="220" w:type="dxa"/>
            <w:vAlign w:val="bottom"/>
            <w:shd w:val="clear" w:color="auto" w:fill="CCECFF"/>
          </w:tcPr>
          <w:p>
            <w:pPr>
              <w:spacing w:after="0"/>
              <w:rPr>
                <w:sz w:val="13"/>
                <w:szCs w:val="13"/>
                <w:color w:val="auto"/>
              </w:rPr>
            </w:pPr>
          </w:p>
        </w:tc>
        <w:tc>
          <w:tcPr>
            <w:tcW w:w="200" w:type="dxa"/>
            <w:vAlign w:val="bottom"/>
            <w:shd w:val="clear" w:color="auto" w:fill="CCECFF"/>
          </w:tcPr>
          <w:p>
            <w:pPr>
              <w:spacing w:after="0"/>
              <w:rPr>
                <w:sz w:val="13"/>
                <w:szCs w:val="13"/>
                <w:color w:val="auto"/>
              </w:rPr>
            </w:pPr>
          </w:p>
        </w:tc>
        <w:tc>
          <w:tcPr>
            <w:tcW w:w="840" w:type="dxa"/>
            <w:vAlign w:val="bottom"/>
            <w:shd w:val="clear" w:color="auto" w:fill="CCECFF"/>
          </w:tcPr>
          <w:p>
            <w:pPr>
              <w:spacing w:after="0"/>
              <w:rPr>
                <w:sz w:val="13"/>
                <w:szCs w:val="13"/>
                <w:color w:val="auto"/>
              </w:rPr>
            </w:pPr>
          </w:p>
        </w:tc>
        <w:tc>
          <w:tcPr>
            <w:tcW w:w="100" w:type="dxa"/>
            <w:vAlign w:val="bottom"/>
            <w:shd w:val="clear" w:color="auto" w:fill="CCECFF"/>
          </w:tcPr>
          <w:p>
            <w:pPr>
              <w:spacing w:after="0"/>
              <w:rPr>
                <w:sz w:val="13"/>
                <w:szCs w:val="13"/>
                <w:color w:val="auto"/>
              </w:rPr>
            </w:pPr>
          </w:p>
        </w:tc>
      </w:tr>
      <w:tr>
        <w:trPr>
          <w:trHeight w:val="162"/>
        </w:trPr>
        <w:tc>
          <w:tcPr>
            <w:tcW w:w="5920" w:type="dxa"/>
            <w:vAlign w:val="bottom"/>
          </w:tcPr>
          <w:p>
            <w:pPr>
              <w:spacing w:after="0"/>
              <w:rPr>
                <w:sz w:val="20"/>
                <w:szCs w:val="20"/>
                <w:color w:val="auto"/>
              </w:rPr>
            </w:pPr>
            <w:r>
              <w:rPr>
                <w:rFonts w:ascii="Arial" w:cs="Arial" w:eastAsia="Arial" w:hAnsi="Arial"/>
                <w:sz w:val="14"/>
                <w:szCs w:val="14"/>
                <w:color w:val="auto"/>
              </w:rPr>
              <w:t>From non-controlled, non-affiliated investments:</w:t>
            </w:r>
          </w:p>
        </w:tc>
        <w:tc>
          <w:tcPr>
            <w:tcW w:w="4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00" w:type="dxa"/>
            <w:vAlign w:val="bottom"/>
          </w:tcPr>
          <w:p>
            <w:pPr>
              <w:spacing w:after="0"/>
              <w:rPr>
                <w:sz w:val="14"/>
                <w:szCs w:val="14"/>
                <w:color w:val="auto"/>
              </w:rPr>
            </w:pPr>
          </w:p>
        </w:tc>
      </w:tr>
      <w:tr>
        <w:trPr>
          <w:trHeight w:val="162"/>
        </w:trPr>
        <w:tc>
          <w:tcPr>
            <w:tcW w:w="5920" w:type="dxa"/>
            <w:vAlign w:val="bottom"/>
            <w:shd w:val="clear" w:color="auto" w:fill="CCECFF"/>
          </w:tcPr>
          <w:p>
            <w:pPr>
              <w:ind w:left="260"/>
              <w:spacing w:after="0"/>
              <w:rPr>
                <w:sz w:val="20"/>
                <w:szCs w:val="20"/>
                <w:color w:val="auto"/>
              </w:rPr>
            </w:pPr>
            <w:r>
              <w:rPr>
                <w:rFonts w:ascii="Arial" w:cs="Arial" w:eastAsia="Arial" w:hAnsi="Arial"/>
                <w:sz w:val="14"/>
                <w:szCs w:val="14"/>
                <w:color w:val="auto"/>
              </w:rPr>
              <w:t>Interest</w:t>
            </w:r>
          </w:p>
        </w:tc>
        <w:tc>
          <w:tcPr>
            <w:tcW w:w="600" w:type="dxa"/>
            <w:vAlign w:val="bottom"/>
            <w:gridSpan w:val="2"/>
            <w:shd w:val="clear" w:color="auto" w:fill="CCECFF"/>
          </w:tcPr>
          <w:p>
            <w:pPr>
              <w:jc w:val="right"/>
              <w:ind w:right="9"/>
              <w:spacing w:after="0"/>
              <w:rPr>
                <w:sz w:val="20"/>
                <w:szCs w:val="20"/>
                <w:color w:val="auto"/>
              </w:rPr>
            </w:pPr>
            <w:r>
              <w:rPr>
                <w:rFonts w:ascii="Arial" w:cs="Arial" w:eastAsia="Arial" w:hAnsi="Arial"/>
                <w:sz w:val="14"/>
                <w:szCs w:val="14"/>
                <w:color w:val="auto"/>
              </w:rPr>
              <w:t>$</w:t>
            </w:r>
          </w:p>
        </w:tc>
        <w:tc>
          <w:tcPr>
            <w:tcW w:w="880" w:type="dxa"/>
            <w:vAlign w:val="bottom"/>
            <w:shd w:val="clear" w:color="auto" w:fill="CCECFF"/>
          </w:tcPr>
          <w:p>
            <w:pPr>
              <w:jc w:val="right"/>
              <w:spacing w:after="0"/>
              <w:rPr>
                <w:sz w:val="20"/>
                <w:szCs w:val="20"/>
                <w:color w:val="auto"/>
              </w:rPr>
            </w:pPr>
            <w:r>
              <w:rPr>
                <w:rFonts w:ascii="Arial" w:cs="Arial" w:eastAsia="Arial" w:hAnsi="Arial"/>
                <w:sz w:val="14"/>
                <w:szCs w:val="14"/>
                <w:color w:val="auto"/>
              </w:rPr>
              <w:t>21,366,729</w:t>
            </w:r>
          </w:p>
        </w:tc>
        <w:tc>
          <w:tcPr>
            <w:tcW w:w="220" w:type="dxa"/>
            <w:vAlign w:val="bottom"/>
            <w:shd w:val="clear" w:color="auto" w:fill="CCECFF"/>
          </w:tcPr>
          <w:p>
            <w:pPr>
              <w:spacing w:after="0"/>
              <w:rPr>
                <w:sz w:val="14"/>
                <w:szCs w:val="14"/>
                <w:color w:val="auto"/>
              </w:rPr>
            </w:pPr>
          </w:p>
        </w:tc>
        <w:tc>
          <w:tcPr>
            <w:tcW w:w="180" w:type="dxa"/>
            <w:vAlign w:val="bottom"/>
            <w:shd w:val="clear" w:color="auto" w:fill="CCECFF"/>
          </w:tcPr>
          <w:p>
            <w:pPr>
              <w:jc w:val="right"/>
              <w:ind w:right="28"/>
              <w:spacing w:after="0"/>
              <w:rPr>
                <w:sz w:val="20"/>
                <w:szCs w:val="20"/>
                <w:color w:val="auto"/>
              </w:rPr>
            </w:pPr>
            <w:r>
              <w:rPr>
                <w:rFonts w:ascii="Arial" w:cs="Arial" w:eastAsia="Arial" w:hAnsi="Arial"/>
                <w:sz w:val="14"/>
                <w:szCs w:val="14"/>
                <w:color w:val="auto"/>
                <w:w w:val="76"/>
              </w:rPr>
              <w:t>$</w:t>
            </w:r>
          </w:p>
        </w:tc>
        <w:tc>
          <w:tcPr>
            <w:tcW w:w="840" w:type="dxa"/>
            <w:vAlign w:val="bottom"/>
            <w:shd w:val="clear" w:color="auto" w:fill="CCECFF"/>
          </w:tcPr>
          <w:p>
            <w:pPr>
              <w:jc w:val="right"/>
              <w:spacing w:after="0"/>
              <w:rPr>
                <w:sz w:val="20"/>
                <w:szCs w:val="20"/>
                <w:color w:val="auto"/>
              </w:rPr>
            </w:pPr>
            <w:r>
              <w:rPr>
                <w:rFonts w:ascii="Arial" w:cs="Arial" w:eastAsia="Arial" w:hAnsi="Arial"/>
                <w:sz w:val="14"/>
                <w:szCs w:val="14"/>
                <w:color w:val="auto"/>
              </w:rPr>
              <w:t>26,432,244</w:t>
            </w:r>
          </w:p>
        </w:tc>
        <w:tc>
          <w:tcPr>
            <w:tcW w:w="220" w:type="dxa"/>
            <w:vAlign w:val="bottom"/>
            <w:shd w:val="clear" w:color="auto" w:fill="CCECFF"/>
          </w:tcPr>
          <w:p>
            <w:pPr>
              <w:spacing w:after="0"/>
              <w:rPr>
                <w:sz w:val="14"/>
                <w:szCs w:val="14"/>
                <w:color w:val="auto"/>
              </w:rPr>
            </w:pPr>
          </w:p>
        </w:tc>
        <w:tc>
          <w:tcPr>
            <w:tcW w:w="160" w:type="dxa"/>
            <w:vAlign w:val="bottom"/>
            <w:shd w:val="clear" w:color="auto" w:fill="CCECFF"/>
          </w:tcPr>
          <w:p>
            <w:pPr>
              <w:jc w:val="right"/>
              <w:ind w:right="8"/>
              <w:spacing w:after="0"/>
              <w:rPr>
                <w:sz w:val="20"/>
                <w:szCs w:val="20"/>
                <w:color w:val="auto"/>
              </w:rPr>
            </w:pPr>
            <w:r>
              <w:rPr>
                <w:rFonts w:ascii="Arial" w:cs="Arial" w:eastAsia="Arial" w:hAnsi="Arial"/>
                <w:sz w:val="14"/>
                <w:szCs w:val="14"/>
                <w:color w:val="auto"/>
                <w:w w:val="76"/>
              </w:rPr>
              <w:t>$</w:t>
            </w:r>
          </w:p>
        </w:tc>
        <w:tc>
          <w:tcPr>
            <w:tcW w:w="860" w:type="dxa"/>
            <w:vAlign w:val="bottom"/>
            <w:shd w:val="clear" w:color="auto" w:fill="CCECFF"/>
          </w:tcPr>
          <w:p>
            <w:pPr>
              <w:jc w:val="right"/>
              <w:spacing w:after="0"/>
              <w:rPr>
                <w:sz w:val="20"/>
                <w:szCs w:val="20"/>
                <w:color w:val="auto"/>
              </w:rPr>
            </w:pPr>
            <w:r>
              <w:rPr>
                <w:rFonts w:ascii="Arial" w:cs="Arial" w:eastAsia="Arial" w:hAnsi="Arial"/>
                <w:sz w:val="14"/>
                <w:szCs w:val="14"/>
                <w:color w:val="auto"/>
              </w:rPr>
              <w:t>67,329,174</w:t>
            </w:r>
          </w:p>
        </w:tc>
        <w:tc>
          <w:tcPr>
            <w:tcW w:w="220" w:type="dxa"/>
            <w:vAlign w:val="bottom"/>
            <w:shd w:val="clear" w:color="auto" w:fill="CCECFF"/>
          </w:tcPr>
          <w:p>
            <w:pPr>
              <w:spacing w:after="0"/>
              <w:rPr>
                <w:sz w:val="14"/>
                <w:szCs w:val="14"/>
                <w:color w:val="auto"/>
              </w:rPr>
            </w:pPr>
          </w:p>
        </w:tc>
        <w:tc>
          <w:tcPr>
            <w:tcW w:w="200" w:type="dxa"/>
            <w:vAlign w:val="bottom"/>
            <w:shd w:val="clear" w:color="auto" w:fill="CCECFF"/>
          </w:tcPr>
          <w:p>
            <w:pPr>
              <w:jc w:val="right"/>
              <w:ind w:right="48"/>
              <w:spacing w:after="0"/>
              <w:rPr>
                <w:sz w:val="20"/>
                <w:szCs w:val="20"/>
                <w:color w:val="auto"/>
              </w:rPr>
            </w:pPr>
            <w:r>
              <w:rPr>
                <w:rFonts w:ascii="Arial" w:cs="Arial" w:eastAsia="Arial" w:hAnsi="Arial"/>
                <w:sz w:val="14"/>
                <w:szCs w:val="14"/>
                <w:color w:val="auto"/>
                <w:w w:val="76"/>
              </w:rPr>
              <w:t>$</w:t>
            </w:r>
          </w:p>
        </w:tc>
        <w:tc>
          <w:tcPr>
            <w:tcW w:w="840" w:type="dxa"/>
            <w:vAlign w:val="bottom"/>
            <w:shd w:val="clear" w:color="auto" w:fill="CCECFF"/>
          </w:tcPr>
          <w:p>
            <w:pPr>
              <w:jc w:val="right"/>
              <w:spacing w:after="0"/>
              <w:rPr>
                <w:sz w:val="20"/>
                <w:szCs w:val="20"/>
                <w:color w:val="auto"/>
              </w:rPr>
            </w:pPr>
            <w:r>
              <w:rPr>
                <w:rFonts w:ascii="Arial" w:cs="Arial" w:eastAsia="Arial" w:hAnsi="Arial"/>
                <w:sz w:val="14"/>
                <w:szCs w:val="14"/>
                <w:color w:val="auto"/>
              </w:rPr>
              <w:t>81,300,064</w:t>
            </w:r>
          </w:p>
        </w:tc>
        <w:tc>
          <w:tcPr>
            <w:tcW w:w="100" w:type="dxa"/>
            <w:vAlign w:val="bottom"/>
            <w:shd w:val="clear" w:color="auto" w:fill="CCECFF"/>
          </w:tcPr>
          <w:p>
            <w:pPr>
              <w:spacing w:after="0"/>
              <w:rPr>
                <w:sz w:val="14"/>
                <w:szCs w:val="14"/>
                <w:color w:val="auto"/>
              </w:rPr>
            </w:pPr>
          </w:p>
        </w:tc>
      </w:tr>
      <w:tr>
        <w:trPr>
          <w:trHeight w:val="162"/>
        </w:trPr>
        <w:tc>
          <w:tcPr>
            <w:tcW w:w="5920" w:type="dxa"/>
            <w:vAlign w:val="bottom"/>
          </w:tcPr>
          <w:p>
            <w:pPr>
              <w:ind w:left="260"/>
              <w:spacing w:after="0"/>
              <w:rPr>
                <w:sz w:val="20"/>
                <w:szCs w:val="20"/>
                <w:color w:val="auto"/>
              </w:rPr>
            </w:pPr>
            <w:r>
              <w:rPr>
                <w:rFonts w:ascii="Arial" w:cs="Arial" w:eastAsia="Arial" w:hAnsi="Arial"/>
                <w:sz w:val="14"/>
                <w:szCs w:val="14"/>
                <w:color w:val="auto"/>
              </w:rPr>
              <w:t>Other income</w:t>
            </w:r>
          </w:p>
        </w:tc>
        <w:tc>
          <w:tcPr>
            <w:tcW w:w="4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80" w:type="dxa"/>
            <w:vAlign w:val="bottom"/>
          </w:tcPr>
          <w:p>
            <w:pPr>
              <w:jc w:val="right"/>
              <w:spacing w:after="0"/>
              <w:rPr>
                <w:sz w:val="20"/>
                <w:szCs w:val="20"/>
                <w:color w:val="auto"/>
              </w:rPr>
            </w:pPr>
            <w:r>
              <w:rPr>
                <w:rFonts w:ascii="Arial" w:cs="Arial" w:eastAsia="Arial" w:hAnsi="Arial"/>
                <w:sz w:val="14"/>
                <w:szCs w:val="14"/>
                <w:color w:val="auto"/>
              </w:rPr>
              <w:t>946,587</w:t>
            </w:r>
          </w:p>
        </w:tc>
        <w:tc>
          <w:tcPr>
            <w:tcW w:w="2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40" w:type="dxa"/>
            <w:vAlign w:val="bottom"/>
          </w:tcPr>
          <w:p>
            <w:pPr>
              <w:jc w:val="right"/>
              <w:spacing w:after="0"/>
              <w:rPr>
                <w:sz w:val="20"/>
                <w:szCs w:val="20"/>
                <w:color w:val="auto"/>
              </w:rPr>
            </w:pPr>
            <w:r>
              <w:rPr>
                <w:rFonts w:ascii="Arial" w:cs="Arial" w:eastAsia="Arial" w:hAnsi="Arial"/>
                <w:sz w:val="14"/>
                <w:szCs w:val="14"/>
                <w:color w:val="auto"/>
              </w:rPr>
              <w:t>2,151,427</w:t>
            </w:r>
          </w:p>
        </w:tc>
        <w:tc>
          <w:tcPr>
            <w:tcW w:w="2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60" w:type="dxa"/>
            <w:vAlign w:val="bottom"/>
          </w:tcPr>
          <w:p>
            <w:pPr>
              <w:jc w:val="right"/>
              <w:spacing w:after="0"/>
              <w:rPr>
                <w:sz w:val="20"/>
                <w:szCs w:val="20"/>
                <w:color w:val="auto"/>
              </w:rPr>
            </w:pPr>
            <w:r>
              <w:rPr>
                <w:rFonts w:ascii="Arial" w:cs="Arial" w:eastAsia="Arial" w:hAnsi="Arial"/>
                <w:sz w:val="14"/>
                <w:szCs w:val="14"/>
                <w:color w:val="auto"/>
              </w:rPr>
              <w:t>4,614,740</w:t>
            </w:r>
          </w:p>
        </w:tc>
        <w:tc>
          <w:tcPr>
            <w:tcW w:w="2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40" w:type="dxa"/>
            <w:vAlign w:val="bottom"/>
          </w:tcPr>
          <w:p>
            <w:pPr>
              <w:jc w:val="right"/>
              <w:spacing w:after="0"/>
              <w:rPr>
                <w:sz w:val="20"/>
                <w:szCs w:val="20"/>
                <w:color w:val="auto"/>
              </w:rPr>
            </w:pPr>
            <w:r>
              <w:rPr>
                <w:rFonts w:ascii="Arial" w:cs="Arial" w:eastAsia="Arial" w:hAnsi="Arial"/>
                <w:sz w:val="14"/>
                <w:szCs w:val="14"/>
                <w:color w:val="auto"/>
              </w:rPr>
              <w:t>9,679,096</w:t>
            </w:r>
          </w:p>
        </w:tc>
        <w:tc>
          <w:tcPr>
            <w:tcW w:w="100" w:type="dxa"/>
            <w:vAlign w:val="bottom"/>
          </w:tcPr>
          <w:p>
            <w:pPr>
              <w:spacing w:after="0"/>
              <w:rPr>
                <w:sz w:val="14"/>
                <w:szCs w:val="14"/>
                <w:color w:val="auto"/>
              </w:rPr>
            </w:pPr>
          </w:p>
        </w:tc>
      </w:tr>
      <w:tr>
        <w:trPr>
          <w:trHeight w:val="162"/>
        </w:trPr>
        <w:tc>
          <w:tcPr>
            <w:tcW w:w="5920" w:type="dxa"/>
            <w:vAlign w:val="bottom"/>
            <w:shd w:val="clear" w:color="auto" w:fill="CCECFF"/>
          </w:tcPr>
          <w:p>
            <w:pPr>
              <w:spacing w:after="0"/>
              <w:rPr>
                <w:sz w:val="20"/>
                <w:szCs w:val="20"/>
                <w:color w:val="auto"/>
              </w:rPr>
            </w:pPr>
            <w:r>
              <w:rPr>
                <w:rFonts w:ascii="Arial" w:cs="Arial" w:eastAsia="Arial" w:hAnsi="Arial"/>
                <w:sz w:val="14"/>
                <w:szCs w:val="14"/>
                <w:color w:val="auto"/>
              </w:rPr>
              <w:t>From non-controlled, affiliated investments:</w:t>
            </w:r>
          </w:p>
        </w:tc>
        <w:tc>
          <w:tcPr>
            <w:tcW w:w="480" w:type="dxa"/>
            <w:vAlign w:val="bottom"/>
            <w:shd w:val="clear" w:color="auto" w:fill="CCECFF"/>
          </w:tcPr>
          <w:p>
            <w:pPr>
              <w:spacing w:after="0"/>
              <w:rPr>
                <w:sz w:val="14"/>
                <w:szCs w:val="14"/>
                <w:color w:val="auto"/>
              </w:rPr>
            </w:pPr>
          </w:p>
        </w:tc>
        <w:tc>
          <w:tcPr>
            <w:tcW w:w="120" w:type="dxa"/>
            <w:vAlign w:val="bottom"/>
            <w:shd w:val="clear" w:color="auto" w:fill="CCECFF"/>
          </w:tcPr>
          <w:p>
            <w:pPr>
              <w:spacing w:after="0"/>
              <w:rPr>
                <w:sz w:val="14"/>
                <w:szCs w:val="14"/>
                <w:color w:val="auto"/>
              </w:rPr>
            </w:pPr>
          </w:p>
        </w:tc>
        <w:tc>
          <w:tcPr>
            <w:tcW w:w="880" w:type="dxa"/>
            <w:vAlign w:val="bottom"/>
            <w:shd w:val="clear" w:color="auto" w:fill="CCECFF"/>
          </w:tcPr>
          <w:p>
            <w:pPr>
              <w:spacing w:after="0"/>
              <w:rPr>
                <w:sz w:val="14"/>
                <w:szCs w:val="14"/>
                <w:color w:val="auto"/>
              </w:rPr>
            </w:pPr>
          </w:p>
        </w:tc>
        <w:tc>
          <w:tcPr>
            <w:tcW w:w="220" w:type="dxa"/>
            <w:vAlign w:val="bottom"/>
            <w:shd w:val="clear" w:color="auto" w:fill="CCECFF"/>
          </w:tcPr>
          <w:p>
            <w:pPr>
              <w:spacing w:after="0"/>
              <w:rPr>
                <w:sz w:val="14"/>
                <w:szCs w:val="14"/>
                <w:color w:val="auto"/>
              </w:rPr>
            </w:pPr>
          </w:p>
        </w:tc>
        <w:tc>
          <w:tcPr>
            <w:tcW w:w="180" w:type="dxa"/>
            <w:vAlign w:val="bottom"/>
            <w:shd w:val="clear" w:color="auto" w:fill="CCECFF"/>
          </w:tcPr>
          <w:p>
            <w:pPr>
              <w:spacing w:after="0"/>
              <w:rPr>
                <w:sz w:val="14"/>
                <w:szCs w:val="14"/>
                <w:color w:val="auto"/>
              </w:rPr>
            </w:pPr>
          </w:p>
        </w:tc>
        <w:tc>
          <w:tcPr>
            <w:tcW w:w="840" w:type="dxa"/>
            <w:vAlign w:val="bottom"/>
            <w:shd w:val="clear" w:color="auto" w:fill="CCECFF"/>
          </w:tcPr>
          <w:p>
            <w:pPr>
              <w:spacing w:after="0"/>
              <w:rPr>
                <w:sz w:val="14"/>
                <w:szCs w:val="14"/>
                <w:color w:val="auto"/>
              </w:rPr>
            </w:pPr>
          </w:p>
        </w:tc>
        <w:tc>
          <w:tcPr>
            <w:tcW w:w="220" w:type="dxa"/>
            <w:vAlign w:val="bottom"/>
            <w:shd w:val="clear" w:color="auto" w:fill="CCECFF"/>
          </w:tcPr>
          <w:p>
            <w:pPr>
              <w:spacing w:after="0"/>
              <w:rPr>
                <w:sz w:val="14"/>
                <w:szCs w:val="14"/>
                <w:color w:val="auto"/>
              </w:rPr>
            </w:pPr>
          </w:p>
        </w:tc>
        <w:tc>
          <w:tcPr>
            <w:tcW w:w="160" w:type="dxa"/>
            <w:vAlign w:val="bottom"/>
            <w:shd w:val="clear" w:color="auto" w:fill="CCECFF"/>
          </w:tcPr>
          <w:p>
            <w:pPr>
              <w:spacing w:after="0"/>
              <w:rPr>
                <w:sz w:val="14"/>
                <w:szCs w:val="14"/>
                <w:color w:val="auto"/>
              </w:rPr>
            </w:pPr>
          </w:p>
        </w:tc>
        <w:tc>
          <w:tcPr>
            <w:tcW w:w="860" w:type="dxa"/>
            <w:vAlign w:val="bottom"/>
            <w:shd w:val="clear" w:color="auto" w:fill="CCECFF"/>
          </w:tcPr>
          <w:p>
            <w:pPr>
              <w:spacing w:after="0"/>
              <w:rPr>
                <w:sz w:val="14"/>
                <w:szCs w:val="14"/>
                <w:color w:val="auto"/>
              </w:rPr>
            </w:pPr>
          </w:p>
        </w:tc>
        <w:tc>
          <w:tcPr>
            <w:tcW w:w="220" w:type="dxa"/>
            <w:vAlign w:val="bottom"/>
            <w:shd w:val="clear" w:color="auto" w:fill="CCECFF"/>
          </w:tcPr>
          <w:p>
            <w:pPr>
              <w:spacing w:after="0"/>
              <w:rPr>
                <w:sz w:val="14"/>
                <w:szCs w:val="14"/>
                <w:color w:val="auto"/>
              </w:rPr>
            </w:pPr>
          </w:p>
        </w:tc>
        <w:tc>
          <w:tcPr>
            <w:tcW w:w="200" w:type="dxa"/>
            <w:vAlign w:val="bottom"/>
            <w:shd w:val="clear" w:color="auto" w:fill="CCECFF"/>
          </w:tcPr>
          <w:p>
            <w:pPr>
              <w:spacing w:after="0"/>
              <w:rPr>
                <w:sz w:val="14"/>
                <w:szCs w:val="14"/>
                <w:color w:val="auto"/>
              </w:rPr>
            </w:pPr>
          </w:p>
        </w:tc>
        <w:tc>
          <w:tcPr>
            <w:tcW w:w="840" w:type="dxa"/>
            <w:vAlign w:val="bottom"/>
            <w:shd w:val="clear" w:color="auto" w:fill="CCECFF"/>
          </w:tcPr>
          <w:p>
            <w:pPr>
              <w:spacing w:after="0"/>
              <w:rPr>
                <w:sz w:val="14"/>
                <w:szCs w:val="14"/>
                <w:color w:val="auto"/>
              </w:rPr>
            </w:pPr>
          </w:p>
        </w:tc>
        <w:tc>
          <w:tcPr>
            <w:tcW w:w="100" w:type="dxa"/>
            <w:vAlign w:val="bottom"/>
            <w:shd w:val="clear" w:color="auto" w:fill="CCECFF"/>
          </w:tcPr>
          <w:p>
            <w:pPr>
              <w:spacing w:after="0"/>
              <w:rPr>
                <w:sz w:val="14"/>
                <w:szCs w:val="14"/>
                <w:color w:val="auto"/>
              </w:rPr>
            </w:pPr>
          </w:p>
        </w:tc>
      </w:tr>
      <w:tr>
        <w:trPr>
          <w:trHeight w:val="162"/>
        </w:trPr>
        <w:tc>
          <w:tcPr>
            <w:tcW w:w="5920" w:type="dxa"/>
            <w:vAlign w:val="bottom"/>
          </w:tcPr>
          <w:p>
            <w:pPr>
              <w:ind w:left="260"/>
              <w:spacing w:after="0"/>
              <w:rPr>
                <w:sz w:val="20"/>
                <w:szCs w:val="20"/>
                <w:color w:val="auto"/>
              </w:rPr>
            </w:pPr>
            <w:r>
              <w:rPr>
                <w:rFonts w:ascii="Arial" w:cs="Arial" w:eastAsia="Arial" w:hAnsi="Arial"/>
                <w:sz w:val="14"/>
                <w:szCs w:val="14"/>
                <w:color w:val="auto"/>
              </w:rPr>
              <w:t>Interest</w:t>
            </w:r>
          </w:p>
        </w:tc>
        <w:tc>
          <w:tcPr>
            <w:tcW w:w="4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80" w:type="dxa"/>
            <w:vAlign w:val="bottom"/>
          </w:tcPr>
          <w:p>
            <w:pPr>
              <w:jc w:val="right"/>
              <w:spacing w:after="0"/>
              <w:rPr>
                <w:sz w:val="20"/>
                <w:szCs w:val="20"/>
                <w:color w:val="auto"/>
              </w:rPr>
            </w:pPr>
            <w:r>
              <w:rPr>
                <w:rFonts w:ascii="Arial" w:cs="Arial" w:eastAsia="Arial" w:hAnsi="Arial"/>
                <w:sz w:val="14"/>
                <w:szCs w:val="14"/>
                <w:color w:val="auto"/>
              </w:rPr>
              <w:t>3,750,616</w:t>
            </w:r>
          </w:p>
        </w:tc>
        <w:tc>
          <w:tcPr>
            <w:tcW w:w="2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40" w:type="dxa"/>
            <w:vAlign w:val="bottom"/>
          </w:tcPr>
          <w:p>
            <w:pPr>
              <w:jc w:val="right"/>
              <w:spacing w:after="0"/>
              <w:rPr>
                <w:sz w:val="20"/>
                <w:szCs w:val="20"/>
                <w:color w:val="auto"/>
              </w:rPr>
            </w:pPr>
            <w:r>
              <w:rPr>
                <w:rFonts w:ascii="Arial" w:cs="Arial" w:eastAsia="Arial" w:hAnsi="Arial"/>
                <w:sz w:val="14"/>
                <w:szCs w:val="14"/>
                <w:color w:val="auto"/>
              </w:rPr>
              <w:t>3,458,232</w:t>
            </w:r>
          </w:p>
        </w:tc>
        <w:tc>
          <w:tcPr>
            <w:tcW w:w="2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60" w:type="dxa"/>
            <w:vAlign w:val="bottom"/>
          </w:tcPr>
          <w:p>
            <w:pPr>
              <w:jc w:val="right"/>
              <w:spacing w:after="0"/>
              <w:rPr>
                <w:sz w:val="20"/>
                <w:szCs w:val="20"/>
                <w:color w:val="auto"/>
              </w:rPr>
            </w:pPr>
            <w:r>
              <w:rPr>
                <w:rFonts w:ascii="Arial" w:cs="Arial" w:eastAsia="Arial" w:hAnsi="Arial"/>
                <w:sz w:val="14"/>
                <w:szCs w:val="14"/>
                <w:color w:val="auto"/>
              </w:rPr>
              <w:t>12,416,683</w:t>
            </w:r>
          </w:p>
        </w:tc>
        <w:tc>
          <w:tcPr>
            <w:tcW w:w="2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40" w:type="dxa"/>
            <w:vAlign w:val="bottom"/>
          </w:tcPr>
          <w:p>
            <w:pPr>
              <w:jc w:val="right"/>
              <w:spacing w:after="0"/>
              <w:rPr>
                <w:sz w:val="20"/>
                <w:szCs w:val="20"/>
                <w:color w:val="auto"/>
              </w:rPr>
            </w:pPr>
            <w:r>
              <w:rPr>
                <w:rFonts w:ascii="Arial" w:cs="Arial" w:eastAsia="Arial" w:hAnsi="Arial"/>
                <w:sz w:val="14"/>
                <w:szCs w:val="14"/>
                <w:color w:val="auto"/>
              </w:rPr>
              <w:t>8,956,381</w:t>
            </w:r>
          </w:p>
        </w:tc>
        <w:tc>
          <w:tcPr>
            <w:tcW w:w="100" w:type="dxa"/>
            <w:vAlign w:val="bottom"/>
          </w:tcPr>
          <w:p>
            <w:pPr>
              <w:spacing w:after="0"/>
              <w:rPr>
                <w:sz w:val="14"/>
                <w:szCs w:val="14"/>
                <w:color w:val="auto"/>
              </w:rPr>
            </w:pPr>
          </w:p>
        </w:tc>
      </w:tr>
      <w:tr>
        <w:trPr>
          <w:trHeight w:val="162"/>
        </w:trPr>
        <w:tc>
          <w:tcPr>
            <w:tcW w:w="5920" w:type="dxa"/>
            <w:vAlign w:val="bottom"/>
            <w:shd w:val="clear" w:color="auto" w:fill="CCECFF"/>
          </w:tcPr>
          <w:p>
            <w:pPr>
              <w:ind w:left="260"/>
              <w:spacing w:after="0"/>
              <w:rPr>
                <w:sz w:val="20"/>
                <w:szCs w:val="20"/>
                <w:color w:val="auto"/>
              </w:rPr>
            </w:pPr>
            <w:r>
              <w:rPr>
                <w:rFonts w:ascii="Arial" w:cs="Arial" w:eastAsia="Arial" w:hAnsi="Arial"/>
                <w:sz w:val="14"/>
                <w:szCs w:val="14"/>
                <w:color w:val="auto"/>
              </w:rPr>
              <w:t>Other income</w:t>
            </w:r>
          </w:p>
        </w:tc>
        <w:tc>
          <w:tcPr>
            <w:tcW w:w="480" w:type="dxa"/>
            <w:vAlign w:val="bottom"/>
            <w:shd w:val="clear" w:color="auto" w:fill="CCECFF"/>
          </w:tcPr>
          <w:p>
            <w:pPr>
              <w:spacing w:after="0"/>
              <w:rPr>
                <w:sz w:val="14"/>
                <w:szCs w:val="14"/>
                <w:color w:val="auto"/>
              </w:rPr>
            </w:pPr>
          </w:p>
        </w:tc>
        <w:tc>
          <w:tcPr>
            <w:tcW w:w="120" w:type="dxa"/>
            <w:vAlign w:val="bottom"/>
            <w:shd w:val="clear" w:color="auto" w:fill="CCECFF"/>
          </w:tcPr>
          <w:p>
            <w:pPr>
              <w:spacing w:after="0"/>
              <w:rPr>
                <w:sz w:val="14"/>
                <w:szCs w:val="14"/>
                <w:color w:val="auto"/>
              </w:rPr>
            </w:pPr>
          </w:p>
        </w:tc>
        <w:tc>
          <w:tcPr>
            <w:tcW w:w="880" w:type="dxa"/>
            <w:vAlign w:val="bottom"/>
            <w:shd w:val="clear" w:color="auto" w:fill="CCECFF"/>
          </w:tcPr>
          <w:p>
            <w:pPr>
              <w:jc w:val="right"/>
              <w:spacing w:after="0"/>
              <w:rPr>
                <w:sz w:val="20"/>
                <w:szCs w:val="20"/>
                <w:color w:val="auto"/>
              </w:rPr>
            </w:pPr>
            <w:r>
              <w:rPr>
                <w:rFonts w:ascii="Arial" w:cs="Arial" w:eastAsia="Arial" w:hAnsi="Arial"/>
                <w:sz w:val="14"/>
                <w:szCs w:val="14"/>
                <w:color w:val="auto"/>
              </w:rPr>
              <w:t>1,587,435</w:t>
            </w:r>
          </w:p>
        </w:tc>
        <w:tc>
          <w:tcPr>
            <w:tcW w:w="220" w:type="dxa"/>
            <w:vAlign w:val="bottom"/>
            <w:shd w:val="clear" w:color="auto" w:fill="CCECFF"/>
          </w:tcPr>
          <w:p>
            <w:pPr>
              <w:spacing w:after="0"/>
              <w:rPr>
                <w:sz w:val="14"/>
                <w:szCs w:val="14"/>
                <w:color w:val="auto"/>
              </w:rPr>
            </w:pPr>
          </w:p>
        </w:tc>
        <w:tc>
          <w:tcPr>
            <w:tcW w:w="180" w:type="dxa"/>
            <w:vAlign w:val="bottom"/>
            <w:shd w:val="clear" w:color="auto" w:fill="CCECFF"/>
          </w:tcPr>
          <w:p>
            <w:pPr>
              <w:spacing w:after="0"/>
              <w:rPr>
                <w:sz w:val="14"/>
                <w:szCs w:val="14"/>
                <w:color w:val="auto"/>
              </w:rPr>
            </w:pPr>
          </w:p>
        </w:tc>
        <w:tc>
          <w:tcPr>
            <w:tcW w:w="840" w:type="dxa"/>
            <w:vAlign w:val="bottom"/>
            <w:shd w:val="clear" w:color="auto" w:fill="CCECFF"/>
          </w:tcPr>
          <w:p>
            <w:pPr>
              <w:jc w:val="right"/>
              <w:spacing w:after="0"/>
              <w:rPr>
                <w:sz w:val="20"/>
                <w:szCs w:val="20"/>
                <w:color w:val="auto"/>
              </w:rPr>
            </w:pPr>
            <w:r>
              <w:rPr>
                <w:rFonts w:ascii="Arial" w:cs="Arial" w:eastAsia="Arial" w:hAnsi="Arial"/>
                <w:sz w:val="14"/>
                <w:szCs w:val="14"/>
                <w:color w:val="auto"/>
              </w:rPr>
              <w:t>61,094</w:t>
            </w:r>
          </w:p>
        </w:tc>
        <w:tc>
          <w:tcPr>
            <w:tcW w:w="220" w:type="dxa"/>
            <w:vAlign w:val="bottom"/>
            <w:shd w:val="clear" w:color="auto" w:fill="CCECFF"/>
          </w:tcPr>
          <w:p>
            <w:pPr>
              <w:spacing w:after="0"/>
              <w:rPr>
                <w:sz w:val="14"/>
                <w:szCs w:val="14"/>
                <w:color w:val="auto"/>
              </w:rPr>
            </w:pPr>
          </w:p>
        </w:tc>
        <w:tc>
          <w:tcPr>
            <w:tcW w:w="160" w:type="dxa"/>
            <w:vAlign w:val="bottom"/>
            <w:shd w:val="clear" w:color="auto" w:fill="CCECFF"/>
          </w:tcPr>
          <w:p>
            <w:pPr>
              <w:spacing w:after="0"/>
              <w:rPr>
                <w:sz w:val="14"/>
                <w:szCs w:val="14"/>
                <w:color w:val="auto"/>
              </w:rPr>
            </w:pPr>
          </w:p>
        </w:tc>
        <w:tc>
          <w:tcPr>
            <w:tcW w:w="860" w:type="dxa"/>
            <w:vAlign w:val="bottom"/>
            <w:shd w:val="clear" w:color="auto" w:fill="CCECFF"/>
          </w:tcPr>
          <w:p>
            <w:pPr>
              <w:jc w:val="right"/>
              <w:spacing w:after="0"/>
              <w:rPr>
                <w:sz w:val="20"/>
                <w:szCs w:val="20"/>
                <w:color w:val="auto"/>
              </w:rPr>
            </w:pPr>
            <w:r>
              <w:rPr>
                <w:rFonts w:ascii="Arial" w:cs="Arial" w:eastAsia="Arial" w:hAnsi="Arial"/>
                <w:sz w:val="14"/>
                <w:szCs w:val="14"/>
                <w:color w:val="auto"/>
              </w:rPr>
              <w:t>1,609,935</w:t>
            </w:r>
          </w:p>
        </w:tc>
        <w:tc>
          <w:tcPr>
            <w:tcW w:w="220" w:type="dxa"/>
            <w:vAlign w:val="bottom"/>
            <w:shd w:val="clear" w:color="auto" w:fill="CCECFF"/>
          </w:tcPr>
          <w:p>
            <w:pPr>
              <w:spacing w:after="0"/>
              <w:rPr>
                <w:sz w:val="14"/>
                <w:szCs w:val="14"/>
                <w:color w:val="auto"/>
              </w:rPr>
            </w:pPr>
          </w:p>
        </w:tc>
        <w:tc>
          <w:tcPr>
            <w:tcW w:w="200" w:type="dxa"/>
            <w:vAlign w:val="bottom"/>
            <w:shd w:val="clear" w:color="auto" w:fill="CCECFF"/>
          </w:tcPr>
          <w:p>
            <w:pPr>
              <w:spacing w:after="0"/>
              <w:rPr>
                <w:sz w:val="14"/>
                <w:szCs w:val="14"/>
                <w:color w:val="auto"/>
              </w:rPr>
            </w:pPr>
          </w:p>
        </w:tc>
        <w:tc>
          <w:tcPr>
            <w:tcW w:w="840" w:type="dxa"/>
            <w:vAlign w:val="bottom"/>
            <w:shd w:val="clear" w:color="auto" w:fill="CCECFF"/>
          </w:tcPr>
          <w:p>
            <w:pPr>
              <w:jc w:val="right"/>
              <w:spacing w:after="0"/>
              <w:rPr>
                <w:sz w:val="20"/>
                <w:szCs w:val="20"/>
                <w:color w:val="auto"/>
              </w:rPr>
            </w:pPr>
            <w:r>
              <w:rPr>
                <w:rFonts w:ascii="Arial" w:cs="Arial" w:eastAsia="Arial" w:hAnsi="Arial"/>
                <w:sz w:val="14"/>
                <w:szCs w:val="14"/>
                <w:color w:val="auto"/>
              </w:rPr>
              <w:t>80,521</w:t>
            </w:r>
          </w:p>
        </w:tc>
        <w:tc>
          <w:tcPr>
            <w:tcW w:w="100" w:type="dxa"/>
            <w:vAlign w:val="bottom"/>
            <w:shd w:val="clear" w:color="auto" w:fill="CCECFF"/>
          </w:tcPr>
          <w:p>
            <w:pPr>
              <w:spacing w:after="0"/>
              <w:rPr>
                <w:sz w:val="14"/>
                <w:szCs w:val="14"/>
                <w:color w:val="auto"/>
              </w:rPr>
            </w:pPr>
          </w:p>
        </w:tc>
      </w:tr>
      <w:tr>
        <w:trPr>
          <w:trHeight w:val="162"/>
        </w:trPr>
        <w:tc>
          <w:tcPr>
            <w:tcW w:w="5920" w:type="dxa"/>
            <w:vAlign w:val="bottom"/>
          </w:tcPr>
          <w:p>
            <w:pPr>
              <w:spacing w:after="0"/>
              <w:rPr>
                <w:sz w:val="20"/>
                <w:szCs w:val="20"/>
                <w:color w:val="auto"/>
              </w:rPr>
            </w:pPr>
            <w:r>
              <w:rPr>
                <w:rFonts w:ascii="Arial" w:cs="Arial" w:eastAsia="Arial" w:hAnsi="Arial"/>
                <w:sz w:val="14"/>
                <w:szCs w:val="14"/>
                <w:color w:val="auto"/>
              </w:rPr>
              <w:t>From controlled, affiliated investments:</w:t>
            </w:r>
          </w:p>
        </w:tc>
        <w:tc>
          <w:tcPr>
            <w:tcW w:w="4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00" w:type="dxa"/>
            <w:vAlign w:val="bottom"/>
          </w:tcPr>
          <w:p>
            <w:pPr>
              <w:spacing w:after="0"/>
              <w:rPr>
                <w:sz w:val="14"/>
                <w:szCs w:val="14"/>
                <w:color w:val="auto"/>
              </w:rPr>
            </w:pPr>
          </w:p>
        </w:tc>
      </w:tr>
      <w:tr>
        <w:trPr>
          <w:trHeight w:val="162"/>
        </w:trPr>
        <w:tc>
          <w:tcPr>
            <w:tcW w:w="5920" w:type="dxa"/>
            <w:vAlign w:val="bottom"/>
            <w:shd w:val="clear" w:color="auto" w:fill="CCECFF"/>
          </w:tcPr>
          <w:p>
            <w:pPr>
              <w:ind w:left="260"/>
              <w:spacing w:after="0"/>
              <w:rPr>
                <w:sz w:val="20"/>
                <w:szCs w:val="20"/>
                <w:color w:val="auto"/>
              </w:rPr>
            </w:pPr>
            <w:r>
              <w:rPr>
                <w:rFonts w:ascii="Arial" w:cs="Arial" w:eastAsia="Arial" w:hAnsi="Arial"/>
                <w:sz w:val="14"/>
                <w:szCs w:val="14"/>
                <w:color w:val="auto"/>
              </w:rPr>
              <w:t>Interest</w:t>
            </w:r>
          </w:p>
        </w:tc>
        <w:tc>
          <w:tcPr>
            <w:tcW w:w="480" w:type="dxa"/>
            <w:vAlign w:val="bottom"/>
            <w:shd w:val="clear" w:color="auto" w:fill="CCECFF"/>
          </w:tcPr>
          <w:p>
            <w:pPr>
              <w:spacing w:after="0"/>
              <w:rPr>
                <w:sz w:val="14"/>
                <w:szCs w:val="14"/>
                <w:color w:val="auto"/>
              </w:rPr>
            </w:pPr>
          </w:p>
        </w:tc>
        <w:tc>
          <w:tcPr>
            <w:tcW w:w="120" w:type="dxa"/>
            <w:vAlign w:val="bottom"/>
            <w:tcBorders>
              <w:bottom w:val="single" w:sz="8" w:color="auto"/>
            </w:tcBorders>
            <w:shd w:val="clear" w:color="auto" w:fill="CCECFF"/>
          </w:tcPr>
          <w:p>
            <w:pPr>
              <w:spacing w:after="0"/>
              <w:rPr>
                <w:sz w:val="14"/>
                <w:szCs w:val="14"/>
                <w:color w:val="auto"/>
              </w:rPr>
            </w:pPr>
          </w:p>
        </w:tc>
        <w:tc>
          <w:tcPr>
            <w:tcW w:w="880" w:type="dxa"/>
            <w:vAlign w:val="bottom"/>
            <w:tcBorders>
              <w:bottom w:val="single" w:sz="8" w:color="auto"/>
            </w:tcBorders>
            <w:shd w:val="clear" w:color="auto" w:fill="CCECFF"/>
          </w:tcPr>
          <w:p>
            <w:pPr>
              <w:jc w:val="right"/>
              <w:spacing w:after="0"/>
              <w:rPr>
                <w:sz w:val="20"/>
                <w:szCs w:val="20"/>
                <w:color w:val="auto"/>
              </w:rPr>
            </w:pPr>
            <w:r>
              <w:rPr>
                <w:rFonts w:ascii="Arial" w:cs="Arial" w:eastAsia="Arial" w:hAnsi="Arial"/>
                <w:sz w:val="14"/>
                <w:szCs w:val="14"/>
                <w:color w:val="auto"/>
              </w:rPr>
              <w:t>3,432,952</w:t>
            </w:r>
          </w:p>
        </w:tc>
        <w:tc>
          <w:tcPr>
            <w:tcW w:w="220" w:type="dxa"/>
            <w:vAlign w:val="bottom"/>
            <w:shd w:val="clear" w:color="auto" w:fill="CCECFF"/>
          </w:tcPr>
          <w:p>
            <w:pPr>
              <w:spacing w:after="0"/>
              <w:rPr>
                <w:sz w:val="14"/>
                <w:szCs w:val="14"/>
                <w:color w:val="auto"/>
              </w:rPr>
            </w:pPr>
          </w:p>
        </w:tc>
        <w:tc>
          <w:tcPr>
            <w:tcW w:w="180" w:type="dxa"/>
            <w:vAlign w:val="bottom"/>
            <w:tcBorders>
              <w:bottom w:val="single" w:sz="8" w:color="auto"/>
            </w:tcBorders>
            <w:shd w:val="clear" w:color="auto" w:fill="CCECFF"/>
          </w:tcPr>
          <w:p>
            <w:pPr>
              <w:spacing w:after="0"/>
              <w:rPr>
                <w:sz w:val="14"/>
                <w:szCs w:val="14"/>
                <w:color w:val="auto"/>
              </w:rPr>
            </w:pPr>
          </w:p>
        </w:tc>
        <w:tc>
          <w:tcPr>
            <w:tcW w:w="840" w:type="dxa"/>
            <w:vAlign w:val="bottom"/>
            <w:tcBorders>
              <w:bottom w:val="single" w:sz="8" w:color="auto"/>
            </w:tcBorders>
            <w:shd w:val="clear" w:color="auto" w:fill="CCECFF"/>
          </w:tcPr>
          <w:p>
            <w:pPr>
              <w:jc w:val="right"/>
              <w:spacing w:after="0"/>
              <w:rPr>
                <w:sz w:val="20"/>
                <w:szCs w:val="20"/>
                <w:color w:val="auto"/>
              </w:rPr>
            </w:pPr>
            <w:r>
              <w:rPr>
                <w:rFonts w:ascii="Arial" w:cs="Arial" w:eastAsia="Arial" w:hAnsi="Arial"/>
                <w:sz w:val="14"/>
                <w:szCs w:val="14"/>
                <w:color w:val="auto"/>
              </w:rPr>
              <w:t>3,436,797</w:t>
            </w:r>
          </w:p>
        </w:tc>
        <w:tc>
          <w:tcPr>
            <w:tcW w:w="220" w:type="dxa"/>
            <w:vAlign w:val="bottom"/>
            <w:shd w:val="clear" w:color="auto" w:fill="CCECFF"/>
          </w:tcPr>
          <w:p>
            <w:pPr>
              <w:spacing w:after="0"/>
              <w:rPr>
                <w:sz w:val="14"/>
                <w:szCs w:val="14"/>
                <w:color w:val="auto"/>
              </w:rPr>
            </w:pPr>
          </w:p>
        </w:tc>
        <w:tc>
          <w:tcPr>
            <w:tcW w:w="160" w:type="dxa"/>
            <w:vAlign w:val="bottom"/>
            <w:tcBorders>
              <w:bottom w:val="single" w:sz="8" w:color="auto"/>
            </w:tcBorders>
            <w:shd w:val="clear" w:color="auto" w:fill="CCECFF"/>
          </w:tcPr>
          <w:p>
            <w:pPr>
              <w:spacing w:after="0"/>
              <w:rPr>
                <w:sz w:val="14"/>
                <w:szCs w:val="14"/>
                <w:color w:val="auto"/>
              </w:rPr>
            </w:pPr>
          </w:p>
        </w:tc>
        <w:tc>
          <w:tcPr>
            <w:tcW w:w="860" w:type="dxa"/>
            <w:vAlign w:val="bottom"/>
            <w:tcBorders>
              <w:bottom w:val="single" w:sz="8" w:color="auto"/>
            </w:tcBorders>
            <w:shd w:val="clear" w:color="auto" w:fill="CCECFF"/>
          </w:tcPr>
          <w:p>
            <w:pPr>
              <w:jc w:val="right"/>
              <w:spacing w:after="0"/>
              <w:rPr>
                <w:sz w:val="20"/>
                <w:szCs w:val="20"/>
                <w:color w:val="auto"/>
              </w:rPr>
            </w:pPr>
            <w:r>
              <w:rPr>
                <w:rFonts w:ascii="Arial" w:cs="Arial" w:eastAsia="Arial" w:hAnsi="Arial"/>
                <w:sz w:val="14"/>
                <w:szCs w:val="14"/>
                <w:color w:val="auto"/>
              </w:rPr>
              <w:t>10,697,690</w:t>
            </w:r>
          </w:p>
        </w:tc>
        <w:tc>
          <w:tcPr>
            <w:tcW w:w="220" w:type="dxa"/>
            <w:vAlign w:val="bottom"/>
            <w:shd w:val="clear" w:color="auto" w:fill="CCECFF"/>
          </w:tcPr>
          <w:p>
            <w:pPr>
              <w:spacing w:after="0"/>
              <w:rPr>
                <w:sz w:val="14"/>
                <w:szCs w:val="14"/>
                <w:color w:val="auto"/>
              </w:rPr>
            </w:pPr>
          </w:p>
        </w:tc>
        <w:tc>
          <w:tcPr>
            <w:tcW w:w="200" w:type="dxa"/>
            <w:vAlign w:val="bottom"/>
            <w:tcBorders>
              <w:bottom w:val="single" w:sz="8" w:color="auto"/>
            </w:tcBorders>
            <w:shd w:val="clear" w:color="auto" w:fill="CCECFF"/>
          </w:tcPr>
          <w:p>
            <w:pPr>
              <w:spacing w:after="0"/>
              <w:rPr>
                <w:sz w:val="14"/>
                <w:szCs w:val="14"/>
                <w:color w:val="auto"/>
              </w:rPr>
            </w:pPr>
          </w:p>
        </w:tc>
        <w:tc>
          <w:tcPr>
            <w:tcW w:w="840" w:type="dxa"/>
            <w:vAlign w:val="bottom"/>
            <w:tcBorders>
              <w:bottom w:val="single" w:sz="8" w:color="auto"/>
            </w:tcBorders>
            <w:shd w:val="clear" w:color="auto" w:fill="CCECFF"/>
          </w:tcPr>
          <w:p>
            <w:pPr>
              <w:jc w:val="right"/>
              <w:spacing w:after="0"/>
              <w:rPr>
                <w:sz w:val="20"/>
                <w:szCs w:val="20"/>
                <w:color w:val="auto"/>
              </w:rPr>
            </w:pPr>
            <w:r>
              <w:rPr>
                <w:rFonts w:ascii="Arial" w:cs="Arial" w:eastAsia="Arial" w:hAnsi="Arial"/>
                <w:sz w:val="14"/>
                <w:szCs w:val="14"/>
                <w:color w:val="auto"/>
              </w:rPr>
              <w:t>9,895,449</w:t>
            </w:r>
          </w:p>
        </w:tc>
        <w:tc>
          <w:tcPr>
            <w:tcW w:w="100" w:type="dxa"/>
            <w:vAlign w:val="bottom"/>
            <w:shd w:val="clear" w:color="auto" w:fill="CCECFF"/>
          </w:tcPr>
          <w:p>
            <w:pPr>
              <w:spacing w:after="0"/>
              <w:rPr>
                <w:sz w:val="14"/>
                <w:szCs w:val="14"/>
                <w:color w:val="auto"/>
              </w:rPr>
            </w:pPr>
          </w:p>
        </w:tc>
      </w:tr>
      <w:tr>
        <w:trPr>
          <w:trHeight w:val="156"/>
        </w:trPr>
        <w:tc>
          <w:tcPr>
            <w:tcW w:w="5920" w:type="dxa"/>
            <w:vAlign w:val="bottom"/>
            <w:tcBorders>
              <w:bottom w:val="single" w:sz="8" w:color="CCECFF"/>
            </w:tcBorders>
          </w:tcPr>
          <w:p>
            <w:pPr>
              <w:ind w:left="260"/>
              <w:spacing w:after="0" w:line="155" w:lineRule="exact"/>
              <w:rPr>
                <w:sz w:val="20"/>
                <w:szCs w:val="20"/>
                <w:color w:val="auto"/>
              </w:rPr>
            </w:pPr>
            <w:r>
              <w:rPr>
                <w:rFonts w:ascii="Arial" w:cs="Arial" w:eastAsia="Arial" w:hAnsi="Arial"/>
                <w:sz w:val="14"/>
                <w:szCs w:val="14"/>
                <w:b w:val="1"/>
                <w:bCs w:val="1"/>
                <w:color w:val="auto"/>
              </w:rPr>
              <w:t>Total investment income</w:t>
            </w:r>
          </w:p>
        </w:tc>
        <w:tc>
          <w:tcPr>
            <w:tcW w:w="480" w:type="dxa"/>
            <w:vAlign w:val="bottom"/>
            <w:tcBorders>
              <w:bottom w:val="single" w:sz="8" w:color="CCECFF"/>
            </w:tcBorders>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880" w:type="dxa"/>
            <w:vAlign w:val="bottom"/>
            <w:tcBorders>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31,084,319</w:t>
            </w:r>
          </w:p>
        </w:tc>
        <w:tc>
          <w:tcPr>
            <w:tcW w:w="220" w:type="dxa"/>
            <w:vAlign w:val="bottom"/>
            <w:tcBorders>
              <w:bottom w:val="single" w:sz="8" w:color="CCECFF"/>
            </w:tcBorders>
          </w:tcPr>
          <w:p>
            <w:pPr>
              <w:spacing w:after="0"/>
              <w:rPr>
                <w:sz w:val="13"/>
                <w:szCs w:val="13"/>
                <w:color w:val="auto"/>
              </w:rPr>
            </w:pPr>
          </w:p>
        </w:tc>
        <w:tc>
          <w:tcPr>
            <w:tcW w:w="180" w:type="dxa"/>
            <w:vAlign w:val="bottom"/>
            <w:tcBorders>
              <w:bottom w:val="single" w:sz="8" w:color="auto"/>
            </w:tcBorders>
          </w:tcPr>
          <w:p>
            <w:pPr>
              <w:spacing w:after="0"/>
              <w:rPr>
                <w:sz w:val="13"/>
                <w:szCs w:val="13"/>
                <w:color w:val="auto"/>
              </w:rPr>
            </w:pPr>
          </w:p>
        </w:tc>
        <w:tc>
          <w:tcPr>
            <w:tcW w:w="840" w:type="dxa"/>
            <w:vAlign w:val="bottom"/>
            <w:tcBorders>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35,539,794</w:t>
            </w:r>
          </w:p>
        </w:tc>
        <w:tc>
          <w:tcPr>
            <w:tcW w:w="220" w:type="dxa"/>
            <w:vAlign w:val="bottom"/>
            <w:tcBorders>
              <w:bottom w:val="single" w:sz="8" w:color="CCECFF"/>
            </w:tcBorders>
          </w:tcPr>
          <w:p>
            <w:pPr>
              <w:spacing w:after="0"/>
              <w:rPr>
                <w:sz w:val="13"/>
                <w:szCs w:val="13"/>
                <w:color w:val="auto"/>
              </w:rPr>
            </w:pPr>
          </w:p>
        </w:tc>
        <w:tc>
          <w:tcPr>
            <w:tcW w:w="160" w:type="dxa"/>
            <w:vAlign w:val="bottom"/>
            <w:tcBorders>
              <w:bottom w:val="single" w:sz="8" w:color="auto"/>
            </w:tcBorders>
          </w:tcPr>
          <w:p>
            <w:pPr>
              <w:spacing w:after="0"/>
              <w:rPr>
                <w:sz w:val="13"/>
                <w:szCs w:val="13"/>
                <w:color w:val="auto"/>
              </w:rPr>
            </w:pPr>
          </w:p>
        </w:tc>
        <w:tc>
          <w:tcPr>
            <w:tcW w:w="860" w:type="dxa"/>
            <w:vAlign w:val="bottom"/>
            <w:tcBorders>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96,668,222</w:t>
            </w:r>
          </w:p>
        </w:tc>
        <w:tc>
          <w:tcPr>
            <w:tcW w:w="220" w:type="dxa"/>
            <w:vAlign w:val="bottom"/>
            <w:tcBorders>
              <w:bottom w:val="single" w:sz="8" w:color="CCECFF"/>
            </w:tcBorders>
          </w:tcPr>
          <w:p>
            <w:pPr>
              <w:spacing w:after="0"/>
              <w:rPr>
                <w:sz w:val="13"/>
                <w:szCs w:val="13"/>
                <w:color w:val="auto"/>
              </w:rPr>
            </w:pPr>
          </w:p>
        </w:tc>
        <w:tc>
          <w:tcPr>
            <w:tcW w:w="200" w:type="dxa"/>
            <w:vAlign w:val="bottom"/>
            <w:tcBorders>
              <w:bottom w:val="single" w:sz="8" w:color="auto"/>
            </w:tcBorders>
          </w:tcPr>
          <w:p>
            <w:pPr>
              <w:spacing w:after="0"/>
              <w:rPr>
                <w:sz w:val="13"/>
                <w:szCs w:val="13"/>
                <w:color w:val="auto"/>
              </w:rPr>
            </w:pPr>
          </w:p>
        </w:tc>
        <w:tc>
          <w:tcPr>
            <w:tcW w:w="840" w:type="dxa"/>
            <w:vAlign w:val="bottom"/>
            <w:tcBorders>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109,911,511</w:t>
            </w:r>
          </w:p>
        </w:tc>
        <w:tc>
          <w:tcPr>
            <w:tcW w:w="100" w:type="dxa"/>
            <w:vAlign w:val="bottom"/>
            <w:tcBorders>
              <w:bottom w:val="single" w:sz="8" w:color="CCECFF"/>
            </w:tcBorders>
          </w:tcPr>
          <w:p>
            <w:pPr>
              <w:spacing w:after="0"/>
              <w:rPr>
                <w:sz w:val="13"/>
                <w:szCs w:val="13"/>
                <w:color w:val="auto"/>
              </w:rPr>
            </w:pPr>
          </w:p>
        </w:tc>
      </w:tr>
      <w:tr>
        <w:trPr>
          <w:trHeight w:val="156"/>
        </w:trPr>
        <w:tc>
          <w:tcPr>
            <w:tcW w:w="5920" w:type="dxa"/>
            <w:vAlign w:val="bottom"/>
            <w:shd w:val="clear" w:color="auto" w:fill="CCECFF"/>
          </w:tcPr>
          <w:p>
            <w:pPr>
              <w:spacing w:after="0" w:line="155" w:lineRule="exact"/>
              <w:rPr>
                <w:sz w:val="20"/>
                <w:szCs w:val="20"/>
                <w:color w:val="auto"/>
              </w:rPr>
            </w:pPr>
            <w:r>
              <w:rPr>
                <w:rFonts w:ascii="Arial" w:cs="Arial" w:eastAsia="Arial" w:hAnsi="Arial"/>
                <w:sz w:val="14"/>
                <w:szCs w:val="14"/>
                <w:b w:val="1"/>
                <w:bCs w:val="1"/>
                <w:color w:val="auto"/>
              </w:rPr>
              <w:t>Expenses:</w:t>
            </w:r>
          </w:p>
        </w:tc>
        <w:tc>
          <w:tcPr>
            <w:tcW w:w="480" w:type="dxa"/>
            <w:vAlign w:val="bottom"/>
            <w:shd w:val="clear" w:color="auto" w:fill="CCECFF"/>
          </w:tcPr>
          <w:p>
            <w:pPr>
              <w:spacing w:after="0"/>
              <w:rPr>
                <w:sz w:val="13"/>
                <w:szCs w:val="13"/>
                <w:color w:val="auto"/>
              </w:rPr>
            </w:pPr>
          </w:p>
        </w:tc>
        <w:tc>
          <w:tcPr>
            <w:tcW w:w="120" w:type="dxa"/>
            <w:vAlign w:val="bottom"/>
            <w:shd w:val="clear" w:color="auto" w:fill="CCECFF"/>
          </w:tcPr>
          <w:p>
            <w:pPr>
              <w:spacing w:after="0"/>
              <w:rPr>
                <w:sz w:val="13"/>
                <w:szCs w:val="13"/>
                <w:color w:val="auto"/>
              </w:rPr>
            </w:pPr>
          </w:p>
        </w:tc>
        <w:tc>
          <w:tcPr>
            <w:tcW w:w="880" w:type="dxa"/>
            <w:vAlign w:val="bottom"/>
            <w:shd w:val="clear" w:color="auto" w:fill="CCECFF"/>
          </w:tcPr>
          <w:p>
            <w:pPr>
              <w:spacing w:after="0"/>
              <w:rPr>
                <w:sz w:val="13"/>
                <w:szCs w:val="13"/>
                <w:color w:val="auto"/>
              </w:rPr>
            </w:pPr>
          </w:p>
        </w:tc>
        <w:tc>
          <w:tcPr>
            <w:tcW w:w="220" w:type="dxa"/>
            <w:vAlign w:val="bottom"/>
            <w:shd w:val="clear" w:color="auto" w:fill="CCECFF"/>
          </w:tcPr>
          <w:p>
            <w:pPr>
              <w:spacing w:after="0"/>
              <w:rPr>
                <w:sz w:val="13"/>
                <w:szCs w:val="13"/>
                <w:color w:val="auto"/>
              </w:rPr>
            </w:pPr>
          </w:p>
        </w:tc>
        <w:tc>
          <w:tcPr>
            <w:tcW w:w="180" w:type="dxa"/>
            <w:vAlign w:val="bottom"/>
            <w:shd w:val="clear" w:color="auto" w:fill="CCECFF"/>
          </w:tcPr>
          <w:p>
            <w:pPr>
              <w:spacing w:after="0"/>
              <w:rPr>
                <w:sz w:val="13"/>
                <w:szCs w:val="13"/>
                <w:color w:val="auto"/>
              </w:rPr>
            </w:pPr>
          </w:p>
        </w:tc>
        <w:tc>
          <w:tcPr>
            <w:tcW w:w="840" w:type="dxa"/>
            <w:vAlign w:val="bottom"/>
            <w:shd w:val="clear" w:color="auto" w:fill="CCECFF"/>
          </w:tcPr>
          <w:p>
            <w:pPr>
              <w:spacing w:after="0"/>
              <w:rPr>
                <w:sz w:val="13"/>
                <w:szCs w:val="13"/>
                <w:color w:val="auto"/>
              </w:rPr>
            </w:pPr>
          </w:p>
        </w:tc>
        <w:tc>
          <w:tcPr>
            <w:tcW w:w="220" w:type="dxa"/>
            <w:vAlign w:val="bottom"/>
            <w:shd w:val="clear" w:color="auto" w:fill="CCECFF"/>
          </w:tcPr>
          <w:p>
            <w:pPr>
              <w:spacing w:after="0"/>
              <w:rPr>
                <w:sz w:val="13"/>
                <w:szCs w:val="13"/>
                <w:color w:val="auto"/>
              </w:rPr>
            </w:pPr>
          </w:p>
        </w:tc>
        <w:tc>
          <w:tcPr>
            <w:tcW w:w="160" w:type="dxa"/>
            <w:vAlign w:val="bottom"/>
            <w:shd w:val="clear" w:color="auto" w:fill="CCECFF"/>
          </w:tcPr>
          <w:p>
            <w:pPr>
              <w:spacing w:after="0"/>
              <w:rPr>
                <w:sz w:val="13"/>
                <w:szCs w:val="13"/>
                <w:color w:val="auto"/>
              </w:rPr>
            </w:pPr>
          </w:p>
        </w:tc>
        <w:tc>
          <w:tcPr>
            <w:tcW w:w="860" w:type="dxa"/>
            <w:vAlign w:val="bottom"/>
            <w:shd w:val="clear" w:color="auto" w:fill="CCECFF"/>
          </w:tcPr>
          <w:p>
            <w:pPr>
              <w:spacing w:after="0"/>
              <w:rPr>
                <w:sz w:val="13"/>
                <w:szCs w:val="13"/>
                <w:color w:val="auto"/>
              </w:rPr>
            </w:pPr>
          </w:p>
        </w:tc>
        <w:tc>
          <w:tcPr>
            <w:tcW w:w="220" w:type="dxa"/>
            <w:vAlign w:val="bottom"/>
            <w:shd w:val="clear" w:color="auto" w:fill="CCECFF"/>
          </w:tcPr>
          <w:p>
            <w:pPr>
              <w:spacing w:after="0"/>
              <w:rPr>
                <w:sz w:val="13"/>
                <w:szCs w:val="13"/>
                <w:color w:val="auto"/>
              </w:rPr>
            </w:pPr>
          </w:p>
        </w:tc>
        <w:tc>
          <w:tcPr>
            <w:tcW w:w="200" w:type="dxa"/>
            <w:vAlign w:val="bottom"/>
            <w:shd w:val="clear" w:color="auto" w:fill="CCECFF"/>
          </w:tcPr>
          <w:p>
            <w:pPr>
              <w:spacing w:after="0"/>
              <w:rPr>
                <w:sz w:val="13"/>
                <w:szCs w:val="13"/>
                <w:color w:val="auto"/>
              </w:rPr>
            </w:pPr>
          </w:p>
        </w:tc>
        <w:tc>
          <w:tcPr>
            <w:tcW w:w="840" w:type="dxa"/>
            <w:vAlign w:val="bottom"/>
            <w:shd w:val="clear" w:color="auto" w:fill="CCECFF"/>
          </w:tcPr>
          <w:p>
            <w:pPr>
              <w:spacing w:after="0"/>
              <w:rPr>
                <w:sz w:val="13"/>
                <w:szCs w:val="13"/>
                <w:color w:val="auto"/>
              </w:rPr>
            </w:pPr>
          </w:p>
        </w:tc>
        <w:tc>
          <w:tcPr>
            <w:tcW w:w="100" w:type="dxa"/>
            <w:vAlign w:val="bottom"/>
            <w:shd w:val="clear" w:color="auto" w:fill="CCECFF"/>
          </w:tcPr>
          <w:p>
            <w:pPr>
              <w:spacing w:after="0"/>
              <w:rPr>
                <w:sz w:val="13"/>
                <w:szCs w:val="13"/>
                <w:color w:val="auto"/>
              </w:rPr>
            </w:pPr>
          </w:p>
        </w:tc>
      </w:tr>
      <w:tr>
        <w:trPr>
          <w:trHeight w:val="162"/>
        </w:trPr>
        <w:tc>
          <w:tcPr>
            <w:tcW w:w="5920" w:type="dxa"/>
            <w:vAlign w:val="bottom"/>
          </w:tcPr>
          <w:p>
            <w:pPr>
              <w:ind w:left="260"/>
              <w:spacing w:after="0"/>
              <w:rPr>
                <w:sz w:val="20"/>
                <w:szCs w:val="20"/>
                <w:color w:val="auto"/>
              </w:rPr>
            </w:pPr>
            <w:r>
              <w:rPr>
                <w:rFonts w:ascii="Arial" w:cs="Arial" w:eastAsia="Arial" w:hAnsi="Arial"/>
                <w:sz w:val="14"/>
                <w:szCs w:val="14"/>
                <w:color w:val="auto"/>
              </w:rPr>
              <w:t>Base management fee (See Note 3)</w:t>
            </w:r>
          </w:p>
        </w:tc>
        <w:tc>
          <w:tcPr>
            <w:tcW w:w="4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80" w:type="dxa"/>
            <w:vAlign w:val="bottom"/>
          </w:tcPr>
          <w:p>
            <w:pPr>
              <w:jc w:val="right"/>
              <w:spacing w:after="0"/>
              <w:rPr>
                <w:sz w:val="20"/>
                <w:szCs w:val="20"/>
                <w:color w:val="auto"/>
              </w:rPr>
            </w:pPr>
            <w:r>
              <w:rPr>
                <w:rFonts w:ascii="Arial" w:cs="Arial" w:eastAsia="Arial" w:hAnsi="Arial"/>
                <w:sz w:val="14"/>
                <w:szCs w:val="14"/>
                <w:color w:val="auto"/>
              </w:rPr>
              <w:t>5,842,601</w:t>
            </w:r>
          </w:p>
        </w:tc>
        <w:tc>
          <w:tcPr>
            <w:tcW w:w="2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40" w:type="dxa"/>
            <w:vAlign w:val="bottom"/>
          </w:tcPr>
          <w:p>
            <w:pPr>
              <w:jc w:val="right"/>
              <w:spacing w:after="0"/>
              <w:rPr>
                <w:sz w:val="20"/>
                <w:szCs w:val="20"/>
                <w:color w:val="auto"/>
              </w:rPr>
            </w:pPr>
            <w:r>
              <w:rPr>
                <w:rFonts w:ascii="Arial" w:cs="Arial" w:eastAsia="Arial" w:hAnsi="Arial"/>
                <w:sz w:val="14"/>
                <w:szCs w:val="14"/>
                <w:color w:val="auto"/>
              </w:rPr>
              <w:t>6,190,579</w:t>
            </w:r>
          </w:p>
        </w:tc>
        <w:tc>
          <w:tcPr>
            <w:tcW w:w="2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60" w:type="dxa"/>
            <w:vAlign w:val="bottom"/>
          </w:tcPr>
          <w:p>
            <w:pPr>
              <w:jc w:val="right"/>
              <w:spacing w:after="0"/>
              <w:rPr>
                <w:sz w:val="20"/>
                <w:szCs w:val="20"/>
                <w:color w:val="auto"/>
              </w:rPr>
            </w:pPr>
            <w:r>
              <w:rPr>
                <w:rFonts w:ascii="Arial" w:cs="Arial" w:eastAsia="Arial" w:hAnsi="Arial"/>
                <w:sz w:val="14"/>
                <w:szCs w:val="14"/>
                <w:color w:val="auto"/>
              </w:rPr>
              <w:t>18,449,890</w:t>
            </w:r>
          </w:p>
        </w:tc>
        <w:tc>
          <w:tcPr>
            <w:tcW w:w="2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40" w:type="dxa"/>
            <w:vAlign w:val="bottom"/>
          </w:tcPr>
          <w:p>
            <w:pPr>
              <w:jc w:val="right"/>
              <w:spacing w:after="0"/>
              <w:rPr>
                <w:sz w:val="20"/>
                <w:szCs w:val="20"/>
                <w:color w:val="auto"/>
              </w:rPr>
            </w:pPr>
            <w:r>
              <w:rPr>
                <w:rFonts w:ascii="Arial" w:cs="Arial" w:eastAsia="Arial" w:hAnsi="Arial"/>
                <w:sz w:val="14"/>
                <w:szCs w:val="14"/>
                <w:color w:val="auto"/>
              </w:rPr>
              <w:t>18,811,434</w:t>
            </w:r>
          </w:p>
        </w:tc>
        <w:tc>
          <w:tcPr>
            <w:tcW w:w="100" w:type="dxa"/>
            <w:vAlign w:val="bottom"/>
          </w:tcPr>
          <w:p>
            <w:pPr>
              <w:spacing w:after="0"/>
              <w:rPr>
                <w:sz w:val="14"/>
                <w:szCs w:val="14"/>
                <w:color w:val="auto"/>
              </w:rPr>
            </w:pPr>
          </w:p>
        </w:tc>
      </w:tr>
      <w:tr>
        <w:trPr>
          <w:trHeight w:val="162"/>
        </w:trPr>
        <w:tc>
          <w:tcPr>
            <w:tcW w:w="5920" w:type="dxa"/>
            <w:vAlign w:val="bottom"/>
            <w:shd w:val="clear" w:color="auto" w:fill="CCECFF"/>
          </w:tcPr>
          <w:p>
            <w:pPr>
              <w:ind w:left="260"/>
              <w:spacing w:after="0"/>
              <w:rPr>
                <w:sz w:val="20"/>
                <w:szCs w:val="20"/>
                <w:color w:val="auto"/>
              </w:rPr>
            </w:pPr>
            <w:r>
              <w:rPr>
                <w:rFonts w:ascii="Arial" w:cs="Arial" w:eastAsia="Arial" w:hAnsi="Arial"/>
                <w:sz w:val="14"/>
                <w:szCs w:val="14"/>
                <w:color w:val="auto"/>
              </w:rPr>
              <w:t>Performance-based incentive fee (See Note 3)</w:t>
            </w:r>
          </w:p>
        </w:tc>
        <w:tc>
          <w:tcPr>
            <w:tcW w:w="480" w:type="dxa"/>
            <w:vAlign w:val="bottom"/>
            <w:shd w:val="clear" w:color="auto" w:fill="CCECFF"/>
          </w:tcPr>
          <w:p>
            <w:pPr>
              <w:spacing w:after="0"/>
              <w:rPr>
                <w:sz w:val="14"/>
                <w:szCs w:val="14"/>
                <w:color w:val="auto"/>
              </w:rPr>
            </w:pPr>
          </w:p>
        </w:tc>
        <w:tc>
          <w:tcPr>
            <w:tcW w:w="120" w:type="dxa"/>
            <w:vAlign w:val="bottom"/>
            <w:shd w:val="clear" w:color="auto" w:fill="CCECFF"/>
          </w:tcPr>
          <w:p>
            <w:pPr>
              <w:spacing w:after="0"/>
              <w:rPr>
                <w:sz w:val="14"/>
                <w:szCs w:val="14"/>
                <w:color w:val="auto"/>
              </w:rPr>
            </w:pPr>
          </w:p>
        </w:tc>
        <w:tc>
          <w:tcPr>
            <w:tcW w:w="880" w:type="dxa"/>
            <w:vAlign w:val="bottom"/>
            <w:shd w:val="clear" w:color="auto" w:fill="CCECFF"/>
          </w:tcPr>
          <w:p>
            <w:pPr>
              <w:jc w:val="right"/>
              <w:spacing w:after="0"/>
              <w:rPr>
                <w:sz w:val="20"/>
                <w:szCs w:val="20"/>
                <w:color w:val="auto"/>
              </w:rPr>
            </w:pPr>
            <w:r>
              <w:rPr>
                <w:rFonts w:ascii="Arial" w:cs="Arial" w:eastAsia="Arial" w:hAnsi="Arial"/>
                <w:sz w:val="14"/>
                <w:szCs w:val="14"/>
                <w:color w:val="auto"/>
              </w:rPr>
              <w:t>1,358,165</w:t>
            </w:r>
          </w:p>
        </w:tc>
        <w:tc>
          <w:tcPr>
            <w:tcW w:w="220" w:type="dxa"/>
            <w:vAlign w:val="bottom"/>
            <w:shd w:val="clear" w:color="auto" w:fill="CCECFF"/>
          </w:tcPr>
          <w:p>
            <w:pPr>
              <w:spacing w:after="0"/>
              <w:rPr>
                <w:sz w:val="14"/>
                <w:szCs w:val="14"/>
                <w:color w:val="auto"/>
              </w:rPr>
            </w:pPr>
          </w:p>
        </w:tc>
        <w:tc>
          <w:tcPr>
            <w:tcW w:w="180" w:type="dxa"/>
            <w:vAlign w:val="bottom"/>
            <w:shd w:val="clear" w:color="auto" w:fill="CCECFF"/>
          </w:tcPr>
          <w:p>
            <w:pPr>
              <w:spacing w:after="0"/>
              <w:rPr>
                <w:sz w:val="14"/>
                <w:szCs w:val="14"/>
                <w:color w:val="auto"/>
              </w:rPr>
            </w:pPr>
          </w:p>
        </w:tc>
        <w:tc>
          <w:tcPr>
            <w:tcW w:w="840" w:type="dxa"/>
            <w:vAlign w:val="bottom"/>
            <w:shd w:val="clear" w:color="auto" w:fill="CCECFF"/>
          </w:tcPr>
          <w:p>
            <w:pPr>
              <w:jc w:val="right"/>
              <w:spacing w:after="0"/>
              <w:rPr>
                <w:sz w:val="20"/>
                <w:szCs w:val="20"/>
                <w:color w:val="auto"/>
              </w:rPr>
            </w:pPr>
            <w:r>
              <w:rPr>
                <w:rFonts w:ascii="Arial" w:cs="Arial" w:eastAsia="Arial" w:hAnsi="Arial"/>
                <w:sz w:val="14"/>
                <w:szCs w:val="14"/>
                <w:color w:val="auto"/>
              </w:rPr>
              <w:t>4,039,292</w:t>
            </w:r>
          </w:p>
        </w:tc>
        <w:tc>
          <w:tcPr>
            <w:tcW w:w="220" w:type="dxa"/>
            <w:vAlign w:val="bottom"/>
            <w:shd w:val="clear" w:color="auto" w:fill="CCECFF"/>
          </w:tcPr>
          <w:p>
            <w:pPr>
              <w:spacing w:after="0"/>
              <w:rPr>
                <w:sz w:val="14"/>
                <w:szCs w:val="14"/>
                <w:color w:val="auto"/>
              </w:rPr>
            </w:pPr>
          </w:p>
        </w:tc>
        <w:tc>
          <w:tcPr>
            <w:tcW w:w="160" w:type="dxa"/>
            <w:vAlign w:val="bottom"/>
            <w:shd w:val="clear" w:color="auto" w:fill="CCECFF"/>
          </w:tcPr>
          <w:p>
            <w:pPr>
              <w:spacing w:after="0"/>
              <w:rPr>
                <w:sz w:val="14"/>
                <w:szCs w:val="14"/>
                <w:color w:val="auto"/>
              </w:rPr>
            </w:pPr>
          </w:p>
        </w:tc>
        <w:tc>
          <w:tcPr>
            <w:tcW w:w="860" w:type="dxa"/>
            <w:vAlign w:val="bottom"/>
            <w:shd w:val="clear" w:color="auto" w:fill="CCECFF"/>
          </w:tcPr>
          <w:p>
            <w:pPr>
              <w:jc w:val="right"/>
              <w:spacing w:after="0"/>
              <w:rPr>
                <w:sz w:val="20"/>
                <w:szCs w:val="20"/>
                <w:color w:val="auto"/>
              </w:rPr>
            </w:pPr>
            <w:r>
              <w:rPr>
                <w:rFonts w:ascii="Arial" w:cs="Arial" w:eastAsia="Arial" w:hAnsi="Arial"/>
                <w:sz w:val="14"/>
                <w:szCs w:val="14"/>
                <w:color w:val="auto"/>
              </w:rPr>
              <w:t>8,375,564</w:t>
            </w:r>
          </w:p>
        </w:tc>
        <w:tc>
          <w:tcPr>
            <w:tcW w:w="220" w:type="dxa"/>
            <w:vAlign w:val="bottom"/>
            <w:shd w:val="clear" w:color="auto" w:fill="CCECFF"/>
          </w:tcPr>
          <w:p>
            <w:pPr>
              <w:spacing w:after="0"/>
              <w:rPr>
                <w:sz w:val="14"/>
                <w:szCs w:val="14"/>
                <w:color w:val="auto"/>
              </w:rPr>
            </w:pPr>
          </w:p>
        </w:tc>
        <w:tc>
          <w:tcPr>
            <w:tcW w:w="200" w:type="dxa"/>
            <w:vAlign w:val="bottom"/>
            <w:shd w:val="clear" w:color="auto" w:fill="CCECFF"/>
          </w:tcPr>
          <w:p>
            <w:pPr>
              <w:spacing w:after="0"/>
              <w:rPr>
                <w:sz w:val="14"/>
                <w:szCs w:val="14"/>
                <w:color w:val="auto"/>
              </w:rPr>
            </w:pPr>
          </w:p>
        </w:tc>
        <w:tc>
          <w:tcPr>
            <w:tcW w:w="840" w:type="dxa"/>
            <w:vAlign w:val="bottom"/>
            <w:shd w:val="clear" w:color="auto" w:fill="CCECFF"/>
          </w:tcPr>
          <w:p>
            <w:pPr>
              <w:jc w:val="right"/>
              <w:spacing w:after="0"/>
              <w:rPr>
                <w:sz w:val="20"/>
                <w:szCs w:val="20"/>
                <w:color w:val="auto"/>
              </w:rPr>
            </w:pPr>
            <w:r>
              <w:rPr>
                <w:rFonts w:ascii="Arial" w:cs="Arial" w:eastAsia="Arial" w:hAnsi="Arial"/>
                <w:sz w:val="14"/>
                <w:szCs w:val="14"/>
                <w:color w:val="auto"/>
              </w:rPr>
              <w:t>12,607,547</w:t>
            </w:r>
          </w:p>
        </w:tc>
        <w:tc>
          <w:tcPr>
            <w:tcW w:w="100" w:type="dxa"/>
            <w:vAlign w:val="bottom"/>
            <w:shd w:val="clear" w:color="auto" w:fill="CCECFF"/>
          </w:tcPr>
          <w:p>
            <w:pPr>
              <w:spacing w:after="0"/>
              <w:rPr>
                <w:sz w:val="14"/>
                <w:szCs w:val="14"/>
                <w:color w:val="auto"/>
              </w:rPr>
            </w:pPr>
          </w:p>
        </w:tc>
      </w:tr>
      <w:tr>
        <w:trPr>
          <w:trHeight w:val="162"/>
        </w:trPr>
        <w:tc>
          <w:tcPr>
            <w:tcW w:w="5920" w:type="dxa"/>
            <w:vAlign w:val="bottom"/>
          </w:tcPr>
          <w:p>
            <w:pPr>
              <w:ind w:left="260"/>
              <w:spacing w:after="0"/>
              <w:rPr>
                <w:sz w:val="20"/>
                <w:szCs w:val="20"/>
                <w:color w:val="auto"/>
              </w:rPr>
            </w:pPr>
            <w:r>
              <w:rPr>
                <w:rFonts w:ascii="Arial" w:cs="Arial" w:eastAsia="Arial" w:hAnsi="Arial"/>
                <w:sz w:val="14"/>
                <w:szCs w:val="14"/>
                <w:color w:val="auto"/>
              </w:rPr>
              <w:t>Interest and expenses on debt (See Note 10)</w:t>
            </w:r>
          </w:p>
        </w:tc>
        <w:tc>
          <w:tcPr>
            <w:tcW w:w="4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80" w:type="dxa"/>
            <w:vAlign w:val="bottom"/>
          </w:tcPr>
          <w:p>
            <w:pPr>
              <w:jc w:val="right"/>
              <w:spacing w:after="0"/>
              <w:rPr>
                <w:sz w:val="20"/>
                <w:szCs w:val="20"/>
                <w:color w:val="auto"/>
              </w:rPr>
            </w:pPr>
            <w:r>
              <w:rPr>
                <w:rFonts w:ascii="Arial" w:cs="Arial" w:eastAsia="Arial" w:hAnsi="Arial"/>
                <w:sz w:val="14"/>
                <w:szCs w:val="14"/>
                <w:color w:val="auto"/>
              </w:rPr>
              <w:t>6,723,980</w:t>
            </w:r>
          </w:p>
        </w:tc>
        <w:tc>
          <w:tcPr>
            <w:tcW w:w="2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40" w:type="dxa"/>
            <w:vAlign w:val="bottom"/>
          </w:tcPr>
          <w:p>
            <w:pPr>
              <w:jc w:val="right"/>
              <w:spacing w:after="0"/>
              <w:rPr>
                <w:sz w:val="20"/>
                <w:szCs w:val="20"/>
                <w:color w:val="auto"/>
              </w:rPr>
            </w:pPr>
            <w:r>
              <w:rPr>
                <w:rFonts w:ascii="Arial" w:cs="Arial" w:eastAsia="Arial" w:hAnsi="Arial"/>
                <w:sz w:val="14"/>
                <w:szCs w:val="14"/>
                <w:color w:val="auto"/>
              </w:rPr>
              <w:t>7,005,077</w:t>
            </w:r>
          </w:p>
        </w:tc>
        <w:tc>
          <w:tcPr>
            <w:tcW w:w="2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60" w:type="dxa"/>
            <w:vAlign w:val="bottom"/>
          </w:tcPr>
          <w:p>
            <w:pPr>
              <w:jc w:val="right"/>
              <w:spacing w:after="0"/>
              <w:rPr>
                <w:sz w:val="20"/>
                <w:szCs w:val="20"/>
                <w:color w:val="auto"/>
              </w:rPr>
            </w:pPr>
            <w:r>
              <w:rPr>
                <w:rFonts w:ascii="Arial" w:cs="Arial" w:eastAsia="Arial" w:hAnsi="Arial"/>
                <w:sz w:val="14"/>
                <w:szCs w:val="14"/>
                <w:color w:val="auto"/>
              </w:rPr>
              <w:t>20,638,611</w:t>
            </w:r>
          </w:p>
        </w:tc>
        <w:tc>
          <w:tcPr>
            <w:tcW w:w="2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40" w:type="dxa"/>
            <w:vAlign w:val="bottom"/>
          </w:tcPr>
          <w:p>
            <w:pPr>
              <w:jc w:val="right"/>
              <w:spacing w:after="0"/>
              <w:rPr>
                <w:sz w:val="20"/>
                <w:szCs w:val="20"/>
                <w:color w:val="auto"/>
              </w:rPr>
            </w:pPr>
            <w:r>
              <w:rPr>
                <w:rFonts w:ascii="Arial" w:cs="Arial" w:eastAsia="Arial" w:hAnsi="Arial"/>
                <w:sz w:val="14"/>
                <w:szCs w:val="14"/>
                <w:color w:val="auto"/>
              </w:rPr>
              <w:t>20,674,327</w:t>
            </w:r>
          </w:p>
        </w:tc>
        <w:tc>
          <w:tcPr>
            <w:tcW w:w="100" w:type="dxa"/>
            <w:vAlign w:val="bottom"/>
          </w:tcPr>
          <w:p>
            <w:pPr>
              <w:spacing w:after="0"/>
              <w:rPr>
                <w:sz w:val="14"/>
                <w:szCs w:val="14"/>
                <w:color w:val="auto"/>
              </w:rPr>
            </w:pPr>
          </w:p>
        </w:tc>
      </w:tr>
      <w:tr>
        <w:trPr>
          <w:trHeight w:val="162"/>
        </w:trPr>
        <w:tc>
          <w:tcPr>
            <w:tcW w:w="5920" w:type="dxa"/>
            <w:vAlign w:val="bottom"/>
            <w:shd w:val="clear" w:color="auto" w:fill="CCECFF"/>
          </w:tcPr>
          <w:p>
            <w:pPr>
              <w:ind w:left="260"/>
              <w:spacing w:after="0"/>
              <w:rPr>
                <w:sz w:val="20"/>
                <w:szCs w:val="20"/>
                <w:color w:val="auto"/>
              </w:rPr>
            </w:pPr>
            <w:r>
              <w:rPr>
                <w:rFonts w:ascii="Arial" w:cs="Arial" w:eastAsia="Arial" w:hAnsi="Arial"/>
                <w:sz w:val="14"/>
                <w:szCs w:val="14"/>
                <w:color w:val="auto"/>
              </w:rPr>
              <w:t>Administrative services expenses (See Note 3)</w:t>
            </w:r>
          </w:p>
        </w:tc>
        <w:tc>
          <w:tcPr>
            <w:tcW w:w="480" w:type="dxa"/>
            <w:vAlign w:val="bottom"/>
            <w:shd w:val="clear" w:color="auto" w:fill="CCECFF"/>
          </w:tcPr>
          <w:p>
            <w:pPr>
              <w:spacing w:after="0"/>
              <w:rPr>
                <w:sz w:val="14"/>
                <w:szCs w:val="14"/>
                <w:color w:val="auto"/>
              </w:rPr>
            </w:pPr>
          </w:p>
        </w:tc>
        <w:tc>
          <w:tcPr>
            <w:tcW w:w="120" w:type="dxa"/>
            <w:vAlign w:val="bottom"/>
            <w:shd w:val="clear" w:color="auto" w:fill="CCECFF"/>
          </w:tcPr>
          <w:p>
            <w:pPr>
              <w:spacing w:after="0"/>
              <w:rPr>
                <w:sz w:val="14"/>
                <w:szCs w:val="14"/>
                <w:color w:val="auto"/>
              </w:rPr>
            </w:pPr>
          </w:p>
        </w:tc>
        <w:tc>
          <w:tcPr>
            <w:tcW w:w="880" w:type="dxa"/>
            <w:vAlign w:val="bottom"/>
            <w:shd w:val="clear" w:color="auto" w:fill="CCECFF"/>
          </w:tcPr>
          <w:p>
            <w:pPr>
              <w:jc w:val="right"/>
              <w:spacing w:after="0"/>
              <w:rPr>
                <w:sz w:val="20"/>
                <w:szCs w:val="20"/>
                <w:color w:val="auto"/>
              </w:rPr>
            </w:pPr>
            <w:r>
              <w:rPr>
                <w:rFonts w:ascii="Arial" w:cs="Arial" w:eastAsia="Arial" w:hAnsi="Arial"/>
                <w:sz w:val="14"/>
                <w:szCs w:val="14"/>
                <w:color w:val="auto"/>
              </w:rPr>
              <w:t>894,000</w:t>
            </w:r>
          </w:p>
        </w:tc>
        <w:tc>
          <w:tcPr>
            <w:tcW w:w="220" w:type="dxa"/>
            <w:vAlign w:val="bottom"/>
            <w:shd w:val="clear" w:color="auto" w:fill="CCECFF"/>
          </w:tcPr>
          <w:p>
            <w:pPr>
              <w:spacing w:after="0"/>
              <w:rPr>
                <w:sz w:val="14"/>
                <w:szCs w:val="14"/>
                <w:color w:val="auto"/>
              </w:rPr>
            </w:pPr>
          </w:p>
        </w:tc>
        <w:tc>
          <w:tcPr>
            <w:tcW w:w="180" w:type="dxa"/>
            <w:vAlign w:val="bottom"/>
            <w:shd w:val="clear" w:color="auto" w:fill="CCECFF"/>
          </w:tcPr>
          <w:p>
            <w:pPr>
              <w:spacing w:after="0"/>
              <w:rPr>
                <w:sz w:val="14"/>
                <w:szCs w:val="14"/>
                <w:color w:val="auto"/>
              </w:rPr>
            </w:pPr>
          </w:p>
        </w:tc>
        <w:tc>
          <w:tcPr>
            <w:tcW w:w="840" w:type="dxa"/>
            <w:vAlign w:val="bottom"/>
            <w:shd w:val="clear" w:color="auto" w:fill="CCECFF"/>
          </w:tcPr>
          <w:p>
            <w:pPr>
              <w:jc w:val="right"/>
              <w:spacing w:after="0"/>
              <w:rPr>
                <w:sz w:val="20"/>
                <w:szCs w:val="20"/>
                <w:color w:val="auto"/>
              </w:rPr>
            </w:pPr>
            <w:r>
              <w:rPr>
                <w:rFonts w:ascii="Arial" w:cs="Arial" w:eastAsia="Arial" w:hAnsi="Arial"/>
                <w:sz w:val="14"/>
                <w:szCs w:val="14"/>
                <w:color w:val="auto"/>
              </w:rPr>
              <w:t>898,167</w:t>
            </w:r>
          </w:p>
        </w:tc>
        <w:tc>
          <w:tcPr>
            <w:tcW w:w="220" w:type="dxa"/>
            <w:vAlign w:val="bottom"/>
            <w:shd w:val="clear" w:color="auto" w:fill="CCECFF"/>
          </w:tcPr>
          <w:p>
            <w:pPr>
              <w:spacing w:after="0"/>
              <w:rPr>
                <w:sz w:val="14"/>
                <w:szCs w:val="14"/>
                <w:color w:val="auto"/>
              </w:rPr>
            </w:pPr>
          </w:p>
        </w:tc>
        <w:tc>
          <w:tcPr>
            <w:tcW w:w="160" w:type="dxa"/>
            <w:vAlign w:val="bottom"/>
            <w:shd w:val="clear" w:color="auto" w:fill="CCECFF"/>
          </w:tcPr>
          <w:p>
            <w:pPr>
              <w:spacing w:after="0"/>
              <w:rPr>
                <w:sz w:val="14"/>
                <w:szCs w:val="14"/>
                <w:color w:val="auto"/>
              </w:rPr>
            </w:pPr>
          </w:p>
        </w:tc>
        <w:tc>
          <w:tcPr>
            <w:tcW w:w="860" w:type="dxa"/>
            <w:vAlign w:val="bottom"/>
            <w:shd w:val="clear" w:color="auto" w:fill="CCECFF"/>
          </w:tcPr>
          <w:p>
            <w:pPr>
              <w:jc w:val="right"/>
              <w:spacing w:after="0"/>
              <w:rPr>
                <w:sz w:val="20"/>
                <w:szCs w:val="20"/>
                <w:color w:val="auto"/>
              </w:rPr>
            </w:pPr>
            <w:r>
              <w:rPr>
                <w:rFonts w:ascii="Arial" w:cs="Arial" w:eastAsia="Arial" w:hAnsi="Arial"/>
                <w:sz w:val="14"/>
                <w:szCs w:val="14"/>
                <w:color w:val="auto"/>
              </w:rPr>
              <w:t>2,682,000</w:t>
            </w:r>
          </w:p>
        </w:tc>
        <w:tc>
          <w:tcPr>
            <w:tcW w:w="220" w:type="dxa"/>
            <w:vAlign w:val="bottom"/>
            <w:shd w:val="clear" w:color="auto" w:fill="CCECFF"/>
          </w:tcPr>
          <w:p>
            <w:pPr>
              <w:spacing w:after="0"/>
              <w:rPr>
                <w:sz w:val="14"/>
                <w:szCs w:val="14"/>
                <w:color w:val="auto"/>
              </w:rPr>
            </w:pPr>
          </w:p>
        </w:tc>
        <w:tc>
          <w:tcPr>
            <w:tcW w:w="200" w:type="dxa"/>
            <w:vAlign w:val="bottom"/>
            <w:shd w:val="clear" w:color="auto" w:fill="CCECFF"/>
          </w:tcPr>
          <w:p>
            <w:pPr>
              <w:spacing w:after="0"/>
              <w:rPr>
                <w:sz w:val="14"/>
                <w:szCs w:val="14"/>
                <w:color w:val="auto"/>
              </w:rPr>
            </w:pPr>
          </w:p>
        </w:tc>
        <w:tc>
          <w:tcPr>
            <w:tcW w:w="840" w:type="dxa"/>
            <w:vAlign w:val="bottom"/>
            <w:shd w:val="clear" w:color="auto" w:fill="CCECFF"/>
          </w:tcPr>
          <w:p>
            <w:pPr>
              <w:jc w:val="right"/>
              <w:spacing w:after="0"/>
              <w:rPr>
                <w:sz w:val="20"/>
                <w:szCs w:val="20"/>
                <w:color w:val="auto"/>
              </w:rPr>
            </w:pPr>
            <w:r>
              <w:rPr>
                <w:rFonts w:ascii="Arial" w:cs="Arial" w:eastAsia="Arial" w:hAnsi="Arial"/>
                <w:sz w:val="14"/>
                <w:szCs w:val="14"/>
                <w:color w:val="auto"/>
              </w:rPr>
              <w:t>2,666,167</w:t>
            </w:r>
          </w:p>
        </w:tc>
        <w:tc>
          <w:tcPr>
            <w:tcW w:w="100" w:type="dxa"/>
            <w:vAlign w:val="bottom"/>
            <w:shd w:val="clear" w:color="auto" w:fill="CCECFF"/>
          </w:tcPr>
          <w:p>
            <w:pPr>
              <w:spacing w:after="0"/>
              <w:rPr>
                <w:sz w:val="14"/>
                <w:szCs w:val="14"/>
                <w:color w:val="auto"/>
              </w:rPr>
            </w:pPr>
          </w:p>
        </w:tc>
      </w:tr>
      <w:tr>
        <w:trPr>
          <w:trHeight w:val="162"/>
        </w:trPr>
        <w:tc>
          <w:tcPr>
            <w:tcW w:w="5920" w:type="dxa"/>
            <w:vAlign w:val="bottom"/>
            <w:tcBorders>
              <w:bottom w:val="single" w:sz="8" w:color="CCECFF"/>
            </w:tcBorders>
          </w:tcPr>
          <w:p>
            <w:pPr>
              <w:ind w:left="260"/>
              <w:spacing w:after="0"/>
              <w:rPr>
                <w:sz w:val="20"/>
                <w:szCs w:val="20"/>
                <w:color w:val="auto"/>
              </w:rPr>
            </w:pPr>
            <w:r>
              <w:rPr>
                <w:rFonts w:ascii="Arial" w:cs="Arial" w:eastAsia="Arial" w:hAnsi="Arial"/>
                <w:sz w:val="14"/>
                <w:szCs w:val="14"/>
                <w:color w:val="auto"/>
              </w:rPr>
              <w:t>Other general and administrative expenses</w:t>
            </w:r>
          </w:p>
        </w:tc>
        <w:tc>
          <w:tcPr>
            <w:tcW w:w="480" w:type="dxa"/>
            <w:vAlign w:val="bottom"/>
            <w:tcBorders>
              <w:bottom w:val="single" w:sz="8" w:color="CCECFF"/>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665,653</w:t>
            </w:r>
          </w:p>
        </w:tc>
        <w:tc>
          <w:tcPr>
            <w:tcW w:w="220" w:type="dxa"/>
            <w:vAlign w:val="bottom"/>
            <w:tcBorders>
              <w:bottom w:val="single" w:sz="8" w:color="CCECFF"/>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899,508</w:t>
            </w:r>
          </w:p>
        </w:tc>
        <w:tc>
          <w:tcPr>
            <w:tcW w:w="220" w:type="dxa"/>
            <w:vAlign w:val="bottom"/>
            <w:tcBorders>
              <w:bottom w:val="single" w:sz="8" w:color="CCECFF"/>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2,002,643</w:t>
            </w:r>
          </w:p>
        </w:tc>
        <w:tc>
          <w:tcPr>
            <w:tcW w:w="220" w:type="dxa"/>
            <w:vAlign w:val="bottom"/>
            <w:tcBorders>
              <w:bottom w:val="single" w:sz="8" w:color="CCECFF"/>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2,721,700</w:t>
            </w:r>
          </w:p>
        </w:tc>
        <w:tc>
          <w:tcPr>
            <w:tcW w:w="100" w:type="dxa"/>
            <w:vAlign w:val="bottom"/>
            <w:tcBorders>
              <w:bottom w:val="single" w:sz="8" w:color="CCECFF"/>
            </w:tcBorders>
          </w:tcPr>
          <w:p>
            <w:pPr>
              <w:spacing w:after="0"/>
              <w:rPr>
                <w:sz w:val="14"/>
                <w:szCs w:val="14"/>
                <w:color w:val="auto"/>
              </w:rPr>
            </w:pPr>
          </w:p>
        </w:tc>
      </w:tr>
      <w:tr>
        <w:trPr>
          <w:trHeight w:val="156"/>
        </w:trPr>
        <w:tc>
          <w:tcPr>
            <w:tcW w:w="5920" w:type="dxa"/>
            <w:vAlign w:val="bottom"/>
            <w:shd w:val="clear" w:color="auto" w:fill="CCECFF"/>
          </w:tcPr>
          <w:p>
            <w:pPr>
              <w:ind w:left="260"/>
              <w:spacing w:after="0" w:line="155" w:lineRule="exact"/>
              <w:rPr>
                <w:sz w:val="20"/>
                <w:szCs w:val="20"/>
                <w:color w:val="auto"/>
              </w:rPr>
            </w:pPr>
            <w:r>
              <w:rPr>
                <w:rFonts w:ascii="Arial" w:cs="Arial" w:eastAsia="Arial" w:hAnsi="Arial"/>
                <w:sz w:val="14"/>
                <w:szCs w:val="14"/>
                <w:b w:val="1"/>
                <w:bCs w:val="1"/>
                <w:color w:val="auto"/>
              </w:rPr>
              <w:t>Expenses before Management Fees waiver and provision for taxes</w:t>
            </w:r>
          </w:p>
        </w:tc>
        <w:tc>
          <w:tcPr>
            <w:tcW w:w="480" w:type="dxa"/>
            <w:vAlign w:val="bottom"/>
            <w:shd w:val="clear" w:color="auto" w:fill="CCECFF"/>
          </w:tcPr>
          <w:p>
            <w:pPr>
              <w:spacing w:after="0"/>
              <w:rPr>
                <w:sz w:val="13"/>
                <w:szCs w:val="13"/>
                <w:color w:val="auto"/>
              </w:rPr>
            </w:pPr>
          </w:p>
        </w:tc>
        <w:tc>
          <w:tcPr>
            <w:tcW w:w="120" w:type="dxa"/>
            <w:vAlign w:val="bottom"/>
            <w:tcBorders>
              <w:bottom w:val="single" w:sz="8" w:color="auto"/>
            </w:tcBorders>
            <w:shd w:val="clear" w:color="auto" w:fill="CCECFF"/>
          </w:tcPr>
          <w:p>
            <w:pPr>
              <w:spacing w:after="0"/>
              <w:rPr>
                <w:sz w:val="13"/>
                <w:szCs w:val="13"/>
                <w:color w:val="auto"/>
              </w:rPr>
            </w:pPr>
          </w:p>
        </w:tc>
        <w:tc>
          <w:tcPr>
            <w:tcW w:w="880" w:type="dxa"/>
            <w:vAlign w:val="bottom"/>
            <w:tcBorders>
              <w:bottom w:val="single" w:sz="8" w:color="auto"/>
            </w:tcBorders>
            <w:shd w:val="clear" w:color="auto" w:fill="CCECFF"/>
          </w:tcPr>
          <w:p>
            <w:pPr>
              <w:jc w:val="right"/>
              <w:spacing w:after="0" w:line="155" w:lineRule="exact"/>
              <w:rPr>
                <w:sz w:val="20"/>
                <w:szCs w:val="20"/>
                <w:color w:val="auto"/>
              </w:rPr>
            </w:pPr>
            <w:r>
              <w:rPr>
                <w:rFonts w:ascii="Arial" w:cs="Arial" w:eastAsia="Arial" w:hAnsi="Arial"/>
                <w:sz w:val="14"/>
                <w:szCs w:val="14"/>
                <w:color w:val="auto"/>
              </w:rPr>
              <w:t>15,484,399</w:t>
            </w:r>
          </w:p>
        </w:tc>
        <w:tc>
          <w:tcPr>
            <w:tcW w:w="220" w:type="dxa"/>
            <w:vAlign w:val="bottom"/>
            <w:shd w:val="clear" w:color="auto" w:fill="CCECFF"/>
          </w:tcPr>
          <w:p>
            <w:pPr>
              <w:spacing w:after="0"/>
              <w:rPr>
                <w:sz w:val="13"/>
                <w:szCs w:val="13"/>
                <w:color w:val="auto"/>
              </w:rPr>
            </w:pPr>
          </w:p>
        </w:tc>
        <w:tc>
          <w:tcPr>
            <w:tcW w:w="180" w:type="dxa"/>
            <w:vAlign w:val="bottom"/>
            <w:tcBorders>
              <w:bottom w:val="single" w:sz="8" w:color="auto"/>
            </w:tcBorders>
            <w:shd w:val="clear" w:color="auto" w:fill="CCECFF"/>
          </w:tcPr>
          <w:p>
            <w:pPr>
              <w:spacing w:after="0"/>
              <w:rPr>
                <w:sz w:val="13"/>
                <w:szCs w:val="13"/>
                <w:color w:val="auto"/>
              </w:rPr>
            </w:pPr>
          </w:p>
        </w:tc>
        <w:tc>
          <w:tcPr>
            <w:tcW w:w="840" w:type="dxa"/>
            <w:vAlign w:val="bottom"/>
            <w:tcBorders>
              <w:bottom w:val="single" w:sz="8" w:color="auto"/>
            </w:tcBorders>
            <w:shd w:val="clear" w:color="auto" w:fill="CCECFF"/>
          </w:tcPr>
          <w:p>
            <w:pPr>
              <w:jc w:val="right"/>
              <w:spacing w:after="0" w:line="155" w:lineRule="exact"/>
              <w:rPr>
                <w:sz w:val="20"/>
                <w:szCs w:val="20"/>
                <w:color w:val="auto"/>
              </w:rPr>
            </w:pPr>
            <w:r>
              <w:rPr>
                <w:rFonts w:ascii="Arial" w:cs="Arial" w:eastAsia="Arial" w:hAnsi="Arial"/>
                <w:sz w:val="14"/>
                <w:szCs w:val="14"/>
                <w:color w:val="auto"/>
              </w:rPr>
              <w:t>19,032,623</w:t>
            </w:r>
          </w:p>
        </w:tc>
        <w:tc>
          <w:tcPr>
            <w:tcW w:w="220" w:type="dxa"/>
            <w:vAlign w:val="bottom"/>
            <w:shd w:val="clear" w:color="auto" w:fill="CCECFF"/>
          </w:tcPr>
          <w:p>
            <w:pPr>
              <w:spacing w:after="0"/>
              <w:rPr>
                <w:sz w:val="13"/>
                <w:szCs w:val="13"/>
                <w:color w:val="auto"/>
              </w:rPr>
            </w:pPr>
          </w:p>
        </w:tc>
        <w:tc>
          <w:tcPr>
            <w:tcW w:w="160" w:type="dxa"/>
            <w:vAlign w:val="bottom"/>
            <w:tcBorders>
              <w:bottom w:val="single" w:sz="8" w:color="auto"/>
            </w:tcBorders>
            <w:shd w:val="clear" w:color="auto" w:fill="CCECFF"/>
          </w:tcPr>
          <w:p>
            <w:pPr>
              <w:spacing w:after="0"/>
              <w:rPr>
                <w:sz w:val="13"/>
                <w:szCs w:val="13"/>
                <w:color w:val="auto"/>
              </w:rPr>
            </w:pPr>
          </w:p>
        </w:tc>
        <w:tc>
          <w:tcPr>
            <w:tcW w:w="860" w:type="dxa"/>
            <w:vAlign w:val="bottom"/>
            <w:tcBorders>
              <w:bottom w:val="single" w:sz="8" w:color="auto"/>
            </w:tcBorders>
            <w:shd w:val="clear" w:color="auto" w:fill="CCECFF"/>
          </w:tcPr>
          <w:p>
            <w:pPr>
              <w:jc w:val="right"/>
              <w:spacing w:after="0" w:line="155" w:lineRule="exact"/>
              <w:rPr>
                <w:sz w:val="20"/>
                <w:szCs w:val="20"/>
                <w:color w:val="auto"/>
              </w:rPr>
            </w:pPr>
            <w:r>
              <w:rPr>
                <w:rFonts w:ascii="Arial" w:cs="Arial" w:eastAsia="Arial" w:hAnsi="Arial"/>
                <w:sz w:val="14"/>
                <w:szCs w:val="14"/>
                <w:color w:val="auto"/>
              </w:rPr>
              <w:t>52,148,708</w:t>
            </w:r>
          </w:p>
        </w:tc>
        <w:tc>
          <w:tcPr>
            <w:tcW w:w="220" w:type="dxa"/>
            <w:vAlign w:val="bottom"/>
            <w:shd w:val="clear" w:color="auto" w:fill="CCECFF"/>
          </w:tcPr>
          <w:p>
            <w:pPr>
              <w:spacing w:after="0"/>
              <w:rPr>
                <w:sz w:val="13"/>
                <w:szCs w:val="13"/>
                <w:color w:val="auto"/>
              </w:rPr>
            </w:pPr>
          </w:p>
        </w:tc>
        <w:tc>
          <w:tcPr>
            <w:tcW w:w="200" w:type="dxa"/>
            <w:vAlign w:val="bottom"/>
            <w:tcBorders>
              <w:bottom w:val="single" w:sz="8" w:color="auto"/>
            </w:tcBorders>
            <w:shd w:val="clear" w:color="auto" w:fill="CCECFF"/>
          </w:tcPr>
          <w:p>
            <w:pPr>
              <w:spacing w:after="0"/>
              <w:rPr>
                <w:sz w:val="13"/>
                <w:szCs w:val="13"/>
                <w:color w:val="auto"/>
              </w:rPr>
            </w:pPr>
          </w:p>
        </w:tc>
        <w:tc>
          <w:tcPr>
            <w:tcW w:w="840" w:type="dxa"/>
            <w:vAlign w:val="bottom"/>
            <w:tcBorders>
              <w:bottom w:val="single" w:sz="8" w:color="auto"/>
            </w:tcBorders>
            <w:shd w:val="clear" w:color="auto" w:fill="CCECFF"/>
          </w:tcPr>
          <w:p>
            <w:pPr>
              <w:jc w:val="right"/>
              <w:spacing w:after="0" w:line="155" w:lineRule="exact"/>
              <w:rPr>
                <w:sz w:val="20"/>
                <w:szCs w:val="20"/>
                <w:color w:val="auto"/>
              </w:rPr>
            </w:pPr>
            <w:r>
              <w:rPr>
                <w:rFonts w:ascii="Arial" w:cs="Arial" w:eastAsia="Arial" w:hAnsi="Arial"/>
                <w:sz w:val="14"/>
                <w:szCs w:val="14"/>
                <w:color w:val="auto"/>
              </w:rPr>
              <w:t>57,481,175</w:t>
            </w:r>
          </w:p>
        </w:tc>
        <w:tc>
          <w:tcPr>
            <w:tcW w:w="100" w:type="dxa"/>
            <w:vAlign w:val="bottom"/>
            <w:shd w:val="clear" w:color="auto" w:fill="CCECFF"/>
          </w:tcPr>
          <w:p>
            <w:pPr>
              <w:spacing w:after="0"/>
              <w:rPr>
                <w:sz w:val="13"/>
                <w:szCs w:val="13"/>
                <w:color w:val="auto"/>
              </w:rPr>
            </w:pPr>
          </w:p>
        </w:tc>
      </w:tr>
      <w:tr>
        <w:trPr>
          <w:trHeight w:val="156"/>
        </w:trPr>
        <w:tc>
          <w:tcPr>
            <w:tcW w:w="5920" w:type="dxa"/>
            <w:vAlign w:val="bottom"/>
          </w:tcPr>
          <w:p>
            <w:pPr>
              <w:ind w:left="260"/>
              <w:spacing w:after="0" w:line="155" w:lineRule="exact"/>
              <w:rPr>
                <w:sz w:val="20"/>
                <w:szCs w:val="20"/>
                <w:color w:val="auto"/>
              </w:rPr>
            </w:pPr>
            <w:r>
              <w:rPr>
                <w:rFonts w:ascii="Arial" w:cs="Arial" w:eastAsia="Arial" w:hAnsi="Arial"/>
                <w:sz w:val="14"/>
                <w:szCs w:val="14"/>
                <w:color w:val="auto"/>
              </w:rPr>
              <w:t>Management Fees waiver (See Note 3)</w:t>
            </w:r>
          </w:p>
        </w:tc>
        <w:tc>
          <w:tcPr>
            <w:tcW w:w="4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80" w:type="dxa"/>
            <w:vAlign w:val="bottom"/>
          </w:tcPr>
          <w:p>
            <w:pPr>
              <w:jc w:val="right"/>
              <w:spacing w:after="0" w:line="155" w:lineRule="exact"/>
              <w:rPr>
                <w:sz w:val="20"/>
                <w:szCs w:val="20"/>
                <w:color w:val="auto"/>
              </w:rPr>
            </w:pPr>
            <w:r>
              <w:rPr>
                <w:rFonts w:ascii="Arial" w:cs="Arial" w:eastAsia="Arial" w:hAnsi="Arial"/>
                <w:sz w:val="14"/>
                <w:szCs w:val="14"/>
                <w:color w:val="auto"/>
              </w:rPr>
              <w:t>(1,152,123)</w:t>
            </w:r>
          </w:p>
        </w:tc>
        <w:tc>
          <w:tcPr>
            <w:tcW w:w="2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840" w:type="dxa"/>
            <w:vAlign w:val="bottom"/>
          </w:tcPr>
          <w:p>
            <w:pPr>
              <w:jc w:val="right"/>
              <w:spacing w:after="0" w:line="155" w:lineRule="exact"/>
              <w:rPr>
                <w:sz w:val="20"/>
                <w:szCs w:val="20"/>
                <w:color w:val="auto"/>
              </w:rPr>
            </w:pPr>
            <w:r>
              <w:rPr>
                <w:rFonts w:ascii="Arial" w:cs="Arial" w:eastAsia="Arial" w:hAnsi="Arial"/>
                <w:sz w:val="14"/>
                <w:szCs w:val="14"/>
                <w:color w:val="auto"/>
              </w:rPr>
              <w:t>(1,636,779)</w:t>
            </w:r>
          </w:p>
        </w:tc>
        <w:tc>
          <w:tcPr>
            <w:tcW w:w="2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860" w:type="dxa"/>
            <w:vAlign w:val="bottom"/>
          </w:tcPr>
          <w:p>
            <w:pPr>
              <w:jc w:val="right"/>
              <w:spacing w:after="0" w:line="155" w:lineRule="exact"/>
              <w:rPr>
                <w:sz w:val="20"/>
                <w:szCs w:val="20"/>
                <w:color w:val="auto"/>
              </w:rPr>
            </w:pPr>
            <w:r>
              <w:rPr>
                <w:rFonts w:ascii="Arial" w:cs="Arial" w:eastAsia="Arial" w:hAnsi="Arial"/>
                <w:sz w:val="14"/>
                <w:szCs w:val="14"/>
                <w:color w:val="auto"/>
              </w:rPr>
              <w:t>(4,292,073)</w:t>
            </w:r>
          </w:p>
        </w:tc>
        <w:tc>
          <w:tcPr>
            <w:tcW w:w="2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840" w:type="dxa"/>
            <w:vAlign w:val="bottom"/>
          </w:tcPr>
          <w:p>
            <w:pPr>
              <w:jc w:val="right"/>
              <w:spacing w:after="0" w:line="155" w:lineRule="exact"/>
              <w:rPr>
                <w:sz w:val="20"/>
                <w:szCs w:val="20"/>
                <w:color w:val="auto"/>
              </w:rPr>
            </w:pPr>
            <w:r>
              <w:rPr>
                <w:rFonts w:ascii="Arial" w:cs="Arial" w:eastAsia="Arial" w:hAnsi="Arial"/>
                <w:sz w:val="14"/>
                <w:szCs w:val="14"/>
                <w:color w:val="auto"/>
              </w:rPr>
              <w:t>(5,027,041)</w:t>
            </w:r>
          </w:p>
        </w:tc>
        <w:tc>
          <w:tcPr>
            <w:tcW w:w="100" w:type="dxa"/>
            <w:vAlign w:val="bottom"/>
          </w:tcPr>
          <w:p>
            <w:pPr>
              <w:spacing w:after="0"/>
              <w:rPr>
                <w:sz w:val="13"/>
                <w:szCs w:val="13"/>
                <w:color w:val="auto"/>
              </w:rPr>
            </w:pPr>
          </w:p>
        </w:tc>
      </w:tr>
      <w:tr>
        <w:trPr>
          <w:trHeight w:val="162"/>
        </w:trPr>
        <w:tc>
          <w:tcPr>
            <w:tcW w:w="5920" w:type="dxa"/>
            <w:vAlign w:val="bottom"/>
            <w:shd w:val="clear" w:color="auto" w:fill="CCECFF"/>
          </w:tcPr>
          <w:p>
            <w:pPr>
              <w:ind w:left="260"/>
              <w:spacing w:after="0"/>
              <w:rPr>
                <w:sz w:val="20"/>
                <w:szCs w:val="20"/>
                <w:color w:val="auto"/>
              </w:rPr>
            </w:pPr>
            <w:r>
              <w:rPr>
                <w:rFonts w:ascii="Arial" w:cs="Arial" w:eastAsia="Arial" w:hAnsi="Arial"/>
                <w:sz w:val="14"/>
                <w:szCs w:val="14"/>
                <w:color w:val="auto"/>
              </w:rPr>
              <w:t>Provision for taxes</w:t>
            </w:r>
          </w:p>
        </w:tc>
        <w:tc>
          <w:tcPr>
            <w:tcW w:w="480" w:type="dxa"/>
            <w:vAlign w:val="bottom"/>
            <w:shd w:val="clear" w:color="auto" w:fill="CCECFF"/>
          </w:tcPr>
          <w:p>
            <w:pPr>
              <w:spacing w:after="0"/>
              <w:rPr>
                <w:sz w:val="14"/>
                <w:szCs w:val="14"/>
                <w:color w:val="auto"/>
              </w:rPr>
            </w:pPr>
          </w:p>
        </w:tc>
        <w:tc>
          <w:tcPr>
            <w:tcW w:w="120" w:type="dxa"/>
            <w:vAlign w:val="bottom"/>
            <w:shd w:val="clear" w:color="auto" w:fill="CCECFF"/>
          </w:tcPr>
          <w:p>
            <w:pPr>
              <w:spacing w:after="0"/>
              <w:rPr>
                <w:sz w:val="14"/>
                <w:szCs w:val="14"/>
                <w:color w:val="auto"/>
              </w:rPr>
            </w:pPr>
          </w:p>
        </w:tc>
        <w:tc>
          <w:tcPr>
            <w:tcW w:w="880" w:type="dxa"/>
            <w:vAlign w:val="bottom"/>
            <w:shd w:val="clear" w:color="auto" w:fill="CCECFF"/>
          </w:tcPr>
          <w:p>
            <w:pPr>
              <w:jc w:val="right"/>
              <w:spacing w:after="0"/>
              <w:rPr>
                <w:sz w:val="20"/>
                <w:szCs w:val="20"/>
                <w:color w:val="auto"/>
              </w:rPr>
            </w:pPr>
            <w:r>
              <w:rPr>
                <w:rFonts w:ascii="Arial" w:cs="Arial" w:eastAsia="Arial" w:hAnsi="Arial"/>
                <w:sz w:val="14"/>
                <w:szCs w:val="14"/>
                <w:color w:val="auto"/>
              </w:rPr>
              <w:t>425,000</w:t>
            </w:r>
          </w:p>
        </w:tc>
        <w:tc>
          <w:tcPr>
            <w:tcW w:w="220" w:type="dxa"/>
            <w:vAlign w:val="bottom"/>
            <w:shd w:val="clear" w:color="auto" w:fill="CCECFF"/>
          </w:tcPr>
          <w:p>
            <w:pPr>
              <w:spacing w:after="0"/>
              <w:rPr>
                <w:sz w:val="14"/>
                <w:szCs w:val="14"/>
                <w:color w:val="auto"/>
              </w:rPr>
            </w:pPr>
          </w:p>
        </w:tc>
        <w:tc>
          <w:tcPr>
            <w:tcW w:w="180" w:type="dxa"/>
            <w:vAlign w:val="bottom"/>
            <w:shd w:val="clear" w:color="auto" w:fill="CCECFF"/>
          </w:tcPr>
          <w:p>
            <w:pPr>
              <w:spacing w:after="0"/>
              <w:rPr>
                <w:sz w:val="14"/>
                <w:szCs w:val="14"/>
                <w:color w:val="auto"/>
              </w:rPr>
            </w:pPr>
          </w:p>
        </w:tc>
        <w:tc>
          <w:tcPr>
            <w:tcW w:w="840" w:type="dxa"/>
            <w:vAlign w:val="bottom"/>
            <w:shd w:val="clear" w:color="auto" w:fill="CCECFF"/>
          </w:tcPr>
          <w:p>
            <w:pPr>
              <w:jc w:val="right"/>
              <w:spacing w:after="0"/>
              <w:rPr>
                <w:sz w:val="20"/>
                <w:szCs w:val="20"/>
                <w:color w:val="auto"/>
              </w:rPr>
            </w:pPr>
            <w:r>
              <w:rPr>
                <w:rFonts w:ascii="Arial" w:cs="Arial" w:eastAsia="Arial" w:hAnsi="Arial"/>
                <w:sz w:val="14"/>
                <w:szCs w:val="14"/>
                <w:color w:val="auto"/>
              </w:rPr>
              <w:t>350,000</w:t>
            </w:r>
          </w:p>
        </w:tc>
        <w:tc>
          <w:tcPr>
            <w:tcW w:w="220" w:type="dxa"/>
            <w:vAlign w:val="bottom"/>
            <w:shd w:val="clear" w:color="auto" w:fill="CCECFF"/>
          </w:tcPr>
          <w:p>
            <w:pPr>
              <w:spacing w:after="0"/>
              <w:rPr>
                <w:sz w:val="14"/>
                <w:szCs w:val="14"/>
                <w:color w:val="auto"/>
              </w:rPr>
            </w:pPr>
          </w:p>
        </w:tc>
        <w:tc>
          <w:tcPr>
            <w:tcW w:w="160" w:type="dxa"/>
            <w:vAlign w:val="bottom"/>
            <w:shd w:val="clear" w:color="auto" w:fill="CCECFF"/>
          </w:tcPr>
          <w:p>
            <w:pPr>
              <w:spacing w:after="0"/>
              <w:rPr>
                <w:sz w:val="14"/>
                <w:szCs w:val="14"/>
                <w:color w:val="auto"/>
              </w:rPr>
            </w:pPr>
          </w:p>
        </w:tc>
        <w:tc>
          <w:tcPr>
            <w:tcW w:w="860" w:type="dxa"/>
            <w:vAlign w:val="bottom"/>
            <w:shd w:val="clear" w:color="auto" w:fill="CCECFF"/>
          </w:tcPr>
          <w:p>
            <w:pPr>
              <w:jc w:val="right"/>
              <w:spacing w:after="0"/>
              <w:rPr>
                <w:sz w:val="20"/>
                <w:szCs w:val="20"/>
                <w:color w:val="auto"/>
              </w:rPr>
            </w:pPr>
            <w:r>
              <w:rPr>
                <w:rFonts w:ascii="Arial" w:cs="Arial" w:eastAsia="Arial" w:hAnsi="Arial"/>
                <w:sz w:val="14"/>
                <w:szCs w:val="14"/>
                <w:color w:val="auto"/>
              </w:rPr>
              <w:t>1,275,000</w:t>
            </w:r>
          </w:p>
        </w:tc>
        <w:tc>
          <w:tcPr>
            <w:tcW w:w="220" w:type="dxa"/>
            <w:vAlign w:val="bottom"/>
            <w:shd w:val="clear" w:color="auto" w:fill="CCECFF"/>
          </w:tcPr>
          <w:p>
            <w:pPr>
              <w:spacing w:after="0"/>
              <w:rPr>
                <w:sz w:val="14"/>
                <w:szCs w:val="14"/>
                <w:color w:val="auto"/>
              </w:rPr>
            </w:pPr>
          </w:p>
        </w:tc>
        <w:tc>
          <w:tcPr>
            <w:tcW w:w="200" w:type="dxa"/>
            <w:vAlign w:val="bottom"/>
            <w:shd w:val="clear" w:color="auto" w:fill="CCECFF"/>
          </w:tcPr>
          <w:p>
            <w:pPr>
              <w:spacing w:after="0"/>
              <w:rPr>
                <w:sz w:val="14"/>
                <w:szCs w:val="14"/>
                <w:color w:val="auto"/>
              </w:rPr>
            </w:pPr>
          </w:p>
        </w:tc>
        <w:tc>
          <w:tcPr>
            <w:tcW w:w="840" w:type="dxa"/>
            <w:vAlign w:val="bottom"/>
            <w:shd w:val="clear" w:color="auto" w:fill="CCECFF"/>
          </w:tcPr>
          <w:p>
            <w:pPr>
              <w:jc w:val="right"/>
              <w:spacing w:after="0"/>
              <w:rPr>
                <w:sz w:val="20"/>
                <w:szCs w:val="20"/>
                <w:color w:val="auto"/>
              </w:rPr>
            </w:pPr>
            <w:r>
              <w:rPr>
                <w:rFonts w:ascii="Arial" w:cs="Arial" w:eastAsia="Arial" w:hAnsi="Arial"/>
                <w:sz w:val="14"/>
                <w:szCs w:val="14"/>
                <w:color w:val="auto"/>
              </w:rPr>
              <w:t>2,000,000</w:t>
            </w:r>
          </w:p>
        </w:tc>
        <w:tc>
          <w:tcPr>
            <w:tcW w:w="100" w:type="dxa"/>
            <w:vAlign w:val="bottom"/>
            <w:shd w:val="clear" w:color="auto" w:fill="CCECFF"/>
          </w:tcPr>
          <w:p>
            <w:pPr>
              <w:spacing w:after="0"/>
              <w:rPr>
                <w:sz w:val="14"/>
                <w:szCs w:val="14"/>
                <w:color w:val="auto"/>
              </w:rPr>
            </w:pPr>
          </w:p>
        </w:tc>
      </w:tr>
      <w:tr>
        <w:trPr>
          <w:trHeight w:val="162"/>
        </w:trPr>
        <w:tc>
          <w:tcPr>
            <w:tcW w:w="5920" w:type="dxa"/>
            <w:vAlign w:val="bottom"/>
          </w:tcPr>
          <w:p>
            <w:pPr>
              <w:ind w:left="260"/>
              <w:spacing w:after="0"/>
              <w:rPr>
                <w:sz w:val="20"/>
                <w:szCs w:val="20"/>
                <w:color w:val="auto"/>
              </w:rPr>
            </w:pPr>
            <w:r>
              <w:rPr>
                <w:rFonts w:ascii="Arial" w:cs="Arial" w:eastAsia="Arial" w:hAnsi="Arial"/>
                <w:sz w:val="14"/>
                <w:szCs w:val="14"/>
                <w:color w:val="auto"/>
              </w:rPr>
              <w:t>Credit Facility amendment costs (See Notes 5 and 10)</w:t>
            </w:r>
          </w:p>
        </w:tc>
        <w:tc>
          <w:tcPr>
            <w:tcW w:w="4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80" w:type="dxa"/>
            <w:vAlign w:val="bottom"/>
          </w:tcPr>
          <w:p>
            <w:pPr>
              <w:jc w:val="right"/>
              <w:spacing w:after="0"/>
              <w:rPr>
                <w:sz w:val="20"/>
                <w:szCs w:val="20"/>
                <w:color w:val="auto"/>
              </w:rPr>
            </w:pPr>
            <w:r>
              <w:rPr>
                <w:rFonts w:ascii="Arial" w:cs="Arial" w:eastAsia="Arial" w:hAnsi="Arial"/>
                <w:sz w:val="14"/>
                <w:szCs w:val="14"/>
                <w:color w:val="auto"/>
              </w:rPr>
              <w:t>3,866,633</w:t>
            </w:r>
          </w:p>
        </w:tc>
        <w:tc>
          <w:tcPr>
            <w:tcW w:w="2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6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4"/>
                <w:szCs w:val="14"/>
                <w:color w:val="auto"/>
              </w:rPr>
            </w:pPr>
          </w:p>
        </w:tc>
        <w:tc>
          <w:tcPr>
            <w:tcW w:w="860" w:type="dxa"/>
            <w:vAlign w:val="bottom"/>
          </w:tcPr>
          <w:p>
            <w:pPr>
              <w:jc w:val="right"/>
              <w:spacing w:after="0"/>
              <w:rPr>
                <w:sz w:val="20"/>
                <w:szCs w:val="20"/>
                <w:color w:val="auto"/>
              </w:rPr>
            </w:pPr>
            <w:r>
              <w:rPr>
                <w:rFonts w:ascii="Arial" w:cs="Arial" w:eastAsia="Arial" w:hAnsi="Arial"/>
                <w:sz w:val="14"/>
                <w:szCs w:val="14"/>
                <w:color w:val="auto"/>
              </w:rPr>
              <w:t>3,866,633</w:t>
            </w:r>
          </w:p>
        </w:tc>
        <w:tc>
          <w:tcPr>
            <w:tcW w:w="2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940" w:type="dxa"/>
            <w:vAlign w:val="bottom"/>
            <w:gridSpan w:val="2"/>
          </w:tcPr>
          <w:p>
            <w:pPr>
              <w:jc w:val="right"/>
              <w:ind w:right="120"/>
              <w:spacing w:after="0"/>
              <w:rPr>
                <w:sz w:val="20"/>
                <w:szCs w:val="20"/>
                <w:color w:val="auto"/>
              </w:rPr>
            </w:pPr>
            <w:r>
              <w:rPr>
                <w:rFonts w:ascii="Arial" w:cs="Arial" w:eastAsia="Arial" w:hAnsi="Arial"/>
                <w:sz w:val="14"/>
                <w:szCs w:val="14"/>
                <w:color w:val="auto"/>
              </w:rPr>
              <w:t>—</w:t>
            </w:r>
          </w:p>
        </w:tc>
      </w:tr>
      <w:tr>
        <w:trPr>
          <w:trHeight w:val="156"/>
        </w:trPr>
        <w:tc>
          <w:tcPr>
            <w:tcW w:w="5920" w:type="dxa"/>
            <w:vAlign w:val="bottom"/>
            <w:tcBorders>
              <w:top w:val="single" w:sz="8" w:color="CCECFF"/>
            </w:tcBorders>
            <w:shd w:val="clear" w:color="auto" w:fill="CCECFF"/>
          </w:tcPr>
          <w:p>
            <w:pPr>
              <w:ind w:left="260"/>
              <w:spacing w:after="0" w:line="155" w:lineRule="exact"/>
              <w:rPr>
                <w:sz w:val="20"/>
                <w:szCs w:val="20"/>
                <w:color w:val="auto"/>
              </w:rPr>
            </w:pPr>
            <w:r>
              <w:rPr>
                <w:rFonts w:ascii="Arial" w:cs="Arial" w:eastAsia="Arial" w:hAnsi="Arial"/>
                <w:sz w:val="14"/>
                <w:szCs w:val="14"/>
                <w:b w:val="1"/>
                <w:bCs w:val="1"/>
                <w:color w:val="auto"/>
              </w:rPr>
              <w:t>Net expenses</w:t>
            </w:r>
          </w:p>
        </w:tc>
        <w:tc>
          <w:tcPr>
            <w:tcW w:w="480" w:type="dxa"/>
            <w:vAlign w:val="bottom"/>
            <w:tcBorders>
              <w:top w:val="single" w:sz="8" w:color="CCECFF"/>
            </w:tcBorders>
            <w:shd w:val="clear" w:color="auto" w:fill="CCECFF"/>
          </w:tcPr>
          <w:p>
            <w:pPr>
              <w:spacing w:after="0"/>
              <w:rPr>
                <w:sz w:val="13"/>
                <w:szCs w:val="13"/>
                <w:color w:val="auto"/>
              </w:rPr>
            </w:pPr>
          </w:p>
        </w:tc>
        <w:tc>
          <w:tcPr>
            <w:tcW w:w="120" w:type="dxa"/>
            <w:vAlign w:val="bottom"/>
            <w:tcBorders>
              <w:top w:val="single" w:sz="8" w:color="auto"/>
              <w:bottom w:val="single" w:sz="8" w:color="auto"/>
            </w:tcBorders>
            <w:shd w:val="clear" w:color="auto" w:fill="CCECFF"/>
          </w:tcPr>
          <w:p>
            <w:pPr>
              <w:spacing w:after="0"/>
              <w:rPr>
                <w:sz w:val="13"/>
                <w:szCs w:val="13"/>
                <w:color w:val="auto"/>
              </w:rPr>
            </w:pPr>
          </w:p>
        </w:tc>
        <w:tc>
          <w:tcPr>
            <w:tcW w:w="880" w:type="dxa"/>
            <w:vAlign w:val="bottom"/>
            <w:tcBorders>
              <w:top w:val="single" w:sz="8" w:color="auto"/>
              <w:bottom w:val="single" w:sz="8" w:color="auto"/>
            </w:tcBorders>
            <w:shd w:val="clear" w:color="auto" w:fill="CCECFF"/>
          </w:tcPr>
          <w:p>
            <w:pPr>
              <w:jc w:val="right"/>
              <w:spacing w:after="0" w:line="155" w:lineRule="exact"/>
              <w:rPr>
                <w:sz w:val="20"/>
                <w:szCs w:val="20"/>
                <w:color w:val="auto"/>
              </w:rPr>
            </w:pPr>
            <w:r>
              <w:rPr>
                <w:rFonts w:ascii="Arial" w:cs="Arial" w:eastAsia="Arial" w:hAnsi="Arial"/>
                <w:sz w:val="14"/>
                <w:szCs w:val="14"/>
                <w:color w:val="auto"/>
              </w:rPr>
              <w:t>18,623,909</w:t>
            </w:r>
          </w:p>
        </w:tc>
        <w:tc>
          <w:tcPr>
            <w:tcW w:w="220" w:type="dxa"/>
            <w:vAlign w:val="bottom"/>
            <w:tcBorders>
              <w:top w:val="single" w:sz="8" w:color="CCECFF"/>
            </w:tcBorders>
            <w:shd w:val="clear" w:color="auto" w:fill="CCECFF"/>
          </w:tcPr>
          <w:p>
            <w:pPr>
              <w:spacing w:after="0"/>
              <w:rPr>
                <w:sz w:val="13"/>
                <w:szCs w:val="13"/>
                <w:color w:val="auto"/>
              </w:rPr>
            </w:pPr>
          </w:p>
        </w:tc>
        <w:tc>
          <w:tcPr>
            <w:tcW w:w="180" w:type="dxa"/>
            <w:vAlign w:val="bottom"/>
            <w:tcBorders>
              <w:top w:val="single" w:sz="8" w:color="auto"/>
              <w:bottom w:val="single" w:sz="8" w:color="auto"/>
            </w:tcBorders>
            <w:shd w:val="clear" w:color="auto" w:fill="CCECFF"/>
          </w:tcPr>
          <w:p>
            <w:pPr>
              <w:spacing w:after="0"/>
              <w:rPr>
                <w:sz w:val="13"/>
                <w:szCs w:val="13"/>
                <w:color w:val="auto"/>
              </w:rPr>
            </w:pPr>
          </w:p>
        </w:tc>
        <w:tc>
          <w:tcPr>
            <w:tcW w:w="840" w:type="dxa"/>
            <w:vAlign w:val="bottom"/>
            <w:tcBorders>
              <w:top w:val="single" w:sz="8" w:color="auto"/>
              <w:bottom w:val="single" w:sz="8" w:color="auto"/>
            </w:tcBorders>
            <w:shd w:val="clear" w:color="auto" w:fill="CCECFF"/>
          </w:tcPr>
          <w:p>
            <w:pPr>
              <w:jc w:val="right"/>
              <w:spacing w:after="0" w:line="155" w:lineRule="exact"/>
              <w:rPr>
                <w:sz w:val="20"/>
                <w:szCs w:val="20"/>
                <w:color w:val="auto"/>
              </w:rPr>
            </w:pPr>
            <w:r>
              <w:rPr>
                <w:rFonts w:ascii="Arial" w:cs="Arial" w:eastAsia="Arial" w:hAnsi="Arial"/>
                <w:sz w:val="14"/>
                <w:szCs w:val="14"/>
                <w:color w:val="auto"/>
              </w:rPr>
              <w:t>17,745,844</w:t>
            </w:r>
          </w:p>
        </w:tc>
        <w:tc>
          <w:tcPr>
            <w:tcW w:w="220" w:type="dxa"/>
            <w:vAlign w:val="bottom"/>
            <w:tcBorders>
              <w:top w:val="single" w:sz="8" w:color="CCECFF"/>
            </w:tcBorders>
            <w:shd w:val="clear" w:color="auto" w:fill="CCECFF"/>
          </w:tcPr>
          <w:p>
            <w:pPr>
              <w:spacing w:after="0"/>
              <w:rPr>
                <w:sz w:val="13"/>
                <w:szCs w:val="13"/>
                <w:color w:val="auto"/>
              </w:rPr>
            </w:pPr>
          </w:p>
        </w:tc>
        <w:tc>
          <w:tcPr>
            <w:tcW w:w="160" w:type="dxa"/>
            <w:vAlign w:val="bottom"/>
            <w:tcBorders>
              <w:top w:val="single" w:sz="8" w:color="auto"/>
              <w:bottom w:val="single" w:sz="8" w:color="auto"/>
            </w:tcBorders>
            <w:shd w:val="clear" w:color="auto" w:fill="CCECFF"/>
          </w:tcPr>
          <w:p>
            <w:pPr>
              <w:spacing w:after="0"/>
              <w:rPr>
                <w:sz w:val="13"/>
                <w:szCs w:val="13"/>
                <w:color w:val="auto"/>
              </w:rPr>
            </w:pPr>
          </w:p>
        </w:tc>
        <w:tc>
          <w:tcPr>
            <w:tcW w:w="860" w:type="dxa"/>
            <w:vAlign w:val="bottom"/>
            <w:tcBorders>
              <w:top w:val="single" w:sz="8" w:color="auto"/>
              <w:bottom w:val="single" w:sz="8" w:color="auto"/>
            </w:tcBorders>
            <w:shd w:val="clear" w:color="auto" w:fill="CCECFF"/>
          </w:tcPr>
          <w:p>
            <w:pPr>
              <w:jc w:val="right"/>
              <w:spacing w:after="0" w:line="155" w:lineRule="exact"/>
              <w:rPr>
                <w:sz w:val="20"/>
                <w:szCs w:val="20"/>
                <w:color w:val="auto"/>
              </w:rPr>
            </w:pPr>
            <w:r>
              <w:rPr>
                <w:rFonts w:ascii="Arial" w:cs="Arial" w:eastAsia="Arial" w:hAnsi="Arial"/>
                <w:sz w:val="14"/>
                <w:szCs w:val="14"/>
                <w:color w:val="auto"/>
              </w:rPr>
              <w:t>52,998,268</w:t>
            </w:r>
          </w:p>
        </w:tc>
        <w:tc>
          <w:tcPr>
            <w:tcW w:w="220" w:type="dxa"/>
            <w:vAlign w:val="bottom"/>
            <w:tcBorders>
              <w:top w:val="single" w:sz="8" w:color="CCECFF"/>
            </w:tcBorders>
            <w:shd w:val="clear" w:color="auto" w:fill="CCECFF"/>
          </w:tcPr>
          <w:p>
            <w:pPr>
              <w:spacing w:after="0"/>
              <w:rPr>
                <w:sz w:val="13"/>
                <w:szCs w:val="13"/>
                <w:color w:val="auto"/>
              </w:rPr>
            </w:pPr>
          </w:p>
        </w:tc>
        <w:tc>
          <w:tcPr>
            <w:tcW w:w="200" w:type="dxa"/>
            <w:vAlign w:val="bottom"/>
            <w:tcBorders>
              <w:top w:val="single" w:sz="8" w:color="auto"/>
              <w:bottom w:val="single" w:sz="8" w:color="auto"/>
            </w:tcBorders>
            <w:shd w:val="clear" w:color="auto" w:fill="CCECFF"/>
          </w:tcPr>
          <w:p>
            <w:pPr>
              <w:spacing w:after="0"/>
              <w:rPr>
                <w:sz w:val="13"/>
                <w:szCs w:val="13"/>
                <w:color w:val="auto"/>
              </w:rPr>
            </w:pPr>
          </w:p>
        </w:tc>
        <w:tc>
          <w:tcPr>
            <w:tcW w:w="840" w:type="dxa"/>
            <w:vAlign w:val="bottom"/>
            <w:tcBorders>
              <w:top w:val="single" w:sz="8" w:color="auto"/>
              <w:bottom w:val="single" w:sz="8" w:color="auto"/>
            </w:tcBorders>
            <w:shd w:val="clear" w:color="auto" w:fill="CCECFF"/>
          </w:tcPr>
          <w:p>
            <w:pPr>
              <w:jc w:val="right"/>
              <w:spacing w:after="0" w:line="155" w:lineRule="exact"/>
              <w:rPr>
                <w:sz w:val="20"/>
                <w:szCs w:val="20"/>
                <w:color w:val="auto"/>
              </w:rPr>
            </w:pPr>
            <w:r>
              <w:rPr>
                <w:rFonts w:ascii="Arial" w:cs="Arial" w:eastAsia="Arial" w:hAnsi="Arial"/>
                <w:sz w:val="14"/>
                <w:szCs w:val="14"/>
                <w:color w:val="auto"/>
              </w:rPr>
              <w:t>54,454,134</w:t>
            </w:r>
          </w:p>
        </w:tc>
        <w:tc>
          <w:tcPr>
            <w:tcW w:w="100" w:type="dxa"/>
            <w:vAlign w:val="bottom"/>
            <w:tcBorders>
              <w:top w:val="single" w:sz="8" w:color="CCECFF"/>
            </w:tcBorders>
            <w:shd w:val="clear" w:color="auto" w:fill="CCECFF"/>
          </w:tcPr>
          <w:p>
            <w:pPr>
              <w:spacing w:after="0"/>
              <w:rPr>
                <w:sz w:val="13"/>
                <w:szCs w:val="13"/>
                <w:color w:val="auto"/>
              </w:rPr>
            </w:pPr>
          </w:p>
        </w:tc>
      </w:tr>
      <w:tr>
        <w:trPr>
          <w:trHeight w:val="156"/>
        </w:trPr>
        <w:tc>
          <w:tcPr>
            <w:tcW w:w="5920" w:type="dxa"/>
            <w:vAlign w:val="bottom"/>
            <w:tcBorders>
              <w:bottom w:val="single" w:sz="8" w:color="CCECFF"/>
            </w:tcBorders>
          </w:tcPr>
          <w:p>
            <w:pPr>
              <w:ind w:left="260"/>
              <w:spacing w:after="0" w:line="155" w:lineRule="exact"/>
              <w:rPr>
                <w:sz w:val="20"/>
                <w:szCs w:val="20"/>
                <w:color w:val="auto"/>
              </w:rPr>
            </w:pPr>
            <w:r>
              <w:rPr>
                <w:rFonts w:ascii="Arial" w:cs="Arial" w:eastAsia="Arial" w:hAnsi="Arial"/>
                <w:sz w:val="14"/>
                <w:szCs w:val="14"/>
                <w:b w:val="1"/>
                <w:bCs w:val="1"/>
                <w:color w:val="auto"/>
              </w:rPr>
              <w:t>Net investment income</w:t>
            </w:r>
          </w:p>
        </w:tc>
        <w:tc>
          <w:tcPr>
            <w:tcW w:w="480" w:type="dxa"/>
            <w:vAlign w:val="bottom"/>
            <w:tcBorders>
              <w:bottom w:val="single" w:sz="8" w:color="CCECFF"/>
            </w:tcBorders>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880" w:type="dxa"/>
            <w:vAlign w:val="bottom"/>
            <w:tcBorders>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12,460,410</w:t>
            </w:r>
          </w:p>
        </w:tc>
        <w:tc>
          <w:tcPr>
            <w:tcW w:w="220" w:type="dxa"/>
            <w:vAlign w:val="bottom"/>
            <w:tcBorders>
              <w:bottom w:val="single" w:sz="8" w:color="CCECFF"/>
            </w:tcBorders>
          </w:tcPr>
          <w:p>
            <w:pPr>
              <w:spacing w:after="0"/>
              <w:rPr>
                <w:sz w:val="13"/>
                <w:szCs w:val="13"/>
                <w:color w:val="auto"/>
              </w:rPr>
            </w:pPr>
          </w:p>
        </w:tc>
        <w:tc>
          <w:tcPr>
            <w:tcW w:w="180" w:type="dxa"/>
            <w:vAlign w:val="bottom"/>
            <w:tcBorders>
              <w:bottom w:val="single" w:sz="8" w:color="auto"/>
            </w:tcBorders>
          </w:tcPr>
          <w:p>
            <w:pPr>
              <w:spacing w:after="0"/>
              <w:rPr>
                <w:sz w:val="13"/>
                <w:szCs w:val="13"/>
                <w:color w:val="auto"/>
              </w:rPr>
            </w:pPr>
          </w:p>
        </w:tc>
        <w:tc>
          <w:tcPr>
            <w:tcW w:w="840" w:type="dxa"/>
            <w:vAlign w:val="bottom"/>
            <w:tcBorders>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17,793,950</w:t>
            </w:r>
          </w:p>
        </w:tc>
        <w:tc>
          <w:tcPr>
            <w:tcW w:w="220" w:type="dxa"/>
            <w:vAlign w:val="bottom"/>
            <w:tcBorders>
              <w:bottom w:val="single" w:sz="8" w:color="CCECFF"/>
            </w:tcBorders>
          </w:tcPr>
          <w:p>
            <w:pPr>
              <w:spacing w:after="0"/>
              <w:rPr>
                <w:sz w:val="13"/>
                <w:szCs w:val="13"/>
                <w:color w:val="auto"/>
              </w:rPr>
            </w:pPr>
          </w:p>
        </w:tc>
        <w:tc>
          <w:tcPr>
            <w:tcW w:w="160" w:type="dxa"/>
            <w:vAlign w:val="bottom"/>
            <w:tcBorders>
              <w:bottom w:val="single" w:sz="8" w:color="auto"/>
            </w:tcBorders>
          </w:tcPr>
          <w:p>
            <w:pPr>
              <w:spacing w:after="0"/>
              <w:rPr>
                <w:sz w:val="13"/>
                <w:szCs w:val="13"/>
                <w:color w:val="auto"/>
              </w:rPr>
            </w:pPr>
          </w:p>
        </w:tc>
        <w:tc>
          <w:tcPr>
            <w:tcW w:w="860" w:type="dxa"/>
            <w:vAlign w:val="bottom"/>
            <w:tcBorders>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43,669,954</w:t>
            </w:r>
          </w:p>
        </w:tc>
        <w:tc>
          <w:tcPr>
            <w:tcW w:w="220" w:type="dxa"/>
            <w:vAlign w:val="bottom"/>
            <w:tcBorders>
              <w:bottom w:val="single" w:sz="8" w:color="CCECFF"/>
            </w:tcBorders>
          </w:tcPr>
          <w:p>
            <w:pPr>
              <w:spacing w:after="0"/>
              <w:rPr>
                <w:sz w:val="13"/>
                <w:szCs w:val="13"/>
                <w:color w:val="auto"/>
              </w:rPr>
            </w:pPr>
          </w:p>
        </w:tc>
        <w:tc>
          <w:tcPr>
            <w:tcW w:w="200" w:type="dxa"/>
            <w:vAlign w:val="bottom"/>
            <w:tcBorders>
              <w:bottom w:val="single" w:sz="8" w:color="auto"/>
            </w:tcBorders>
          </w:tcPr>
          <w:p>
            <w:pPr>
              <w:spacing w:after="0"/>
              <w:rPr>
                <w:sz w:val="13"/>
                <w:szCs w:val="13"/>
                <w:color w:val="auto"/>
              </w:rPr>
            </w:pPr>
          </w:p>
        </w:tc>
        <w:tc>
          <w:tcPr>
            <w:tcW w:w="840" w:type="dxa"/>
            <w:vAlign w:val="bottom"/>
            <w:tcBorders>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55,457,377</w:t>
            </w:r>
          </w:p>
        </w:tc>
        <w:tc>
          <w:tcPr>
            <w:tcW w:w="100" w:type="dxa"/>
            <w:vAlign w:val="bottom"/>
            <w:tcBorders>
              <w:bottom w:val="single" w:sz="8" w:color="CCECFF"/>
            </w:tcBorders>
          </w:tcPr>
          <w:p>
            <w:pPr>
              <w:spacing w:after="0"/>
              <w:rPr>
                <w:sz w:val="13"/>
                <w:szCs w:val="13"/>
                <w:color w:val="auto"/>
              </w:rPr>
            </w:pPr>
          </w:p>
        </w:tc>
      </w:tr>
      <w:tr>
        <w:trPr>
          <w:trHeight w:val="155"/>
        </w:trPr>
        <w:tc>
          <w:tcPr>
            <w:tcW w:w="5920" w:type="dxa"/>
            <w:vAlign w:val="bottom"/>
            <w:shd w:val="clear" w:color="auto" w:fill="CCECFF"/>
          </w:tcPr>
          <w:p>
            <w:pPr>
              <w:spacing w:after="0" w:line="155" w:lineRule="exact"/>
              <w:rPr>
                <w:sz w:val="20"/>
                <w:szCs w:val="20"/>
                <w:color w:val="auto"/>
              </w:rPr>
            </w:pPr>
            <w:r>
              <w:rPr>
                <w:rFonts w:ascii="Arial" w:cs="Arial" w:eastAsia="Arial" w:hAnsi="Arial"/>
                <w:sz w:val="14"/>
                <w:szCs w:val="14"/>
                <w:b w:val="1"/>
                <w:bCs w:val="1"/>
                <w:color w:val="auto"/>
              </w:rPr>
              <w:t>Realized and unrealized gain (loss) on investments and debt:</w:t>
            </w:r>
          </w:p>
        </w:tc>
        <w:tc>
          <w:tcPr>
            <w:tcW w:w="480" w:type="dxa"/>
            <w:vAlign w:val="bottom"/>
            <w:shd w:val="clear" w:color="auto" w:fill="CCECFF"/>
          </w:tcPr>
          <w:p>
            <w:pPr>
              <w:spacing w:after="0"/>
              <w:rPr>
                <w:sz w:val="13"/>
                <w:szCs w:val="13"/>
                <w:color w:val="auto"/>
              </w:rPr>
            </w:pPr>
          </w:p>
        </w:tc>
        <w:tc>
          <w:tcPr>
            <w:tcW w:w="120" w:type="dxa"/>
            <w:vAlign w:val="bottom"/>
            <w:shd w:val="clear" w:color="auto" w:fill="CCECFF"/>
          </w:tcPr>
          <w:p>
            <w:pPr>
              <w:spacing w:after="0"/>
              <w:rPr>
                <w:sz w:val="13"/>
                <w:szCs w:val="13"/>
                <w:color w:val="auto"/>
              </w:rPr>
            </w:pPr>
          </w:p>
        </w:tc>
        <w:tc>
          <w:tcPr>
            <w:tcW w:w="880" w:type="dxa"/>
            <w:vAlign w:val="bottom"/>
            <w:shd w:val="clear" w:color="auto" w:fill="CCECFF"/>
          </w:tcPr>
          <w:p>
            <w:pPr>
              <w:spacing w:after="0"/>
              <w:rPr>
                <w:sz w:val="13"/>
                <w:szCs w:val="13"/>
                <w:color w:val="auto"/>
              </w:rPr>
            </w:pPr>
          </w:p>
        </w:tc>
        <w:tc>
          <w:tcPr>
            <w:tcW w:w="220" w:type="dxa"/>
            <w:vAlign w:val="bottom"/>
            <w:shd w:val="clear" w:color="auto" w:fill="CCECFF"/>
          </w:tcPr>
          <w:p>
            <w:pPr>
              <w:spacing w:after="0"/>
              <w:rPr>
                <w:sz w:val="13"/>
                <w:szCs w:val="13"/>
                <w:color w:val="auto"/>
              </w:rPr>
            </w:pPr>
          </w:p>
        </w:tc>
        <w:tc>
          <w:tcPr>
            <w:tcW w:w="180" w:type="dxa"/>
            <w:vAlign w:val="bottom"/>
            <w:shd w:val="clear" w:color="auto" w:fill="CCECFF"/>
          </w:tcPr>
          <w:p>
            <w:pPr>
              <w:spacing w:after="0"/>
              <w:rPr>
                <w:sz w:val="13"/>
                <w:szCs w:val="13"/>
                <w:color w:val="auto"/>
              </w:rPr>
            </w:pPr>
          </w:p>
        </w:tc>
        <w:tc>
          <w:tcPr>
            <w:tcW w:w="840" w:type="dxa"/>
            <w:vAlign w:val="bottom"/>
            <w:shd w:val="clear" w:color="auto" w:fill="CCECFF"/>
          </w:tcPr>
          <w:p>
            <w:pPr>
              <w:spacing w:after="0"/>
              <w:rPr>
                <w:sz w:val="13"/>
                <w:szCs w:val="13"/>
                <w:color w:val="auto"/>
              </w:rPr>
            </w:pPr>
          </w:p>
        </w:tc>
        <w:tc>
          <w:tcPr>
            <w:tcW w:w="220" w:type="dxa"/>
            <w:vAlign w:val="bottom"/>
            <w:shd w:val="clear" w:color="auto" w:fill="CCECFF"/>
          </w:tcPr>
          <w:p>
            <w:pPr>
              <w:spacing w:after="0"/>
              <w:rPr>
                <w:sz w:val="13"/>
                <w:szCs w:val="13"/>
                <w:color w:val="auto"/>
              </w:rPr>
            </w:pPr>
          </w:p>
        </w:tc>
        <w:tc>
          <w:tcPr>
            <w:tcW w:w="160" w:type="dxa"/>
            <w:vAlign w:val="bottom"/>
            <w:shd w:val="clear" w:color="auto" w:fill="CCECFF"/>
          </w:tcPr>
          <w:p>
            <w:pPr>
              <w:spacing w:after="0"/>
              <w:rPr>
                <w:sz w:val="13"/>
                <w:szCs w:val="13"/>
                <w:color w:val="auto"/>
              </w:rPr>
            </w:pPr>
          </w:p>
        </w:tc>
        <w:tc>
          <w:tcPr>
            <w:tcW w:w="860" w:type="dxa"/>
            <w:vAlign w:val="bottom"/>
            <w:shd w:val="clear" w:color="auto" w:fill="CCECFF"/>
          </w:tcPr>
          <w:p>
            <w:pPr>
              <w:spacing w:after="0"/>
              <w:rPr>
                <w:sz w:val="13"/>
                <w:szCs w:val="13"/>
                <w:color w:val="auto"/>
              </w:rPr>
            </w:pPr>
          </w:p>
        </w:tc>
        <w:tc>
          <w:tcPr>
            <w:tcW w:w="220" w:type="dxa"/>
            <w:vAlign w:val="bottom"/>
            <w:shd w:val="clear" w:color="auto" w:fill="CCECFF"/>
          </w:tcPr>
          <w:p>
            <w:pPr>
              <w:spacing w:after="0"/>
              <w:rPr>
                <w:sz w:val="13"/>
                <w:szCs w:val="13"/>
                <w:color w:val="auto"/>
              </w:rPr>
            </w:pPr>
          </w:p>
        </w:tc>
        <w:tc>
          <w:tcPr>
            <w:tcW w:w="200" w:type="dxa"/>
            <w:vAlign w:val="bottom"/>
            <w:shd w:val="clear" w:color="auto" w:fill="CCECFF"/>
          </w:tcPr>
          <w:p>
            <w:pPr>
              <w:spacing w:after="0"/>
              <w:rPr>
                <w:sz w:val="13"/>
                <w:szCs w:val="13"/>
                <w:color w:val="auto"/>
              </w:rPr>
            </w:pPr>
          </w:p>
        </w:tc>
        <w:tc>
          <w:tcPr>
            <w:tcW w:w="840" w:type="dxa"/>
            <w:vAlign w:val="bottom"/>
            <w:shd w:val="clear" w:color="auto" w:fill="CCECFF"/>
          </w:tcPr>
          <w:p>
            <w:pPr>
              <w:spacing w:after="0"/>
              <w:rPr>
                <w:sz w:val="13"/>
                <w:szCs w:val="13"/>
                <w:color w:val="auto"/>
              </w:rPr>
            </w:pPr>
          </w:p>
        </w:tc>
        <w:tc>
          <w:tcPr>
            <w:tcW w:w="100" w:type="dxa"/>
            <w:vAlign w:val="bottom"/>
            <w:shd w:val="clear" w:color="auto" w:fill="CCECFF"/>
          </w:tcPr>
          <w:p>
            <w:pPr>
              <w:spacing w:after="0"/>
              <w:rPr>
                <w:sz w:val="13"/>
                <w:szCs w:val="13"/>
                <w:color w:val="auto"/>
              </w:rPr>
            </w:pPr>
          </w:p>
        </w:tc>
      </w:tr>
      <w:tr>
        <w:trPr>
          <w:trHeight w:val="162"/>
        </w:trPr>
        <w:tc>
          <w:tcPr>
            <w:tcW w:w="5920" w:type="dxa"/>
            <w:vAlign w:val="bottom"/>
          </w:tcPr>
          <w:p>
            <w:pPr>
              <w:spacing w:after="0"/>
              <w:rPr>
                <w:sz w:val="20"/>
                <w:szCs w:val="20"/>
                <w:color w:val="auto"/>
              </w:rPr>
            </w:pPr>
            <w:r>
              <w:rPr>
                <w:rFonts w:ascii="Arial" w:cs="Arial" w:eastAsia="Arial" w:hAnsi="Arial"/>
                <w:sz w:val="14"/>
                <w:szCs w:val="14"/>
                <w:color w:val="auto"/>
              </w:rPr>
              <w:t>Net realized gain (loss) on investments</w:t>
            </w:r>
          </w:p>
        </w:tc>
        <w:tc>
          <w:tcPr>
            <w:tcW w:w="4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80" w:type="dxa"/>
            <w:vAlign w:val="bottom"/>
          </w:tcPr>
          <w:p>
            <w:pPr>
              <w:jc w:val="right"/>
              <w:spacing w:after="0"/>
              <w:rPr>
                <w:sz w:val="20"/>
                <w:szCs w:val="20"/>
                <w:color w:val="auto"/>
              </w:rPr>
            </w:pPr>
            <w:r>
              <w:rPr>
                <w:rFonts w:ascii="Arial" w:cs="Arial" w:eastAsia="Arial" w:hAnsi="Arial"/>
                <w:sz w:val="14"/>
                <w:szCs w:val="14"/>
                <w:color w:val="auto"/>
              </w:rPr>
              <w:t>10,147,761</w:t>
            </w:r>
          </w:p>
        </w:tc>
        <w:tc>
          <w:tcPr>
            <w:tcW w:w="2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60" w:type="dxa"/>
            <w:vAlign w:val="bottom"/>
            <w:gridSpan w:val="2"/>
          </w:tcPr>
          <w:p>
            <w:pPr>
              <w:jc w:val="right"/>
              <w:ind w:right="180"/>
              <w:spacing w:after="0"/>
              <w:rPr>
                <w:sz w:val="20"/>
                <w:szCs w:val="20"/>
                <w:color w:val="auto"/>
              </w:rPr>
            </w:pPr>
            <w:r>
              <w:rPr>
                <w:rFonts w:ascii="Arial" w:cs="Arial" w:eastAsia="Arial" w:hAnsi="Arial"/>
                <w:sz w:val="14"/>
                <w:szCs w:val="14"/>
                <w:color w:val="auto"/>
              </w:rPr>
              <w:t>(45,507,467)</w:t>
            </w:r>
          </w:p>
        </w:tc>
        <w:tc>
          <w:tcPr>
            <w:tcW w:w="160" w:type="dxa"/>
            <w:vAlign w:val="bottom"/>
          </w:tcPr>
          <w:p>
            <w:pPr>
              <w:spacing w:after="0"/>
              <w:rPr>
                <w:sz w:val="14"/>
                <w:szCs w:val="14"/>
                <w:color w:val="auto"/>
              </w:rPr>
            </w:pPr>
          </w:p>
        </w:tc>
        <w:tc>
          <w:tcPr>
            <w:tcW w:w="1080" w:type="dxa"/>
            <w:vAlign w:val="bottom"/>
            <w:gridSpan w:val="2"/>
          </w:tcPr>
          <w:p>
            <w:pPr>
              <w:jc w:val="right"/>
              <w:ind w:right="180"/>
              <w:spacing w:after="0"/>
              <w:rPr>
                <w:sz w:val="20"/>
                <w:szCs w:val="20"/>
                <w:color w:val="auto"/>
              </w:rPr>
            </w:pPr>
            <w:r>
              <w:rPr>
                <w:rFonts w:ascii="Arial" w:cs="Arial" w:eastAsia="Arial" w:hAnsi="Arial"/>
                <w:sz w:val="14"/>
                <w:szCs w:val="14"/>
                <w:color w:val="auto"/>
              </w:rPr>
              <w:t>(30,790,310)</w:t>
            </w:r>
          </w:p>
        </w:tc>
        <w:tc>
          <w:tcPr>
            <w:tcW w:w="200" w:type="dxa"/>
            <w:vAlign w:val="bottom"/>
          </w:tcPr>
          <w:p>
            <w:pPr>
              <w:spacing w:after="0"/>
              <w:rPr>
                <w:sz w:val="14"/>
                <w:szCs w:val="14"/>
                <w:color w:val="auto"/>
              </w:rPr>
            </w:pPr>
          </w:p>
        </w:tc>
        <w:tc>
          <w:tcPr>
            <w:tcW w:w="940" w:type="dxa"/>
            <w:vAlign w:val="bottom"/>
            <w:gridSpan w:val="2"/>
          </w:tcPr>
          <w:p>
            <w:pPr>
              <w:jc w:val="right"/>
              <w:ind w:right="60"/>
              <w:spacing w:after="0"/>
              <w:rPr>
                <w:sz w:val="20"/>
                <w:szCs w:val="20"/>
                <w:color w:val="auto"/>
              </w:rPr>
            </w:pPr>
            <w:r>
              <w:rPr>
                <w:rFonts w:ascii="Arial" w:cs="Arial" w:eastAsia="Arial" w:hAnsi="Arial"/>
                <w:sz w:val="14"/>
                <w:szCs w:val="14"/>
                <w:color w:val="auto"/>
              </w:rPr>
              <w:t>(82,092,448)</w:t>
            </w:r>
          </w:p>
        </w:tc>
      </w:tr>
      <w:tr>
        <w:trPr>
          <w:trHeight w:val="162"/>
        </w:trPr>
        <w:tc>
          <w:tcPr>
            <w:tcW w:w="5920" w:type="dxa"/>
            <w:vAlign w:val="bottom"/>
            <w:shd w:val="clear" w:color="auto" w:fill="CCECFF"/>
          </w:tcPr>
          <w:p>
            <w:pPr>
              <w:spacing w:after="0"/>
              <w:rPr>
                <w:sz w:val="20"/>
                <w:szCs w:val="20"/>
                <w:color w:val="auto"/>
              </w:rPr>
            </w:pPr>
            <w:r>
              <w:rPr>
                <w:rFonts w:ascii="Arial" w:cs="Arial" w:eastAsia="Arial" w:hAnsi="Arial"/>
                <w:sz w:val="14"/>
                <w:szCs w:val="14"/>
                <w:color w:val="auto"/>
              </w:rPr>
              <w:t>Net change in unrealized (depreciation) appreciation on:</w:t>
            </w:r>
          </w:p>
        </w:tc>
        <w:tc>
          <w:tcPr>
            <w:tcW w:w="480" w:type="dxa"/>
            <w:vAlign w:val="bottom"/>
            <w:shd w:val="clear" w:color="auto" w:fill="CCECFF"/>
          </w:tcPr>
          <w:p>
            <w:pPr>
              <w:spacing w:after="0"/>
              <w:rPr>
                <w:sz w:val="14"/>
                <w:szCs w:val="14"/>
                <w:color w:val="auto"/>
              </w:rPr>
            </w:pPr>
          </w:p>
        </w:tc>
        <w:tc>
          <w:tcPr>
            <w:tcW w:w="120" w:type="dxa"/>
            <w:vAlign w:val="bottom"/>
            <w:shd w:val="clear" w:color="auto" w:fill="CCECFF"/>
          </w:tcPr>
          <w:p>
            <w:pPr>
              <w:spacing w:after="0"/>
              <w:rPr>
                <w:sz w:val="14"/>
                <w:szCs w:val="14"/>
                <w:color w:val="auto"/>
              </w:rPr>
            </w:pPr>
          </w:p>
        </w:tc>
        <w:tc>
          <w:tcPr>
            <w:tcW w:w="880" w:type="dxa"/>
            <w:vAlign w:val="bottom"/>
            <w:shd w:val="clear" w:color="auto" w:fill="CCECFF"/>
          </w:tcPr>
          <w:p>
            <w:pPr>
              <w:spacing w:after="0"/>
              <w:rPr>
                <w:sz w:val="14"/>
                <w:szCs w:val="14"/>
                <w:color w:val="auto"/>
              </w:rPr>
            </w:pPr>
          </w:p>
        </w:tc>
        <w:tc>
          <w:tcPr>
            <w:tcW w:w="220" w:type="dxa"/>
            <w:vAlign w:val="bottom"/>
            <w:shd w:val="clear" w:color="auto" w:fill="CCECFF"/>
          </w:tcPr>
          <w:p>
            <w:pPr>
              <w:spacing w:after="0"/>
              <w:rPr>
                <w:sz w:val="14"/>
                <w:szCs w:val="14"/>
                <w:color w:val="auto"/>
              </w:rPr>
            </w:pPr>
          </w:p>
        </w:tc>
        <w:tc>
          <w:tcPr>
            <w:tcW w:w="180" w:type="dxa"/>
            <w:vAlign w:val="bottom"/>
            <w:shd w:val="clear" w:color="auto" w:fill="CCECFF"/>
          </w:tcPr>
          <w:p>
            <w:pPr>
              <w:spacing w:after="0"/>
              <w:rPr>
                <w:sz w:val="14"/>
                <w:szCs w:val="14"/>
                <w:color w:val="auto"/>
              </w:rPr>
            </w:pPr>
          </w:p>
        </w:tc>
        <w:tc>
          <w:tcPr>
            <w:tcW w:w="840" w:type="dxa"/>
            <w:vAlign w:val="bottom"/>
            <w:shd w:val="clear" w:color="auto" w:fill="CCECFF"/>
          </w:tcPr>
          <w:p>
            <w:pPr>
              <w:spacing w:after="0"/>
              <w:rPr>
                <w:sz w:val="14"/>
                <w:szCs w:val="14"/>
                <w:color w:val="auto"/>
              </w:rPr>
            </w:pPr>
          </w:p>
        </w:tc>
        <w:tc>
          <w:tcPr>
            <w:tcW w:w="220" w:type="dxa"/>
            <w:vAlign w:val="bottom"/>
            <w:shd w:val="clear" w:color="auto" w:fill="CCECFF"/>
          </w:tcPr>
          <w:p>
            <w:pPr>
              <w:spacing w:after="0"/>
              <w:rPr>
                <w:sz w:val="14"/>
                <w:szCs w:val="14"/>
                <w:color w:val="auto"/>
              </w:rPr>
            </w:pPr>
          </w:p>
        </w:tc>
        <w:tc>
          <w:tcPr>
            <w:tcW w:w="160" w:type="dxa"/>
            <w:vAlign w:val="bottom"/>
            <w:shd w:val="clear" w:color="auto" w:fill="CCECFF"/>
          </w:tcPr>
          <w:p>
            <w:pPr>
              <w:spacing w:after="0"/>
              <w:rPr>
                <w:sz w:val="14"/>
                <w:szCs w:val="14"/>
                <w:color w:val="auto"/>
              </w:rPr>
            </w:pPr>
          </w:p>
        </w:tc>
        <w:tc>
          <w:tcPr>
            <w:tcW w:w="860" w:type="dxa"/>
            <w:vAlign w:val="bottom"/>
            <w:shd w:val="clear" w:color="auto" w:fill="CCECFF"/>
          </w:tcPr>
          <w:p>
            <w:pPr>
              <w:spacing w:after="0"/>
              <w:rPr>
                <w:sz w:val="14"/>
                <w:szCs w:val="14"/>
                <w:color w:val="auto"/>
              </w:rPr>
            </w:pPr>
          </w:p>
        </w:tc>
        <w:tc>
          <w:tcPr>
            <w:tcW w:w="220" w:type="dxa"/>
            <w:vAlign w:val="bottom"/>
            <w:shd w:val="clear" w:color="auto" w:fill="CCECFF"/>
          </w:tcPr>
          <w:p>
            <w:pPr>
              <w:spacing w:after="0"/>
              <w:rPr>
                <w:sz w:val="14"/>
                <w:szCs w:val="14"/>
                <w:color w:val="auto"/>
              </w:rPr>
            </w:pPr>
          </w:p>
        </w:tc>
        <w:tc>
          <w:tcPr>
            <w:tcW w:w="200" w:type="dxa"/>
            <w:vAlign w:val="bottom"/>
            <w:shd w:val="clear" w:color="auto" w:fill="CCECFF"/>
          </w:tcPr>
          <w:p>
            <w:pPr>
              <w:spacing w:after="0"/>
              <w:rPr>
                <w:sz w:val="14"/>
                <w:szCs w:val="14"/>
                <w:color w:val="auto"/>
              </w:rPr>
            </w:pPr>
          </w:p>
        </w:tc>
        <w:tc>
          <w:tcPr>
            <w:tcW w:w="840" w:type="dxa"/>
            <w:vAlign w:val="bottom"/>
            <w:shd w:val="clear" w:color="auto" w:fill="CCECFF"/>
          </w:tcPr>
          <w:p>
            <w:pPr>
              <w:spacing w:after="0"/>
              <w:rPr>
                <w:sz w:val="14"/>
                <w:szCs w:val="14"/>
                <w:color w:val="auto"/>
              </w:rPr>
            </w:pPr>
          </w:p>
        </w:tc>
        <w:tc>
          <w:tcPr>
            <w:tcW w:w="100" w:type="dxa"/>
            <w:vAlign w:val="bottom"/>
            <w:shd w:val="clear" w:color="auto" w:fill="CCECFF"/>
          </w:tcPr>
          <w:p>
            <w:pPr>
              <w:spacing w:after="0"/>
              <w:rPr>
                <w:sz w:val="14"/>
                <w:szCs w:val="14"/>
                <w:color w:val="auto"/>
              </w:rPr>
            </w:pPr>
          </w:p>
        </w:tc>
      </w:tr>
      <w:tr>
        <w:trPr>
          <w:trHeight w:val="162"/>
        </w:trPr>
        <w:tc>
          <w:tcPr>
            <w:tcW w:w="5920" w:type="dxa"/>
            <w:vAlign w:val="bottom"/>
          </w:tcPr>
          <w:p>
            <w:pPr>
              <w:ind w:left="260"/>
              <w:spacing w:after="0"/>
              <w:rPr>
                <w:sz w:val="20"/>
                <w:szCs w:val="20"/>
                <w:color w:val="auto"/>
              </w:rPr>
            </w:pPr>
            <w:r>
              <w:rPr>
                <w:rFonts w:ascii="Arial" w:cs="Arial" w:eastAsia="Arial" w:hAnsi="Arial"/>
                <w:sz w:val="14"/>
                <w:szCs w:val="14"/>
                <w:color w:val="auto"/>
              </w:rPr>
              <w:t>Non-controlled, non-affiliated investments</w:t>
            </w:r>
          </w:p>
        </w:tc>
        <w:tc>
          <w:tcPr>
            <w:tcW w:w="4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100" w:type="dxa"/>
            <w:vAlign w:val="bottom"/>
            <w:gridSpan w:val="2"/>
          </w:tcPr>
          <w:p>
            <w:pPr>
              <w:jc w:val="right"/>
              <w:ind w:right="180"/>
              <w:spacing w:after="0"/>
              <w:rPr>
                <w:sz w:val="20"/>
                <w:szCs w:val="20"/>
                <w:color w:val="auto"/>
              </w:rPr>
            </w:pPr>
            <w:r>
              <w:rPr>
                <w:rFonts w:ascii="Arial" w:cs="Arial" w:eastAsia="Arial" w:hAnsi="Arial"/>
                <w:sz w:val="14"/>
                <w:szCs w:val="14"/>
                <w:color w:val="auto"/>
              </w:rPr>
              <w:t>(5,731,239)</w:t>
            </w:r>
          </w:p>
        </w:tc>
        <w:tc>
          <w:tcPr>
            <w:tcW w:w="180" w:type="dxa"/>
            <w:vAlign w:val="bottom"/>
          </w:tcPr>
          <w:p>
            <w:pPr>
              <w:spacing w:after="0"/>
              <w:rPr>
                <w:sz w:val="14"/>
                <w:szCs w:val="14"/>
                <w:color w:val="auto"/>
              </w:rPr>
            </w:pPr>
          </w:p>
        </w:tc>
        <w:tc>
          <w:tcPr>
            <w:tcW w:w="840" w:type="dxa"/>
            <w:vAlign w:val="bottom"/>
          </w:tcPr>
          <w:p>
            <w:pPr>
              <w:jc w:val="right"/>
              <w:spacing w:after="0"/>
              <w:rPr>
                <w:sz w:val="20"/>
                <w:szCs w:val="20"/>
                <w:color w:val="auto"/>
              </w:rPr>
            </w:pPr>
            <w:r>
              <w:rPr>
                <w:rFonts w:ascii="Arial" w:cs="Arial" w:eastAsia="Arial" w:hAnsi="Arial"/>
                <w:sz w:val="14"/>
                <w:szCs w:val="14"/>
                <w:color w:val="auto"/>
              </w:rPr>
              <w:t>50,184,115</w:t>
            </w:r>
          </w:p>
        </w:tc>
        <w:tc>
          <w:tcPr>
            <w:tcW w:w="2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60" w:type="dxa"/>
            <w:vAlign w:val="bottom"/>
          </w:tcPr>
          <w:p>
            <w:pPr>
              <w:jc w:val="right"/>
              <w:spacing w:after="0"/>
              <w:rPr>
                <w:sz w:val="20"/>
                <w:szCs w:val="20"/>
                <w:color w:val="auto"/>
              </w:rPr>
            </w:pPr>
            <w:r>
              <w:rPr>
                <w:rFonts w:ascii="Arial" w:cs="Arial" w:eastAsia="Arial" w:hAnsi="Arial"/>
                <w:sz w:val="14"/>
                <w:szCs w:val="14"/>
                <w:color w:val="auto"/>
              </w:rPr>
              <w:t>7,625,092</w:t>
            </w:r>
          </w:p>
        </w:tc>
        <w:tc>
          <w:tcPr>
            <w:tcW w:w="2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40" w:type="dxa"/>
            <w:vAlign w:val="bottom"/>
          </w:tcPr>
          <w:p>
            <w:pPr>
              <w:jc w:val="right"/>
              <w:spacing w:after="0"/>
              <w:rPr>
                <w:sz w:val="20"/>
                <w:szCs w:val="20"/>
                <w:color w:val="auto"/>
              </w:rPr>
            </w:pPr>
            <w:r>
              <w:rPr>
                <w:rFonts w:ascii="Arial" w:cs="Arial" w:eastAsia="Arial" w:hAnsi="Arial"/>
                <w:sz w:val="14"/>
                <w:szCs w:val="14"/>
                <w:color w:val="auto"/>
              </w:rPr>
              <w:t>27,230,048</w:t>
            </w:r>
          </w:p>
        </w:tc>
        <w:tc>
          <w:tcPr>
            <w:tcW w:w="100" w:type="dxa"/>
            <w:vAlign w:val="bottom"/>
          </w:tcPr>
          <w:p>
            <w:pPr>
              <w:spacing w:after="0"/>
              <w:rPr>
                <w:sz w:val="14"/>
                <w:szCs w:val="14"/>
                <w:color w:val="auto"/>
              </w:rPr>
            </w:pPr>
          </w:p>
        </w:tc>
      </w:tr>
      <w:tr>
        <w:trPr>
          <w:trHeight w:val="162"/>
        </w:trPr>
        <w:tc>
          <w:tcPr>
            <w:tcW w:w="5920" w:type="dxa"/>
            <w:vAlign w:val="bottom"/>
            <w:shd w:val="clear" w:color="auto" w:fill="CCECFF"/>
          </w:tcPr>
          <w:p>
            <w:pPr>
              <w:ind w:left="260"/>
              <w:spacing w:after="0"/>
              <w:rPr>
                <w:sz w:val="20"/>
                <w:szCs w:val="20"/>
                <w:color w:val="auto"/>
              </w:rPr>
            </w:pPr>
            <w:r>
              <w:rPr>
                <w:rFonts w:ascii="Arial" w:cs="Arial" w:eastAsia="Arial" w:hAnsi="Arial"/>
                <w:sz w:val="14"/>
                <w:szCs w:val="14"/>
                <w:color w:val="auto"/>
              </w:rPr>
              <w:t>Non-controlled and controlled, affiliated investments</w:t>
            </w:r>
          </w:p>
        </w:tc>
        <w:tc>
          <w:tcPr>
            <w:tcW w:w="480" w:type="dxa"/>
            <w:vAlign w:val="bottom"/>
            <w:shd w:val="clear" w:color="auto" w:fill="CCECFF"/>
          </w:tcPr>
          <w:p>
            <w:pPr>
              <w:spacing w:after="0"/>
              <w:rPr>
                <w:sz w:val="14"/>
                <w:szCs w:val="14"/>
                <w:color w:val="auto"/>
              </w:rPr>
            </w:pPr>
          </w:p>
        </w:tc>
        <w:tc>
          <w:tcPr>
            <w:tcW w:w="120" w:type="dxa"/>
            <w:vAlign w:val="bottom"/>
            <w:shd w:val="clear" w:color="auto" w:fill="CCECFF"/>
          </w:tcPr>
          <w:p>
            <w:pPr>
              <w:spacing w:after="0"/>
              <w:rPr>
                <w:sz w:val="14"/>
                <w:szCs w:val="14"/>
                <w:color w:val="auto"/>
              </w:rPr>
            </w:pPr>
          </w:p>
        </w:tc>
        <w:tc>
          <w:tcPr>
            <w:tcW w:w="880" w:type="dxa"/>
            <w:vAlign w:val="bottom"/>
            <w:shd w:val="clear" w:color="auto" w:fill="CCECFF"/>
          </w:tcPr>
          <w:p>
            <w:pPr>
              <w:jc w:val="right"/>
              <w:spacing w:after="0"/>
              <w:rPr>
                <w:sz w:val="20"/>
                <w:szCs w:val="20"/>
                <w:color w:val="auto"/>
              </w:rPr>
            </w:pPr>
            <w:r>
              <w:rPr>
                <w:rFonts w:ascii="Arial" w:cs="Arial" w:eastAsia="Arial" w:hAnsi="Arial"/>
                <w:sz w:val="14"/>
                <w:szCs w:val="14"/>
                <w:color w:val="auto"/>
              </w:rPr>
              <w:t>4,039,995</w:t>
            </w:r>
          </w:p>
        </w:tc>
        <w:tc>
          <w:tcPr>
            <w:tcW w:w="220" w:type="dxa"/>
            <w:vAlign w:val="bottom"/>
            <w:shd w:val="clear" w:color="auto" w:fill="CCECFF"/>
          </w:tcPr>
          <w:p>
            <w:pPr>
              <w:spacing w:after="0"/>
              <w:rPr>
                <w:sz w:val="14"/>
                <w:szCs w:val="14"/>
                <w:color w:val="auto"/>
              </w:rPr>
            </w:pPr>
          </w:p>
        </w:tc>
        <w:tc>
          <w:tcPr>
            <w:tcW w:w="180" w:type="dxa"/>
            <w:vAlign w:val="bottom"/>
            <w:shd w:val="clear" w:color="auto" w:fill="CCECFF"/>
          </w:tcPr>
          <w:p>
            <w:pPr>
              <w:spacing w:after="0"/>
              <w:rPr>
                <w:sz w:val="14"/>
                <w:szCs w:val="14"/>
                <w:color w:val="auto"/>
              </w:rPr>
            </w:pPr>
          </w:p>
        </w:tc>
        <w:tc>
          <w:tcPr>
            <w:tcW w:w="840" w:type="dxa"/>
            <w:vAlign w:val="bottom"/>
            <w:shd w:val="clear" w:color="auto" w:fill="CCECFF"/>
          </w:tcPr>
          <w:p>
            <w:pPr>
              <w:jc w:val="right"/>
              <w:spacing w:after="0"/>
              <w:rPr>
                <w:sz w:val="20"/>
                <w:szCs w:val="20"/>
                <w:color w:val="auto"/>
              </w:rPr>
            </w:pPr>
            <w:r>
              <w:rPr>
                <w:rFonts w:ascii="Arial" w:cs="Arial" w:eastAsia="Arial" w:hAnsi="Arial"/>
                <w:sz w:val="14"/>
                <w:szCs w:val="14"/>
                <w:color w:val="auto"/>
              </w:rPr>
              <w:t>7,770,408</w:t>
            </w:r>
          </w:p>
        </w:tc>
        <w:tc>
          <w:tcPr>
            <w:tcW w:w="220" w:type="dxa"/>
            <w:vAlign w:val="bottom"/>
            <w:shd w:val="clear" w:color="auto" w:fill="CCECFF"/>
          </w:tcPr>
          <w:p>
            <w:pPr>
              <w:spacing w:after="0"/>
              <w:rPr>
                <w:sz w:val="14"/>
                <w:szCs w:val="14"/>
                <w:color w:val="auto"/>
              </w:rPr>
            </w:pPr>
          </w:p>
        </w:tc>
        <w:tc>
          <w:tcPr>
            <w:tcW w:w="160" w:type="dxa"/>
            <w:vAlign w:val="bottom"/>
            <w:shd w:val="clear" w:color="auto" w:fill="CCECFF"/>
          </w:tcPr>
          <w:p>
            <w:pPr>
              <w:spacing w:after="0"/>
              <w:rPr>
                <w:sz w:val="14"/>
                <w:szCs w:val="14"/>
                <w:color w:val="auto"/>
              </w:rPr>
            </w:pPr>
          </w:p>
        </w:tc>
        <w:tc>
          <w:tcPr>
            <w:tcW w:w="860" w:type="dxa"/>
            <w:vAlign w:val="bottom"/>
            <w:shd w:val="clear" w:color="auto" w:fill="CCECFF"/>
          </w:tcPr>
          <w:p>
            <w:pPr>
              <w:jc w:val="right"/>
              <w:spacing w:after="0"/>
              <w:rPr>
                <w:sz w:val="20"/>
                <w:szCs w:val="20"/>
                <w:color w:val="auto"/>
              </w:rPr>
            </w:pPr>
            <w:r>
              <w:rPr>
                <w:rFonts w:ascii="Arial" w:cs="Arial" w:eastAsia="Arial" w:hAnsi="Arial"/>
                <w:sz w:val="14"/>
                <w:szCs w:val="14"/>
                <w:color w:val="auto"/>
              </w:rPr>
              <w:t>36,206,851</w:t>
            </w:r>
          </w:p>
        </w:tc>
        <w:tc>
          <w:tcPr>
            <w:tcW w:w="220" w:type="dxa"/>
            <w:vAlign w:val="bottom"/>
            <w:shd w:val="clear" w:color="auto" w:fill="CCECFF"/>
          </w:tcPr>
          <w:p>
            <w:pPr>
              <w:spacing w:after="0"/>
              <w:rPr>
                <w:sz w:val="14"/>
                <w:szCs w:val="14"/>
                <w:color w:val="auto"/>
              </w:rPr>
            </w:pPr>
          </w:p>
        </w:tc>
        <w:tc>
          <w:tcPr>
            <w:tcW w:w="200" w:type="dxa"/>
            <w:vAlign w:val="bottom"/>
            <w:shd w:val="clear" w:color="auto" w:fill="CCECFF"/>
          </w:tcPr>
          <w:p>
            <w:pPr>
              <w:spacing w:after="0"/>
              <w:rPr>
                <w:sz w:val="14"/>
                <w:szCs w:val="14"/>
                <w:color w:val="auto"/>
              </w:rPr>
            </w:pPr>
          </w:p>
        </w:tc>
        <w:tc>
          <w:tcPr>
            <w:tcW w:w="940" w:type="dxa"/>
            <w:vAlign w:val="bottom"/>
            <w:gridSpan w:val="2"/>
            <w:shd w:val="clear" w:color="auto" w:fill="CCECFF"/>
          </w:tcPr>
          <w:p>
            <w:pPr>
              <w:jc w:val="right"/>
              <w:ind w:right="60"/>
              <w:spacing w:after="0"/>
              <w:rPr>
                <w:sz w:val="20"/>
                <w:szCs w:val="20"/>
                <w:color w:val="auto"/>
              </w:rPr>
            </w:pPr>
            <w:r>
              <w:rPr>
                <w:rFonts w:ascii="Arial" w:cs="Arial" w:eastAsia="Arial" w:hAnsi="Arial"/>
                <w:sz w:val="14"/>
                <w:szCs w:val="14"/>
                <w:color w:val="auto"/>
              </w:rPr>
              <w:t>(25,134,320)</w:t>
            </w:r>
          </w:p>
        </w:tc>
      </w:tr>
      <w:tr>
        <w:trPr>
          <w:trHeight w:val="162"/>
        </w:trPr>
        <w:tc>
          <w:tcPr>
            <w:tcW w:w="5920" w:type="dxa"/>
            <w:vAlign w:val="bottom"/>
          </w:tcPr>
          <w:p>
            <w:pPr>
              <w:ind w:left="260"/>
              <w:spacing w:after="0"/>
              <w:rPr>
                <w:sz w:val="20"/>
                <w:szCs w:val="20"/>
                <w:color w:val="auto"/>
              </w:rPr>
            </w:pPr>
            <w:r>
              <w:rPr>
                <w:rFonts w:ascii="Arial" w:cs="Arial" w:eastAsia="Arial" w:hAnsi="Arial"/>
                <w:sz w:val="14"/>
                <w:szCs w:val="14"/>
                <w:color w:val="auto"/>
              </w:rPr>
              <w:t>Debt (appreciation) depreciation (See Notes 5 and 10)</w:t>
            </w:r>
          </w:p>
        </w:tc>
        <w:tc>
          <w:tcPr>
            <w:tcW w:w="4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100" w:type="dxa"/>
            <w:vAlign w:val="bottom"/>
            <w:gridSpan w:val="2"/>
          </w:tcPr>
          <w:p>
            <w:pPr>
              <w:jc w:val="right"/>
              <w:ind w:right="180"/>
              <w:spacing w:after="0"/>
              <w:rPr>
                <w:sz w:val="20"/>
                <w:szCs w:val="20"/>
                <w:color w:val="auto"/>
              </w:rPr>
            </w:pPr>
            <w:r>
              <w:rPr>
                <w:rFonts w:ascii="Arial" w:cs="Arial" w:eastAsia="Arial" w:hAnsi="Arial"/>
                <w:sz w:val="14"/>
                <w:szCs w:val="14"/>
                <w:color w:val="auto"/>
              </w:rPr>
              <w:t>(2,137,862)</w:t>
            </w:r>
          </w:p>
        </w:tc>
        <w:tc>
          <w:tcPr>
            <w:tcW w:w="180" w:type="dxa"/>
            <w:vAlign w:val="bottom"/>
          </w:tcPr>
          <w:p>
            <w:pPr>
              <w:spacing w:after="0"/>
              <w:rPr>
                <w:sz w:val="14"/>
                <w:szCs w:val="14"/>
                <w:color w:val="auto"/>
              </w:rPr>
            </w:pPr>
          </w:p>
        </w:tc>
        <w:tc>
          <w:tcPr>
            <w:tcW w:w="1060" w:type="dxa"/>
            <w:vAlign w:val="bottom"/>
            <w:gridSpan w:val="2"/>
          </w:tcPr>
          <w:p>
            <w:pPr>
              <w:jc w:val="right"/>
              <w:ind w:right="180"/>
              <w:spacing w:after="0"/>
              <w:rPr>
                <w:sz w:val="20"/>
                <w:szCs w:val="20"/>
                <w:color w:val="auto"/>
              </w:rPr>
            </w:pPr>
            <w:r>
              <w:rPr>
                <w:rFonts w:ascii="Arial" w:cs="Arial" w:eastAsia="Arial" w:hAnsi="Arial"/>
                <w:sz w:val="14"/>
                <w:szCs w:val="14"/>
                <w:color w:val="auto"/>
              </w:rPr>
              <w:t>(2,408,132)</w:t>
            </w:r>
          </w:p>
        </w:tc>
        <w:tc>
          <w:tcPr>
            <w:tcW w:w="160" w:type="dxa"/>
            <w:vAlign w:val="bottom"/>
          </w:tcPr>
          <w:p>
            <w:pPr>
              <w:spacing w:after="0"/>
              <w:rPr>
                <w:sz w:val="14"/>
                <w:szCs w:val="14"/>
                <w:color w:val="auto"/>
              </w:rPr>
            </w:pPr>
          </w:p>
        </w:tc>
        <w:tc>
          <w:tcPr>
            <w:tcW w:w="1080" w:type="dxa"/>
            <w:vAlign w:val="bottom"/>
            <w:gridSpan w:val="2"/>
          </w:tcPr>
          <w:p>
            <w:pPr>
              <w:jc w:val="right"/>
              <w:ind w:right="180"/>
              <w:spacing w:after="0"/>
              <w:rPr>
                <w:sz w:val="20"/>
                <w:szCs w:val="20"/>
                <w:color w:val="auto"/>
              </w:rPr>
            </w:pPr>
            <w:r>
              <w:rPr>
                <w:rFonts w:ascii="Arial" w:cs="Arial" w:eastAsia="Arial" w:hAnsi="Arial"/>
                <w:sz w:val="14"/>
                <w:szCs w:val="14"/>
                <w:color w:val="auto"/>
              </w:rPr>
              <w:t>(2,423,726)</w:t>
            </w:r>
          </w:p>
        </w:tc>
        <w:tc>
          <w:tcPr>
            <w:tcW w:w="200" w:type="dxa"/>
            <w:vAlign w:val="bottom"/>
          </w:tcPr>
          <w:p>
            <w:pPr>
              <w:spacing w:after="0"/>
              <w:rPr>
                <w:sz w:val="14"/>
                <w:szCs w:val="14"/>
                <w:color w:val="auto"/>
              </w:rPr>
            </w:pPr>
          </w:p>
        </w:tc>
        <w:tc>
          <w:tcPr>
            <w:tcW w:w="840" w:type="dxa"/>
            <w:vAlign w:val="bottom"/>
          </w:tcPr>
          <w:p>
            <w:pPr>
              <w:jc w:val="right"/>
              <w:spacing w:after="0"/>
              <w:rPr>
                <w:sz w:val="20"/>
                <w:szCs w:val="20"/>
                <w:color w:val="auto"/>
              </w:rPr>
            </w:pPr>
            <w:r>
              <w:rPr>
                <w:rFonts w:ascii="Arial" w:cs="Arial" w:eastAsia="Arial" w:hAnsi="Arial"/>
                <w:sz w:val="14"/>
                <w:szCs w:val="14"/>
                <w:color w:val="auto"/>
              </w:rPr>
              <w:t>15,566,671</w:t>
            </w:r>
          </w:p>
        </w:tc>
        <w:tc>
          <w:tcPr>
            <w:tcW w:w="100" w:type="dxa"/>
            <w:vAlign w:val="bottom"/>
          </w:tcPr>
          <w:p>
            <w:pPr>
              <w:spacing w:after="0"/>
              <w:rPr>
                <w:sz w:val="14"/>
                <w:szCs w:val="14"/>
                <w:color w:val="auto"/>
              </w:rPr>
            </w:pPr>
          </w:p>
        </w:tc>
      </w:tr>
      <w:tr>
        <w:trPr>
          <w:trHeight w:val="156"/>
        </w:trPr>
        <w:tc>
          <w:tcPr>
            <w:tcW w:w="5920" w:type="dxa"/>
            <w:vAlign w:val="bottom"/>
            <w:tcBorders>
              <w:top w:val="single" w:sz="8" w:color="CCECFF"/>
            </w:tcBorders>
            <w:shd w:val="clear" w:color="auto" w:fill="CCECFF"/>
          </w:tcPr>
          <w:p>
            <w:pPr>
              <w:ind w:left="260"/>
              <w:spacing w:after="0" w:line="155" w:lineRule="exact"/>
              <w:rPr>
                <w:sz w:val="20"/>
                <w:szCs w:val="20"/>
                <w:color w:val="auto"/>
              </w:rPr>
            </w:pPr>
            <w:r>
              <w:rPr>
                <w:rFonts w:ascii="Arial" w:cs="Arial" w:eastAsia="Arial" w:hAnsi="Arial"/>
                <w:sz w:val="14"/>
                <w:szCs w:val="14"/>
                <w:b w:val="1"/>
                <w:bCs w:val="1"/>
                <w:color w:val="auto"/>
              </w:rPr>
              <w:t>Net change in unrealized (depreciation) appreciation on investments and debt</w:t>
            </w:r>
          </w:p>
        </w:tc>
        <w:tc>
          <w:tcPr>
            <w:tcW w:w="480" w:type="dxa"/>
            <w:vAlign w:val="bottom"/>
            <w:tcBorders>
              <w:top w:val="single" w:sz="8" w:color="CCECFF"/>
            </w:tcBorders>
            <w:shd w:val="clear" w:color="auto" w:fill="CCECFF"/>
          </w:tcPr>
          <w:p>
            <w:pPr>
              <w:spacing w:after="0"/>
              <w:rPr>
                <w:sz w:val="13"/>
                <w:szCs w:val="13"/>
                <w:color w:val="auto"/>
              </w:rPr>
            </w:pPr>
          </w:p>
        </w:tc>
        <w:tc>
          <w:tcPr>
            <w:tcW w:w="120" w:type="dxa"/>
            <w:vAlign w:val="bottom"/>
            <w:tcBorders>
              <w:top w:val="single" w:sz="8" w:color="auto"/>
              <w:bottom w:val="single" w:sz="8" w:color="auto"/>
            </w:tcBorders>
            <w:shd w:val="clear" w:color="auto" w:fill="CCECFF"/>
          </w:tcPr>
          <w:p>
            <w:pPr>
              <w:spacing w:after="0"/>
              <w:rPr>
                <w:sz w:val="13"/>
                <w:szCs w:val="13"/>
                <w:color w:val="auto"/>
              </w:rPr>
            </w:pPr>
          </w:p>
        </w:tc>
        <w:tc>
          <w:tcPr>
            <w:tcW w:w="880" w:type="dxa"/>
            <w:vAlign w:val="bottom"/>
            <w:tcBorders>
              <w:top w:val="single" w:sz="8" w:color="auto"/>
              <w:bottom w:val="single" w:sz="8" w:color="auto"/>
            </w:tcBorders>
            <w:shd w:val="clear" w:color="auto" w:fill="CCECFF"/>
          </w:tcPr>
          <w:p>
            <w:pPr>
              <w:jc w:val="right"/>
              <w:spacing w:after="0" w:line="155" w:lineRule="exact"/>
              <w:rPr>
                <w:sz w:val="20"/>
                <w:szCs w:val="20"/>
                <w:color w:val="auto"/>
              </w:rPr>
            </w:pPr>
            <w:r>
              <w:rPr>
                <w:rFonts w:ascii="Arial" w:cs="Arial" w:eastAsia="Arial" w:hAnsi="Arial"/>
                <w:sz w:val="14"/>
                <w:szCs w:val="14"/>
                <w:color w:val="auto"/>
              </w:rPr>
              <w:t>(3,829,106)</w:t>
            </w:r>
          </w:p>
        </w:tc>
        <w:tc>
          <w:tcPr>
            <w:tcW w:w="220" w:type="dxa"/>
            <w:vAlign w:val="bottom"/>
            <w:tcBorders>
              <w:top w:val="single" w:sz="8" w:color="CCECFF"/>
            </w:tcBorders>
            <w:shd w:val="clear" w:color="auto" w:fill="CCECFF"/>
          </w:tcPr>
          <w:p>
            <w:pPr>
              <w:spacing w:after="0"/>
              <w:rPr>
                <w:sz w:val="13"/>
                <w:szCs w:val="13"/>
                <w:color w:val="auto"/>
              </w:rPr>
            </w:pPr>
          </w:p>
        </w:tc>
        <w:tc>
          <w:tcPr>
            <w:tcW w:w="180" w:type="dxa"/>
            <w:vAlign w:val="bottom"/>
            <w:tcBorders>
              <w:top w:val="single" w:sz="8" w:color="auto"/>
              <w:bottom w:val="single" w:sz="8" w:color="auto"/>
            </w:tcBorders>
            <w:shd w:val="clear" w:color="auto" w:fill="CCECFF"/>
          </w:tcPr>
          <w:p>
            <w:pPr>
              <w:spacing w:after="0"/>
              <w:rPr>
                <w:sz w:val="13"/>
                <w:szCs w:val="13"/>
                <w:color w:val="auto"/>
              </w:rPr>
            </w:pPr>
          </w:p>
        </w:tc>
        <w:tc>
          <w:tcPr>
            <w:tcW w:w="840" w:type="dxa"/>
            <w:vAlign w:val="bottom"/>
            <w:tcBorders>
              <w:top w:val="single" w:sz="8" w:color="auto"/>
              <w:bottom w:val="single" w:sz="8" w:color="auto"/>
            </w:tcBorders>
            <w:shd w:val="clear" w:color="auto" w:fill="CCECFF"/>
          </w:tcPr>
          <w:p>
            <w:pPr>
              <w:jc w:val="right"/>
              <w:spacing w:after="0" w:line="155" w:lineRule="exact"/>
              <w:rPr>
                <w:sz w:val="20"/>
                <w:szCs w:val="20"/>
                <w:color w:val="auto"/>
              </w:rPr>
            </w:pPr>
            <w:r>
              <w:rPr>
                <w:rFonts w:ascii="Arial" w:cs="Arial" w:eastAsia="Arial" w:hAnsi="Arial"/>
                <w:sz w:val="14"/>
                <w:szCs w:val="14"/>
                <w:color w:val="auto"/>
              </w:rPr>
              <w:t>55,546,391</w:t>
            </w:r>
          </w:p>
        </w:tc>
        <w:tc>
          <w:tcPr>
            <w:tcW w:w="220" w:type="dxa"/>
            <w:vAlign w:val="bottom"/>
            <w:tcBorders>
              <w:top w:val="single" w:sz="8" w:color="CCECFF"/>
            </w:tcBorders>
            <w:shd w:val="clear" w:color="auto" w:fill="CCECFF"/>
          </w:tcPr>
          <w:p>
            <w:pPr>
              <w:spacing w:after="0"/>
              <w:rPr>
                <w:sz w:val="13"/>
                <w:szCs w:val="13"/>
                <w:color w:val="auto"/>
              </w:rPr>
            </w:pPr>
          </w:p>
        </w:tc>
        <w:tc>
          <w:tcPr>
            <w:tcW w:w="160" w:type="dxa"/>
            <w:vAlign w:val="bottom"/>
            <w:tcBorders>
              <w:top w:val="single" w:sz="8" w:color="auto"/>
              <w:bottom w:val="single" w:sz="8" w:color="auto"/>
            </w:tcBorders>
            <w:shd w:val="clear" w:color="auto" w:fill="CCECFF"/>
          </w:tcPr>
          <w:p>
            <w:pPr>
              <w:spacing w:after="0"/>
              <w:rPr>
                <w:sz w:val="13"/>
                <w:szCs w:val="13"/>
                <w:color w:val="auto"/>
              </w:rPr>
            </w:pPr>
          </w:p>
        </w:tc>
        <w:tc>
          <w:tcPr>
            <w:tcW w:w="860" w:type="dxa"/>
            <w:vAlign w:val="bottom"/>
            <w:tcBorders>
              <w:top w:val="single" w:sz="8" w:color="auto"/>
              <w:bottom w:val="single" w:sz="8" w:color="auto"/>
            </w:tcBorders>
            <w:shd w:val="clear" w:color="auto" w:fill="CCECFF"/>
          </w:tcPr>
          <w:p>
            <w:pPr>
              <w:jc w:val="right"/>
              <w:spacing w:after="0" w:line="155" w:lineRule="exact"/>
              <w:rPr>
                <w:sz w:val="20"/>
                <w:szCs w:val="20"/>
                <w:color w:val="auto"/>
              </w:rPr>
            </w:pPr>
            <w:r>
              <w:rPr>
                <w:rFonts w:ascii="Arial" w:cs="Arial" w:eastAsia="Arial" w:hAnsi="Arial"/>
                <w:sz w:val="14"/>
                <w:szCs w:val="14"/>
                <w:color w:val="auto"/>
              </w:rPr>
              <w:t>41,408,217</w:t>
            </w:r>
          </w:p>
        </w:tc>
        <w:tc>
          <w:tcPr>
            <w:tcW w:w="220" w:type="dxa"/>
            <w:vAlign w:val="bottom"/>
            <w:tcBorders>
              <w:top w:val="single" w:sz="8" w:color="CCECFF"/>
            </w:tcBorders>
            <w:shd w:val="clear" w:color="auto" w:fill="CCECFF"/>
          </w:tcPr>
          <w:p>
            <w:pPr>
              <w:spacing w:after="0"/>
              <w:rPr>
                <w:sz w:val="13"/>
                <w:szCs w:val="13"/>
                <w:color w:val="auto"/>
              </w:rPr>
            </w:pPr>
          </w:p>
        </w:tc>
        <w:tc>
          <w:tcPr>
            <w:tcW w:w="200" w:type="dxa"/>
            <w:vAlign w:val="bottom"/>
            <w:tcBorders>
              <w:top w:val="single" w:sz="8" w:color="auto"/>
              <w:bottom w:val="single" w:sz="8" w:color="auto"/>
            </w:tcBorders>
            <w:shd w:val="clear" w:color="auto" w:fill="CCECFF"/>
          </w:tcPr>
          <w:p>
            <w:pPr>
              <w:spacing w:after="0"/>
              <w:rPr>
                <w:sz w:val="13"/>
                <w:szCs w:val="13"/>
                <w:color w:val="auto"/>
              </w:rPr>
            </w:pPr>
          </w:p>
        </w:tc>
        <w:tc>
          <w:tcPr>
            <w:tcW w:w="840" w:type="dxa"/>
            <w:vAlign w:val="bottom"/>
            <w:tcBorders>
              <w:top w:val="single" w:sz="8" w:color="auto"/>
              <w:bottom w:val="single" w:sz="8" w:color="auto"/>
            </w:tcBorders>
            <w:shd w:val="clear" w:color="auto" w:fill="CCECFF"/>
          </w:tcPr>
          <w:p>
            <w:pPr>
              <w:jc w:val="right"/>
              <w:spacing w:after="0" w:line="155" w:lineRule="exact"/>
              <w:rPr>
                <w:sz w:val="20"/>
                <w:szCs w:val="20"/>
                <w:color w:val="auto"/>
              </w:rPr>
            </w:pPr>
            <w:r>
              <w:rPr>
                <w:rFonts w:ascii="Arial" w:cs="Arial" w:eastAsia="Arial" w:hAnsi="Arial"/>
                <w:sz w:val="14"/>
                <w:szCs w:val="14"/>
                <w:color w:val="auto"/>
              </w:rPr>
              <w:t>17,662,399</w:t>
            </w:r>
          </w:p>
        </w:tc>
        <w:tc>
          <w:tcPr>
            <w:tcW w:w="100" w:type="dxa"/>
            <w:vAlign w:val="bottom"/>
            <w:tcBorders>
              <w:top w:val="single" w:sz="8" w:color="CCECFF"/>
            </w:tcBorders>
            <w:shd w:val="clear" w:color="auto" w:fill="CCECFF"/>
          </w:tcPr>
          <w:p>
            <w:pPr>
              <w:spacing w:after="0"/>
              <w:rPr>
                <w:sz w:val="13"/>
                <w:szCs w:val="13"/>
                <w:color w:val="auto"/>
              </w:rPr>
            </w:pPr>
          </w:p>
        </w:tc>
      </w:tr>
      <w:tr>
        <w:trPr>
          <w:trHeight w:val="155"/>
        </w:trPr>
        <w:tc>
          <w:tcPr>
            <w:tcW w:w="5920" w:type="dxa"/>
            <w:vAlign w:val="bottom"/>
            <w:tcBorders>
              <w:bottom w:val="single" w:sz="8" w:color="CCECFF"/>
            </w:tcBorders>
          </w:tcPr>
          <w:p>
            <w:pPr>
              <w:spacing w:after="0" w:line="155" w:lineRule="exact"/>
              <w:rPr>
                <w:sz w:val="20"/>
                <w:szCs w:val="20"/>
                <w:color w:val="auto"/>
              </w:rPr>
            </w:pPr>
            <w:r>
              <w:rPr>
                <w:rFonts w:ascii="Arial" w:cs="Arial" w:eastAsia="Arial" w:hAnsi="Arial"/>
                <w:sz w:val="14"/>
                <w:szCs w:val="14"/>
                <w:b w:val="1"/>
                <w:bCs w:val="1"/>
                <w:color w:val="auto"/>
              </w:rPr>
              <w:t>Net realized and unrealized gain (loss) from investments and debt</w:t>
            </w:r>
          </w:p>
        </w:tc>
        <w:tc>
          <w:tcPr>
            <w:tcW w:w="480" w:type="dxa"/>
            <w:vAlign w:val="bottom"/>
            <w:tcBorders>
              <w:bottom w:val="single" w:sz="8" w:color="CCECFF"/>
            </w:tcBorders>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880" w:type="dxa"/>
            <w:vAlign w:val="bottom"/>
            <w:tcBorders>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6,318,655</w:t>
            </w:r>
          </w:p>
        </w:tc>
        <w:tc>
          <w:tcPr>
            <w:tcW w:w="220" w:type="dxa"/>
            <w:vAlign w:val="bottom"/>
            <w:tcBorders>
              <w:bottom w:val="single" w:sz="8" w:color="CCECFF"/>
            </w:tcBorders>
          </w:tcPr>
          <w:p>
            <w:pPr>
              <w:spacing w:after="0"/>
              <w:rPr>
                <w:sz w:val="13"/>
                <w:szCs w:val="13"/>
                <w:color w:val="auto"/>
              </w:rPr>
            </w:pPr>
          </w:p>
        </w:tc>
        <w:tc>
          <w:tcPr>
            <w:tcW w:w="180" w:type="dxa"/>
            <w:vAlign w:val="bottom"/>
            <w:tcBorders>
              <w:bottom w:val="single" w:sz="8" w:color="auto"/>
            </w:tcBorders>
          </w:tcPr>
          <w:p>
            <w:pPr>
              <w:spacing w:after="0"/>
              <w:rPr>
                <w:sz w:val="13"/>
                <w:szCs w:val="13"/>
                <w:color w:val="auto"/>
              </w:rPr>
            </w:pPr>
          </w:p>
        </w:tc>
        <w:tc>
          <w:tcPr>
            <w:tcW w:w="840" w:type="dxa"/>
            <w:vAlign w:val="bottom"/>
            <w:tcBorders>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10,038,924</w:t>
            </w:r>
          </w:p>
        </w:tc>
        <w:tc>
          <w:tcPr>
            <w:tcW w:w="220" w:type="dxa"/>
            <w:vAlign w:val="bottom"/>
            <w:tcBorders>
              <w:bottom w:val="single" w:sz="8" w:color="CCECFF"/>
            </w:tcBorders>
          </w:tcPr>
          <w:p>
            <w:pPr>
              <w:spacing w:after="0"/>
              <w:rPr>
                <w:sz w:val="13"/>
                <w:szCs w:val="13"/>
                <w:color w:val="auto"/>
              </w:rPr>
            </w:pPr>
          </w:p>
        </w:tc>
        <w:tc>
          <w:tcPr>
            <w:tcW w:w="160" w:type="dxa"/>
            <w:vAlign w:val="bottom"/>
            <w:tcBorders>
              <w:bottom w:val="single" w:sz="8" w:color="auto"/>
            </w:tcBorders>
          </w:tcPr>
          <w:p>
            <w:pPr>
              <w:spacing w:after="0"/>
              <w:rPr>
                <w:sz w:val="13"/>
                <w:szCs w:val="13"/>
                <w:color w:val="auto"/>
              </w:rPr>
            </w:pPr>
          </w:p>
        </w:tc>
        <w:tc>
          <w:tcPr>
            <w:tcW w:w="860" w:type="dxa"/>
            <w:vAlign w:val="bottom"/>
            <w:tcBorders>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10,617,907</w:t>
            </w:r>
          </w:p>
        </w:tc>
        <w:tc>
          <w:tcPr>
            <w:tcW w:w="220" w:type="dxa"/>
            <w:vAlign w:val="bottom"/>
            <w:tcBorders>
              <w:bottom w:val="single" w:sz="8" w:color="CCECFF"/>
            </w:tcBorders>
          </w:tcPr>
          <w:p>
            <w:pPr>
              <w:spacing w:after="0"/>
              <w:rPr>
                <w:sz w:val="13"/>
                <w:szCs w:val="13"/>
                <w:color w:val="auto"/>
              </w:rPr>
            </w:pPr>
          </w:p>
        </w:tc>
        <w:tc>
          <w:tcPr>
            <w:tcW w:w="200" w:type="dxa"/>
            <w:vAlign w:val="bottom"/>
            <w:tcBorders>
              <w:bottom w:val="single" w:sz="8" w:color="auto"/>
            </w:tcBorders>
          </w:tcPr>
          <w:p>
            <w:pPr>
              <w:spacing w:after="0"/>
              <w:rPr>
                <w:sz w:val="13"/>
                <w:szCs w:val="13"/>
                <w:color w:val="auto"/>
              </w:rPr>
            </w:pPr>
          </w:p>
        </w:tc>
        <w:tc>
          <w:tcPr>
            <w:tcW w:w="840" w:type="dxa"/>
            <w:vAlign w:val="bottom"/>
            <w:tcBorders>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(64,430,049)</w:t>
            </w:r>
          </w:p>
        </w:tc>
        <w:tc>
          <w:tcPr>
            <w:tcW w:w="100" w:type="dxa"/>
            <w:vAlign w:val="bottom"/>
            <w:tcBorders>
              <w:bottom w:val="single" w:sz="8" w:color="CCECFF"/>
            </w:tcBorders>
          </w:tcPr>
          <w:p>
            <w:pPr>
              <w:spacing w:after="0"/>
              <w:rPr>
                <w:sz w:val="13"/>
                <w:szCs w:val="13"/>
                <w:color w:val="auto"/>
              </w:rPr>
            </w:pPr>
          </w:p>
        </w:tc>
      </w:tr>
      <w:tr>
        <w:trPr>
          <w:trHeight w:val="156"/>
        </w:trPr>
        <w:tc>
          <w:tcPr>
            <w:tcW w:w="5920" w:type="dxa"/>
            <w:vAlign w:val="bottom"/>
            <w:shd w:val="clear" w:color="auto" w:fill="CCECFF"/>
          </w:tcPr>
          <w:p>
            <w:pPr>
              <w:spacing w:after="0" w:line="155" w:lineRule="exact"/>
              <w:rPr>
                <w:sz w:val="20"/>
                <w:szCs w:val="20"/>
                <w:color w:val="auto"/>
              </w:rPr>
            </w:pPr>
            <w:r>
              <w:rPr>
                <w:rFonts w:ascii="Arial" w:cs="Arial" w:eastAsia="Arial" w:hAnsi="Arial"/>
                <w:sz w:val="14"/>
                <w:szCs w:val="14"/>
                <w:b w:val="1"/>
                <w:bCs w:val="1"/>
                <w:color w:val="auto"/>
              </w:rPr>
              <w:t>Net increase (decrease) in net assets resulting from operations</w:t>
            </w:r>
          </w:p>
        </w:tc>
        <w:tc>
          <w:tcPr>
            <w:tcW w:w="480" w:type="dxa"/>
            <w:vAlign w:val="bottom"/>
            <w:shd w:val="clear" w:color="auto" w:fill="CCECFF"/>
          </w:tcPr>
          <w:p>
            <w:pPr>
              <w:spacing w:after="0"/>
              <w:rPr>
                <w:sz w:val="13"/>
                <w:szCs w:val="13"/>
                <w:color w:val="auto"/>
              </w:rPr>
            </w:pPr>
          </w:p>
        </w:tc>
        <w:tc>
          <w:tcPr>
            <w:tcW w:w="120" w:type="dxa"/>
            <w:vAlign w:val="bottom"/>
            <w:tcBorders>
              <w:bottom w:val="single" w:sz="8" w:color="auto"/>
            </w:tcBorders>
            <w:shd w:val="clear" w:color="auto" w:fill="CCECFF"/>
          </w:tcPr>
          <w:p>
            <w:pPr>
              <w:jc w:val="right"/>
              <w:ind w:right="9"/>
              <w:spacing w:after="0"/>
              <w:rPr>
                <w:sz w:val="20"/>
                <w:szCs w:val="20"/>
                <w:color w:val="auto"/>
              </w:rPr>
            </w:pPr>
            <w:r>
              <w:rPr>
                <w:rFonts w:ascii="Arial" w:cs="Arial" w:eastAsia="Arial" w:hAnsi="Arial"/>
                <w:sz w:val="10"/>
                <w:szCs w:val="10"/>
                <w:color w:val="auto"/>
                <w:w w:val="71"/>
              </w:rPr>
              <w:t>$</w:t>
            </w:r>
          </w:p>
        </w:tc>
        <w:tc>
          <w:tcPr>
            <w:tcW w:w="880" w:type="dxa"/>
            <w:vAlign w:val="bottom"/>
            <w:tcBorders>
              <w:bottom w:val="single" w:sz="8" w:color="auto"/>
            </w:tcBorders>
            <w:shd w:val="clear" w:color="auto" w:fill="CCECFF"/>
          </w:tcPr>
          <w:p>
            <w:pPr>
              <w:jc w:val="right"/>
              <w:spacing w:after="0" w:line="155" w:lineRule="exact"/>
              <w:rPr>
                <w:sz w:val="20"/>
                <w:szCs w:val="20"/>
                <w:color w:val="auto"/>
              </w:rPr>
            </w:pPr>
            <w:r>
              <w:rPr>
                <w:rFonts w:ascii="Arial" w:cs="Arial" w:eastAsia="Arial" w:hAnsi="Arial"/>
                <w:sz w:val="14"/>
                <w:szCs w:val="14"/>
                <w:color w:val="auto"/>
              </w:rPr>
              <w:t>18,779,065</w:t>
            </w:r>
          </w:p>
        </w:tc>
        <w:tc>
          <w:tcPr>
            <w:tcW w:w="220" w:type="dxa"/>
            <w:vAlign w:val="bottom"/>
            <w:shd w:val="clear" w:color="auto" w:fill="CCECFF"/>
          </w:tcPr>
          <w:p>
            <w:pPr>
              <w:spacing w:after="0"/>
              <w:rPr>
                <w:sz w:val="13"/>
                <w:szCs w:val="13"/>
                <w:color w:val="auto"/>
              </w:rPr>
            </w:pPr>
          </w:p>
        </w:tc>
        <w:tc>
          <w:tcPr>
            <w:tcW w:w="180" w:type="dxa"/>
            <w:vAlign w:val="bottom"/>
            <w:tcBorders>
              <w:bottom w:val="single" w:sz="8" w:color="auto"/>
            </w:tcBorders>
            <w:shd w:val="clear" w:color="auto" w:fill="CCECFF"/>
          </w:tcPr>
          <w:p>
            <w:pPr>
              <w:jc w:val="right"/>
              <w:ind w:right="28"/>
              <w:spacing w:after="0" w:line="155" w:lineRule="exact"/>
              <w:rPr>
                <w:sz w:val="20"/>
                <w:szCs w:val="20"/>
                <w:color w:val="auto"/>
              </w:rPr>
            </w:pPr>
            <w:r>
              <w:rPr>
                <w:rFonts w:ascii="Arial" w:cs="Arial" w:eastAsia="Arial" w:hAnsi="Arial"/>
                <w:sz w:val="14"/>
                <w:szCs w:val="14"/>
                <w:color w:val="auto"/>
                <w:w w:val="76"/>
              </w:rPr>
              <w:t>$</w:t>
            </w:r>
          </w:p>
        </w:tc>
        <w:tc>
          <w:tcPr>
            <w:tcW w:w="840" w:type="dxa"/>
            <w:vAlign w:val="bottom"/>
            <w:tcBorders>
              <w:bottom w:val="single" w:sz="8" w:color="auto"/>
            </w:tcBorders>
            <w:shd w:val="clear" w:color="auto" w:fill="CCECFF"/>
          </w:tcPr>
          <w:p>
            <w:pPr>
              <w:jc w:val="right"/>
              <w:spacing w:after="0" w:line="155" w:lineRule="exact"/>
              <w:rPr>
                <w:sz w:val="20"/>
                <w:szCs w:val="20"/>
                <w:color w:val="auto"/>
              </w:rPr>
            </w:pPr>
            <w:r>
              <w:rPr>
                <w:rFonts w:ascii="Arial" w:cs="Arial" w:eastAsia="Arial" w:hAnsi="Arial"/>
                <w:sz w:val="14"/>
                <w:szCs w:val="14"/>
                <w:color w:val="auto"/>
              </w:rPr>
              <w:t>27,832,874</w:t>
            </w:r>
          </w:p>
        </w:tc>
        <w:tc>
          <w:tcPr>
            <w:tcW w:w="220" w:type="dxa"/>
            <w:vAlign w:val="bottom"/>
            <w:shd w:val="clear" w:color="auto" w:fill="CCECFF"/>
          </w:tcPr>
          <w:p>
            <w:pPr>
              <w:spacing w:after="0"/>
              <w:rPr>
                <w:sz w:val="13"/>
                <w:szCs w:val="13"/>
                <w:color w:val="auto"/>
              </w:rPr>
            </w:pPr>
          </w:p>
        </w:tc>
        <w:tc>
          <w:tcPr>
            <w:tcW w:w="160" w:type="dxa"/>
            <w:vAlign w:val="bottom"/>
            <w:tcBorders>
              <w:bottom w:val="single" w:sz="8" w:color="auto"/>
            </w:tcBorders>
            <w:shd w:val="clear" w:color="auto" w:fill="CCECFF"/>
          </w:tcPr>
          <w:p>
            <w:pPr>
              <w:jc w:val="right"/>
              <w:ind w:right="8"/>
              <w:spacing w:after="0" w:line="155" w:lineRule="exact"/>
              <w:rPr>
                <w:sz w:val="20"/>
                <w:szCs w:val="20"/>
                <w:color w:val="auto"/>
              </w:rPr>
            </w:pPr>
            <w:r>
              <w:rPr>
                <w:rFonts w:ascii="Arial" w:cs="Arial" w:eastAsia="Arial" w:hAnsi="Arial"/>
                <w:sz w:val="14"/>
                <w:szCs w:val="14"/>
                <w:color w:val="auto"/>
                <w:w w:val="76"/>
              </w:rPr>
              <w:t>$</w:t>
            </w:r>
          </w:p>
        </w:tc>
        <w:tc>
          <w:tcPr>
            <w:tcW w:w="860" w:type="dxa"/>
            <w:vAlign w:val="bottom"/>
            <w:tcBorders>
              <w:bottom w:val="single" w:sz="8" w:color="auto"/>
            </w:tcBorders>
            <w:shd w:val="clear" w:color="auto" w:fill="CCECFF"/>
          </w:tcPr>
          <w:p>
            <w:pPr>
              <w:jc w:val="right"/>
              <w:spacing w:after="0" w:line="155" w:lineRule="exact"/>
              <w:rPr>
                <w:sz w:val="20"/>
                <w:szCs w:val="20"/>
                <w:color w:val="auto"/>
              </w:rPr>
            </w:pPr>
            <w:r>
              <w:rPr>
                <w:rFonts w:ascii="Arial" w:cs="Arial" w:eastAsia="Arial" w:hAnsi="Arial"/>
                <w:sz w:val="14"/>
                <w:szCs w:val="14"/>
                <w:color w:val="auto"/>
              </w:rPr>
              <w:t>54,287,861</w:t>
            </w:r>
          </w:p>
        </w:tc>
        <w:tc>
          <w:tcPr>
            <w:tcW w:w="220" w:type="dxa"/>
            <w:vAlign w:val="bottom"/>
            <w:shd w:val="clear" w:color="auto" w:fill="CCECFF"/>
          </w:tcPr>
          <w:p>
            <w:pPr>
              <w:spacing w:after="0"/>
              <w:rPr>
                <w:sz w:val="13"/>
                <w:szCs w:val="13"/>
                <w:color w:val="auto"/>
              </w:rPr>
            </w:pPr>
          </w:p>
        </w:tc>
        <w:tc>
          <w:tcPr>
            <w:tcW w:w="200" w:type="dxa"/>
            <w:vAlign w:val="bottom"/>
            <w:tcBorders>
              <w:bottom w:val="single" w:sz="8" w:color="auto"/>
            </w:tcBorders>
            <w:shd w:val="clear" w:color="auto" w:fill="CCECFF"/>
          </w:tcPr>
          <w:p>
            <w:pPr>
              <w:jc w:val="right"/>
              <w:ind w:right="48"/>
              <w:spacing w:after="0" w:line="155" w:lineRule="exact"/>
              <w:rPr>
                <w:sz w:val="20"/>
                <w:szCs w:val="20"/>
                <w:color w:val="auto"/>
              </w:rPr>
            </w:pPr>
            <w:r>
              <w:rPr>
                <w:rFonts w:ascii="Arial" w:cs="Arial" w:eastAsia="Arial" w:hAnsi="Arial"/>
                <w:sz w:val="14"/>
                <w:szCs w:val="14"/>
                <w:color w:val="auto"/>
                <w:w w:val="76"/>
              </w:rPr>
              <w:t>$</w:t>
            </w:r>
          </w:p>
        </w:tc>
        <w:tc>
          <w:tcPr>
            <w:tcW w:w="840" w:type="dxa"/>
            <w:vAlign w:val="bottom"/>
            <w:tcBorders>
              <w:bottom w:val="single" w:sz="8" w:color="auto"/>
            </w:tcBorders>
            <w:shd w:val="clear" w:color="auto" w:fill="CCECFF"/>
          </w:tcPr>
          <w:p>
            <w:pPr>
              <w:jc w:val="right"/>
              <w:spacing w:after="0" w:line="155" w:lineRule="exact"/>
              <w:rPr>
                <w:sz w:val="20"/>
                <w:szCs w:val="20"/>
                <w:color w:val="auto"/>
              </w:rPr>
            </w:pPr>
            <w:r>
              <w:rPr>
                <w:rFonts w:ascii="Arial" w:cs="Arial" w:eastAsia="Arial" w:hAnsi="Arial"/>
                <w:sz w:val="14"/>
                <w:szCs w:val="14"/>
                <w:color w:val="auto"/>
              </w:rPr>
              <w:t>(8,972,672)</w:t>
            </w:r>
          </w:p>
        </w:tc>
        <w:tc>
          <w:tcPr>
            <w:tcW w:w="100" w:type="dxa"/>
            <w:vAlign w:val="bottom"/>
            <w:shd w:val="clear" w:color="auto" w:fill="CCECFF"/>
          </w:tcPr>
          <w:p>
            <w:pPr>
              <w:spacing w:after="0"/>
              <w:rPr>
                <w:sz w:val="13"/>
                <w:szCs w:val="13"/>
                <w:color w:val="auto"/>
              </w:rPr>
            </w:pPr>
          </w:p>
        </w:tc>
      </w:tr>
      <w:tr>
        <w:trPr>
          <w:trHeight w:val="195"/>
        </w:trPr>
        <w:tc>
          <w:tcPr>
            <w:tcW w:w="5920" w:type="dxa"/>
            <w:vAlign w:val="bottom"/>
            <w:tcBorders>
              <w:bottom w:val="single" w:sz="8" w:color="CCECFF"/>
            </w:tcBorders>
          </w:tcPr>
          <w:p>
            <w:pPr>
              <w:spacing w:after="0" w:line="155" w:lineRule="exact"/>
              <w:rPr>
                <w:sz w:val="20"/>
                <w:szCs w:val="20"/>
                <w:color w:val="auto"/>
              </w:rPr>
            </w:pPr>
            <w:r>
              <w:rPr>
                <w:rFonts w:ascii="Arial" w:cs="Arial" w:eastAsia="Arial" w:hAnsi="Arial"/>
                <w:sz w:val="14"/>
                <w:szCs w:val="14"/>
                <w:color w:val="auto"/>
                <w:w w:val="99"/>
              </w:rPr>
              <w:t>Net increase (decrease) in net assets resulting from operations per common share (See Note 7)</w:t>
            </w:r>
          </w:p>
        </w:tc>
        <w:tc>
          <w:tcPr>
            <w:tcW w:w="480" w:type="dxa"/>
            <w:vAlign w:val="bottom"/>
            <w:tcBorders>
              <w:bottom w:val="single" w:sz="8" w:color="CCECFF"/>
            </w:tcBorders>
          </w:tcPr>
          <w:p>
            <w:pPr>
              <w:spacing w:after="0"/>
              <w:rPr>
                <w:sz w:val="17"/>
                <w:szCs w:val="17"/>
                <w:color w:val="auto"/>
              </w:rPr>
            </w:pPr>
          </w:p>
        </w:tc>
        <w:tc>
          <w:tcPr>
            <w:tcW w:w="120" w:type="dxa"/>
            <w:vAlign w:val="bottom"/>
            <w:tcBorders>
              <w:bottom w:val="single" w:sz="8" w:color="auto"/>
            </w:tcBorders>
          </w:tcPr>
          <w:p>
            <w:pPr>
              <w:jc w:val="right"/>
              <w:ind w:right="9"/>
              <w:spacing w:after="0"/>
              <w:rPr>
                <w:sz w:val="20"/>
                <w:szCs w:val="20"/>
                <w:color w:val="auto"/>
              </w:rPr>
            </w:pPr>
            <w:r>
              <w:rPr>
                <w:rFonts w:ascii="Arial" w:cs="Arial" w:eastAsia="Arial" w:hAnsi="Arial"/>
                <w:sz w:val="10"/>
                <w:szCs w:val="10"/>
                <w:color w:val="auto"/>
                <w:w w:val="71"/>
              </w:rPr>
              <w:t>$</w:t>
            </w:r>
          </w:p>
        </w:tc>
        <w:tc>
          <w:tcPr>
            <w:tcW w:w="880" w:type="dxa"/>
            <w:vAlign w:val="bottom"/>
            <w:tcBorders>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0.26</w:t>
            </w:r>
          </w:p>
        </w:tc>
        <w:tc>
          <w:tcPr>
            <w:tcW w:w="220" w:type="dxa"/>
            <w:vAlign w:val="bottom"/>
            <w:tcBorders>
              <w:bottom w:val="single" w:sz="8" w:color="CCECFF"/>
            </w:tcBorders>
          </w:tcPr>
          <w:p>
            <w:pPr>
              <w:spacing w:after="0"/>
              <w:rPr>
                <w:sz w:val="17"/>
                <w:szCs w:val="17"/>
                <w:color w:val="auto"/>
              </w:rPr>
            </w:pPr>
          </w:p>
        </w:tc>
        <w:tc>
          <w:tcPr>
            <w:tcW w:w="180" w:type="dxa"/>
            <w:vAlign w:val="bottom"/>
            <w:tcBorders>
              <w:bottom w:val="single" w:sz="8" w:color="auto"/>
            </w:tcBorders>
          </w:tcPr>
          <w:p>
            <w:pPr>
              <w:jc w:val="right"/>
              <w:ind w:right="28"/>
              <w:spacing w:after="0" w:line="155" w:lineRule="exact"/>
              <w:rPr>
                <w:sz w:val="20"/>
                <w:szCs w:val="20"/>
                <w:color w:val="auto"/>
              </w:rPr>
            </w:pPr>
            <w:r>
              <w:rPr>
                <w:rFonts w:ascii="Arial" w:cs="Arial" w:eastAsia="Arial" w:hAnsi="Arial"/>
                <w:sz w:val="14"/>
                <w:szCs w:val="14"/>
                <w:color w:val="auto"/>
                <w:w w:val="76"/>
              </w:rPr>
              <w:t>$</w:t>
            </w:r>
          </w:p>
        </w:tc>
        <w:tc>
          <w:tcPr>
            <w:tcW w:w="840" w:type="dxa"/>
            <w:vAlign w:val="bottom"/>
            <w:tcBorders>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0.39</w:t>
            </w:r>
          </w:p>
        </w:tc>
        <w:tc>
          <w:tcPr>
            <w:tcW w:w="220" w:type="dxa"/>
            <w:vAlign w:val="bottom"/>
            <w:tcBorders>
              <w:bottom w:val="single" w:sz="8" w:color="CCECFF"/>
            </w:tcBorders>
          </w:tcPr>
          <w:p>
            <w:pPr>
              <w:spacing w:after="0"/>
              <w:rPr>
                <w:sz w:val="17"/>
                <w:szCs w:val="17"/>
                <w:color w:val="auto"/>
              </w:rPr>
            </w:pPr>
          </w:p>
        </w:tc>
        <w:tc>
          <w:tcPr>
            <w:tcW w:w="160" w:type="dxa"/>
            <w:vAlign w:val="bottom"/>
            <w:tcBorders>
              <w:bottom w:val="single" w:sz="8" w:color="auto"/>
            </w:tcBorders>
          </w:tcPr>
          <w:p>
            <w:pPr>
              <w:jc w:val="right"/>
              <w:ind w:right="8"/>
              <w:spacing w:after="0" w:line="155" w:lineRule="exact"/>
              <w:rPr>
                <w:sz w:val="20"/>
                <w:szCs w:val="20"/>
                <w:color w:val="auto"/>
              </w:rPr>
            </w:pPr>
            <w:r>
              <w:rPr>
                <w:rFonts w:ascii="Arial" w:cs="Arial" w:eastAsia="Arial" w:hAnsi="Arial"/>
                <w:sz w:val="14"/>
                <w:szCs w:val="14"/>
                <w:color w:val="auto"/>
                <w:w w:val="76"/>
              </w:rPr>
              <w:t>$</w:t>
            </w:r>
          </w:p>
        </w:tc>
        <w:tc>
          <w:tcPr>
            <w:tcW w:w="860" w:type="dxa"/>
            <w:vAlign w:val="bottom"/>
            <w:tcBorders>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0.77</w:t>
            </w:r>
          </w:p>
        </w:tc>
        <w:tc>
          <w:tcPr>
            <w:tcW w:w="220" w:type="dxa"/>
            <w:vAlign w:val="bottom"/>
            <w:tcBorders>
              <w:bottom w:val="single" w:sz="8" w:color="CCECFF"/>
            </w:tcBorders>
          </w:tcPr>
          <w:p>
            <w:pPr>
              <w:spacing w:after="0"/>
              <w:rPr>
                <w:sz w:val="17"/>
                <w:szCs w:val="17"/>
                <w:color w:val="auto"/>
              </w:rPr>
            </w:pPr>
          </w:p>
        </w:tc>
        <w:tc>
          <w:tcPr>
            <w:tcW w:w="200" w:type="dxa"/>
            <w:vAlign w:val="bottom"/>
            <w:tcBorders>
              <w:bottom w:val="single" w:sz="8" w:color="auto"/>
            </w:tcBorders>
          </w:tcPr>
          <w:p>
            <w:pPr>
              <w:jc w:val="right"/>
              <w:ind w:right="48"/>
              <w:spacing w:after="0" w:line="155" w:lineRule="exact"/>
              <w:rPr>
                <w:sz w:val="20"/>
                <w:szCs w:val="20"/>
                <w:color w:val="auto"/>
              </w:rPr>
            </w:pPr>
            <w:r>
              <w:rPr>
                <w:rFonts w:ascii="Arial" w:cs="Arial" w:eastAsia="Arial" w:hAnsi="Arial"/>
                <w:sz w:val="14"/>
                <w:szCs w:val="14"/>
                <w:color w:val="auto"/>
                <w:w w:val="76"/>
              </w:rPr>
              <w:t>$</w:t>
            </w:r>
          </w:p>
        </w:tc>
        <w:tc>
          <w:tcPr>
            <w:tcW w:w="840" w:type="dxa"/>
            <w:vAlign w:val="bottom"/>
            <w:tcBorders>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(0.12)</w:t>
            </w:r>
          </w:p>
        </w:tc>
        <w:tc>
          <w:tcPr>
            <w:tcW w:w="100" w:type="dxa"/>
            <w:vAlign w:val="bottom"/>
            <w:tcBorders>
              <w:bottom w:val="single" w:sz="8" w:color="CCECFF"/>
            </w:tcBorders>
          </w:tcPr>
          <w:p>
            <w:pPr>
              <w:spacing w:after="0"/>
              <w:rPr>
                <w:sz w:val="17"/>
                <w:szCs w:val="17"/>
                <w:color w:val="auto"/>
              </w:rPr>
            </w:pPr>
          </w:p>
        </w:tc>
      </w:tr>
      <w:tr>
        <w:trPr>
          <w:trHeight w:val="143"/>
        </w:trPr>
        <w:tc>
          <w:tcPr>
            <w:tcW w:w="5920" w:type="dxa"/>
            <w:vAlign w:val="bottom"/>
            <w:tcBorders>
              <w:bottom w:val="single" w:sz="8" w:color="CCECFF"/>
            </w:tcBorders>
            <w:shd w:val="clear" w:color="auto" w:fill="CCECFF"/>
          </w:tcPr>
          <w:p>
            <w:pPr>
              <w:spacing w:after="0" w:line="143" w:lineRule="exact"/>
              <w:rPr>
                <w:sz w:val="20"/>
                <w:szCs w:val="20"/>
                <w:color w:val="auto"/>
              </w:rPr>
            </w:pPr>
            <w:r>
              <w:rPr>
                <w:rFonts w:ascii="Arial" w:cs="Arial" w:eastAsia="Arial" w:hAnsi="Arial"/>
                <w:sz w:val="14"/>
                <w:szCs w:val="14"/>
                <w:color w:val="auto"/>
              </w:rPr>
              <w:t>Net investment income per common share</w:t>
            </w:r>
          </w:p>
        </w:tc>
        <w:tc>
          <w:tcPr>
            <w:tcW w:w="480" w:type="dxa"/>
            <w:vAlign w:val="bottom"/>
            <w:tcBorders>
              <w:bottom w:val="single" w:sz="8" w:color="CCECFF"/>
            </w:tcBorders>
            <w:shd w:val="clear" w:color="auto" w:fill="CCECFF"/>
          </w:tcPr>
          <w:p>
            <w:pPr>
              <w:spacing w:after="0"/>
              <w:rPr>
                <w:sz w:val="12"/>
                <w:szCs w:val="12"/>
                <w:color w:val="auto"/>
              </w:rPr>
            </w:pPr>
          </w:p>
        </w:tc>
        <w:tc>
          <w:tcPr>
            <w:tcW w:w="120" w:type="dxa"/>
            <w:vAlign w:val="bottom"/>
            <w:tcBorders>
              <w:bottom w:val="single" w:sz="8" w:color="auto"/>
            </w:tcBorders>
            <w:shd w:val="clear" w:color="auto" w:fill="CCECFF"/>
          </w:tcPr>
          <w:p>
            <w:pPr>
              <w:jc w:val="right"/>
              <w:ind w:right="9"/>
              <w:spacing w:after="0"/>
              <w:rPr>
                <w:sz w:val="20"/>
                <w:szCs w:val="20"/>
                <w:color w:val="auto"/>
              </w:rPr>
            </w:pPr>
            <w:r>
              <w:rPr>
                <w:rFonts w:ascii="Arial" w:cs="Arial" w:eastAsia="Arial" w:hAnsi="Arial"/>
                <w:sz w:val="10"/>
                <w:szCs w:val="10"/>
                <w:color w:val="auto"/>
                <w:w w:val="71"/>
              </w:rPr>
              <w:t>$</w:t>
            </w:r>
          </w:p>
        </w:tc>
        <w:tc>
          <w:tcPr>
            <w:tcW w:w="880" w:type="dxa"/>
            <w:vAlign w:val="bottom"/>
            <w:tcBorders>
              <w:bottom w:val="single" w:sz="8" w:color="auto"/>
            </w:tcBorders>
            <w:shd w:val="clear" w:color="auto" w:fill="CCECFF"/>
          </w:tcPr>
          <w:p>
            <w:pPr>
              <w:jc w:val="right"/>
              <w:spacing w:after="0" w:line="143" w:lineRule="exact"/>
              <w:rPr>
                <w:sz w:val="20"/>
                <w:szCs w:val="20"/>
                <w:color w:val="auto"/>
              </w:rPr>
            </w:pPr>
            <w:r>
              <w:rPr>
                <w:rFonts w:ascii="Arial" w:cs="Arial" w:eastAsia="Arial" w:hAnsi="Arial"/>
                <w:sz w:val="14"/>
                <w:szCs w:val="14"/>
                <w:color w:val="auto"/>
              </w:rPr>
              <w:t>0.18</w:t>
            </w:r>
          </w:p>
        </w:tc>
        <w:tc>
          <w:tcPr>
            <w:tcW w:w="220" w:type="dxa"/>
            <w:vAlign w:val="bottom"/>
            <w:tcBorders>
              <w:bottom w:val="single" w:sz="8" w:color="CCECFF"/>
            </w:tcBorders>
            <w:shd w:val="clear" w:color="auto" w:fill="CCECFF"/>
          </w:tcPr>
          <w:p>
            <w:pPr>
              <w:spacing w:after="0"/>
              <w:rPr>
                <w:sz w:val="12"/>
                <w:szCs w:val="12"/>
                <w:color w:val="auto"/>
              </w:rPr>
            </w:pPr>
          </w:p>
        </w:tc>
        <w:tc>
          <w:tcPr>
            <w:tcW w:w="180" w:type="dxa"/>
            <w:vAlign w:val="bottom"/>
            <w:tcBorders>
              <w:bottom w:val="single" w:sz="8" w:color="auto"/>
            </w:tcBorders>
            <w:shd w:val="clear" w:color="auto" w:fill="CCECFF"/>
          </w:tcPr>
          <w:p>
            <w:pPr>
              <w:jc w:val="right"/>
              <w:ind w:right="28"/>
              <w:spacing w:after="0" w:line="143" w:lineRule="exact"/>
              <w:rPr>
                <w:sz w:val="20"/>
                <w:szCs w:val="20"/>
                <w:color w:val="auto"/>
              </w:rPr>
            </w:pPr>
            <w:r>
              <w:rPr>
                <w:rFonts w:ascii="Arial" w:cs="Arial" w:eastAsia="Arial" w:hAnsi="Arial"/>
                <w:sz w:val="14"/>
                <w:szCs w:val="14"/>
                <w:color w:val="auto"/>
                <w:w w:val="76"/>
              </w:rPr>
              <w:t>$</w:t>
            </w:r>
          </w:p>
        </w:tc>
        <w:tc>
          <w:tcPr>
            <w:tcW w:w="840" w:type="dxa"/>
            <w:vAlign w:val="bottom"/>
            <w:tcBorders>
              <w:bottom w:val="single" w:sz="8" w:color="auto"/>
            </w:tcBorders>
            <w:shd w:val="clear" w:color="auto" w:fill="CCECFF"/>
          </w:tcPr>
          <w:p>
            <w:pPr>
              <w:jc w:val="right"/>
              <w:spacing w:after="0" w:line="143" w:lineRule="exact"/>
              <w:rPr>
                <w:sz w:val="20"/>
                <w:szCs w:val="20"/>
                <w:color w:val="auto"/>
              </w:rPr>
            </w:pPr>
            <w:r>
              <w:rPr>
                <w:rFonts w:ascii="Arial" w:cs="Arial" w:eastAsia="Arial" w:hAnsi="Arial"/>
                <w:sz w:val="14"/>
                <w:szCs w:val="14"/>
                <w:color w:val="auto"/>
              </w:rPr>
              <w:t>0.25</w:t>
            </w:r>
          </w:p>
        </w:tc>
        <w:tc>
          <w:tcPr>
            <w:tcW w:w="220" w:type="dxa"/>
            <w:vAlign w:val="bottom"/>
            <w:tcBorders>
              <w:bottom w:val="single" w:sz="8" w:color="CCECFF"/>
            </w:tcBorders>
            <w:shd w:val="clear" w:color="auto" w:fill="CCECFF"/>
          </w:tcPr>
          <w:p>
            <w:pPr>
              <w:spacing w:after="0"/>
              <w:rPr>
                <w:sz w:val="12"/>
                <w:szCs w:val="12"/>
                <w:color w:val="auto"/>
              </w:rPr>
            </w:pPr>
          </w:p>
        </w:tc>
        <w:tc>
          <w:tcPr>
            <w:tcW w:w="160" w:type="dxa"/>
            <w:vAlign w:val="bottom"/>
            <w:tcBorders>
              <w:bottom w:val="single" w:sz="8" w:color="auto"/>
            </w:tcBorders>
            <w:shd w:val="clear" w:color="auto" w:fill="CCECFF"/>
          </w:tcPr>
          <w:p>
            <w:pPr>
              <w:jc w:val="right"/>
              <w:ind w:right="8"/>
              <w:spacing w:after="0" w:line="143" w:lineRule="exact"/>
              <w:rPr>
                <w:sz w:val="20"/>
                <w:szCs w:val="20"/>
                <w:color w:val="auto"/>
              </w:rPr>
            </w:pPr>
            <w:r>
              <w:rPr>
                <w:rFonts w:ascii="Arial" w:cs="Arial" w:eastAsia="Arial" w:hAnsi="Arial"/>
                <w:sz w:val="14"/>
                <w:szCs w:val="14"/>
                <w:color w:val="auto"/>
                <w:w w:val="76"/>
              </w:rPr>
              <w:t>$</w:t>
            </w:r>
          </w:p>
        </w:tc>
        <w:tc>
          <w:tcPr>
            <w:tcW w:w="860" w:type="dxa"/>
            <w:vAlign w:val="bottom"/>
            <w:tcBorders>
              <w:bottom w:val="single" w:sz="8" w:color="auto"/>
            </w:tcBorders>
            <w:shd w:val="clear" w:color="auto" w:fill="CCECFF"/>
          </w:tcPr>
          <w:p>
            <w:pPr>
              <w:jc w:val="right"/>
              <w:spacing w:after="0" w:line="143" w:lineRule="exact"/>
              <w:rPr>
                <w:sz w:val="20"/>
                <w:szCs w:val="20"/>
                <w:color w:val="auto"/>
              </w:rPr>
            </w:pPr>
            <w:r>
              <w:rPr>
                <w:rFonts w:ascii="Arial" w:cs="Arial" w:eastAsia="Arial" w:hAnsi="Arial"/>
                <w:sz w:val="14"/>
                <w:szCs w:val="14"/>
                <w:color w:val="auto"/>
              </w:rPr>
              <w:t>0.61</w:t>
            </w:r>
          </w:p>
        </w:tc>
        <w:tc>
          <w:tcPr>
            <w:tcW w:w="220" w:type="dxa"/>
            <w:vAlign w:val="bottom"/>
            <w:tcBorders>
              <w:bottom w:val="single" w:sz="8" w:color="CCECFF"/>
            </w:tcBorders>
            <w:shd w:val="clear" w:color="auto" w:fill="CCECFF"/>
          </w:tcPr>
          <w:p>
            <w:pPr>
              <w:spacing w:after="0"/>
              <w:rPr>
                <w:sz w:val="12"/>
                <w:szCs w:val="12"/>
                <w:color w:val="auto"/>
              </w:rPr>
            </w:pPr>
          </w:p>
        </w:tc>
        <w:tc>
          <w:tcPr>
            <w:tcW w:w="200" w:type="dxa"/>
            <w:vAlign w:val="bottom"/>
            <w:tcBorders>
              <w:bottom w:val="single" w:sz="8" w:color="auto"/>
            </w:tcBorders>
            <w:shd w:val="clear" w:color="auto" w:fill="CCECFF"/>
          </w:tcPr>
          <w:p>
            <w:pPr>
              <w:jc w:val="right"/>
              <w:ind w:right="48"/>
              <w:spacing w:after="0" w:line="143" w:lineRule="exact"/>
              <w:rPr>
                <w:sz w:val="20"/>
                <w:szCs w:val="20"/>
                <w:color w:val="auto"/>
              </w:rPr>
            </w:pPr>
            <w:r>
              <w:rPr>
                <w:rFonts w:ascii="Arial" w:cs="Arial" w:eastAsia="Arial" w:hAnsi="Arial"/>
                <w:sz w:val="14"/>
                <w:szCs w:val="14"/>
                <w:color w:val="auto"/>
                <w:w w:val="76"/>
              </w:rPr>
              <w:t>$</w:t>
            </w:r>
          </w:p>
        </w:tc>
        <w:tc>
          <w:tcPr>
            <w:tcW w:w="840" w:type="dxa"/>
            <w:vAlign w:val="bottom"/>
            <w:tcBorders>
              <w:bottom w:val="single" w:sz="8" w:color="auto"/>
            </w:tcBorders>
            <w:shd w:val="clear" w:color="auto" w:fill="CCECFF"/>
          </w:tcPr>
          <w:p>
            <w:pPr>
              <w:jc w:val="right"/>
              <w:spacing w:after="0" w:line="143" w:lineRule="exact"/>
              <w:rPr>
                <w:sz w:val="20"/>
                <w:szCs w:val="20"/>
                <w:color w:val="auto"/>
              </w:rPr>
            </w:pPr>
            <w:r>
              <w:rPr>
                <w:rFonts w:ascii="Arial" w:cs="Arial" w:eastAsia="Arial" w:hAnsi="Arial"/>
                <w:sz w:val="14"/>
                <w:szCs w:val="14"/>
                <w:color w:val="auto"/>
              </w:rPr>
              <w:t>0.77</w:t>
            </w:r>
          </w:p>
        </w:tc>
        <w:tc>
          <w:tcPr>
            <w:tcW w:w="100" w:type="dxa"/>
            <w:vAlign w:val="bottom"/>
            <w:tcBorders>
              <w:bottom w:val="single" w:sz="8" w:color="CCECFF"/>
            </w:tcBorders>
            <w:shd w:val="clear" w:color="auto" w:fill="CCECFF"/>
          </w:tcPr>
          <w:p>
            <w:pPr>
              <w:spacing w:after="0"/>
              <w:rPr>
                <w:sz w:val="12"/>
                <w:szCs w:val="12"/>
                <w:color w:val="auto"/>
              </w:rPr>
            </w:pPr>
          </w:p>
        </w:tc>
      </w:tr>
      <w:tr>
        <w:trPr>
          <w:trHeight w:val="20"/>
        </w:trPr>
        <w:tc>
          <w:tcPr>
            <w:tcW w:w="592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346"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SEE NOTES TO CONSOLIDATED FINANCIAL STATEMENTS</w:t>
      </w:r>
    </w:p>
    <w:p>
      <w:pPr>
        <w:spacing w:after="0" w:line="136"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72390</wp:posOffset>
            </wp:positionV>
            <wp:extent cx="7149465" cy="171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333" w:right="339" w:bottom="1440" w:gutter="0" w:footer="0" w:header="0"/>
        </w:sectPr>
      </w:pPr>
    </w:p>
    <w:bookmarkStart w:id="5" w:name="page6"/>
    <w:bookmarkEnd w:id="5"/>
    <w:p>
      <w:pPr>
        <w:jc w:val="center"/>
        <w:spacing w:after="0"/>
        <w:rPr>
          <w:sz w:val="20"/>
          <w:szCs w:val="20"/>
          <w:color w:val="auto"/>
        </w:rPr>
      </w:pPr>
      <w:r>
        <w:rPr>
          <w:rFonts w:ascii="Arial" w:cs="Arial" w:eastAsia="Arial" w:hAnsi="Arial"/>
          <w:sz w:val="14"/>
          <w:szCs w:val="14"/>
          <w:b w:val="1"/>
          <w:bCs w:val="1"/>
          <w:color w:val="auto"/>
        </w:rPr>
        <w:t>PENNANTPARK INVESTMENT CORPORATION AND SUBSIDIARIES</w:t>
      </w:r>
    </w:p>
    <w:p>
      <w:pPr>
        <w:jc w:val="center"/>
        <w:spacing w:after="0" w:line="226" w:lineRule="auto"/>
        <w:rPr>
          <w:sz w:val="20"/>
          <w:szCs w:val="20"/>
          <w:color w:val="auto"/>
        </w:rPr>
      </w:pPr>
      <w:r>
        <w:rPr>
          <w:rFonts w:ascii="Arial" w:cs="Arial" w:eastAsia="Arial" w:hAnsi="Arial"/>
          <w:sz w:val="14"/>
          <w:szCs w:val="14"/>
          <w:b w:val="1"/>
          <w:bCs w:val="1"/>
          <w:color w:val="auto"/>
        </w:rPr>
        <w:t>CONSOLIDATED STATEMENTS OF CHANGES IN NET ASSETS</w:t>
      </w:r>
    </w:p>
    <w:p>
      <w:pPr>
        <w:jc w:val="center"/>
        <w:spacing w:after="0"/>
        <w:rPr>
          <w:sz w:val="20"/>
          <w:szCs w:val="20"/>
          <w:color w:val="auto"/>
        </w:rPr>
      </w:pPr>
      <w:r>
        <w:rPr>
          <w:rFonts w:ascii="Arial" w:cs="Arial" w:eastAsia="Arial" w:hAnsi="Arial"/>
          <w:sz w:val="14"/>
          <w:szCs w:val="14"/>
          <w:b w:val="1"/>
          <w:bCs w:val="1"/>
          <w:color w:val="auto"/>
        </w:rPr>
        <w:t>(Unaudited)</w:t>
      </w:r>
    </w:p>
    <w:p>
      <w:pPr>
        <w:spacing w:after="0" w:line="363"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772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3160" w:type="dxa"/>
            <w:vAlign w:val="bottom"/>
            <w:gridSpan w:val="5"/>
          </w:tcPr>
          <w:p>
            <w:pPr>
              <w:jc w:val="right"/>
              <w:ind w:right="940"/>
              <w:spacing w:after="0"/>
              <w:rPr>
                <w:sz w:val="20"/>
                <w:szCs w:val="20"/>
                <w:color w:val="auto"/>
              </w:rPr>
            </w:pPr>
            <w:r>
              <w:rPr>
                <w:rFonts w:ascii="Arial" w:cs="Arial" w:eastAsia="Arial" w:hAnsi="Arial"/>
                <w:sz w:val="14"/>
                <w:szCs w:val="14"/>
                <w:b w:val="1"/>
                <w:bCs w:val="1"/>
                <w:color w:val="auto"/>
              </w:rPr>
              <w:t>Nine Months Ended June 30,</w:t>
            </w:r>
          </w:p>
        </w:tc>
        <w:tc>
          <w:tcPr>
            <w:tcW w:w="0" w:type="dxa"/>
            <w:vAlign w:val="bottom"/>
          </w:tcPr>
          <w:p>
            <w:pPr>
              <w:spacing w:after="0"/>
              <w:rPr>
                <w:sz w:val="1"/>
                <w:szCs w:val="1"/>
                <w:color w:val="auto"/>
              </w:rPr>
            </w:pPr>
          </w:p>
        </w:tc>
      </w:tr>
      <w:tr>
        <w:trPr>
          <w:trHeight w:val="156"/>
        </w:trPr>
        <w:tc>
          <w:tcPr>
            <w:tcW w:w="7720" w:type="dxa"/>
            <w:vAlign w:val="bottom"/>
            <w:tcBorders>
              <w:bottom w:val="single" w:sz="8" w:color="CCECFF"/>
            </w:tcBorders>
          </w:tcPr>
          <w:p>
            <w:pPr>
              <w:spacing w:after="0"/>
              <w:rPr>
                <w:sz w:val="13"/>
                <w:szCs w:val="13"/>
                <w:color w:val="auto"/>
              </w:rPr>
            </w:pPr>
          </w:p>
        </w:tc>
        <w:tc>
          <w:tcPr>
            <w:tcW w:w="360" w:type="dxa"/>
            <w:vAlign w:val="bottom"/>
            <w:tcBorders>
              <w:top w:val="single" w:sz="8" w:color="auto"/>
              <w:bottom w:val="single" w:sz="8" w:color="auto"/>
            </w:tcBorders>
          </w:tcPr>
          <w:p>
            <w:pPr>
              <w:spacing w:after="0"/>
              <w:rPr>
                <w:sz w:val="13"/>
                <w:szCs w:val="13"/>
                <w:color w:val="auto"/>
              </w:rPr>
            </w:pPr>
          </w:p>
        </w:tc>
        <w:tc>
          <w:tcPr>
            <w:tcW w:w="1200" w:type="dxa"/>
            <w:vAlign w:val="bottom"/>
            <w:tcBorders>
              <w:top w:val="single" w:sz="8" w:color="auto"/>
              <w:bottom w:val="single" w:sz="8" w:color="auto"/>
            </w:tcBorders>
          </w:tcPr>
          <w:p>
            <w:pPr>
              <w:jc w:val="right"/>
              <w:ind w:right="568"/>
              <w:spacing w:after="0" w:line="155" w:lineRule="exact"/>
              <w:rPr>
                <w:sz w:val="20"/>
                <w:szCs w:val="20"/>
                <w:color w:val="auto"/>
              </w:rPr>
            </w:pPr>
            <w:r>
              <w:rPr>
                <w:rFonts w:ascii="Arial" w:cs="Arial" w:eastAsia="Arial" w:hAnsi="Arial"/>
                <w:sz w:val="14"/>
                <w:szCs w:val="14"/>
                <w:b w:val="1"/>
                <w:bCs w:val="1"/>
                <w:color w:val="auto"/>
              </w:rPr>
              <w:t>2017</w:t>
            </w:r>
          </w:p>
        </w:tc>
        <w:tc>
          <w:tcPr>
            <w:tcW w:w="280" w:type="dxa"/>
            <w:vAlign w:val="bottom"/>
            <w:tcBorders>
              <w:top w:val="single" w:sz="8" w:color="auto"/>
              <w:bottom w:val="single" w:sz="8" w:color="CCECFF"/>
            </w:tcBorders>
          </w:tcPr>
          <w:p>
            <w:pPr>
              <w:spacing w:after="0"/>
              <w:rPr>
                <w:sz w:val="13"/>
                <w:szCs w:val="13"/>
                <w:color w:val="auto"/>
              </w:rPr>
            </w:pPr>
          </w:p>
        </w:tc>
        <w:tc>
          <w:tcPr>
            <w:tcW w:w="360" w:type="dxa"/>
            <w:vAlign w:val="bottom"/>
            <w:tcBorders>
              <w:top w:val="single" w:sz="8" w:color="auto"/>
              <w:bottom w:val="single" w:sz="8" w:color="auto"/>
            </w:tcBorders>
          </w:tcPr>
          <w:p>
            <w:pPr>
              <w:spacing w:after="0"/>
              <w:rPr>
                <w:sz w:val="13"/>
                <w:szCs w:val="13"/>
                <w:color w:val="auto"/>
              </w:rPr>
            </w:pPr>
          </w:p>
        </w:tc>
        <w:tc>
          <w:tcPr>
            <w:tcW w:w="1200" w:type="dxa"/>
            <w:vAlign w:val="bottom"/>
            <w:tcBorders>
              <w:top w:val="single" w:sz="8" w:color="auto"/>
              <w:bottom w:val="single" w:sz="8" w:color="auto"/>
            </w:tcBorders>
          </w:tcPr>
          <w:p>
            <w:pPr>
              <w:jc w:val="right"/>
              <w:ind w:right="568"/>
              <w:spacing w:after="0" w:line="155" w:lineRule="exact"/>
              <w:rPr>
                <w:sz w:val="20"/>
                <w:szCs w:val="20"/>
                <w:color w:val="auto"/>
              </w:rPr>
            </w:pPr>
            <w:r>
              <w:rPr>
                <w:rFonts w:ascii="Arial" w:cs="Arial" w:eastAsia="Arial" w:hAnsi="Arial"/>
                <w:sz w:val="14"/>
                <w:szCs w:val="14"/>
                <w:b w:val="1"/>
                <w:bCs w:val="1"/>
                <w:color w:val="auto"/>
              </w:rPr>
              <w:t>2016</w:t>
            </w:r>
          </w:p>
        </w:tc>
        <w:tc>
          <w:tcPr>
            <w:tcW w:w="120" w:type="dxa"/>
            <w:vAlign w:val="bottom"/>
            <w:tcBorders>
              <w:bottom w:val="single" w:sz="8" w:color="CCECFF"/>
            </w:tcBorders>
          </w:tcPr>
          <w:p>
            <w:pPr>
              <w:spacing w:after="0"/>
              <w:rPr>
                <w:sz w:val="13"/>
                <w:szCs w:val="13"/>
                <w:color w:val="auto"/>
              </w:rPr>
            </w:pPr>
          </w:p>
        </w:tc>
        <w:tc>
          <w:tcPr>
            <w:tcW w:w="0" w:type="dxa"/>
            <w:vAlign w:val="bottom"/>
          </w:tcPr>
          <w:p>
            <w:pPr>
              <w:spacing w:after="0"/>
              <w:rPr>
                <w:sz w:val="1"/>
                <w:szCs w:val="1"/>
                <w:color w:val="auto"/>
              </w:rPr>
            </w:pPr>
          </w:p>
        </w:tc>
      </w:tr>
      <w:tr>
        <w:trPr>
          <w:trHeight w:val="155"/>
        </w:trPr>
        <w:tc>
          <w:tcPr>
            <w:tcW w:w="7720" w:type="dxa"/>
            <w:vAlign w:val="bottom"/>
            <w:shd w:val="clear" w:color="auto" w:fill="CCECFF"/>
          </w:tcPr>
          <w:p>
            <w:pPr>
              <w:spacing w:after="0" w:line="155" w:lineRule="exact"/>
              <w:rPr>
                <w:sz w:val="20"/>
                <w:szCs w:val="20"/>
                <w:color w:val="auto"/>
              </w:rPr>
            </w:pPr>
            <w:r>
              <w:rPr>
                <w:rFonts w:ascii="Arial" w:cs="Arial" w:eastAsia="Arial" w:hAnsi="Arial"/>
                <w:sz w:val="14"/>
                <w:szCs w:val="14"/>
                <w:b w:val="1"/>
                <w:bCs w:val="1"/>
                <w:color w:val="auto"/>
              </w:rPr>
              <w:t>Net increase (decrease) in net assets from operations:</w:t>
            </w:r>
          </w:p>
        </w:tc>
        <w:tc>
          <w:tcPr>
            <w:tcW w:w="360" w:type="dxa"/>
            <w:vAlign w:val="bottom"/>
            <w:shd w:val="clear" w:color="auto" w:fill="CCECFF"/>
          </w:tcPr>
          <w:p>
            <w:pPr>
              <w:spacing w:after="0"/>
              <w:rPr>
                <w:sz w:val="13"/>
                <w:szCs w:val="13"/>
                <w:color w:val="auto"/>
              </w:rPr>
            </w:pPr>
          </w:p>
        </w:tc>
        <w:tc>
          <w:tcPr>
            <w:tcW w:w="1200" w:type="dxa"/>
            <w:vAlign w:val="bottom"/>
            <w:shd w:val="clear" w:color="auto" w:fill="CCECFF"/>
          </w:tcPr>
          <w:p>
            <w:pPr>
              <w:spacing w:after="0"/>
              <w:rPr>
                <w:sz w:val="13"/>
                <w:szCs w:val="13"/>
                <w:color w:val="auto"/>
              </w:rPr>
            </w:pPr>
          </w:p>
        </w:tc>
        <w:tc>
          <w:tcPr>
            <w:tcW w:w="280" w:type="dxa"/>
            <w:vAlign w:val="bottom"/>
            <w:shd w:val="clear" w:color="auto" w:fill="CCECFF"/>
          </w:tcPr>
          <w:p>
            <w:pPr>
              <w:spacing w:after="0"/>
              <w:rPr>
                <w:sz w:val="13"/>
                <w:szCs w:val="13"/>
                <w:color w:val="auto"/>
              </w:rPr>
            </w:pPr>
          </w:p>
        </w:tc>
        <w:tc>
          <w:tcPr>
            <w:tcW w:w="360" w:type="dxa"/>
            <w:vAlign w:val="bottom"/>
            <w:shd w:val="clear" w:color="auto" w:fill="CCECFF"/>
          </w:tcPr>
          <w:p>
            <w:pPr>
              <w:spacing w:after="0"/>
              <w:rPr>
                <w:sz w:val="13"/>
                <w:szCs w:val="13"/>
                <w:color w:val="auto"/>
              </w:rPr>
            </w:pPr>
          </w:p>
        </w:tc>
        <w:tc>
          <w:tcPr>
            <w:tcW w:w="1200" w:type="dxa"/>
            <w:vAlign w:val="bottom"/>
            <w:shd w:val="clear" w:color="auto" w:fill="CCECFF"/>
          </w:tcPr>
          <w:p>
            <w:pPr>
              <w:spacing w:after="0"/>
              <w:rPr>
                <w:sz w:val="13"/>
                <w:szCs w:val="13"/>
                <w:color w:val="auto"/>
              </w:rPr>
            </w:pPr>
          </w:p>
        </w:tc>
        <w:tc>
          <w:tcPr>
            <w:tcW w:w="120" w:type="dxa"/>
            <w:vAlign w:val="bottom"/>
            <w:shd w:val="clear" w:color="auto" w:fill="CCECFF"/>
          </w:tcPr>
          <w:p>
            <w:pPr>
              <w:spacing w:after="0"/>
              <w:rPr>
                <w:sz w:val="13"/>
                <w:szCs w:val="13"/>
                <w:color w:val="auto"/>
              </w:rPr>
            </w:pPr>
          </w:p>
        </w:tc>
        <w:tc>
          <w:tcPr>
            <w:tcW w:w="0" w:type="dxa"/>
            <w:vAlign w:val="bottom"/>
          </w:tcPr>
          <w:p>
            <w:pPr>
              <w:spacing w:after="0"/>
              <w:rPr>
                <w:sz w:val="1"/>
                <w:szCs w:val="1"/>
                <w:color w:val="auto"/>
              </w:rPr>
            </w:pPr>
          </w:p>
        </w:tc>
      </w:tr>
      <w:tr>
        <w:trPr>
          <w:trHeight w:val="162"/>
        </w:trPr>
        <w:tc>
          <w:tcPr>
            <w:tcW w:w="7720" w:type="dxa"/>
            <w:vAlign w:val="bottom"/>
          </w:tcPr>
          <w:p>
            <w:pPr>
              <w:ind w:left="260"/>
              <w:spacing w:after="0"/>
              <w:rPr>
                <w:sz w:val="20"/>
                <w:szCs w:val="20"/>
                <w:color w:val="auto"/>
              </w:rPr>
            </w:pPr>
            <w:r>
              <w:rPr>
                <w:rFonts w:ascii="Arial" w:cs="Arial" w:eastAsia="Arial" w:hAnsi="Arial"/>
                <w:sz w:val="14"/>
                <w:szCs w:val="14"/>
                <w:color w:val="auto"/>
              </w:rPr>
              <w:t>Net investment income</w:t>
            </w:r>
          </w:p>
        </w:tc>
        <w:tc>
          <w:tcPr>
            <w:tcW w:w="360" w:type="dxa"/>
            <w:vAlign w:val="bottom"/>
          </w:tcPr>
          <w:p>
            <w:pPr>
              <w:jc w:val="right"/>
              <w:ind w:right="208"/>
              <w:spacing w:after="0"/>
              <w:rPr>
                <w:sz w:val="20"/>
                <w:szCs w:val="20"/>
                <w:color w:val="auto"/>
              </w:rPr>
            </w:pPr>
            <w:r>
              <w:rPr>
                <w:rFonts w:ascii="Arial" w:cs="Arial" w:eastAsia="Arial" w:hAnsi="Arial"/>
                <w:sz w:val="14"/>
                <w:szCs w:val="14"/>
                <w:color w:val="auto"/>
                <w:w w:val="76"/>
              </w:rPr>
              <w:t>$</w:t>
            </w:r>
          </w:p>
        </w:tc>
        <w:tc>
          <w:tcPr>
            <w:tcW w:w="1200" w:type="dxa"/>
            <w:vAlign w:val="bottom"/>
          </w:tcPr>
          <w:p>
            <w:pPr>
              <w:jc w:val="right"/>
              <w:spacing w:after="0"/>
              <w:rPr>
                <w:sz w:val="20"/>
                <w:szCs w:val="20"/>
                <w:color w:val="auto"/>
              </w:rPr>
            </w:pPr>
            <w:r>
              <w:rPr>
                <w:rFonts w:ascii="Arial" w:cs="Arial" w:eastAsia="Arial" w:hAnsi="Arial"/>
                <w:sz w:val="14"/>
                <w:szCs w:val="14"/>
                <w:color w:val="auto"/>
              </w:rPr>
              <w:t>43,669,954</w:t>
            </w:r>
          </w:p>
        </w:tc>
        <w:tc>
          <w:tcPr>
            <w:tcW w:w="280" w:type="dxa"/>
            <w:vAlign w:val="bottom"/>
          </w:tcPr>
          <w:p>
            <w:pPr>
              <w:spacing w:after="0"/>
              <w:rPr>
                <w:sz w:val="14"/>
                <w:szCs w:val="14"/>
                <w:color w:val="auto"/>
              </w:rPr>
            </w:pPr>
          </w:p>
        </w:tc>
        <w:tc>
          <w:tcPr>
            <w:tcW w:w="360" w:type="dxa"/>
            <w:vAlign w:val="bottom"/>
          </w:tcPr>
          <w:p>
            <w:pPr>
              <w:jc w:val="right"/>
              <w:ind w:right="208"/>
              <w:spacing w:after="0"/>
              <w:rPr>
                <w:sz w:val="20"/>
                <w:szCs w:val="20"/>
                <w:color w:val="auto"/>
              </w:rPr>
            </w:pPr>
            <w:r>
              <w:rPr>
                <w:rFonts w:ascii="Arial" w:cs="Arial" w:eastAsia="Arial" w:hAnsi="Arial"/>
                <w:sz w:val="14"/>
                <w:szCs w:val="14"/>
                <w:color w:val="auto"/>
                <w:w w:val="76"/>
              </w:rPr>
              <w:t>$</w:t>
            </w:r>
          </w:p>
        </w:tc>
        <w:tc>
          <w:tcPr>
            <w:tcW w:w="1200" w:type="dxa"/>
            <w:vAlign w:val="bottom"/>
          </w:tcPr>
          <w:p>
            <w:pPr>
              <w:jc w:val="right"/>
              <w:spacing w:after="0"/>
              <w:rPr>
                <w:sz w:val="20"/>
                <w:szCs w:val="20"/>
                <w:color w:val="auto"/>
              </w:rPr>
            </w:pPr>
            <w:r>
              <w:rPr>
                <w:rFonts w:ascii="Arial" w:cs="Arial" w:eastAsia="Arial" w:hAnsi="Arial"/>
                <w:sz w:val="14"/>
                <w:szCs w:val="14"/>
                <w:color w:val="auto"/>
              </w:rPr>
              <w:t>55,457,377</w:t>
            </w: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7720" w:type="dxa"/>
            <w:vAlign w:val="bottom"/>
            <w:shd w:val="clear" w:color="auto" w:fill="CCECFF"/>
          </w:tcPr>
          <w:p>
            <w:pPr>
              <w:ind w:left="260"/>
              <w:spacing w:after="0"/>
              <w:rPr>
                <w:sz w:val="20"/>
                <w:szCs w:val="20"/>
                <w:color w:val="auto"/>
              </w:rPr>
            </w:pPr>
            <w:r>
              <w:rPr>
                <w:rFonts w:ascii="Arial" w:cs="Arial" w:eastAsia="Arial" w:hAnsi="Arial"/>
                <w:sz w:val="14"/>
                <w:szCs w:val="14"/>
                <w:color w:val="auto"/>
              </w:rPr>
              <w:t>Net realized loss on investments</w:t>
            </w:r>
          </w:p>
        </w:tc>
        <w:tc>
          <w:tcPr>
            <w:tcW w:w="360" w:type="dxa"/>
            <w:vAlign w:val="bottom"/>
            <w:shd w:val="clear" w:color="auto" w:fill="CCECFF"/>
          </w:tcPr>
          <w:p>
            <w:pPr>
              <w:spacing w:after="0"/>
              <w:rPr>
                <w:sz w:val="14"/>
                <w:szCs w:val="14"/>
                <w:color w:val="auto"/>
              </w:rPr>
            </w:pPr>
          </w:p>
        </w:tc>
        <w:tc>
          <w:tcPr>
            <w:tcW w:w="1480" w:type="dxa"/>
            <w:vAlign w:val="bottom"/>
            <w:gridSpan w:val="2"/>
            <w:shd w:val="clear" w:color="auto" w:fill="CCECFF"/>
          </w:tcPr>
          <w:p>
            <w:pPr>
              <w:jc w:val="right"/>
              <w:ind w:right="220"/>
              <w:spacing w:after="0"/>
              <w:rPr>
                <w:sz w:val="20"/>
                <w:szCs w:val="20"/>
                <w:color w:val="auto"/>
              </w:rPr>
            </w:pPr>
            <w:r>
              <w:rPr>
                <w:rFonts w:ascii="Arial" w:cs="Arial" w:eastAsia="Arial" w:hAnsi="Arial"/>
                <w:sz w:val="14"/>
                <w:szCs w:val="14"/>
                <w:color w:val="auto"/>
              </w:rPr>
              <w:t>(30,790,310)</w:t>
            </w:r>
          </w:p>
        </w:tc>
        <w:tc>
          <w:tcPr>
            <w:tcW w:w="360" w:type="dxa"/>
            <w:vAlign w:val="bottom"/>
            <w:shd w:val="clear" w:color="auto" w:fill="CCECFF"/>
          </w:tcPr>
          <w:p>
            <w:pPr>
              <w:spacing w:after="0"/>
              <w:rPr>
                <w:sz w:val="14"/>
                <w:szCs w:val="14"/>
                <w:color w:val="auto"/>
              </w:rPr>
            </w:pPr>
          </w:p>
        </w:tc>
        <w:tc>
          <w:tcPr>
            <w:tcW w:w="1320" w:type="dxa"/>
            <w:vAlign w:val="bottom"/>
            <w:gridSpan w:val="2"/>
            <w:shd w:val="clear" w:color="auto" w:fill="CCECFF"/>
          </w:tcPr>
          <w:p>
            <w:pPr>
              <w:jc w:val="right"/>
              <w:ind w:right="80"/>
              <w:spacing w:after="0"/>
              <w:rPr>
                <w:sz w:val="20"/>
                <w:szCs w:val="20"/>
                <w:color w:val="auto"/>
              </w:rPr>
            </w:pPr>
            <w:r>
              <w:rPr>
                <w:rFonts w:ascii="Arial" w:cs="Arial" w:eastAsia="Arial" w:hAnsi="Arial"/>
                <w:sz w:val="14"/>
                <w:szCs w:val="14"/>
                <w:color w:val="auto"/>
              </w:rPr>
              <w:t>(82,092,448)</w:t>
            </w:r>
          </w:p>
        </w:tc>
        <w:tc>
          <w:tcPr>
            <w:tcW w:w="0" w:type="dxa"/>
            <w:vAlign w:val="bottom"/>
          </w:tcPr>
          <w:p>
            <w:pPr>
              <w:spacing w:after="0"/>
              <w:rPr>
                <w:sz w:val="1"/>
                <w:szCs w:val="1"/>
                <w:color w:val="auto"/>
              </w:rPr>
            </w:pPr>
          </w:p>
        </w:tc>
      </w:tr>
      <w:tr>
        <w:trPr>
          <w:trHeight w:val="162"/>
        </w:trPr>
        <w:tc>
          <w:tcPr>
            <w:tcW w:w="7720" w:type="dxa"/>
            <w:vAlign w:val="bottom"/>
          </w:tcPr>
          <w:p>
            <w:pPr>
              <w:ind w:left="260"/>
              <w:spacing w:after="0"/>
              <w:rPr>
                <w:sz w:val="20"/>
                <w:szCs w:val="20"/>
                <w:color w:val="auto"/>
              </w:rPr>
            </w:pPr>
            <w:r>
              <w:rPr>
                <w:rFonts w:ascii="Arial" w:cs="Arial" w:eastAsia="Arial" w:hAnsi="Arial"/>
                <w:sz w:val="14"/>
                <w:szCs w:val="14"/>
                <w:color w:val="auto"/>
              </w:rPr>
              <w:t>Net change in unrealized appreciation on investments</w:t>
            </w:r>
          </w:p>
        </w:tc>
        <w:tc>
          <w:tcPr>
            <w:tcW w:w="360" w:type="dxa"/>
            <w:vAlign w:val="bottom"/>
          </w:tcPr>
          <w:p>
            <w:pPr>
              <w:spacing w:after="0"/>
              <w:rPr>
                <w:sz w:val="14"/>
                <w:szCs w:val="14"/>
                <w:color w:val="auto"/>
              </w:rPr>
            </w:pPr>
          </w:p>
        </w:tc>
        <w:tc>
          <w:tcPr>
            <w:tcW w:w="1200" w:type="dxa"/>
            <w:vAlign w:val="bottom"/>
          </w:tcPr>
          <w:p>
            <w:pPr>
              <w:jc w:val="right"/>
              <w:spacing w:after="0"/>
              <w:rPr>
                <w:sz w:val="20"/>
                <w:szCs w:val="20"/>
                <w:color w:val="auto"/>
              </w:rPr>
            </w:pPr>
            <w:r>
              <w:rPr>
                <w:rFonts w:ascii="Arial" w:cs="Arial" w:eastAsia="Arial" w:hAnsi="Arial"/>
                <w:sz w:val="14"/>
                <w:szCs w:val="14"/>
                <w:color w:val="auto"/>
              </w:rPr>
              <w:t>43,831,943</w:t>
            </w:r>
          </w:p>
        </w:tc>
        <w:tc>
          <w:tcPr>
            <w:tcW w:w="2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200" w:type="dxa"/>
            <w:vAlign w:val="bottom"/>
          </w:tcPr>
          <w:p>
            <w:pPr>
              <w:jc w:val="right"/>
              <w:spacing w:after="0"/>
              <w:rPr>
                <w:sz w:val="20"/>
                <w:szCs w:val="20"/>
                <w:color w:val="auto"/>
              </w:rPr>
            </w:pPr>
            <w:r>
              <w:rPr>
                <w:rFonts w:ascii="Arial" w:cs="Arial" w:eastAsia="Arial" w:hAnsi="Arial"/>
                <w:sz w:val="14"/>
                <w:szCs w:val="14"/>
                <w:color w:val="auto"/>
              </w:rPr>
              <w:t>2,095,728</w:t>
            </w: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7720" w:type="dxa"/>
            <w:vAlign w:val="bottom"/>
            <w:shd w:val="clear" w:color="auto" w:fill="CCECFF"/>
          </w:tcPr>
          <w:p>
            <w:pPr>
              <w:ind w:left="260"/>
              <w:spacing w:after="0"/>
              <w:rPr>
                <w:sz w:val="20"/>
                <w:szCs w:val="20"/>
                <w:color w:val="auto"/>
              </w:rPr>
            </w:pPr>
            <w:r>
              <w:rPr>
                <w:rFonts w:ascii="Arial" w:cs="Arial" w:eastAsia="Arial" w:hAnsi="Arial"/>
                <w:sz w:val="14"/>
                <w:szCs w:val="14"/>
                <w:color w:val="auto"/>
              </w:rPr>
              <w:t>Net change in unrealized (appreciation) depreciation on debt</w:t>
            </w:r>
          </w:p>
        </w:tc>
        <w:tc>
          <w:tcPr>
            <w:tcW w:w="360" w:type="dxa"/>
            <w:vAlign w:val="bottom"/>
            <w:shd w:val="clear" w:color="auto" w:fill="CCECFF"/>
          </w:tcPr>
          <w:p>
            <w:pPr>
              <w:spacing w:after="0"/>
              <w:rPr>
                <w:sz w:val="14"/>
                <w:szCs w:val="14"/>
                <w:color w:val="auto"/>
              </w:rPr>
            </w:pPr>
          </w:p>
        </w:tc>
        <w:tc>
          <w:tcPr>
            <w:tcW w:w="1480" w:type="dxa"/>
            <w:vAlign w:val="bottom"/>
            <w:gridSpan w:val="2"/>
            <w:shd w:val="clear" w:color="auto" w:fill="CCECFF"/>
          </w:tcPr>
          <w:p>
            <w:pPr>
              <w:jc w:val="right"/>
              <w:ind w:right="220"/>
              <w:spacing w:after="0"/>
              <w:rPr>
                <w:sz w:val="20"/>
                <w:szCs w:val="20"/>
                <w:color w:val="auto"/>
              </w:rPr>
            </w:pPr>
            <w:r>
              <w:rPr>
                <w:rFonts w:ascii="Arial" w:cs="Arial" w:eastAsia="Arial" w:hAnsi="Arial"/>
                <w:sz w:val="14"/>
                <w:szCs w:val="14"/>
                <w:color w:val="auto"/>
              </w:rPr>
              <w:t>(2,423,726)</w:t>
            </w:r>
          </w:p>
        </w:tc>
        <w:tc>
          <w:tcPr>
            <w:tcW w:w="360" w:type="dxa"/>
            <w:vAlign w:val="bottom"/>
            <w:shd w:val="clear" w:color="auto" w:fill="CCECFF"/>
          </w:tcPr>
          <w:p>
            <w:pPr>
              <w:spacing w:after="0"/>
              <w:rPr>
                <w:sz w:val="14"/>
                <w:szCs w:val="14"/>
                <w:color w:val="auto"/>
              </w:rPr>
            </w:pPr>
          </w:p>
        </w:tc>
        <w:tc>
          <w:tcPr>
            <w:tcW w:w="1200" w:type="dxa"/>
            <w:vAlign w:val="bottom"/>
            <w:shd w:val="clear" w:color="auto" w:fill="CCECFF"/>
          </w:tcPr>
          <w:p>
            <w:pPr>
              <w:jc w:val="right"/>
              <w:spacing w:after="0"/>
              <w:rPr>
                <w:sz w:val="20"/>
                <w:szCs w:val="20"/>
                <w:color w:val="auto"/>
              </w:rPr>
            </w:pPr>
            <w:r>
              <w:rPr>
                <w:rFonts w:ascii="Arial" w:cs="Arial" w:eastAsia="Arial" w:hAnsi="Arial"/>
                <w:sz w:val="14"/>
                <w:szCs w:val="14"/>
                <w:color w:val="auto"/>
              </w:rPr>
              <w:t>15,566,671</w:t>
            </w:r>
          </w:p>
        </w:tc>
        <w:tc>
          <w:tcPr>
            <w:tcW w:w="120" w:type="dxa"/>
            <w:vAlign w:val="bottom"/>
            <w:shd w:val="clear" w:color="auto" w:fill="CCECFF"/>
          </w:tcPr>
          <w:p>
            <w:pPr>
              <w:spacing w:after="0"/>
              <w:rPr>
                <w:sz w:val="14"/>
                <w:szCs w:val="14"/>
                <w:color w:val="auto"/>
              </w:rPr>
            </w:pPr>
          </w:p>
        </w:tc>
        <w:tc>
          <w:tcPr>
            <w:tcW w:w="0" w:type="dxa"/>
            <w:vAlign w:val="bottom"/>
          </w:tcPr>
          <w:p>
            <w:pPr>
              <w:spacing w:after="0"/>
              <w:rPr>
                <w:sz w:val="1"/>
                <w:szCs w:val="1"/>
                <w:color w:val="auto"/>
              </w:rPr>
            </w:pPr>
          </w:p>
        </w:tc>
      </w:tr>
      <w:tr>
        <w:trPr>
          <w:trHeight w:val="155"/>
        </w:trPr>
        <w:tc>
          <w:tcPr>
            <w:tcW w:w="7720" w:type="dxa"/>
            <w:vAlign w:val="bottom"/>
            <w:tcBorders>
              <w:bottom w:val="single" w:sz="8" w:color="CCECFF"/>
            </w:tcBorders>
          </w:tcPr>
          <w:p>
            <w:pPr>
              <w:ind w:left="260"/>
              <w:spacing w:after="0" w:line="155" w:lineRule="exact"/>
              <w:rPr>
                <w:sz w:val="20"/>
                <w:szCs w:val="20"/>
                <w:color w:val="auto"/>
              </w:rPr>
            </w:pPr>
            <w:r>
              <w:rPr>
                <w:rFonts w:ascii="Arial" w:cs="Arial" w:eastAsia="Arial" w:hAnsi="Arial"/>
                <w:sz w:val="14"/>
                <w:szCs w:val="14"/>
                <w:b w:val="1"/>
                <w:bCs w:val="1"/>
                <w:color w:val="auto"/>
              </w:rPr>
              <w:t>Net increase (decrease) in net assets resulting from operations</w:t>
            </w:r>
          </w:p>
        </w:tc>
        <w:tc>
          <w:tcPr>
            <w:tcW w:w="360" w:type="dxa"/>
            <w:vAlign w:val="bottom"/>
            <w:tcBorders>
              <w:top w:val="single" w:sz="8" w:color="auto"/>
              <w:bottom w:val="single" w:sz="8" w:color="auto"/>
            </w:tcBorders>
          </w:tcPr>
          <w:p>
            <w:pPr>
              <w:spacing w:after="0"/>
              <w:rPr>
                <w:sz w:val="13"/>
                <w:szCs w:val="13"/>
                <w:color w:val="auto"/>
              </w:rPr>
            </w:pPr>
          </w:p>
        </w:tc>
        <w:tc>
          <w:tcPr>
            <w:tcW w:w="120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54,287,861</w:t>
            </w:r>
          </w:p>
        </w:tc>
        <w:tc>
          <w:tcPr>
            <w:tcW w:w="280" w:type="dxa"/>
            <w:vAlign w:val="bottom"/>
            <w:tcBorders>
              <w:bottom w:val="single" w:sz="8" w:color="CCECFF"/>
            </w:tcBorders>
          </w:tcPr>
          <w:p>
            <w:pPr>
              <w:spacing w:after="0"/>
              <w:rPr>
                <w:sz w:val="13"/>
                <w:szCs w:val="13"/>
                <w:color w:val="auto"/>
              </w:rPr>
            </w:pPr>
          </w:p>
        </w:tc>
        <w:tc>
          <w:tcPr>
            <w:tcW w:w="360" w:type="dxa"/>
            <w:vAlign w:val="bottom"/>
            <w:tcBorders>
              <w:top w:val="single" w:sz="8" w:color="auto"/>
              <w:bottom w:val="single" w:sz="8" w:color="auto"/>
            </w:tcBorders>
          </w:tcPr>
          <w:p>
            <w:pPr>
              <w:spacing w:after="0"/>
              <w:rPr>
                <w:sz w:val="13"/>
                <w:szCs w:val="13"/>
                <w:color w:val="auto"/>
              </w:rPr>
            </w:pPr>
          </w:p>
        </w:tc>
        <w:tc>
          <w:tcPr>
            <w:tcW w:w="120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(8,972,672)</w:t>
            </w:r>
          </w:p>
        </w:tc>
        <w:tc>
          <w:tcPr>
            <w:tcW w:w="120" w:type="dxa"/>
            <w:vAlign w:val="bottom"/>
            <w:tcBorders>
              <w:bottom w:val="single" w:sz="8" w:color="CCECFF"/>
            </w:tcBorders>
          </w:tcPr>
          <w:p>
            <w:pPr>
              <w:spacing w:after="0"/>
              <w:rPr>
                <w:sz w:val="13"/>
                <w:szCs w:val="13"/>
                <w:color w:val="auto"/>
              </w:rPr>
            </w:pPr>
          </w:p>
        </w:tc>
        <w:tc>
          <w:tcPr>
            <w:tcW w:w="0" w:type="dxa"/>
            <w:vAlign w:val="bottom"/>
          </w:tcPr>
          <w:p>
            <w:pPr>
              <w:spacing w:after="0"/>
              <w:rPr>
                <w:sz w:val="1"/>
                <w:szCs w:val="1"/>
                <w:color w:val="auto"/>
              </w:rPr>
            </w:pPr>
          </w:p>
        </w:tc>
      </w:tr>
      <w:tr>
        <w:trPr>
          <w:trHeight w:val="156"/>
        </w:trPr>
        <w:tc>
          <w:tcPr>
            <w:tcW w:w="7720" w:type="dxa"/>
            <w:vAlign w:val="bottom"/>
            <w:shd w:val="clear" w:color="auto" w:fill="CCECFF"/>
          </w:tcPr>
          <w:p>
            <w:pPr>
              <w:spacing w:after="0" w:line="155" w:lineRule="exact"/>
              <w:rPr>
                <w:sz w:val="20"/>
                <w:szCs w:val="20"/>
                <w:color w:val="auto"/>
              </w:rPr>
            </w:pPr>
            <w:r>
              <w:rPr>
                <w:rFonts w:ascii="Arial" w:cs="Arial" w:eastAsia="Arial" w:hAnsi="Arial"/>
                <w:sz w:val="14"/>
                <w:szCs w:val="14"/>
                <w:b w:val="1"/>
                <w:bCs w:val="1"/>
                <w:color w:val="auto"/>
              </w:rPr>
              <w:t>Distributions to stockholders:</w:t>
            </w:r>
          </w:p>
        </w:tc>
        <w:tc>
          <w:tcPr>
            <w:tcW w:w="360" w:type="dxa"/>
            <w:vAlign w:val="bottom"/>
            <w:tcBorders>
              <w:bottom w:val="single" w:sz="8" w:color="auto"/>
            </w:tcBorders>
            <w:shd w:val="clear" w:color="auto" w:fill="CCECFF"/>
          </w:tcPr>
          <w:p>
            <w:pPr>
              <w:spacing w:after="0"/>
              <w:rPr>
                <w:sz w:val="13"/>
                <w:szCs w:val="13"/>
                <w:color w:val="auto"/>
              </w:rPr>
            </w:pPr>
          </w:p>
        </w:tc>
        <w:tc>
          <w:tcPr>
            <w:tcW w:w="1200" w:type="dxa"/>
            <w:vAlign w:val="bottom"/>
            <w:tcBorders>
              <w:bottom w:val="single" w:sz="8" w:color="auto"/>
            </w:tcBorders>
            <w:shd w:val="clear" w:color="auto" w:fill="CCECFF"/>
          </w:tcPr>
          <w:p>
            <w:pPr>
              <w:jc w:val="right"/>
              <w:spacing w:after="0" w:line="155" w:lineRule="exact"/>
              <w:rPr>
                <w:sz w:val="20"/>
                <w:szCs w:val="20"/>
                <w:color w:val="auto"/>
              </w:rPr>
            </w:pPr>
            <w:r>
              <w:rPr>
                <w:rFonts w:ascii="Arial" w:cs="Arial" w:eastAsia="Arial" w:hAnsi="Arial"/>
                <w:sz w:val="14"/>
                <w:szCs w:val="14"/>
                <w:color w:val="auto"/>
              </w:rPr>
              <w:t>(45,478,935)</w:t>
            </w:r>
          </w:p>
        </w:tc>
        <w:tc>
          <w:tcPr>
            <w:tcW w:w="280" w:type="dxa"/>
            <w:vAlign w:val="bottom"/>
            <w:shd w:val="clear" w:color="auto" w:fill="CCECFF"/>
          </w:tcPr>
          <w:p>
            <w:pPr>
              <w:spacing w:after="0"/>
              <w:rPr>
                <w:sz w:val="13"/>
                <w:szCs w:val="13"/>
                <w:color w:val="auto"/>
              </w:rPr>
            </w:pPr>
          </w:p>
        </w:tc>
        <w:tc>
          <w:tcPr>
            <w:tcW w:w="360" w:type="dxa"/>
            <w:vAlign w:val="bottom"/>
            <w:tcBorders>
              <w:bottom w:val="single" w:sz="8" w:color="auto"/>
            </w:tcBorders>
            <w:shd w:val="clear" w:color="auto" w:fill="CCECFF"/>
          </w:tcPr>
          <w:p>
            <w:pPr>
              <w:spacing w:after="0"/>
              <w:rPr>
                <w:sz w:val="13"/>
                <w:szCs w:val="13"/>
                <w:color w:val="auto"/>
              </w:rPr>
            </w:pPr>
          </w:p>
        </w:tc>
        <w:tc>
          <w:tcPr>
            <w:tcW w:w="1200" w:type="dxa"/>
            <w:vAlign w:val="bottom"/>
            <w:tcBorders>
              <w:bottom w:val="single" w:sz="8" w:color="auto"/>
            </w:tcBorders>
            <w:shd w:val="clear" w:color="auto" w:fill="CCECFF"/>
          </w:tcPr>
          <w:p>
            <w:pPr>
              <w:jc w:val="right"/>
              <w:spacing w:after="0" w:line="155" w:lineRule="exact"/>
              <w:rPr>
                <w:sz w:val="20"/>
                <w:szCs w:val="20"/>
                <w:color w:val="auto"/>
              </w:rPr>
            </w:pPr>
            <w:r>
              <w:rPr>
                <w:rFonts w:ascii="Arial" w:cs="Arial" w:eastAsia="Arial" w:hAnsi="Arial"/>
                <w:sz w:val="14"/>
                <w:szCs w:val="14"/>
                <w:color w:val="auto"/>
              </w:rPr>
              <w:t>(59,882,867)</w:t>
            </w:r>
          </w:p>
        </w:tc>
        <w:tc>
          <w:tcPr>
            <w:tcW w:w="120" w:type="dxa"/>
            <w:vAlign w:val="bottom"/>
            <w:shd w:val="clear" w:color="auto" w:fill="CCECFF"/>
          </w:tcPr>
          <w:p>
            <w:pPr>
              <w:spacing w:after="0"/>
              <w:rPr>
                <w:sz w:val="13"/>
                <w:szCs w:val="13"/>
                <w:color w:val="auto"/>
              </w:rPr>
            </w:pPr>
          </w:p>
        </w:tc>
        <w:tc>
          <w:tcPr>
            <w:tcW w:w="0" w:type="dxa"/>
            <w:vAlign w:val="bottom"/>
          </w:tcPr>
          <w:p>
            <w:pPr>
              <w:spacing w:after="0"/>
              <w:rPr>
                <w:sz w:val="1"/>
                <w:szCs w:val="1"/>
                <w:color w:val="auto"/>
              </w:rPr>
            </w:pPr>
          </w:p>
        </w:tc>
      </w:tr>
      <w:tr>
        <w:trPr>
          <w:trHeight w:val="156"/>
        </w:trPr>
        <w:tc>
          <w:tcPr>
            <w:tcW w:w="7720" w:type="dxa"/>
            <w:vAlign w:val="bottom"/>
          </w:tcPr>
          <w:p>
            <w:pPr>
              <w:spacing w:after="0" w:line="155" w:lineRule="exact"/>
              <w:rPr>
                <w:sz w:val="20"/>
                <w:szCs w:val="20"/>
                <w:color w:val="auto"/>
              </w:rPr>
            </w:pPr>
            <w:r>
              <w:rPr>
                <w:rFonts w:ascii="Arial" w:cs="Arial" w:eastAsia="Arial" w:hAnsi="Arial"/>
                <w:sz w:val="14"/>
                <w:szCs w:val="14"/>
                <w:b w:val="1"/>
                <w:bCs w:val="1"/>
                <w:color w:val="auto"/>
              </w:rPr>
              <w:t>Capital transactions:</w:t>
            </w:r>
          </w:p>
        </w:tc>
        <w:tc>
          <w:tcPr>
            <w:tcW w:w="360" w:type="dxa"/>
            <w:vAlign w:val="bottom"/>
          </w:tcPr>
          <w:p>
            <w:pPr>
              <w:spacing w:after="0"/>
              <w:rPr>
                <w:sz w:val="13"/>
                <w:szCs w:val="13"/>
                <w:color w:val="auto"/>
              </w:rPr>
            </w:pPr>
          </w:p>
        </w:tc>
        <w:tc>
          <w:tcPr>
            <w:tcW w:w="12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12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2"/>
        </w:trPr>
        <w:tc>
          <w:tcPr>
            <w:tcW w:w="7720" w:type="dxa"/>
            <w:vAlign w:val="bottom"/>
            <w:shd w:val="clear" w:color="auto" w:fill="CCECFF"/>
          </w:tcPr>
          <w:p>
            <w:pPr>
              <w:ind w:left="260"/>
              <w:spacing w:after="0"/>
              <w:rPr>
                <w:sz w:val="20"/>
                <w:szCs w:val="20"/>
                <w:color w:val="auto"/>
              </w:rPr>
            </w:pPr>
            <w:r>
              <w:rPr>
                <w:rFonts w:ascii="Arial" w:cs="Arial" w:eastAsia="Arial" w:hAnsi="Arial"/>
                <w:sz w:val="14"/>
                <w:szCs w:val="14"/>
                <w:color w:val="auto"/>
              </w:rPr>
              <w:t>Repurchase of common stock</w:t>
            </w:r>
          </w:p>
        </w:tc>
        <w:tc>
          <w:tcPr>
            <w:tcW w:w="360" w:type="dxa"/>
            <w:vAlign w:val="bottom"/>
            <w:shd w:val="clear" w:color="auto" w:fill="CCECFF"/>
          </w:tcPr>
          <w:p>
            <w:pPr>
              <w:spacing w:after="0"/>
              <w:rPr>
                <w:sz w:val="14"/>
                <w:szCs w:val="14"/>
                <w:color w:val="auto"/>
              </w:rPr>
            </w:pPr>
          </w:p>
        </w:tc>
        <w:tc>
          <w:tcPr>
            <w:tcW w:w="1480" w:type="dxa"/>
            <w:vAlign w:val="bottom"/>
            <w:gridSpan w:val="2"/>
            <w:shd w:val="clear" w:color="auto" w:fill="CCECFF"/>
          </w:tcPr>
          <w:p>
            <w:pPr>
              <w:jc w:val="right"/>
              <w:ind w:right="300"/>
              <w:spacing w:after="0"/>
              <w:rPr>
                <w:sz w:val="20"/>
                <w:szCs w:val="20"/>
                <w:color w:val="auto"/>
              </w:rPr>
            </w:pPr>
            <w:r>
              <w:rPr>
                <w:rFonts w:ascii="Arial" w:cs="Arial" w:eastAsia="Arial" w:hAnsi="Arial"/>
                <w:sz w:val="14"/>
                <w:szCs w:val="14"/>
                <w:color w:val="auto"/>
              </w:rPr>
              <w:t>—</w:t>
            </w:r>
          </w:p>
        </w:tc>
        <w:tc>
          <w:tcPr>
            <w:tcW w:w="360" w:type="dxa"/>
            <w:vAlign w:val="bottom"/>
            <w:shd w:val="clear" w:color="auto" w:fill="CCECFF"/>
          </w:tcPr>
          <w:p>
            <w:pPr>
              <w:spacing w:after="0"/>
              <w:rPr>
                <w:sz w:val="14"/>
                <w:szCs w:val="14"/>
                <w:color w:val="auto"/>
              </w:rPr>
            </w:pPr>
          </w:p>
        </w:tc>
        <w:tc>
          <w:tcPr>
            <w:tcW w:w="1320" w:type="dxa"/>
            <w:vAlign w:val="bottom"/>
            <w:gridSpan w:val="2"/>
            <w:shd w:val="clear" w:color="auto" w:fill="CCECFF"/>
          </w:tcPr>
          <w:p>
            <w:pPr>
              <w:jc w:val="right"/>
              <w:ind w:right="80"/>
              <w:spacing w:after="0"/>
              <w:rPr>
                <w:sz w:val="20"/>
                <w:szCs w:val="20"/>
                <w:color w:val="auto"/>
              </w:rPr>
            </w:pPr>
            <w:r>
              <w:rPr>
                <w:rFonts w:ascii="Arial" w:cs="Arial" w:eastAsia="Arial" w:hAnsi="Arial"/>
                <w:sz w:val="14"/>
                <w:szCs w:val="14"/>
                <w:color w:val="auto"/>
              </w:rPr>
              <w:t>(12,180,491)</w:t>
            </w:r>
          </w:p>
        </w:tc>
        <w:tc>
          <w:tcPr>
            <w:tcW w:w="0" w:type="dxa"/>
            <w:vAlign w:val="bottom"/>
          </w:tcPr>
          <w:p>
            <w:pPr>
              <w:spacing w:after="0"/>
              <w:rPr>
                <w:sz w:val="1"/>
                <w:szCs w:val="1"/>
                <w:color w:val="auto"/>
              </w:rPr>
            </w:pPr>
          </w:p>
        </w:tc>
      </w:tr>
      <w:tr>
        <w:trPr>
          <w:trHeight w:val="156"/>
        </w:trPr>
        <w:tc>
          <w:tcPr>
            <w:tcW w:w="7720" w:type="dxa"/>
            <w:vAlign w:val="bottom"/>
            <w:tcBorders>
              <w:bottom w:val="single" w:sz="8" w:color="CCECFF"/>
            </w:tcBorders>
          </w:tcPr>
          <w:p>
            <w:pPr>
              <w:spacing w:after="0" w:line="155" w:lineRule="exact"/>
              <w:rPr>
                <w:sz w:val="20"/>
                <w:szCs w:val="20"/>
                <w:color w:val="auto"/>
              </w:rPr>
            </w:pPr>
            <w:r>
              <w:rPr>
                <w:rFonts w:ascii="Arial" w:cs="Arial" w:eastAsia="Arial" w:hAnsi="Arial"/>
                <w:sz w:val="14"/>
                <w:szCs w:val="14"/>
                <w:b w:val="1"/>
                <w:bCs w:val="1"/>
                <w:color w:val="auto"/>
              </w:rPr>
              <w:t>Net increase (decrease) in net assets</w:t>
            </w:r>
          </w:p>
        </w:tc>
        <w:tc>
          <w:tcPr>
            <w:tcW w:w="360" w:type="dxa"/>
            <w:vAlign w:val="bottom"/>
            <w:tcBorders>
              <w:top w:val="single" w:sz="8" w:color="auto"/>
              <w:bottom w:val="single" w:sz="8" w:color="auto"/>
            </w:tcBorders>
          </w:tcPr>
          <w:p>
            <w:pPr>
              <w:spacing w:after="0"/>
              <w:rPr>
                <w:sz w:val="13"/>
                <w:szCs w:val="13"/>
                <w:color w:val="auto"/>
              </w:rPr>
            </w:pPr>
          </w:p>
        </w:tc>
        <w:tc>
          <w:tcPr>
            <w:tcW w:w="120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8,808,926</w:t>
            </w:r>
          </w:p>
        </w:tc>
        <w:tc>
          <w:tcPr>
            <w:tcW w:w="280" w:type="dxa"/>
            <w:vAlign w:val="bottom"/>
            <w:tcBorders>
              <w:bottom w:val="single" w:sz="8" w:color="CCECFF"/>
            </w:tcBorders>
          </w:tcPr>
          <w:p>
            <w:pPr>
              <w:spacing w:after="0"/>
              <w:rPr>
                <w:sz w:val="13"/>
                <w:szCs w:val="13"/>
                <w:color w:val="auto"/>
              </w:rPr>
            </w:pPr>
          </w:p>
        </w:tc>
        <w:tc>
          <w:tcPr>
            <w:tcW w:w="360" w:type="dxa"/>
            <w:vAlign w:val="bottom"/>
            <w:tcBorders>
              <w:top w:val="single" w:sz="8" w:color="auto"/>
              <w:bottom w:val="single" w:sz="8" w:color="auto"/>
            </w:tcBorders>
          </w:tcPr>
          <w:p>
            <w:pPr>
              <w:spacing w:after="0"/>
              <w:rPr>
                <w:sz w:val="13"/>
                <w:szCs w:val="13"/>
                <w:color w:val="auto"/>
              </w:rPr>
            </w:pPr>
          </w:p>
        </w:tc>
        <w:tc>
          <w:tcPr>
            <w:tcW w:w="120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(81,036,030)</w:t>
            </w:r>
          </w:p>
        </w:tc>
        <w:tc>
          <w:tcPr>
            <w:tcW w:w="120" w:type="dxa"/>
            <w:vAlign w:val="bottom"/>
            <w:tcBorders>
              <w:bottom w:val="single" w:sz="8" w:color="CCECFF"/>
            </w:tcBorders>
          </w:tcPr>
          <w:p>
            <w:pPr>
              <w:spacing w:after="0"/>
              <w:rPr>
                <w:sz w:val="13"/>
                <w:szCs w:val="13"/>
                <w:color w:val="auto"/>
              </w:rPr>
            </w:pPr>
          </w:p>
        </w:tc>
        <w:tc>
          <w:tcPr>
            <w:tcW w:w="0" w:type="dxa"/>
            <w:vAlign w:val="bottom"/>
          </w:tcPr>
          <w:p>
            <w:pPr>
              <w:spacing w:after="0"/>
              <w:rPr>
                <w:sz w:val="1"/>
                <w:szCs w:val="1"/>
                <w:color w:val="auto"/>
              </w:rPr>
            </w:pPr>
          </w:p>
        </w:tc>
      </w:tr>
      <w:tr>
        <w:trPr>
          <w:trHeight w:val="155"/>
        </w:trPr>
        <w:tc>
          <w:tcPr>
            <w:tcW w:w="7720" w:type="dxa"/>
            <w:vAlign w:val="bottom"/>
            <w:shd w:val="clear" w:color="auto" w:fill="CCECFF"/>
          </w:tcPr>
          <w:p>
            <w:pPr>
              <w:spacing w:after="0" w:line="155" w:lineRule="exact"/>
              <w:rPr>
                <w:sz w:val="20"/>
                <w:szCs w:val="20"/>
                <w:color w:val="auto"/>
              </w:rPr>
            </w:pPr>
            <w:r>
              <w:rPr>
                <w:rFonts w:ascii="Arial" w:cs="Arial" w:eastAsia="Arial" w:hAnsi="Arial"/>
                <w:sz w:val="14"/>
                <w:szCs w:val="14"/>
                <w:b w:val="1"/>
                <w:bCs w:val="1"/>
                <w:color w:val="auto"/>
              </w:rPr>
              <w:t>Net assets:</w:t>
            </w:r>
          </w:p>
        </w:tc>
        <w:tc>
          <w:tcPr>
            <w:tcW w:w="360" w:type="dxa"/>
            <w:vAlign w:val="bottom"/>
            <w:shd w:val="clear" w:color="auto" w:fill="CCECFF"/>
          </w:tcPr>
          <w:p>
            <w:pPr>
              <w:spacing w:after="0"/>
              <w:rPr>
                <w:sz w:val="13"/>
                <w:szCs w:val="13"/>
                <w:color w:val="auto"/>
              </w:rPr>
            </w:pPr>
          </w:p>
        </w:tc>
        <w:tc>
          <w:tcPr>
            <w:tcW w:w="1200" w:type="dxa"/>
            <w:vAlign w:val="bottom"/>
            <w:shd w:val="clear" w:color="auto" w:fill="CCECFF"/>
          </w:tcPr>
          <w:p>
            <w:pPr>
              <w:spacing w:after="0"/>
              <w:rPr>
                <w:sz w:val="13"/>
                <w:szCs w:val="13"/>
                <w:color w:val="auto"/>
              </w:rPr>
            </w:pPr>
          </w:p>
        </w:tc>
        <w:tc>
          <w:tcPr>
            <w:tcW w:w="280" w:type="dxa"/>
            <w:vAlign w:val="bottom"/>
            <w:shd w:val="clear" w:color="auto" w:fill="CCECFF"/>
          </w:tcPr>
          <w:p>
            <w:pPr>
              <w:spacing w:after="0"/>
              <w:rPr>
                <w:sz w:val="13"/>
                <w:szCs w:val="13"/>
                <w:color w:val="auto"/>
              </w:rPr>
            </w:pPr>
          </w:p>
        </w:tc>
        <w:tc>
          <w:tcPr>
            <w:tcW w:w="360" w:type="dxa"/>
            <w:vAlign w:val="bottom"/>
            <w:shd w:val="clear" w:color="auto" w:fill="CCECFF"/>
          </w:tcPr>
          <w:p>
            <w:pPr>
              <w:spacing w:after="0"/>
              <w:rPr>
                <w:sz w:val="13"/>
                <w:szCs w:val="13"/>
                <w:color w:val="auto"/>
              </w:rPr>
            </w:pPr>
          </w:p>
        </w:tc>
        <w:tc>
          <w:tcPr>
            <w:tcW w:w="1200" w:type="dxa"/>
            <w:vAlign w:val="bottom"/>
            <w:shd w:val="clear" w:color="auto" w:fill="CCECFF"/>
          </w:tcPr>
          <w:p>
            <w:pPr>
              <w:spacing w:after="0"/>
              <w:rPr>
                <w:sz w:val="13"/>
                <w:szCs w:val="13"/>
                <w:color w:val="auto"/>
              </w:rPr>
            </w:pPr>
          </w:p>
        </w:tc>
        <w:tc>
          <w:tcPr>
            <w:tcW w:w="120" w:type="dxa"/>
            <w:vAlign w:val="bottom"/>
            <w:shd w:val="clear" w:color="auto" w:fill="CCECFF"/>
          </w:tcPr>
          <w:p>
            <w:pPr>
              <w:spacing w:after="0"/>
              <w:rPr>
                <w:sz w:val="13"/>
                <w:szCs w:val="13"/>
                <w:color w:val="auto"/>
              </w:rPr>
            </w:pPr>
          </w:p>
        </w:tc>
        <w:tc>
          <w:tcPr>
            <w:tcW w:w="0" w:type="dxa"/>
            <w:vAlign w:val="bottom"/>
          </w:tcPr>
          <w:p>
            <w:pPr>
              <w:spacing w:after="0"/>
              <w:rPr>
                <w:sz w:val="1"/>
                <w:szCs w:val="1"/>
                <w:color w:val="auto"/>
              </w:rPr>
            </w:pPr>
          </w:p>
        </w:tc>
      </w:tr>
      <w:tr>
        <w:trPr>
          <w:trHeight w:val="162"/>
        </w:trPr>
        <w:tc>
          <w:tcPr>
            <w:tcW w:w="7720" w:type="dxa"/>
            <w:vAlign w:val="bottom"/>
            <w:tcBorders>
              <w:bottom w:val="single" w:sz="8" w:color="CCECFF"/>
            </w:tcBorders>
          </w:tcPr>
          <w:p>
            <w:pPr>
              <w:ind w:left="260"/>
              <w:spacing w:after="0"/>
              <w:rPr>
                <w:sz w:val="20"/>
                <w:szCs w:val="20"/>
                <w:color w:val="auto"/>
              </w:rPr>
            </w:pPr>
            <w:r>
              <w:rPr>
                <w:rFonts w:ascii="Arial" w:cs="Arial" w:eastAsia="Arial" w:hAnsi="Arial"/>
                <w:sz w:val="14"/>
                <w:szCs w:val="14"/>
                <w:color w:val="auto"/>
              </w:rPr>
              <w:t>Beginning of period</w:t>
            </w:r>
          </w:p>
        </w:tc>
        <w:tc>
          <w:tcPr>
            <w:tcW w:w="360" w:type="dxa"/>
            <w:vAlign w:val="bottom"/>
            <w:tcBorders>
              <w:bottom w:val="single" w:sz="8" w:color="auto"/>
            </w:tcBorders>
          </w:tcPr>
          <w:p>
            <w:pPr>
              <w:spacing w:after="0"/>
              <w:rPr>
                <w:sz w:val="14"/>
                <w:szCs w:val="14"/>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643,366,856</w:t>
            </w:r>
          </w:p>
        </w:tc>
        <w:tc>
          <w:tcPr>
            <w:tcW w:w="280" w:type="dxa"/>
            <w:vAlign w:val="bottom"/>
            <w:tcBorders>
              <w:bottom w:val="single" w:sz="8" w:color="CCECFF"/>
            </w:tcBorders>
          </w:tcPr>
          <w:p>
            <w:pPr>
              <w:spacing w:after="0"/>
              <w:rPr>
                <w:sz w:val="14"/>
                <w:szCs w:val="14"/>
                <w:color w:val="auto"/>
              </w:rPr>
            </w:pPr>
          </w:p>
        </w:tc>
        <w:tc>
          <w:tcPr>
            <w:tcW w:w="360" w:type="dxa"/>
            <w:vAlign w:val="bottom"/>
            <w:tcBorders>
              <w:bottom w:val="single" w:sz="8" w:color="auto"/>
            </w:tcBorders>
          </w:tcPr>
          <w:p>
            <w:pPr>
              <w:spacing w:after="0"/>
              <w:rPr>
                <w:sz w:val="14"/>
                <w:szCs w:val="14"/>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716,590,542</w:t>
            </w:r>
          </w:p>
        </w:tc>
        <w:tc>
          <w:tcPr>
            <w:tcW w:w="120" w:type="dxa"/>
            <w:vAlign w:val="bottom"/>
            <w:tcBorders>
              <w:bottom w:val="single" w:sz="8" w:color="CCECFF"/>
            </w:tcBorders>
          </w:tcPr>
          <w:p>
            <w:pPr>
              <w:spacing w:after="0"/>
              <w:rPr>
                <w:sz w:val="14"/>
                <w:szCs w:val="14"/>
                <w:color w:val="auto"/>
              </w:rPr>
            </w:pPr>
          </w:p>
        </w:tc>
        <w:tc>
          <w:tcPr>
            <w:tcW w:w="0" w:type="dxa"/>
            <w:vAlign w:val="bottom"/>
          </w:tcPr>
          <w:p>
            <w:pPr>
              <w:spacing w:after="0"/>
              <w:rPr>
                <w:sz w:val="1"/>
                <w:szCs w:val="1"/>
                <w:color w:val="auto"/>
              </w:rPr>
            </w:pPr>
          </w:p>
        </w:tc>
      </w:tr>
      <w:tr>
        <w:trPr>
          <w:trHeight w:val="155"/>
        </w:trPr>
        <w:tc>
          <w:tcPr>
            <w:tcW w:w="7720" w:type="dxa"/>
            <w:vAlign w:val="bottom"/>
            <w:tcBorders>
              <w:bottom w:val="single" w:sz="8" w:color="CCECFF"/>
            </w:tcBorders>
            <w:shd w:val="clear" w:color="auto" w:fill="CCECFF"/>
          </w:tcPr>
          <w:p>
            <w:pPr>
              <w:ind w:left="260"/>
              <w:spacing w:after="0" w:line="155" w:lineRule="exact"/>
              <w:rPr>
                <w:sz w:val="20"/>
                <w:szCs w:val="20"/>
                <w:color w:val="auto"/>
              </w:rPr>
            </w:pPr>
            <w:r>
              <w:rPr>
                <w:rFonts w:ascii="Arial" w:cs="Arial" w:eastAsia="Arial" w:hAnsi="Arial"/>
                <w:sz w:val="14"/>
                <w:szCs w:val="14"/>
                <w:color w:val="auto"/>
              </w:rPr>
              <w:t>End of period</w:t>
            </w:r>
          </w:p>
        </w:tc>
        <w:tc>
          <w:tcPr>
            <w:tcW w:w="360" w:type="dxa"/>
            <w:vAlign w:val="bottom"/>
            <w:tcBorders>
              <w:bottom w:val="single" w:sz="8" w:color="auto"/>
            </w:tcBorders>
            <w:shd w:val="clear" w:color="auto" w:fill="CCECFF"/>
          </w:tcPr>
          <w:p>
            <w:pPr>
              <w:jc w:val="right"/>
              <w:ind w:right="208"/>
              <w:spacing w:after="0" w:line="155" w:lineRule="exact"/>
              <w:rPr>
                <w:sz w:val="20"/>
                <w:szCs w:val="20"/>
                <w:color w:val="auto"/>
              </w:rPr>
            </w:pPr>
            <w:r>
              <w:rPr>
                <w:rFonts w:ascii="Arial" w:cs="Arial" w:eastAsia="Arial" w:hAnsi="Arial"/>
                <w:sz w:val="14"/>
                <w:szCs w:val="14"/>
                <w:color w:val="auto"/>
                <w:w w:val="76"/>
              </w:rPr>
              <w:t>$</w:t>
            </w:r>
          </w:p>
        </w:tc>
        <w:tc>
          <w:tcPr>
            <w:tcW w:w="1200" w:type="dxa"/>
            <w:vAlign w:val="bottom"/>
            <w:tcBorders>
              <w:bottom w:val="single" w:sz="8" w:color="auto"/>
            </w:tcBorders>
            <w:shd w:val="clear" w:color="auto" w:fill="CCECFF"/>
          </w:tcPr>
          <w:p>
            <w:pPr>
              <w:jc w:val="right"/>
              <w:spacing w:after="0" w:line="155" w:lineRule="exact"/>
              <w:rPr>
                <w:sz w:val="20"/>
                <w:szCs w:val="20"/>
                <w:color w:val="auto"/>
              </w:rPr>
            </w:pPr>
            <w:r>
              <w:rPr>
                <w:rFonts w:ascii="Arial" w:cs="Arial" w:eastAsia="Arial" w:hAnsi="Arial"/>
                <w:sz w:val="14"/>
                <w:szCs w:val="14"/>
                <w:color w:val="auto"/>
              </w:rPr>
              <w:t>652,175,782</w:t>
            </w:r>
          </w:p>
        </w:tc>
        <w:tc>
          <w:tcPr>
            <w:tcW w:w="280" w:type="dxa"/>
            <w:vAlign w:val="bottom"/>
            <w:tcBorders>
              <w:bottom w:val="single" w:sz="8" w:color="CCECFF"/>
            </w:tcBorders>
            <w:shd w:val="clear" w:color="auto" w:fill="CCECFF"/>
          </w:tcPr>
          <w:p>
            <w:pPr>
              <w:spacing w:after="0"/>
              <w:rPr>
                <w:sz w:val="13"/>
                <w:szCs w:val="13"/>
                <w:color w:val="auto"/>
              </w:rPr>
            </w:pPr>
          </w:p>
        </w:tc>
        <w:tc>
          <w:tcPr>
            <w:tcW w:w="360" w:type="dxa"/>
            <w:vAlign w:val="bottom"/>
            <w:tcBorders>
              <w:bottom w:val="single" w:sz="8" w:color="auto"/>
            </w:tcBorders>
            <w:shd w:val="clear" w:color="auto" w:fill="CCECFF"/>
          </w:tcPr>
          <w:p>
            <w:pPr>
              <w:jc w:val="right"/>
              <w:ind w:right="208"/>
              <w:spacing w:after="0" w:line="155" w:lineRule="exact"/>
              <w:rPr>
                <w:sz w:val="20"/>
                <w:szCs w:val="20"/>
                <w:color w:val="auto"/>
              </w:rPr>
            </w:pPr>
            <w:r>
              <w:rPr>
                <w:rFonts w:ascii="Arial" w:cs="Arial" w:eastAsia="Arial" w:hAnsi="Arial"/>
                <w:sz w:val="14"/>
                <w:szCs w:val="14"/>
                <w:color w:val="auto"/>
                <w:w w:val="76"/>
              </w:rPr>
              <w:t>$</w:t>
            </w:r>
          </w:p>
        </w:tc>
        <w:tc>
          <w:tcPr>
            <w:tcW w:w="1200" w:type="dxa"/>
            <w:vAlign w:val="bottom"/>
            <w:tcBorders>
              <w:bottom w:val="single" w:sz="8" w:color="auto"/>
            </w:tcBorders>
            <w:shd w:val="clear" w:color="auto" w:fill="CCECFF"/>
          </w:tcPr>
          <w:p>
            <w:pPr>
              <w:jc w:val="right"/>
              <w:spacing w:after="0" w:line="155" w:lineRule="exact"/>
              <w:rPr>
                <w:sz w:val="20"/>
                <w:szCs w:val="20"/>
                <w:color w:val="auto"/>
              </w:rPr>
            </w:pPr>
            <w:r>
              <w:rPr>
                <w:rFonts w:ascii="Arial" w:cs="Arial" w:eastAsia="Arial" w:hAnsi="Arial"/>
                <w:sz w:val="14"/>
                <w:szCs w:val="14"/>
                <w:color w:val="auto"/>
              </w:rPr>
              <w:t>635,554,512</w:t>
            </w:r>
          </w:p>
        </w:tc>
        <w:tc>
          <w:tcPr>
            <w:tcW w:w="120" w:type="dxa"/>
            <w:vAlign w:val="bottom"/>
            <w:tcBorders>
              <w:bottom w:val="single" w:sz="8" w:color="CCECFF"/>
            </w:tcBorders>
            <w:shd w:val="clear" w:color="auto" w:fill="CCECFF"/>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7720" w:type="dxa"/>
            <w:vAlign w:val="bottom"/>
            <w:vMerge w:val="restart"/>
          </w:tcPr>
          <w:p>
            <w:pPr>
              <w:ind w:left="260"/>
              <w:spacing w:after="0"/>
              <w:rPr>
                <w:sz w:val="20"/>
                <w:szCs w:val="20"/>
                <w:color w:val="auto"/>
              </w:rPr>
            </w:pPr>
            <w:r>
              <w:rPr>
                <w:rFonts w:ascii="Arial" w:cs="Arial" w:eastAsia="Arial" w:hAnsi="Arial"/>
                <w:sz w:val="14"/>
                <w:szCs w:val="14"/>
                <w:color w:val="auto"/>
              </w:rPr>
              <w:t>Undistributed (distributions in excess of) net investment income, at end of period</w:t>
            </w:r>
          </w:p>
        </w:tc>
        <w:tc>
          <w:tcPr>
            <w:tcW w:w="36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32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7720" w:type="dxa"/>
            <w:vAlign w:val="bottom"/>
            <w:tcBorders>
              <w:bottom w:val="single" w:sz="8" w:color="CCECFF"/>
            </w:tcBorders>
            <w:vMerge w:val="continue"/>
          </w:tcPr>
          <w:p>
            <w:pPr>
              <w:spacing w:after="0"/>
              <w:rPr>
                <w:sz w:val="15"/>
                <w:szCs w:val="15"/>
                <w:color w:val="auto"/>
              </w:rPr>
            </w:pPr>
          </w:p>
        </w:tc>
        <w:tc>
          <w:tcPr>
            <w:tcW w:w="360" w:type="dxa"/>
            <w:vAlign w:val="bottom"/>
            <w:tcBorders>
              <w:top w:val="single" w:sz="8" w:color="auto"/>
              <w:bottom w:val="single" w:sz="8" w:color="auto"/>
            </w:tcBorders>
          </w:tcPr>
          <w:p>
            <w:pPr>
              <w:jc w:val="right"/>
              <w:ind w:right="208"/>
              <w:spacing w:after="0" w:line="143" w:lineRule="exact"/>
              <w:rPr>
                <w:sz w:val="20"/>
                <w:szCs w:val="20"/>
                <w:color w:val="auto"/>
              </w:rPr>
            </w:pPr>
            <w:r>
              <w:rPr>
                <w:rFonts w:ascii="Arial" w:cs="Arial" w:eastAsia="Arial" w:hAnsi="Arial"/>
                <w:sz w:val="14"/>
                <w:szCs w:val="14"/>
                <w:color w:val="auto"/>
                <w:w w:val="76"/>
              </w:rPr>
              <w:t>$</w:t>
            </w:r>
          </w:p>
        </w:tc>
        <w:tc>
          <w:tcPr>
            <w:tcW w:w="1200" w:type="dxa"/>
            <w:vAlign w:val="bottom"/>
            <w:tcBorders>
              <w:top w:val="single" w:sz="8" w:color="auto"/>
              <w:bottom w:val="single" w:sz="8" w:color="auto"/>
            </w:tcBorders>
          </w:tcPr>
          <w:p>
            <w:pPr>
              <w:jc w:val="right"/>
              <w:spacing w:after="0" w:line="143" w:lineRule="exact"/>
              <w:rPr>
                <w:sz w:val="20"/>
                <w:szCs w:val="20"/>
                <w:color w:val="auto"/>
              </w:rPr>
            </w:pPr>
            <w:r>
              <w:rPr>
                <w:rFonts w:ascii="Arial" w:cs="Arial" w:eastAsia="Arial" w:hAnsi="Arial"/>
                <w:sz w:val="14"/>
                <w:szCs w:val="14"/>
                <w:color w:val="auto"/>
              </w:rPr>
              <w:t>1,310,399</w:t>
            </w:r>
          </w:p>
        </w:tc>
        <w:tc>
          <w:tcPr>
            <w:tcW w:w="280" w:type="dxa"/>
            <w:vAlign w:val="bottom"/>
            <w:tcBorders>
              <w:bottom w:val="single" w:sz="8" w:color="CCECFF"/>
            </w:tcBorders>
          </w:tcPr>
          <w:p>
            <w:pPr>
              <w:spacing w:after="0"/>
              <w:rPr>
                <w:sz w:val="15"/>
                <w:szCs w:val="15"/>
                <w:color w:val="auto"/>
              </w:rPr>
            </w:pPr>
          </w:p>
        </w:tc>
        <w:tc>
          <w:tcPr>
            <w:tcW w:w="360" w:type="dxa"/>
            <w:vAlign w:val="bottom"/>
            <w:tcBorders>
              <w:top w:val="single" w:sz="8" w:color="auto"/>
              <w:bottom w:val="single" w:sz="8" w:color="auto"/>
            </w:tcBorders>
          </w:tcPr>
          <w:p>
            <w:pPr>
              <w:jc w:val="right"/>
              <w:ind w:right="208"/>
              <w:spacing w:after="0" w:line="143" w:lineRule="exact"/>
              <w:rPr>
                <w:sz w:val="20"/>
                <w:szCs w:val="20"/>
                <w:color w:val="auto"/>
              </w:rPr>
            </w:pPr>
            <w:r>
              <w:rPr>
                <w:rFonts w:ascii="Arial" w:cs="Arial" w:eastAsia="Arial" w:hAnsi="Arial"/>
                <w:sz w:val="14"/>
                <w:szCs w:val="14"/>
                <w:color w:val="auto"/>
                <w:w w:val="76"/>
              </w:rPr>
              <w:t>$</w:t>
            </w:r>
          </w:p>
        </w:tc>
        <w:tc>
          <w:tcPr>
            <w:tcW w:w="1200" w:type="dxa"/>
            <w:vAlign w:val="bottom"/>
            <w:tcBorders>
              <w:top w:val="single" w:sz="8" w:color="auto"/>
              <w:bottom w:val="single" w:sz="8" w:color="auto"/>
            </w:tcBorders>
          </w:tcPr>
          <w:p>
            <w:pPr>
              <w:jc w:val="right"/>
              <w:spacing w:after="0" w:line="143" w:lineRule="exact"/>
              <w:rPr>
                <w:sz w:val="20"/>
                <w:szCs w:val="20"/>
                <w:color w:val="auto"/>
              </w:rPr>
            </w:pPr>
            <w:r>
              <w:rPr>
                <w:rFonts w:ascii="Arial" w:cs="Arial" w:eastAsia="Arial" w:hAnsi="Arial"/>
                <w:sz w:val="14"/>
                <w:szCs w:val="14"/>
                <w:color w:val="auto"/>
              </w:rPr>
              <w:t>(17,850,376)</w:t>
            </w:r>
          </w:p>
        </w:tc>
        <w:tc>
          <w:tcPr>
            <w:tcW w:w="120" w:type="dxa"/>
            <w:vAlign w:val="bottom"/>
            <w:tcBorders>
              <w:bottom w:val="single" w:sz="8" w:color="CCECFF"/>
            </w:tcBorders>
          </w:tcPr>
          <w:p>
            <w:pPr>
              <w:spacing w:after="0"/>
              <w:rPr>
                <w:sz w:val="15"/>
                <w:szCs w:val="15"/>
                <w:color w:val="auto"/>
              </w:rPr>
            </w:pPr>
          </w:p>
        </w:tc>
        <w:tc>
          <w:tcPr>
            <w:tcW w:w="0" w:type="dxa"/>
            <w:vAlign w:val="bottom"/>
          </w:tcPr>
          <w:p>
            <w:pPr>
              <w:spacing w:after="0"/>
              <w:rPr>
                <w:sz w:val="1"/>
                <w:szCs w:val="1"/>
                <w:color w:val="auto"/>
              </w:rPr>
            </w:pPr>
          </w:p>
        </w:tc>
      </w:tr>
      <w:tr>
        <w:trPr>
          <w:trHeight w:val="143"/>
        </w:trPr>
        <w:tc>
          <w:tcPr>
            <w:tcW w:w="7720" w:type="dxa"/>
            <w:vAlign w:val="bottom"/>
            <w:shd w:val="clear" w:color="auto" w:fill="CCECFF"/>
          </w:tcPr>
          <w:p>
            <w:pPr>
              <w:spacing w:after="0" w:line="143" w:lineRule="exact"/>
              <w:rPr>
                <w:sz w:val="20"/>
                <w:szCs w:val="20"/>
                <w:color w:val="auto"/>
              </w:rPr>
            </w:pPr>
            <w:r>
              <w:rPr>
                <w:rFonts w:ascii="Arial" w:cs="Arial" w:eastAsia="Arial" w:hAnsi="Arial"/>
                <w:sz w:val="14"/>
                <w:szCs w:val="14"/>
                <w:b w:val="1"/>
                <w:bCs w:val="1"/>
                <w:color w:val="auto"/>
              </w:rPr>
              <w:t>Capital share activity:</w:t>
            </w:r>
          </w:p>
        </w:tc>
        <w:tc>
          <w:tcPr>
            <w:tcW w:w="360" w:type="dxa"/>
            <w:vAlign w:val="bottom"/>
            <w:shd w:val="clear" w:color="auto" w:fill="CCECFF"/>
          </w:tcPr>
          <w:p>
            <w:pPr>
              <w:spacing w:after="0"/>
              <w:rPr>
                <w:sz w:val="12"/>
                <w:szCs w:val="12"/>
                <w:color w:val="auto"/>
              </w:rPr>
            </w:pPr>
          </w:p>
        </w:tc>
        <w:tc>
          <w:tcPr>
            <w:tcW w:w="1200" w:type="dxa"/>
            <w:vAlign w:val="bottom"/>
            <w:shd w:val="clear" w:color="auto" w:fill="CCECFF"/>
          </w:tcPr>
          <w:p>
            <w:pPr>
              <w:spacing w:after="0"/>
              <w:rPr>
                <w:sz w:val="12"/>
                <w:szCs w:val="12"/>
                <w:color w:val="auto"/>
              </w:rPr>
            </w:pPr>
          </w:p>
        </w:tc>
        <w:tc>
          <w:tcPr>
            <w:tcW w:w="280" w:type="dxa"/>
            <w:vAlign w:val="bottom"/>
            <w:shd w:val="clear" w:color="auto" w:fill="CCECFF"/>
          </w:tcPr>
          <w:p>
            <w:pPr>
              <w:spacing w:after="0"/>
              <w:rPr>
                <w:sz w:val="12"/>
                <w:szCs w:val="12"/>
                <w:color w:val="auto"/>
              </w:rPr>
            </w:pPr>
          </w:p>
        </w:tc>
        <w:tc>
          <w:tcPr>
            <w:tcW w:w="360" w:type="dxa"/>
            <w:vAlign w:val="bottom"/>
            <w:shd w:val="clear" w:color="auto" w:fill="CCECFF"/>
          </w:tcPr>
          <w:p>
            <w:pPr>
              <w:spacing w:after="0"/>
              <w:rPr>
                <w:sz w:val="12"/>
                <w:szCs w:val="12"/>
                <w:color w:val="auto"/>
              </w:rPr>
            </w:pPr>
          </w:p>
        </w:tc>
        <w:tc>
          <w:tcPr>
            <w:tcW w:w="1200" w:type="dxa"/>
            <w:vAlign w:val="bottom"/>
            <w:shd w:val="clear" w:color="auto" w:fill="CCECFF"/>
          </w:tcPr>
          <w:p>
            <w:pPr>
              <w:spacing w:after="0"/>
              <w:rPr>
                <w:sz w:val="12"/>
                <w:szCs w:val="12"/>
                <w:color w:val="auto"/>
              </w:rPr>
            </w:pPr>
          </w:p>
        </w:tc>
        <w:tc>
          <w:tcPr>
            <w:tcW w:w="120" w:type="dxa"/>
            <w:vAlign w:val="bottom"/>
            <w:shd w:val="clear" w:color="auto" w:fill="CCECFF"/>
          </w:tcPr>
          <w:p>
            <w:pPr>
              <w:spacing w:after="0"/>
              <w:rPr>
                <w:sz w:val="12"/>
                <w:szCs w:val="12"/>
                <w:color w:val="auto"/>
              </w:rPr>
            </w:pPr>
          </w:p>
        </w:tc>
        <w:tc>
          <w:tcPr>
            <w:tcW w:w="0" w:type="dxa"/>
            <w:vAlign w:val="bottom"/>
          </w:tcPr>
          <w:p>
            <w:pPr>
              <w:spacing w:after="0"/>
              <w:rPr>
                <w:sz w:val="1"/>
                <w:szCs w:val="1"/>
                <w:color w:val="auto"/>
              </w:rPr>
            </w:pPr>
          </w:p>
        </w:tc>
      </w:tr>
      <w:tr>
        <w:trPr>
          <w:trHeight w:val="162"/>
        </w:trPr>
        <w:tc>
          <w:tcPr>
            <w:tcW w:w="7720" w:type="dxa"/>
            <w:vAlign w:val="bottom"/>
          </w:tcPr>
          <w:p>
            <w:pPr>
              <w:ind w:left="260"/>
              <w:spacing w:after="0"/>
              <w:rPr>
                <w:sz w:val="20"/>
                <w:szCs w:val="20"/>
                <w:color w:val="auto"/>
              </w:rPr>
            </w:pPr>
            <w:r>
              <w:rPr>
                <w:rFonts w:ascii="Arial" w:cs="Arial" w:eastAsia="Arial" w:hAnsi="Arial"/>
                <w:sz w:val="14"/>
                <w:szCs w:val="14"/>
                <w:color w:val="auto"/>
              </w:rPr>
              <w:t>Shares of common stock repurchased</w:t>
            </w:r>
          </w:p>
        </w:tc>
        <w:tc>
          <w:tcPr>
            <w:tcW w:w="360" w:type="dxa"/>
            <w:vAlign w:val="bottom"/>
          </w:tcPr>
          <w:p>
            <w:pPr>
              <w:spacing w:after="0"/>
              <w:rPr>
                <w:sz w:val="14"/>
                <w:szCs w:val="14"/>
                <w:color w:val="auto"/>
              </w:rPr>
            </w:pPr>
          </w:p>
        </w:tc>
        <w:tc>
          <w:tcPr>
            <w:tcW w:w="1480" w:type="dxa"/>
            <w:vAlign w:val="bottom"/>
            <w:gridSpan w:val="2"/>
          </w:tcPr>
          <w:p>
            <w:pPr>
              <w:jc w:val="right"/>
              <w:ind w:right="300"/>
              <w:spacing w:after="0"/>
              <w:rPr>
                <w:sz w:val="20"/>
                <w:szCs w:val="20"/>
                <w:color w:val="auto"/>
              </w:rPr>
            </w:pPr>
            <w:r>
              <w:rPr>
                <w:rFonts w:ascii="Arial" w:cs="Arial" w:eastAsia="Arial" w:hAnsi="Arial"/>
                <w:sz w:val="14"/>
                <w:szCs w:val="14"/>
                <w:color w:val="auto"/>
              </w:rPr>
              <w:t>—</w:t>
            </w:r>
          </w:p>
        </w:tc>
        <w:tc>
          <w:tcPr>
            <w:tcW w:w="360" w:type="dxa"/>
            <w:vAlign w:val="bottom"/>
          </w:tcPr>
          <w:p>
            <w:pPr>
              <w:spacing w:after="0"/>
              <w:rPr>
                <w:sz w:val="14"/>
                <w:szCs w:val="14"/>
                <w:color w:val="auto"/>
              </w:rPr>
            </w:pPr>
          </w:p>
        </w:tc>
        <w:tc>
          <w:tcPr>
            <w:tcW w:w="1320" w:type="dxa"/>
            <w:vAlign w:val="bottom"/>
            <w:gridSpan w:val="2"/>
          </w:tcPr>
          <w:p>
            <w:pPr>
              <w:jc w:val="right"/>
              <w:ind w:right="80"/>
              <w:spacing w:after="0"/>
              <w:rPr>
                <w:sz w:val="20"/>
                <w:szCs w:val="20"/>
                <w:color w:val="auto"/>
              </w:rPr>
            </w:pPr>
            <w:r>
              <w:rPr>
                <w:rFonts w:ascii="Arial" w:cs="Arial" w:eastAsia="Arial" w:hAnsi="Arial"/>
                <w:sz w:val="14"/>
                <w:szCs w:val="14"/>
                <w:color w:val="auto"/>
              </w:rPr>
              <w:t>(1,905,207)</w:t>
            </w:r>
          </w:p>
        </w:tc>
        <w:tc>
          <w:tcPr>
            <w:tcW w:w="0" w:type="dxa"/>
            <w:vAlign w:val="bottom"/>
          </w:tcPr>
          <w:p>
            <w:pPr>
              <w:spacing w:after="0"/>
              <w:rPr>
                <w:sz w:val="1"/>
                <w:szCs w:val="1"/>
                <w:color w:val="auto"/>
              </w:rPr>
            </w:pPr>
          </w:p>
        </w:tc>
      </w:tr>
      <w:tr>
        <w:trPr>
          <w:trHeight w:val="20"/>
        </w:trPr>
        <w:tc>
          <w:tcPr>
            <w:tcW w:w="7720" w:type="dxa"/>
            <w:vAlign w:val="bottom"/>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46"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SEE NOTES TO CONSOLIDATED FINANCIAL STATEMENTS</w:t>
      </w:r>
    </w:p>
    <w:p>
      <w:pPr>
        <w:spacing w:after="0" w:line="136"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72390</wp:posOffset>
            </wp:positionV>
            <wp:extent cx="7149465" cy="171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333" w:right="339" w:bottom="1440" w:gutter="0" w:footer="0" w:header="0"/>
        </w:sectPr>
      </w:pPr>
    </w:p>
    <w:bookmarkStart w:id="6" w:name="page7"/>
    <w:bookmarkEnd w:id="6"/>
    <w:p>
      <w:pPr>
        <w:jc w:val="center"/>
        <w:spacing w:after="0"/>
        <w:rPr>
          <w:sz w:val="20"/>
          <w:szCs w:val="20"/>
          <w:color w:val="auto"/>
        </w:rPr>
      </w:pPr>
      <w:r>
        <w:rPr>
          <w:rFonts w:ascii="Arial" w:cs="Arial" w:eastAsia="Arial" w:hAnsi="Arial"/>
          <w:sz w:val="14"/>
          <w:szCs w:val="14"/>
          <w:b w:val="1"/>
          <w:bCs w:val="1"/>
          <w:color w:val="auto"/>
        </w:rPr>
        <w:t>PENNANTPARK INVESTMENT CORPORATION AND SUBSIDIARIES</w:t>
      </w:r>
    </w:p>
    <w:p>
      <w:pPr>
        <w:jc w:val="center"/>
        <w:spacing w:after="0" w:line="226" w:lineRule="auto"/>
        <w:rPr>
          <w:sz w:val="20"/>
          <w:szCs w:val="20"/>
          <w:color w:val="auto"/>
        </w:rPr>
      </w:pPr>
      <w:r>
        <w:rPr>
          <w:rFonts w:ascii="Arial" w:cs="Arial" w:eastAsia="Arial" w:hAnsi="Arial"/>
          <w:sz w:val="14"/>
          <w:szCs w:val="14"/>
          <w:b w:val="1"/>
          <w:bCs w:val="1"/>
          <w:color w:val="auto"/>
        </w:rPr>
        <w:t>CONSOLIDATED STATEMENTS OF CASH FLOWS</w:t>
      </w:r>
    </w:p>
    <w:p>
      <w:pPr>
        <w:jc w:val="center"/>
        <w:spacing w:after="0"/>
        <w:rPr>
          <w:sz w:val="20"/>
          <w:szCs w:val="20"/>
          <w:color w:val="auto"/>
        </w:rPr>
      </w:pPr>
      <w:r>
        <w:rPr>
          <w:rFonts w:ascii="Arial" w:cs="Arial" w:eastAsia="Arial" w:hAnsi="Arial"/>
          <w:sz w:val="14"/>
          <w:szCs w:val="14"/>
          <w:b w:val="1"/>
          <w:bCs w:val="1"/>
          <w:color w:val="auto"/>
        </w:rPr>
        <w:t>(Unaudited)</w:t>
      </w:r>
    </w:p>
    <w:p>
      <w:pPr>
        <w:spacing w:after="0" w:line="363"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772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3160" w:type="dxa"/>
            <w:vAlign w:val="bottom"/>
            <w:gridSpan w:val="5"/>
          </w:tcPr>
          <w:p>
            <w:pPr>
              <w:jc w:val="right"/>
              <w:ind w:right="940"/>
              <w:spacing w:after="0"/>
              <w:rPr>
                <w:sz w:val="20"/>
                <w:szCs w:val="20"/>
                <w:color w:val="auto"/>
              </w:rPr>
            </w:pPr>
            <w:r>
              <w:rPr>
                <w:rFonts w:ascii="Arial" w:cs="Arial" w:eastAsia="Arial" w:hAnsi="Arial"/>
                <w:sz w:val="14"/>
                <w:szCs w:val="14"/>
                <w:b w:val="1"/>
                <w:bCs w:val="1"/>
                <w:color w:val="auto"/>
              </w:rPr>
              <w:t>Nine Months Ended June 30,</w:t>
            </w:r>
          </w:p>
        </w:tc>
        <w:tc>
          <w:tcPr>
            <w:tcW w:w="0" w:type="dxa"/>
            <w:vAlign w:val="bottom"/>
          </w:tcPr>
          <w:p>
            <w:pPr>
              <w:spacing w:after="0"/>
              <w:rPr>
                <w:sz w:val="1"/>
                <w:szCs w:val="1"/>
                <w:color w:val="auto"/>
              </w:rPr>
            </w:pPr>
          </w:p>
        </w:tc>
      </w:tr>
      <w:tr>
        <w:trPr>
          <w:trHeight w:val="156"/>
        </w:trPr>
        <w:tc>
          <w:tcPr>
            <w:tcW w:w="7720" w:type="dxa"/>
            <w:vAlign w:val="bottom"/>
            <w:tcBorders>
              <w:bottom w:val="single" w:sz="8" w:color="CCECFF"/>
            </w:tcBorders>
          </w:tcPr>
          <w:p>
            <w:pPr>
              <w:spacing w:after="0"/>
              <w:rPr>
                <w:sz w:val="13"/>
                <w:szCs w:val="13"/>
                <w:color w:val="auto"/>
              </w:rPr>
            </w:pPr>
          </w:p>
        </w:tc>
        <w:tc>
          <w:tcPr>
            <w:tcW w:w="360" w:type="dxa"/>
            <w:vAlign w:val="bottom"/>
            <w:tcBorders>
              <w:top w:val="single" w:sz="8" w:color="auto"/>
              <w:bottom w:val="single" w:sz="8" w:color="auto"/>
            </w:tcBorders>
          </w:tcPr>
          <w:p>
            <w:pPr>
              <w:spacing w:after="0"/>
              <w:rPr>
                <w:sz w:val="13"/>
                <w:szCs w:val="13"/>
                <w:color w:val="auto"/>
              </w:rPr>
            </w:pPr>
          </w:p>
        </w:tc>
        <w:tc>
          <w:tcPr>
            <w:tcW w:w="1200" w:type="dxa"/>
            <w:vAlign w:val="bottom"/>
            <w:tcBorders>
              <w:top w:val="single" w:sz="8" w:color="auto"/>
              <w:bottom w:val="single" w:sz="8" w:color="auto"/>
            </w:tcBorders>
          </w:tcPr>
          <w:p>
            <w:pPr>
              <w:jc w:val="right"/>
              <w:ind w:right="568"/>
              <w:spacing w:after="0" w:line="155" w:lineRule="exact"/>
              <w:rPr>
                <w:sz w:val="20"/>
                <w:szCs w:val="20"/>
                <w:color w:val="auto"/>
              </w:rPr>
            </w:pPr>
            <w:r>
              <w:rPr>
                <w:rFonts w:ascii="Arial" w:cs="Arial" w:eastAsia="Arial" w:hAnsi="Arial"/>
                <w:sz w:val="14"/>
                <w:szCs w:val="14"/>
                <w:b w:val="1"/>
                <w:bCs w:val="1"/>
                <w:color w:val="auto"/>
              </w:rPr>
              <w:t>2017</w:t>
            </w:r>
          </w:p>
        </w:tc>
        <w:tc>
          <w:tcPr>
            <w:tcW w:w="280" w:type="dxa"/>
            <w:vAlign w:val="bottom"/>
            <w:tcBorders>
              <w:top w:val="single" w:sz="8" w:color="auto"/>
              <w:bottom w:val="single" w:sz="8" w:color="CCECFF"/>
            </w:tcBorders>
          </w:tcPr>
          <w:p>
            <w:pPr>
              <w:spacing w:after="0"/>
              <w:rPr>
                <w:sz w:val="13"/>
                <w:szCs w:val="13"/>
                <w:color w:val="auto"/>
              </w:rPr>
            </w:pPr>
          </w:p>
        </w:tc>
        <w:tc>
          <w:tcPr>
            <w:tcW w:w="360" w:type="dxa"/>
            <w:vAlign w:val="bottom"/>
            <w:tcBorders>
              <w:top w:val="single" w:sz="8" w:color="auto"/>
              <w:bottom w:val="single" w:sz="8" w:color="auto"/>
            </w:tcBorders>
          </w:tcPr>
          <w:p>
            <w:pPr>
              <w:spacing w:after="0"/>
              <w:rPr>
                <w:sz w:val="13"/>
                <w:szCs w:val="13"/>
                <w:color w:val="auto"/>
              </w:rPr>
            </w:pPr>
          </w:p>
        </w:tc>
        <w:tc>
          <w:tcPr>
            <w:tcW w:w="1200" w:type="dxa"/>
            <w:vAlign w:val="bottom"/>
            <w:tcBorders>
              <w:top w:val="single" w:sz="8" w:color="auto"/>
              <w:bottom w:val="single" w:sz="8" w:color="auto"/>
            </w:tcBorders>
          </w:tcPr>
          <w:p>
            <w:pPr>
              <w:jc w:val="right"/>
              <w:ind w:right="568"/>
              <w:spacing w:after="0" w:line="155" w:lineRule="exact"/>
              <w:rPr>
                <w:sz w:val="20"/>
                <w:szCs w:val="20"/>
                <w:color w:val="auto"/>
              </w:rPr>
            </w:pPr>
            <w:r>
              <w:rPr>
                <w:rFonts w:ascii="Arial" w:cs="Arial" w:eastAsia="Arial" w:hAnsi="Arial"/>
                <w:sz w:val="14"/>
                <w:szCs w:val="14"/>
                <w:b w:val="1"/>
                <w:bCs w:val="1"/>
                <w:color w:val="auto"/>
              </w:rPr>
              <w:t>2016</w:t>
            </w:r>
          </w:p>
        </w:tc>
        <w:tc>
          <w:tcPr>
            <w:tcW w:w="120" w:type="dxa"/>
            <w:vAlign w:val="bottom"/>
            <w:tcBorders>
              <w:bottom w:val="single" w:sz="8" w:color="CCECFF"/>
            </w:tcBorders>
          </w:tcPr>
          <w:p>
            <w:pPr>
              <w:spacing w:after="0"/>
              <w:rPr>
                <w:sz w:val="13"/>
                <w:szCs w:val="13"/>
                <w:color w:val="auto"/>
              </w:rPr>
            </w:pPr>
          </w:p>
        </w:tc>
        <w:tc>
          <w:tcPr>
            <w:tcW w:w="0" w:type="dxa"/>
            <w:vAlign w:val="bottom"/>
          </w:tcPr>
          <w:p>
            <w:pPr>
              <w:spacing w:after="0"/>
              <w:rPr>
                <w:sz w:val="1"/>
                <w:szCs w:val="1"/>
                <w:color w:val="auto"/>
              </w:rPr>
            </w:pPr>
          </w:p>
        </w:tc>
      </w:tr>
      <w:tr>
        <w:trPr>
          <w:trHeight w:val="155"/>
        </w:trPr>
        <w:tc>
          <w:tcPr>
            <w:tcW w:w="7720" w:type="dxa"/>
            <w:vAlign w:val="bottom"/>
            <w:shd w:val="clear" w:color="auto" w:fill="CCECFF"/>
          </w:tcPr>
          <w:p>
            <w:pPr>
              <w:spacing w:after="0" w:line="155" w:lineRule="exact"/>
              <w:rPr>
                <w:sz w:val="20"/>
                <w:szCs w:val="20"/>
                <w:color w:val="auto"/>
              </w:rPr>
            </w:pPr>
            <w:r>
              <w:rPr>
                <w:rFonts w:ascii="Arial" w:cs="Arial" w:eastAsia="Arial" w:hAnsi="Arial"/>
                <w:sz w:val="14"/>
                <w:szCs w:val="14"/>
                <w:b w:val="1"/>
                <w:bCs w:val="1"/>
                <w:color w:val="auto"/>
              </w:rPr>
              <w:t>Cash flows from operating activities:</w:t>
            </w:r>
          </w:p>
        </w:tc>
        <w:tc>
          <w:tcPr>
            <w:tcW w:w="360" w:type="dxa"/>
            <w:vAlign w:val="bottom"/>
            <w:shd w:val="clear" w:color="auto" w:fill="CCECFF"/>
          </w:tcPr>
          <w:p>
            <w:pPr>
              <w:spacing w:after="0"/>
              <w:rPr>
                <w:sz w:val="13"/>
                <w:szCs w:val="13"/>
                <w:color w:val="auto"/>
              </w:rPr>
            </w:pPr>
          </w:p>
        </w:tc>
        <w:tc>
          <w:tcPr>
            <w:tcW w:w="1200" w:type="dxa"/>
            <w:vAlign w:val="bottom"/>
            <w:shd w:val="clear" w:color="auto" w:fill="CCECFF"/>
          </w:tcPr>
          <w:p>
            <w:pPr>
              <w:spacing w:after="0"/>
              <w:rPr>
                <w:sz w:val="13"/>
                <w:szCs w:val="13"/>
                <w:color w:val="auto"/>
              </w:rPr>
            </w:pPr>
          </w:p>
        </w:tc>
        <w:tc>
          <w:tcPr>
            <w:tcW w:w="280" w:type="dxa"/>
            <w:vAlign w:val="bottom"/>
            <w:shd w:val="clear" w:color="auto" w:fill="CCECFF"/>
          </w:tcPr>
          <w:p>
            <w:pPr>
              <w:spacing w:after="0"/>
              <w:rPr>
                <w:sz w:val="13"/>
                <w:szCs w:val="13"/>
                <w:color w:val="auto"/>
              </w:rPr>
            </w:pPr>
          </w:p>
        </w:tc>
        <w:tc>
          <w:tcPr>
            <w:tcW w:w="360" w:type="dxa"/>
            <w:vAlign w:val="bottom"/>
            <w:shd w:val="clear" w:color="auto" w:fill="CCECFF"/>
          </w:tcPr>
          <w:p>
            <w:pPr>
              <w:spacing w:after="0"/>
              <w:rPr>
                <w:sz w:val="13"/>
                <w:szCs w:val="13"/>
                <w:color w:val="auto"/>
              </w:rPr>
            </w:pPr>
          </w:p>
        </w:tc>
        <w:tc>
          <w:tcPr>
            <w:tcW w:w="1200" w:type="dxa"/>
            <w:vAlign w:val="bottom"/>
            <w:shd w:val="clear" w:color="auto" w:fill="CCECFF"/>
          </w:tcPr>
          <w:p>
            <w:pPr>
              <w:spacing w:after="0"/>
              <w:rPr>
                <w:sz w:val="13"/>
                <w:szCs w:val="13"/>
                <w:color w:val="auto"/>
              </w:rPr>
            </w:pPr>
          </w:p>
        </w:tc>
        <w:tc>
          <w:tcPr>
            <w:tcW w:w="120" w:type="dxa"/>
            <w:vAlign w:val="bottom"/>
            <w:shd w:val="clear" w:color="auto" w:fill="CCECFF"/>
          </w:tcPr>
          <w:p>
            <w:pPr>
              <w:spacing w:after="0"/>
              <w:rPr>
                <w:sz w:val="13"/>
                <w:szCs w:val="13"/>
                <w:color w:val="auto"/>
              </w:rPr>
            </w:pPr>
          </w:p>
        </w:tc>
        <w:tc>
          <w:tcPr>
            <w:tcW w:w="0" w:type="dxa"/>
            <w:vAlign w:val="bottom"/>
          </w:tcPr>
          <w:p>
            <w:pPr>
              <w:spacing w:after="0"/>
              <w:rPr>
                <w:sz w:val="1"/>
                <w:szCs w:val="1"/>
                <w:color w:val="auto"/>
              </w:rPr>
            </w:pPr>
          </w:p>
        </w:tc>
      </w:tr>
      <w:tr>
        <w:trPr>
          <w:trHeight w:val="162"/>
        </w:trPr>
        <w:tc>
          <w:tcPr>
            <w:tcW w:w="7720" w:type="dxa"/>
            <w:vAlign w:val="bottom"/>
          </w:tcPr>
          <w:p>
            <w:pPr>
              <w:ind w:left="500"/>
              <w:spacing w:after="0"/>
              <w:rPr>
                <w:sz w:val="20"/>
                <w:szCs w:val="20"/>
                <w:color w:val="auto"/>
              </w:rPr>
            </w:pPr>
            <w:r>
              <w:rPr>
                <w:rFonts w:ascii="Arial" w:cs="Arial" w:eastAsia="Arial" w:hAnsi="Arial"/>
                <w:sz w:val="14"/>
                <w:szCs w:val="14"/>
                <w:color w:val="auto"/>
              </w:rPr>
              <w:t>Net increase (decrease) in net assets resulting from operations</w:t>
            </w:r>
          </w:p>
        </w:tc>
        <w:tc>
          <w:tcPr>
            <w:tcW w:w="360" w:type="dxa"/>
            <w:vAlign w:val="bottom"/>
          </w:tcPr>
          <w:p>
            <w:pPr>
              <w:jc w:val="right"/>
              <w:ind w:right="208"/>
              <w:spacing w:after="0"/>
              <w:rPr>
                <w:sz w:val="20"/>
                <w:szCs w:val="20"/>
                <w:color w:val="auto"/>
              </w:rPr>
            </w:pPr>
            <w:r>
              <w:rPr>
                <w:rFonts w:ascii="Arial" w:cs="Arial" w:eastAsia="Arial" w:hAnsi="Arial"/>
                <w:sz w:val="14"/>
                <w:szCs w:val="14"/>
                <w:color w:val="auto"/>
                <w:w w:val="76"/>
              </w:rPr>
              <w:t>$</w:t>
            </w:r>
          </w:p>
        </w:tc>
        <w:tc>
          <w:tcPr>
            <w:tcW w:w="1200" w:type="dxa"/>
            <w:vAlign w:val="bottom"/>
          </w:tcPr>
          <w:p>
            <w:pPr>
              <w:jc w:val="right"/>
              <w:spacing w:after="0"/>
              <w:rPr>
                <w:sz w:val="20"/>
                <w:szCs w:val="20"/>
                <w:color w:val="auto"/>
              </w:rPr>
            </w:pPr>
            <w:r>
              <w:rPr>
                <w:rFonts w:ascii="Arial" w:cs="Arial" w:eastAsia="Arial" w:hAnsi="Arial"/>
                <w:sz w:val="14"/>
                <w:szCs w:val="14"/>
                <w:color w:val="auto"/>
              </w:rPr>
              <w:t>54,287,861</w:t>
            </w:r>
          </w:p>
        </w:tc>
        <w:tc>
          <w:tcPr>
            <w:tcW w:w="280" w:type="dxa"/>
            <w:vAlign w:val="bottom"/>
          </w:tcPr>
          <w:p>
            <w:pPr>
              <w:spacing w:after="0"/>
              <w:rPr>
                <w:sz w:val="14"/>
                <w:szCs w:val="14"/>
                <w:color w:val="auto"/>
              </w:rPr>
            </w:pPr>
          </w:p>
        </w:tc>
        <w:tc>
          <w:tcPr>
            <w:tcW w:w="360" w:type="dxa"/>
            <w:vAlign w:val="bottom"/>
          </w:tcPr>
          <w:p>
            <w:pPr>
              <w:jc w:val="right"/>
              <w:ind w:right="208"/>
              <w:spacing w:after="0"/>
              <w:rPr>
                <w:sz w:val="20"/>
                <w:szCs w:val="20"/>
                <w:color w:val="auto"/>
              </w:rPr>
            </w:pPr>
            <w:r>
              <w:rPr>
                <w:rFonts w:ascii="Arial" w:cs="Arial" w:eastAsia="Arial" w:hAnsi="Arial"/>
                <w:sz w:val="14"/>
                <w:szCs w:val="14"/>
                <w:color w:val="auto"/>
                <w:w w:val="76"/>
              </w:rPr>
              <w:t>$</w:t>
            </w:r>
          </w:p>
        </w:tc>
        <w:tc>
          <w:tcPr>
            <w:tcW w:w="1320" w:type="dxa"/>
            <w:vAlign w:val="bottom"/>
            <w:gridSpan w:val="2"/>
          </w:tcPr>
          <w:p>
            <w:pPr>
              <w:jc w:val="right"/>
              <w:ind w:right="80"/>
              <w:spacing w:after="0"/>
              <w:rPr>
                <w:sz w:val="20"/>
                <w:szCs w:val="20"/>
                <w:color w:val="auto"/>
              </w:rPr>
            </w:pPr>
            <w:r>
              <w:rPr>
                <w:rFonts w:ascii="Arial" w:cs="Arial" w:eastAsia="Arial" w:hAnsi="Arial"/>
                <w:sz w:val="14"/>
                <w:szCs w:val="14"/>
                <w:color w:val="auto"/>
              </w:rPr>
              <w:t>(8,972,672)</w:t>
            </w:r>
          </w:p>
        </w:tc>
        <w:tc>
          <w:tcPr>
            <w:tcW w:w="0" w:type="dxa"/>
            <w:vAlign w:val="bottom"/>
          </w:tcPr>
          <w:p>
            <w:pPr>
              <w:spacing w:after="0"/>
              <w:rPr>
                <w:sz w:val="1"/>
                <w:szCs w:val="1"/>
                <w:color w:val="auto"/>
              </w:rPr>
            </w:pPr>
          </w:p>
        </w:tc>
      </w:tr>
      <w:tr>
        <w:trPr>
          <w:trHeight w:val="143"/>
        </w:trPr>
        <w:tc>
          <w:tcPr>
            <w:tcW w:w="7720" w:type="dxa"/>
            <w:vAlign w:val="bottom"/>
            <w:shd w:val="clear" w:color="auto" w:fill="CCECFF"/>
          </w:tcPr>
          <w:p>
            <w:pPr>
              <w:ind w:left="500"/>
              <w:spacing w:after="0" w:line="143" w:lineRule="exact"/>
              <w:rPr>
                <w:sz w:val="20"/>
                <w:szCs w:val="20"/>
                <w:color w:val="auto"/>
              </w:rPr>
            </w:pPr>
            <w:r>
              <w:rPr>
                <w:rFonts w:ascii="Arial" w:cs="Arial" w:eastAsia="Arial" w:hAnsi="Arial"/>
                <w:sz w:val="14"/>
                <w:szCs w:val="14"/>
                <w:color w:val="auto"/>
              </w:rPr>
              <w:t>Adjustments to reconcile net increase (decrease) in net assets resulting from</w:t>
            </w:r>
          </w:p>
        </w:tc>
        <w:tc>
          <w:tcPr>
            <w:tcW w:w="360" w:type="dxa"/>
            <w:vAlign w:val="bottom"/>
            <w:shd w:val="clear" w:color="auto" w:fill="CCECFF"/>
          </w:tcPr>
          <w:p>
            <w:pPr>
              <w:spacing w:after="0"/>
              <w:rPr>
                <w:sz w:val="12"/>
                <w:szCs w:val="12"/>
                <w:color w:val="auto"/>
              </w:rPr>
            </w:pPr>
          </w:p>
        </w:tc>
        <w:tc>
          <w:tcPr>
            <w:tcW w:w="1200" w:type="dxa"/>
            <w:vAlign w:val="bottom"/>
            <w:shd w:val="clear" w:color="auto" w:fill="CCECFF"/>
          </w:tcPr>
          <w:p>
            <w:pPr>
              <w:spacing w:after="0"/>
              <w:rPr>
                <w:sz w:val="12"/>
                <w:szCs w:val="12"/>
                <w:color w:val="auto"/>
              </w:rPr>
            </w:pPr>
          </w:p>
        </w:tc>
        <w:tc>
          <w:tcPr>
            <w:tcW w:w="280" w:type="dxa"/>
            <w:vAlign w:val="bottom"/>
            <w:shd w:val="clear" w:color="auto" w:fill="CCECFF"/>
          </w:tcPr>
          <w:p>
            <w:pPr>
              <w:spacing w:after="0"/>
              <w:rPr>
                <w:sz w:val="12"/>
                <w:szCs w:val="12"/>
                <w:color w:val="auto"/>
              </w:rPr>
            </w:pPr>
          </w:p>
        </w:tc>
        <w:tc>
          <w:tcPr>
            <w:tcW w:w="360" w:type="dxa"/>
            <w:vAlign w:val="bottom"/>
            <w:shd w:val="clear" w:color="auto" w:fill="CCECFF"/>
          </w:tcPr>
          <w:p>
            <w:pPr>
              <w:spacing w:after="0"/>
              <w:rPr>
                <w:sz w:val="12"/>
                <w:szCs w:val="12"/>
                <w:color w:val="auto"/>
              </w:rPr>
            </w:pPr>
          </w:p>
        </w:tc>
        <w:tc>
          <w:tcPr>
            <w:tcW w:w="1200" w:type="dxa"/>
            <w:vAlign w:val="bottom"/>
            <w:shd w:val="clear" w:color="auto" w:fill="CCECFF"/>
          </w:tcPr>
          <w:p>
            <w:pPr>
              <w:spacing w:after="0"/>
              <w:rPr>
                <w:sz w:val="12"/>
                <w:szCs w:val="12"/>
                <w:color w:val="auto"/>
              </w:rPr>
            </w:pPr>
          </w:p>
        </w:tc>
        <w:tc>
          <w:tcPr>
            <w:tcW w:w="120" w:type="dxa"/>
            <w:vAlign w:val="bottom"/>
            <w:shd w:val="clear" w:color="auto" w:fill="CCECFF"/>
          </w:tcPr>
          <w:p>
            <w:pPr>
              <w:spacing w:after="0"/>
              <w:rPr>
                <w:sz w:val="12"/>
                <w:szCs w:val="12"/>
                <w:color w:val="auto"/>
              </w:rPr>
            </w:pPr>
          </w:p>
        </w:tc>
        <w:tc>
          <w:tcPr>
            <w:tcW w:w="0" w:type="dxa"/>
            <w:vAlign w:val="bottom"/>
          </w:tcPr>
          <w:p>
            <w:pPr>
              <w:spacing w:after="0"/>
              <w:rPr>
                <w:sz w:val="1"/>
                <w:szCs w:val="1"/>
                <w:color w:val="auto"/>
              </w:rPr>
            </w:pPr>
          </w:p>
        </w:tc>
      </w:tr>
      <w:tr>
        <w:trPr>
          <w:trHeight w:val="167"/>
        </w:trPr>
        <w:tc>
          <w:tcPr>
            <w:tcW w:w="7720" w:type="dxa"/>
            <w:vAlign w:val="bottom"/>
            <w:shd w:val="clear" w:color="auto" w:fill="CCECFF"/>
          </w:tcPr>
          <w:p>
            <w:pPr>
              <w:ind w:left="600"/>
              <w:spacing w:after="0"/>
              <w:rPr>
                <w:sz w:val="20"/>
                <w:szCs w:val="20"/>
                <w:color w:val="auto"/>
              </w:rPr>
            </w:pPr>
            <w:r>
              <w:rPr>
                <w:rFonts w:ascii="Arial" w:cs="Arial" w:eastAsia="Arial" w:hAnsi="Arial"/>
                <w:sz w:val="14"/>
                <w:szCs w:val="14"/>
                <w:color w:val="auto"/>
              </w:rPr>
              <w:t>operations to net cash provided by operating activities:</w:t>
            </w:r>
          </w:p>
        </w:tc>
        <w:tc>
          <w:tcPr>
            <w:tcW w:w="360" w:type="dxa"/>
            <w:vAlign w:val="bottom"/>
            <w:shd w:val="clear" w:color="auto" w:fill="CCECFF"/>
          </w:tcPr>
          <w:p>
            <w:pPr>
              <w:spacing w:after="0"/>
              <w:rPr>
                <w:sz w:val="14"/>
                <w:szCs w:val="14"/>
                <w:color w:val="auto"/>
              </w:rPr>
            </w:pPr>
          </w:p>
        </w:tc>
        <w:tc>
          <w:tcPr>
            <w:tcW w:w="1200" w:type="dxa"/>
            <w:vAlign w:val="bottom"/>
            <w:shd w:val="clear" w:color="auto" w:fill="CCECFF"/>
          </w:tcPr>
          <w:p>
            <w:pPr>
              <w:spacing w:after="0"/>
              <w:rPr>
                <w:sz w:val="14"/>
                <w:szCs w:val="14"/>
                <w:color w:val="auto"/>
              </w:rPr>
            </w:pPr>
          </w:p>
        </w:tc>
        <w:tc>
          <w:tcPr>
            <w:tcW w:w="280" w:type="dxa"/>
            <w:vAlign w:val="bottom"/>
            <w:shd w:val="clear" w:color="auto" w:fill="CCECFF"/>
          </w:tcPr>
          <w:p>
            <w:pPr>
              <w:spacing w:after="0"/>
              <w:rPr>
                <w:sz w:val="14"/>
                <w:szCs w:val="14"/>
                <w:color w:val="auto"/>
              </w:rPr>
            </w:pPr>
          </w:p>
        </w:tc>
        <w:tc>
          <w:tcPr>
            <w:tcW w:w="360" w:type="dxa"/>
            <w:vAlign w:val="bottom"/>
            <w:shd w:val="clear" w:color="auto" w:fill="CCECFF"/>
          </w:tcPr>
          <w:p>
            <w:pPr>
              <w:spacing w:after="0"/>
              <w:rPr>
                <w:sz w:val="14"/>
                <w:szCs w:val="14"/>
                <w:color w:val="auto"/>
              </w:rPr>
            </w:pPr>
          </w:p>
        </w:tc>
        <w:tc>
          <w:tcPr>
            <w:tcW w:w="1200" w:type="dxa"/>
            <w:vAlign w:val="bottom"/>
            <w:shd w:val="clear" w:color="auto" w:fill="CCECFF"/>
          </w:tcPr>
          <w:p>
            <w:pPr>
              <w:spacing w:after="0"/>
              <w:rPr>
                <w:sz w:val="14"/>
                <w:szCs w:val="14"/>
                <w:color w:val="auto"/>
              </w:rPr>
            </w:pPr>
          </w:p>
        </w:tc>
        <w:tc>
          <w:tcPr>
            <w:tcW w:w="120" w:type="dxa"/>
            <w:vAlign w:val="bottom"/>
            <w:shd w:val="clear" w:color="auto" w:fill="CCECFF"/>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7720" w:type="dxa"/>
            <w:vAlign w:val="bottom"/>
          </w:tcPr>
          <w:p>
            <w:pPr>
              <w:ind w:left="1000"/>
              <w:spacing w:after="0"/>
              <w:rPr>
                <w:sz w:val="20"/>
                <w:szCs w:val="20"/>
                <w:color w:val="auto"/>
              </w:rPr>
            </w:pPr>
            <w:r>
              <w:rPr>
                <w:rFonts w:ascii="Arial" w:cs="Arial" w:eastAsia="Arial" w:hAnsi="Arial"/>
                <w:sz w:val="14"/>
                <w:szCs w:val="14"/>
                <w:color w:val="auto"/>
              </w:rPr>
              <w:t>Net change in net unrealized appreciation on investments</w:t>
            </w:r>
          </w:p>
        </w:tc>
        <w:tc>
          <w:tcPr>
            <w:tcW w:w="360" w:type="dxa"/>
            <w:vAlign w:val="bottom"/>
          </w:tcPr>
          <w:p>
            <w:pPr>
              <w:spacing w:after="0"/>
              <w:rPr>
                <w:sz w:val="14"/>
                <w:szCs w:val="14"/>
                <w:color w:val="auto"/>
              </w:rPr>
            </w:pPr>
          </w:p>
        </w:tc>
        <w:tc>
          <w:tcPr>
            <w:tcW w:w="1480" w:type="dxa"/>
            <w:vAlign w:val="bottom"/>
            <w:gridSpan w:val="2"/>
          </w:tcPr>
          <w:p>
            <w:pPr>
              <w:jc w:val="right"/>
              <w:ind w:right="220"/>
              <w:spacing w:after="0"/>
              <w:rPr>
                <w:sz w:val="20"/>
                <w:szCs w:val="20"/>
                <w:color w:val="auto"/>
              </w:rPr>
            </w:pPr>
            <w:r>
              <w:rPr>
                <w:rFonts w:ascii="Arial" w:cs="Arial" w:eastAsia="Arial" w:hAnsi="Arial"/>
                <w:sz w:val="14"/>
                <w:szCs w:val="14"/>
                <w:color w:val="auto"/>
              </w:rPr>
              <w:t>(43,831,943)</w:t>
            </w:r>
          </w:p>
        </w:tc>
        <w:tc>
          <w:tcPr>
            <w:tcW w:w="360" w:type="dxa"/>
            <w:vAlign w:val="bottom"/>
          </w:tcPr>
          <w:p>
            <w:pPr>
              <w:spacing w:after="0"/>
              <w:rPr>
                <w:sz w:val="14"/>
                <w:szCs w:val="14"/>
                <w:color w:val="auto"/>
              </w:rPr>
            </w:pPr>
          </w:p>
        </w:tc>
        <w:tc>
          <w:tcPr>
            <w:tcW w:w="1320" w:type="dxa"/>
            <w:vAlign w:val="bottom"/>
            <w:gridSpan w:val="2"/>
          </w:tcPr>
          <w:p>
            <w:pPr>
              <w:jc w:val="right"/>
              <w:ind w:right="80"/>
              <w:spacing w:after="0"/>
              <w:rPr>
                <w:sz w:val="20"/>
                <w:szCs w:val="20"/>
                <w:color w:val="auto"/>
              </w:rPr>
            </w:pPr>
            <w:r>
              <w:rPr>
                <w:rFonts w:ascii="Arial" w:cs="Arial" w:eastAsia="Arial" w:hAnsi="Arial"/>
                <w:sz w:val="14"/>
                <w:szCs w:val="14"/>
                <w:color w:val="auto"/>
              </w:rPr>
              <w:t>(2,095,728)</w:t>
            </w:r>
          </w:p>
        </w:tc>
        <w:tc>
          <w:tcPr>
            <w:tcW w:w="0" w:type="dxa"/>
            <w:vAlign w:val="bottom"/>
          </w:tcPr>
          <w:p>
            <w:pPr>
              <w:spacing w:after="0"/>
              <w:rPr>
                <w:sz w:val="1"/>
                <w:szCs w:val="1"/>
                <w:color w:val="auto"/>
              </w:rPr>
            </w:pPr>
          </w:p>
        </w:tc>
      </w:tr>
      <w:tr>
        <w:trPr>
          <w:trHeight w:val="162"/>
        </w:trPr>
        <w:tc>
          <w:tcPr>
            <w:tcW w:w="7720" w:type="dxa"/>
            <w:vAlign w:val="bottom"/>
            <w:shd w:val="clear" w:color="auto" w:fill="CCECFF"/>
          </w:tcPr>
          <w:p>
            <w:pPr>
              <w:ind w:left="1000"/>
              <w:spacing w:after="0"/>
              <w:rPr>
                <w:sz w:val="20"/>
                <w:szCs w:val="20"/>
                <w:color w:val="auto"/>
              </w:rPr>
            </w:pPr>
            <w:r>
              <w:rPr>
                <w:rFonts w:ascii="Arial" w:cs="Arial" w:eastAsia="Arial" w:hAnsi="Arial"/>
                <w:sz w:val="14"/>
                <w:szCs w:val="14"/>
                <w:color w:val="auto"/>
              </w:rPr>
              <w:t>Net change in unrealized appreciation (depreciation) on debt</w:t>
            </w:r>
          </w:p>
        </w:tc>
        <w:tc>
          <w:tcPr>
            <w:tcW w:w="360" w:type="dxa"/>
            <w:vAlign w:val="bottom"/>
            <w:shd w:val="clear" w:color="auto" w:fill="CCECFF"/>
          </w:tcPr>
          <w:p>
            <w:pPr>
              <w:spacing w:after="0"/>
              <w:rPr>
                <w:sz w:val="14"/>
                <w:szCs w:val="14"/>
                <w:color w:val="auto"/>
              </w:rPr>
            </w:pPr>
          </w:p>
        </w:tc>
        <w:tc>
          <w:tcPr>
            <w:tcW w:w="1200" w:type="dxa"/>
            <w:vAlign w:val="bottom"/>
            <w:shd w:val="clear" w:color="auto" w:fill="CCECFF"/>
          </w:tcPr>
          <w:p>
            <w:pPr>
              <w:jc w:val="right"/>
              <w:spacing w:after="0"/>
              <w:rPr>
                <w:sz w:val="20"/>
                <w:szCs w:val="20"/>
                <w:color w:val="auto"/>
              </w:rPr>
            </w:pPr>
            <w:r>
              <w:rPr>
                <w:rFonts w:ascii="Arial" w:cs="Arial" w:eastAsia="Arial" w:hAnsi="Arial"/>
                <w:sz w:val="14"/>
                <w:szCs w:val="14"/>
                <w:color w:val="auto"/>
              </w:rPr>
              <w:t>2,423,726</w:t>
            </w:r>
          </w:p>
        </w:tc>
        <w:tc>
          <w:tcPr>
            <w:tcW w:w="280" w:type="dxa"/>
            <w:vAlign w:val="bottom"/>
            <w:shd w:val="clear" w:color="auto" w:fill="CCECFF"/>
          </w:tcPr>
          <w:p>
            <w:pPr>
              <w:spacing w:after="0"/>
              <w:rPr>
                <w:sz w:val="14"/>
                <w:szCs w:val="14"/>
                <w:color w:val="auto"/>
              </w:rPr>
            </w:pPr>
          </w:p>
        </w:tc>
        <w:tc>
          <w:tcPr>
            <w:tcW w:w="360" w:type="dxa"/>
            <w:vAlign w:val="bottom"/>
            <w:shd w:val="clear" w:color="auto" w:fill="CCECFF"/>
          </w:tcPr>
          <w:p>
            <w:pPr>
              <w:spacing w:after="0"/>
              <w:rPr>
                <w:sz w:val="14"/>
                <w:szCs w:val="14"/>
                <w:color w:val="auto"/>
              </w:rPr>
            </w:pPr>
          </w:p>
        </w:tc>
        <w:tc>
          <w:tcPr>
            <w:tcW w:w="1320" w:type="dxa"/>
            <w:vAlign w:val="bottom"/>
            <w:gridSpan w:val="2"/>
            <w:shd w:val="clear" w:color="auto" w:fill="CCECFF"/>
          </w:tcPr>
          <w:p>
            <w:pPr>
              <w:jc w:val="right"/>
              <w:ind w:right="80"/>
              <w:spacing w:after="0"/>
              <w:rPr>
                <w:sz w:val="20"/>
                <w:szCs w:val="20"/>
                <w:color w:val="auto"/>
              </w:rPr>
            </w:pPr>
            <w:r>
              <w:rPr>
                <w:rFonts w:ascii="Arial" w:cs="Arial" w:eastAsia="Arial" w:hAnsi="Arial"/>
                <w:sz w:val="14"/>
                <w:szCs w:val="14"/>
                <w:color w:val="auto"/>
              </w:rPr>
              <w:t>(15,566,671)</w:t>
            </w:r>
          </w:p>
        </w:tc>
        <w:tc>
          <w:tcPr>
            <w:tcW w:w="0" w:type="dxa"/>
            <w:vAlign w:val="bottom"/>
          </w:tcPr>
          <w:p>
            <w:pPr>
              <w:spacing w:after="0"/>
              <w:rPr>
                <w:sz w:val="1"/>
                <w:szCs w:val="1"/>
                <w:color w:val="auto"/>
              </w:rPr>
            </w:pPr>
          </w:p>
        </w:tc>
      </w:tr>
      <w:tr>
        <w:trPr>
          <w:trHeight w:val="162"/>
        </w:trPr>
        <w:tc>
          <w:tcPr>
            <w:tcW w:w="7720" w:type="dxa"/>
            <w:vAlign w:val="bottom"/>
          </w:tcPr>
          <w:p>
            <w:pPr>
              <w:ind w:left="1000"/>
              <w:spacing w:after="0"/>
              <w:rPr>
                <w:sz w:val="20"/>
                <w:szCs w:val="20"/>
                <w:color w:val="auto"/>
              </w:rPr>
            </w:pPr>
            <w:r>
              <w:rPr>
                <w:rFonts w:ascii="Arial" w:cs="Arial" w:eastAsia="Arial" w:hAnsi="Arial"/>
                <w:sz w:val="14"/>
                <w:szCs w:val="14"/>
                <w:color w:val="auto"/>
              </w:rPr>
              <w:t>Net realized loss on investments</w:t>
            </w:r>
          </w:p>
        </w:tc>
        <w:tc>
          <w:tcPr>
            <w:tcW w:w="360" w:type="dxa"/>
            <w:vAlign w:val="bottom"/>
          </w:tcPr>
          <w:p>
            <w:pPr>
              <w:spacing w:after="0"/>
              <w:rPr>
                <w:sz w:val="14"/>
                <w:szCs w:val="14"/>
                <w:color w:val="auto"/>
              </w:rPr>
            </w:pPr>
          </w:p>
        </w:tc>
        <w:tc>
          <w:tcPr>
            <w:tcW w:w="1200" w:type="dxa"/>
            <w:vAlign w:val="bottom"/>
          </w:tcPr>
          <w:p>
            <w:pPr>
              <w:jc w:val="right"/>
              <w:spacing w:after="0"/>
              <w:rPr>
                <w:sz w:val="20"/>
                <w:szCs w:val="20"/>
                <w:color w:val="auto"/>
              </w:rPr>
            </w:pPr>
            <w:r>
              <w:rPr>
                <w:rFonts w:ascii="Arial" w:cs="Arial" w:eastAsia="Arial" w:hAnsi="Arial"/>
                <w:sz w:val="14"/>
                <w:szCs w:val="14"/>
                <w:color w:val="auto"/>
              </w:rPr>
              <w:t>30,790,310</w:t>
            </w:r>
          </w:p>
        </w:tc>
        <w:tc>
          <w:tcPr>
            <w:tcW w:w="2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200" w:type="dxa"/>
            <w:vAlign w:val="bottom"/>
          </w:tcPr>
          <w:p>
            <w:pPr>
              <w:jc w:val="right"/>
              <w:spacing w:after="0"/>
              <w:rPr>
                <w:sz w:val="20"/>
                <w:szCs w:val="20"/>
                <w:color w:val="auto"/>
              </w:rPr>
            </w:pPr>
            <w:r>
              <w:rPr>
                <w:rFonts w:ascii="Arial" w:cs="Arial" w:eastAsia="Arial" w:hAnsi="Arial"/>
                <w:sz w:val="14"/>
                <w:szCs w:val="14"/>
                <w:color w:val="auto"/>
              </w:rPr>
              <w:t>82,092,448</w:t>
            </w: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7720" w:type="dxa"/>
            <w:vAlign w:val="bottom"/>
            <w:shd w:val="clear" w:color="auto" w:fill="CCECFF"/>
          </w:tcPr>
          <w:p>
            <w:pPr>
              <w:ind w:left="1000"/>
              <w:spacing w:after="0"/>
              <w:rPr>
                <w:sz w:val="20"/>
                <w:szCs w:val="20"/>
                <w:color w:val="auto"/>
              </w:rPr>
            </w:pPr>
            <w:r>
              <w:rPr>
                <w:rFonts w:ascii="Arial" w:cs="Arial" w:eastAsia="Arial" w:hAnsi="Arial"/>
                <w:sz w:val="14"/>
                <w:szCs w:val="14"/>
                <w:color w:val="auto"/>
              </w:rPr>
              <w:t>Net accretion of discount and amortization of premium</w:t>
            </w:r>
          </w:p>
        </w:tc>
        <w:tc>
          <w:tcPr>
            <w:tcW w:w="360" w:type="dxa"/>
            <w:vAlign w:val="bottom"/>
            <w:shd w:val="clear" w:color="auto" w:fill="CCECFF"/>
          </w:tcPr>
          <w:p>
            <w:pPr>
              <w:spacing w:after="0"/>
              <w:rPr>
                <w:sz w:val="14"/>
                <w:szCs w:val="14"/>
                <w:color w:val="auto"/>
              </w:rPr>
            </w:pPr>
          </w:p>
        </w:tc>
        <w:tc>
          <w:tcPr>
            <w:tcW w:w="1480" w:type="dxa"/>
            <w:vAlign w:val="bottom"/>
            <w:gridSpan w:val="2"/>
            <w:shd w:val="clear" w:color="auto" w:fill="CCECFF"/>
          </w:tcPr>
          <w:p>
            <w:pPr>
              <w:jc w:val="right"/>
              <w:ind w:right="220"/>
              <w:spacing w:after="0"/>
              <w:rPr>
                <w:sz w:val="20"/>
                <w:szCs w:val="20"/>
                <w:color w:val="auto"/>
              </w:rPr>
            </w:pPr>
            <w:r>
              <w:rPr>
                <w:rFonts w:ascii="Arial" w:cs="Arial" w:eastAsia="Arial" w:hAnsi="Arial"/>
                <w:sz w:val="14"/>
                <w:szCs w:val="14"/>
                <w:color w:val="auto"/>
              </w:rPr>
              <w:t>(2,327,068)</w:t>
            </w:r>
          </w:p>
        </w:tc>
        <w:tc>
          <w:tcPr>
            <w:tcW w:w="360" w:type="dxa"/>
            <w:vAlign w:val="bottom"/>
            <w:shd w:val="clear" w:color="auto" w:fill="CCECFF"/>
          </w:tcPr>
          <w:p>
            <w:pPr>
              <w:spacing w:after="0"/>
              <w:rPr>
                <w:sz w:val="14"/>
                <w:szCs w:val="14"/>
                <w:color w:val="auto"/>
              </w:rPr>
            </w:pPr>
          </w:p>
        </w:tc>
        <w:tc>
          <w:tcPr>
            <w:tcW w:w="1320" w:type="dxa"/>
            <w:vAlign w:val="bottom"/>
            <w:gridSpan w:val="2"/>
            <w:shd w:val="clear" w:color="auto" w:fill="CCECFF"/>
          </w:tcPr>
          <w:p>
            <w:pPr>
              <w:jc w:val="right"/>
              <w:ind w:right="80"/>
              <w:spacing w:after="0"/>
              <w:rPr>
                <w:sz w:val="20"/>
                <w:szCs w:val="20"/>
                <w:color w:val="auto"/>
              </w:rPr>
            </w:pPr>
            <w:r>
              <w:rPr>
                <w:rFonts w:ascii="Arial" w:cs="Arial" w:eastAsia="Arial" w:hAnsi="Arial"/>
                <w:sz w:val="14"/>
                <w:szCs w:val="14"/>
                <w:color w:val="auto"/>
              </w:rPr>
              <w:t>(3,992,102)</w:t>
            </w:r>
          </w:p>
        </w:tc>
        <w:tc>
          <w:tcPr>
            <w:tcW w:w="0" w:type="dxa"/>
            <w:vAlign w:val="bottom"/>
          </w:tcPr>
          <w:p>
            <w:pPr>
              <w:spacing w:after="0"/>
              <w:rPr>
                <w:sz w:val="1"/>
                <w:szCs w:val="1"/>
                <w:color w:val="auto"/>
              </w:rPr>
            </w:pPr>
          </w:p>
        </w:tc>
      </w:tr>
      <w:tr>
        <w:trPr>
          <w:trHeight w:val="162"/>
        </w:trPr>
        <w:tc>
          <w:tcPr>
            <w:tcW w:w="7720" w:type="dxa"/>
            <w:vAlign w:val="bottom"/>
          </w:tcPr>
          <w:p>
            <w:pPr>
              <w:ind w:left="1000"/>
              <w:spacing w:after="0"/>
              <w:rPr>
                <w:sz w:val="20"/>
                <w:szCs w:val="20"/>
                <w:color w:val="auto"/>
              </w:rPr>
            </w:pPr>
            <w:r>
              <w:rPr>
                <w:rFonts w:ascii="Arial" w:cs="Arial" w:eastAsia="Arial" w:hAnsi="Arial"/>
                <w:sz w:val="14"/>
                <w:szCs w:val="14"/>
                <w:color w:val="auto"/>
              </w:rPr>
              <w:t>Purchases of investments</w:t>
            </w:r>
          </w:p>
        </w:tc>
        <w:tc>
          <w:tcPr>
            <w:tcW w:w="360" w:type="dxa"/>
            <w:vAlign w:val="bottom"/>
          </w:tcPr>
          <w:p>
            <w:pPr>
              <w:spacing w:after="0"/>
              <w:rPr>
                <w:sz w:val="14"/>
                <w:szCs w:val="14"/>
                <w:color w:val="auto"/>
              </w:rPr>
            </w:pPr>
          </w:p>
        </w:tc>
        <w:tc>
          <w:tcPr>
            <w:tcW w:w="1480" w:type="dxa"/>
            <w:vAlign w:val="bottom"/>
            <w:gridSpan w:val="2"/>
          </w:tcPr>
          <w:p>
            <w:pPr>
              <w:jc w:val="right"/>
              <w:ind w:right="220"/>
              <w:spacing w:after="0"/>
              <w:rPr>
                <w:sz w:val="20"/>
                <w:szCs w:val="20"/>
                <w:color w:val="auto"/>
              </w:rPr>
            </w:pPr>
            <w:r>
              <w:rPr>
                <w:rFonts w:ascii="Arial" w:cs="Arial" w:eastAsia="Arial" w:hAnsi="Arial"/>
                <w:sz w:val="14"/>
                <w:szCs w:val="14"/>
                <w:color w:val="auto"/>
              </w:rPr>
              <w:t>(378,816,543)</w:t>
            </w:r>
          </w:p>
        </w:tc>
        <w:tc>
          <w:tcPr>
            <w:tcW w:w="360" w:type="dxa"/>
            <w:vAlign w:val="bottom"/>
          </w:tcPr>
          <w:p>
            <w:pPr>
              <w:spacing w:after="0"/>
              <w:rPr>
                <w:sz w:val="14"/>
                <w:szCs w:val="14"/>
                <w:color w:val="auto"/>
              </w:rPr>
            </w:pPr>
          </w:p>
        </w:tc>
        <w:tc>
          <w:tcPr>
            <w:tcW w:w="1320" w:type="dxa"/>
            <w:vAlign w:val="bottom"/>
            <w:gridSpan w:val="2"/>
          </w:tcPr>
          <w:p>
            <w:pPr>
              <w:jc w:val="right"/>
              <w:ind w:right="80"/>
              <w:spacing w:after="0"/>
              <w:rPr>
                <w:sz w:val="20"/>
                <w:szCs w:val="20"/>
                <w:color w:val="auto"/>
              </w:rPr>
            </w:pPr>
            <w:r>
              <w:rPr>
                <w:rFonts w:ascii="Arial" w:cs="Arial" w:eastAsia="Arial" w:hAnsi="Arial"/>
                <w:sz w:val="14"/>
                <w:szCs w:val="14"/>
                <w:color w:val="auto"/>
              </w:rPr>
              <w:t>(307,264,571)</w:t>
            </w:r>
          </w:p>
        </w:tc>
        <w:tc>
          <w:tcPr>
            <w:tcW w:w="0" w:type="dxa"/>
            <w:vAlign w:val="bottom"/>
          </w:tcPr>
          <w:p>
            <w:pPr>
              <w:spacing w:after="0"/>
              <w:rPr>
                <w:sz w:val="1"/>
                <w:szCs w:val="1"/>
                <w:color w:val="auto"/>
              </w:rPr>
            </w:pPr>
          </w:p>
        </w:tc>
      </w:tr>
      <w:tr>
        <w:trPr>
          <w:trHeight w:val="162"/>
        </w:trPr>
        <w:tc>
          <w:tcPr>
            <w:tcW w:w="7720" w:type="dxa"/>
            <w:vAlign w:val="bottom"/>
            <w:shd w:val="clear" w:color="auto" w:fill="CCECFF"/>
          </w:tcPr>
          <w:p>
            <w:pPr>
              <w:ind w:left="1000"/>
              <w:spacing w:after="0"/>
              <w:rPr>
                <w:sz w:val="20"/>
                <w:szCs w:val="20"/>
                <w:color w:val="auto"/>
              </w:rPr>
            </w:pPr>
            <w:r>
              <w:rPr>
                <w:rFonts w:ascii="Arial" w:cs="Arial" w:eastAsia="Arial" w:hAnsi="Arial"/>
                <w:sz w:val="14"/>
                <w:szCs w:val="14"/>
                <w:color w:val="auto"/>
              </w:rPr>
              <w:t>Payment-in-kind income</w:t>
            </w:r>
          </w:p>
        </w:tc>
        <w:tc>
          <w:tcPr>
            <w:tcW w:w="360" w:type="dxa"/>
            <w:vAlign w:val="bottom"/>
            <w:shd w:val="clear" w:color="auto" w:fill="CCECFF"/>
          </w:tcPr>
          <w:p>
            <w:pPr>
              <w:spacing w:after="0"/>
              <w:rPr>
                <w:sz w:val="14"/>
                <w:szCs w:val="14"/>
                <w:color w:val="auto"/>
              </w:rPr>
            </w:pPr>
          </w:p>
        </w:tc>
        <w:tc>
          <w:tcPr>
            <w:tcW w:w="1480" w:type="dxa"/>
            <w:vAlign w:val="bottom"/>
            <w:gridSpan w:val="2"/>
            <w:shd w:val="clear" w:color="auto" w:fill="CCECFF"/>
          </w:tcPr>
          <w:p>
            <w:pPr>
              <w:jc w:val="right"/>
              <w:ind w:right="220"/>
              <w:spacing w:after="0"/>
              <w:rPr>
                <w:sz w:val="20"/>
                <w:szCs w:val="20"/>
                <w:color w:val="auto"/>
              </w:rPr>
            </w:pPr>
            <w:r>
              <w:rPr>
                <w:rFonts w:ascii="Arial" w:cs="Arial" w:eastAsia="Arial" w:hAnsi="Arial"/>
                <w:sz w:val="14"/>
                <w:szCs w:val="14"/>
                <w:color w:val="auto"/>
              </w:rPr>
              <w:t>(17,060,002)</w:t>
            </w:r>
          </w:p>
        </w:tc>
        <w:tc>
          <w:tcPr>
            <w:tcW w:w="360" w:type="dxa"/>
            <w:vAlign w:val="bottom"/>
            <w:shd w:val="clear" w:color="auto" w:fill="CCECFF"/>
          </w:tcPr>
          <w:p>
            <w:pPr>
              <w:spacing w:after="0"/>
              <w:rPr>
                <w:sz w:val="14"/>
                <w:szCs w:val="14"/>
                <w:color w:val="auto"/>
              </w:rPr>
            </w:pPr>
          </w:p>
        </w:tc>
        <w:tc>
          <w:tcPr>
            <w:tcW w:w="1320" w:type="dxa"/>
            <w:vAlign w:val="bottom"/>
            <w:gridSpan w:val="2"/>
            <w:shd w:val="clear" w:color="auto" w:fill="CCECFF"/>
          </w:tcPr>
          <w:p>
            <w:pPr>
              <w:jc w:val="right"/>
              <w:ind w:right="80"/>
              <w:spacing w:after="0"/>
              <w:rPr>
                <w:sz w:val="20"/>
                <w:szCs w:val="20"/>
                <w:color w:val="auto"/>
              </w:rPr>
            </w:pPr>
            <w:r>
              <w:rPr>
                <w:rFonts w:ascii="Arial" w:cs="Arial" w:eastAsia="Arial" w:hAnsi="Arial"/>
                <w:sz w:val="14"/>
                <w:szCs w:val="14"/>
                <w:color w:val="auto"/>
              </w:rPr>
              <w:t>(10,392,583)</w:t>
            </w:r>
          </w:p>
        </w:tc>
        <w:tc>
          <w:tcPr>
            <w:tcW w:w="0" w:type="dxa"/>
            <w:vAlign w:val="bottom"/>
          </w:tcPr>
          <w:p>
            <w:pPr>
              <w:spacing w:after="0"/>
              <w:rPr>
                <w:sz w:val="1"/>
                <w:szCs w:val="1"/>
                <w:color w:val="auto"/>
              </w:rPr>
            </w:pPr>
          </w:p>
        </w:tc>
      </w:tr>
      <w:tr>
        <w:trPr>
          <w:trHeight w:val="162"/>
        </w:trPr>
        <w:tc>
          <w:tcPr>
            <w:tcW w:w="7720" w:type="dxa"/>
            <w:vAlign w:val="bottom"/>
          </w:tcPr>
          <w:p>
            <w:pPr>
              <w:ind w:left="1000"/>
              <w:spacing w:after="0"/>
              <w:rPr>
                <w:sz w:val="20"/>
                <w:szCs w:val="20"/>
                <w:color w:val="auto"/>
              </w:rPr>
            </w:pPr>
            <w:r>
              <w:rPr>
                <w:rFonts w:ascii="Arial" w:cs="Arial" w:eastAsia="Arial" w:hAnsi="Arial"/>
                <w:sz w:val="14"/>
                <w:szCs w:val="14"/>
                <w:color w:val="auto"/>
              </w:rPr>
              <w:t>Proceeds from dispositions of investments</w:t>
            </w:r>
          </w:p>
        </w:tc>
        <w:tc>
          <w:tcPr>
            <w:tcW w:w="360" w:type="dxa"/>
            <w:vAlign w:val="bottom"/>
          </w:tcPr>
          <w:p>
            <w:pPr>
              <w:spacing w:after="0"/>
              <w:rPr>
                <w:sz w:val="14"/>
                <w:szCs w:val="14"/>
                <w:color w:val="auto"/>
              </w:rPr>
            </w:pPr>
          </w:p>
        </w:tc>
        <w:tc>
          <w:tcPr>
            <w:tcW w:w="1200" w:type="dxa"/>
            <w:vAlign w:val="bottom"/>
          </w:tcPr>
          <w:p>
            <w:pPr>
              <w:jc w:val="right"/>
              <w:spacing w:after="0"/>
              <w:rPr>
                <w:sz w:val="20"/>
                <w:szCs w:val="20"/>
                <w:color w:val="auto"/>
              </w:rPr>
            </w:pPr>
            <w:r>
              <w:rPr>
                <w:rFonts w:ascii="Arial" w:cs="Arial" w:eastAsia="Arial" w:hAnsi="Arial"/>
                <w:sz w:val="14"/>
                <w:szCs w:val="14"/>
                <w:color w:val="auto"/>
              </w:rPr>
              <w:t>465,353,962</w:t>
            </w:r>
          </w:p>
        </w:tc>
        <w:tc>
          <w:tcPr>
            <w:tcW w:w="2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200" w:type="dxa"/>
            <w:vAlign w:val="bottom"/>
          </w:tcPr>
          <w:p>
            <w:pPr>
              <w:jc w:val="right"/>
              <w:spacing w:after="0"/>
              <w:rPr>
                <w:sz w:val="20"/>
                <w:szCs w:val="20"/>
                <w:color w:val="auto"/>
              </w:rPr>
            </w:pPr>
            <w:r>
              <w:rPr>
                <w:rFonts w:ascii="Arial" w:cs="Arial" w:eastAsia="Arial" w:hAnsi="Arial"/>
                <w:sz w:val="14"/>
                <w:szCs w:val="14"/>
                <w:color w:val="auto"/>
              </w:rPr>
              <w:t>304,104,246</w:t>
            </w: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7720" w:type="dxa"/>
            <w:vAlign w:val="bottom"/>
            <w:shd w:val="clear" w:color="auto" w:fill="CCECFF"/>
          </w:tcPr>
          <w:p>
            <w:pPr>
              <w:ind w:left="1000"/>
              <w:spacing w:after="0"/>
              <w:rPr>
                <w:sz w:val="20"/>
                <w:szCs w:val="20"/>
                <w:color w:val="auto"/>
              </w:rPr>
            </w:pPr>
            <w:r>
              <w:rPr>
                <w:rFonts w:ascii="Arial" w:cs="Arial" w:eastAsia="Arial" w:hAnsi="Arial"/>
                <w:sz w:val="14"/>
                <w:szCs w:val="14"/>
                <w:color w:val="auto"/>
              </w:rPr>
              <w:t>Amortization of deferred financing costs</w:t>
            </w:r>
          </w:p>
        </w:tc>
        <w:tc>
          <w:tcPr>
            <w:tcW w:w="360" w:type="dxa"/>
            <w:vAlign w:val="bottom"/>
            <w:shd w:val="clear" w:color="auto" w:fill="CCECFF"/>
          </w:tcPr>
          <w:p>
            <w:pPr>
              <w:spacing w:after="0"/>
              <w:rPr>
                <w:sz w:val="14"/>
                <w:szCs w:val="14"/>
                <w:color w:val="auto"/>
              </w:rPr>
            </w:pPr>
          </w:p>
        </w:tc>
        <w:tc>
          <w:tcPr>
            <w:tcW w:w="1200" w:type="dxa"/>
            <w:vAlign w:val="bottom"/>
            <w:shd w:val="clear" w:color="auto" w:fill="CCECFF"/>
          </w:tcPr>
          <w:p>
            <w:pPr>
              <w:jc w:val="right"/>
              <w:spacing w:after="0"/>
              <w:rPr>
                <w:sz w:val="20"/>
                <w:szCs w:val="20"/>
                <w:color w:val="auto"/>
              </w:rPr>
            </w:pPr>
            <w:r>
              <w:rPr>
                <w:rFonts w:ascii="Arial" w:cs="Arial" w:eastAsia="Arial" w:hAnsi="Arial"/>
                <w:sz w:val="14"/>
                <w:szCs w:val="14"/>
                <w:color w:val="auto"/>
              </w:rPr>
              <w:t>512,619</w:t>
            </w:r>
          </w:p>
        </w:tc>
        <w:tc>
          <w:tcPr>
            <w:tcW w:w="280" w:type="dxa"/>
            <w:vAlign w:val="bottom"/>
            <w:shd w:val="clear" w:color="auto" w:fill="CCECFF"/>
          </w:tcPr>
          <w:p>
            <w:pPr>
              <w:spacing w:after="0"/>
              <w:rPr>
                <w:sz w:val="14"/>
                <w:szCs w:val="14"/>
                <w:color w:val="auto"/>
              </w:rPr>
            </w:pPr>
          </w:p>
        </w:tc>
        <w:tc>
          <w:tcPr>
            <w:tcW w:w="360" w:type="dxa"/>
            <w:vAlign w:val="bottom"/>
            <w:shd w:val="clear" w:color="auto" w:fill="CCECFF"/>
          </w:tcPr>
          <w:p>
            <w:pPr>
              <w:spacing w:after="0"/>
              <w:rPr>
                <w:sz w:val="14"/>
                <w:szCs w:val="14"/>
                <w:color w:val="auto"/>
              </w:rPr>
            </w:pPr>
          </w:p>
        </w:tc>
        <w:tc>
          <w:tcPr>
            <w:tcW w:w="1200" w:type="dxa"/>
            <w:vAlign w:val="bottom"/>
            <w:shd w:val="clear" w:color="auto" w:fill="CCECFF"/>
          </w:tcPr>
          <w:p>
            <w:pPr>
              <w:jc w:val="right"/>
              <w:spacing w:after="0"/>
              <w:rPr>
                <w:sz w:val="20"/>
                <w:szCs w:val="20"/>
                <w:color w:val="auto"/>
              </w:rPr>
            </w:pPr>
            <w:r>
              <w:rPr>
                <w:rFonts w:ascii="Arial" w:cs="Arial" w:eastAsia="Arial" w:hAnsi="Arial"/>
                <w:sz w:val="14"/>
                <w:szCs w:val="14"/>
                <w:color w:val="auto"/>
              </w:rPr>
              <w:t>455,540</w:t>
            </w:r>
          </w:p>
        </w:tc>
        <w:tc>
          <w:tcPr>
            <w:tcW w:w="120" w:type="dxa"/>
            <w:vAlign w:val="bottom"/>
            <w:shd w:val="clear" w:color="auto" w:fill="CCECFF"/>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7720" w:type="dxa"/>
            <w:vAlign w:val="bottom"/>
          </w:tcPr>
          <w:p>
            <w:pPr>
              <w:ind w:left="1000"/>
              <w:spacing w:after="0"/>
              <w:rPr>
                <w:sz w:val="20"/>
                <w:szCs w:val="20"/>
                <w:color w:val="auto"/>
              </w:rPr>
            </w:pPr>
            <w:r>
              <w:rPr>
                <w:rFonts w:ascii="Arial" w:cs="Arial" w:eastAsia="Arial" w:hAnsi="Arial"/>
                <w:sz w:val="14"/>
                <w:szCs w:val="14"/>
                <w:color w:val="auto"/>
              </w:rPr>
              <w:t>(Increase) decrease in interest receivable</w:t>
            </w:r>
          </w:p>
        </w:tc>
        <w:tc>
          <w:tcPr>
            <w:tcW w:w="360" w:type="dxa"/>
            <w:vAlign w:val="bottom"/>
          </w:tcPr>
          <w:p>
            <w:pPr>
              <w:spacing w:after="0"/>
              <w:rPr>
                <w:sz w:val="14"/>
                <w:szCs w:val="14"/>
                <w:color w:val="auto"/>
              </w:rPr>
            </w:pPr>
          </w:p>
        </w:tc>
        <w:tc>
          <w:tcPr>
            <w:tcW w:w="1480" w:type="dxa"/>
            <w:vAlign w:val="bottom"/>
            <w:gridSpan w:val="2"/>
          </w:tcPr>
          <w:p>
            <w:pPr>
              <w:jc w:val="right"/>
              <w:ind w:right="220"/>
              <w:spacing w:after="0"/>
              <w:rPr>
                <w:sz w:val="20"/>
                <w:szCs w:val="20"/>
                <w:color w:val="auto"/>
              </w:rPr>
            </w:pPr>
            <w:r>
              <w:rPr>
                <w:rFonts w:ascii="Arial" w:cs="Arial" w:eastAsia="Arial" w:hAnsi="Arial"/>
                <w:sz w:val="14"/>
                <w:szCs w:val="14"/>
                <w:color w:val="auto"/>
              </w:rPr>
              <w:t>(866,582)</w:t>
            </w:r>
          </w:p>
        </w:tc>
        <w:tc>
          <w:tcPr>
            <w:tcW w:w="360" w:type="dxa"/>
            <w:vAlign w:val="bottom"/>
          </w:tcPr>
          <w:p>
            <w:pPr>
              <w:spacing w:after="0"/>
              <w:rPr>
                <w:sz w:val="14"/>
                <w:szCs w:val="14"/>
                <w:color w:val="auto"/>
              </w:rPr>
            </w:pPr>
          </w:p>
        </w:tc>
        <w:tc>
          <w:tcPr>
            <w:tcW w:w="1200" w:type="dxa"/>
            <w:vAlign w:val="bottom"/>
          </w:tcPr>
          <w:p>
            <w:pPr>
              <w:jc w:val="right"/>
              <w:spacing w:after="0"/>
              <w:rPr>
                <w:sz w:val="20"/>
                <w:szCs w:val="20"/>
                <w:color w:val="auto"/>
              </w:rPr>
            </w:pPr>
            <w:r>
              <w:rPr>
                <w:rFonts w:ascii="Arial" w:cs="Arial" w:eastAsia="Arial" w:hAnsi="Arial"/>
                <w:sz w:val="14"/>
                <w:szCs w:val="14"/>
                <w:color w:val="auto"/>
              </w:rPr>
              <w:t>193,400</w:t>
            </w: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7720" w:type="dxa"/>
            <w:vAlign w:val="bottom"/>
            <w:shd w:val="clear" w:color="auto" w:fill="CCECFF"/>
          </w:tcPr>
          <w:p>
            <w:pPr>
              <w:ind w:left="1000"/>
              <w:spacing w:after="0"/>
              <w:rPr>
                <w:sz w:val="20"/>
                <w:szCs w:val="20"/>
                <w:color w:val="auto"/>
              </w:rPr>
            </w:pPr>
            <w:r>
              <w:rPr>
                <w:rFonts w:ascii="Arial" w:cs="Arial" w:eastAsia="Arial" w:hAnsi="Arial"/>
                <w:sz w:val="14"/>
                <w:szCs w:val="14"/>
                <w:color w:val="auto"/>
              </w:rPr>
              <w:t>Increase in receivable for investments sold</w:t>
            </w:r>
          </w:p>
        </w:tc>
        <w:tc>
          <w:tcPr>
            <w:tcW w:w="360" w:type="dxa"/>
            <w:vAlign w:val="bottom"/>
            <w:shd w:val="clear" w:color="auto" w:fill="CCECFF"/>
          </w:tcPr>
          <w:p>
            <w:pPr>
              <w:spacing w:after="0"/>
              <w:rPr>
                <w:sz w:val="14"/>
                <w:szCs w:val="14"/>
                <w:color w:val="auto"/>
              </w:rPr>
            </w:pPr>
          </w:p>
        </w:tc>
        <w:tc>
          <w:tcPr>
            <w:tcW w:w="1480" w:type="dxa"/>
            <w:vAlign w:val="bottom"/>
            <w:gridSpan w:val="2"/>
            <w:shd w:val="clear" w:color="auto" w:fill="CCECFF"/>
          </w:tcPr>
          <w:p>
            <w:pPr>
              <w:jc w:val="right"/>
              <w:ind w:right="220"/>
              <w:spacing w:after="0"/>
              <w:rPr>
                <w:sz w:val="20"/>
                <w:szCs w:val="20"/>
                <w:color w:val="auto"/>
              </w:rPr>
            </w:pPr>
            <w:r>
              <w:rPr>
                <w:rFonts w:ascii="Arial" w:cs="Arial" w:eastAsia="Arial" w:hAnsi="Arial"/>
                <w:sz w:val="14"/>
                <w:szCs w:val="14"/>
                <w:color w:val="auto"/>
              </w:rPr>
              <w:t>(12,478,824)</w:t>
            </w:r>
          </w:p>
        </w:tc>
        <w:tc>
          <w:tcPr>
            <w:tcW w:w="360" w:type="dxa"/>
            <w:vAlign w:val="bottom"/>
            <w:shd w:val="clear" w:color="auto" w:fill="CCECFF"/>
          </w:tcPr>
          <w:p>
            <w:pPr>
              <w:spacing w:after="0"/>
              <w:rPr>
                <w:sz w:val="14"/>
                <w:szCs w:val="14"/>
                <w:color w:val="auto"/>
              </w:rPr>
            </w:pPr>
          </w:p>
        </w:tc>
        <w:tc>
          <w:tcPr>
            <w:tcW w:w="1320" w:type="dxa"/>
            <w:vAlign w:val="bottom"/>
            <w:gridSpan w:val="2"/>
            <w:shd w:val="clear" w:color="auto" w:fill="CCECFF"/>
          </w:tcPr>
          <w:p>
            <w:pPr>
              <w:jc w:val="right"/>
              <w:ind w:right="140"/>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62"/>
        </w:trPr>
        <w:tc>
          <w:tcPr>
            <w:tcW w:w="7720" w:type="dxa"/>
            <w:vAlign w:val="bottom"/>
          </w:tcPr>
          <w:p>
            <w:pPr>
              <w:ind w:left="1000"/>
              <w:spacing w:after="0"/>
              <w:rPr>
                <w:sz w:val="20"/>
                <w:szCs w:val="20"/>
                <w:color w:val="auto"/>
              </w:rPr>
            </w:pPr>
            <w:r>
              <w:rPr>
                <w:rFonts w:ascii="Arial" w:cs="Arial" w:eastAsia="Arial" w:hAnsi="Arial"/>
                <w:sz w:val="14"/>
                <w:szCs w:val="14"/>
                <w:color w:val="auto"/>
              </w:rPr>
              <w:t>(Increase) decrease in prepaid expenses and other assets</w:t>
            </w:r>
          </w:p>
        </w:tc>
        <w:tc>
          <w:tcPr>
            <w:tcW w:w="360" w:type="dxa"/>
            <w:vAlign w:val="bottom"/>
          </w:tcPr>
          <w:p>
            <w:pPr>
              <w:spacing w:after="0"/>
              <w:rPr>
                <w:sz w:val="14"/>
                <w:szCs w:val="14"/>
                <w:color w:val="auto"/>
              </w:rPr>
            </w:pPr>
          </w:p>
        </w:tc>
        <w:tc>
          <w:tcPr>
            <w:tcW w:w="1480" w:type="dxa"/>
            <w:vAlign w:val="bottom"/>
            <w:gridSpan w:val="2"/>
          </w:tcPr>
          <w:p>
            <w:pPr>
              <w:jc w:val="right"/>
              <w:ind w:right="220"/>
              <w:spacing w:after="0"/>
              <w:rPr>
                <w:sz w:val="20"/>
                <w:szCs w:val="20"/>
                <w:color w:val="auto"/>
              </w:rPr>
            </w:pPr>
            <w:r>
              <w:rPr>
                <w:rFonts w:ascii="Arial" w:cs="Arial" w:eastAsia="Arial" w:hAnsi="Arial"/>
                <w:sz w:val="14"/>
                <w:szCs w:val="14"/>
                <w:color w:val="auto"/>
              </w:rPr>
              <w:t>(2,535,065)</w:t>
            </w:r>
          </w:p>
        </w:tc>
        <w:tc>
          <w:tcPr>
            <w:tcW w:w="360" w:type="dxa"/>
            <w:vAlign w:val="bottom"/>
          </w:tcPr>
          <w:p>
            <w:pPr>
              <w:spacing w:after="0"/>
              <w:rPr>
                <w:sz w:val="14"/>
                <w:szCs w:val="14"/>
                <w:color w:val="auto"/>
              </w:rPr>
            </w:pPr>
          </w:p>
        </w:tc>
        <w:tc>
          <w:tcPr>
            <w:tcW w:w="1200" w:type="dxa"/>
            <w:vAlign w:val="bottom"/>
          </w:tcPr>
          <w:p>
            <w:pPr>
              <w:jc w:val="right"/>
              <w:spacing w:after="0"/>
              <w:rPr>
                <w:sz w:val="20"/>
                <w:szCs w:val="20"/>
                <w:color w:val="auto"/>
              </w:rPr>
            </w:pPr>
            <w:r>
              <w:rPr>
                <w:rFonts w:ascii="Arial" w:cs="Arial" w:eastAsia="Arial" w:hAnsi="Arial"/>
                <w:sz w:val="14"/>
                <w:szCs w:val="14"/>
                <w:color w:val="auto"/>
              </w:rPr>
              <w:t>5,226,264</w:t>
            </w: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7720" w:type="dxa"/>
            <w:vAlign w:val="bottom"/>
            <w:shd w:val="clear" w:color="auto" w:fill="CCECFF"/>
          </w:tcPr>
          <w:p>
            <w:pPr>
              <w:ind w:left="1000"/>
              <w:spacing w:after="0"/>
              <w:rPr>
                <w:sz w:val="20"/>
                <w:szCs w:val="20"/>
                <w:color w:val="auto"/>
              </w:rPr>
            </w:pPr>
            <w:r>
              <w:rPr>
                <w:rFonts w:ascii="Arial" w:cs="Arial" w:eastAsia="Arial" w:hAnsi="Arial"/>
                <w:sz w:val="14"/>
                <w:szCs w:val="14"/>
                <w:color w:val="auto"/>
              </w:rPr>
              <w:t>Decrease in payable for investments purchased</w:t>
            </w:r>
          </w:p>
        </w:tc>
        <w:tc>
          <w:tcPr>
            <w:tcW w:w="360" w:type="dxa"/>
            <w:vAlign w:val="bottom"/>
            <w:shd w:val="clear" w:color="auto" w:fill="CCECFF"/>
          </w:tcPr>
          <w:p>
            <w:pPr>
              <w:spacing w:after="0"/>
              <w:rPr>
                <w:sz w:val="14"/>
                <w:szCs w:val="14"/>
                <w:color w:val="auto"/>
              </w:rPr>
            </w:pPr>
          </w:p>
        </w:tc>
        <w:tc>
          <w:tcPr>
            <w:tcW w:w="1480" w:type="dxa"/>
            <w:vAlign w:val="bottom"/>
            <w:gridSpan w:val="2"/>
            <w:shd w:val="clear" w:color="auto" w:fill="CCECFF"/>
          </w:tcPr>
          <w:p>
            <w:pPr>
              <w:jc w:val="right"/>
              <w:ind w:right="300"/>
              <w:spacing w:after="0"/>
              <w:rPr>
                <w:sz w:val="20"/>
                <w:szCs w:val="20"/>
                <w:color w:val="auto"/>
              </w:rPr>
            </w:pPr>
            <w:r>
              <w:rPr>
                <w:rFonts w:ascii="Arial" w:cs="Arial" w:eastAsia="Arial" w:hAnsi="Arial"/>
                <w:sz w:val="14"/>
                <w:szCs w:val="14"/>
                <w:color w:val="auto"/>
              </w:rPr>
              <w:t>—</w:t>
            </w:r>
          </w:p>
        </w:tc>
        <w:tc>
          <w:tcPr>
            <w:tcW w:w="360" w:type="dxa"/>
            <w:vAlign w:val="bottom"/>
            <w:shd w:val="clear" w:color="auto" w:fill="CCECFF"/>
          </w:tcPr>
          <w:p>
            <w:pPr>
              <w:spacing w:after="0"/>
              <w:rPr>
                <w:sz w:val="14"/>
                <w:szCs w:val="14"/>
                <w:color w:val="auto"/>
              </w:rPr>
            </w:pPr>
          </w:p>
        </w:tc>
        <w:tc>
          <w:tcPr>
            <w:tcW w:w="1320" w:type="dxa"/>
            <w:vAlign w:val="bottom"/>
            <w:gridSpan w:val="2"/>
            <w:shd w:val="clear" w:color="auto" w:fill="CCECFF"/>
          </w:tcPr>
          <w:p>
            <w:pPr>
              <w:jc w:val="right"/>
              <w:ind w:right="80"/>
              <w:spacing w:after="0"/>
              <w:rPr>
                <w:sz w:val="20"/>
                <w:szCs w:val="20"/>
                <w:color w:val="auto"/>
              </w:rPr>
            </w:pPr>
            <w:r>
              <w:rPr>
                <w:rFonts w:ascii="Arial" w:cs="Arial" w:eastAsia="Arial" w:hAnsi="Arial"/>
                <w:sz w:val="14"/>
                <w:szCs w:val="14"/>
                <w:color w:val="auto"/>
              </w:rPr>
              <w:t>(3,591,177)</w:t>
            </w:r>
          </w:p>
        </w:tc>
        <w:tc>
          <w:tcPr>
            <w:tcW w:w="0" w:type="dxa"/>
            <w:vAlign w:val="bottom"/>
          </w:tcPr>
          <w:p>
            <w:pPr>
              <w:spacing w:after="0"/>
              <w:rPr>
                <w:sz w:val="1"/>
                <w:szCs w:val="1"/>
                <w:color w:val="auto"/>
              </w:rPr>
            </w:pPr>
          </w:p>
        </w:tc>
      </w:tr>
      <w:tr>
        <w:trPr>
          <w:trHeight w:val="162"/>
        </w:trPr>
        <w:tc>
          <w:tcPr>
            <w:tcW w:w="7720" w:type="dxa"/>
            <w:vAlign w:val="bottom"/>
          </w:tcPr>
          <w:p>
            <w:pPr>
              <w:ind w:left="1000"/>
              <w:spacing w:after="0"/>
              <w:rPr>
                <w:sz w:val="20"/>
                <w:szCs w:val="20"/>
                <w:color w:val="auto"/>
              </w:rPr>
            </w:pPr>
            <w:r>
              <w:rPr>
                <w:rFonts w:ascii="Arial" w:cs="Arial" w:eastAsia="Arial" w:hAnsi="Arial"/>
                <w:sz w:val="14"/>
                <w:szCs w:val="14"/>
                <w:color w:val="auto"/>
              </w:rPr>
              <w:t>Decrease in interest payable on debt</w:t>
            </w:r>
          </w:p>
        </w:tc>
        <w:tc>
          <w:tcPr>
            <w:tcW w:w="360" w:type="dxa"/>
            <w:vAlign w:val="bottom"/>
          </w:tcPr>
          <w:p>
            <w:pPr>
              <w:spacing w:after="0"/>
              <w:rPr>
                <w:sz w:val="14"/>
                <w:szCs w:val="14"/>
                <w:color w:val="auto"/>
              </w:rPr>
            </w:pPr>
          </w:p>
        </w:tc>
        <w:tc>
          <w:tcPr>
            <w:tcW w:w="1480" w:type="dxa"/>
            <w:vAlign w:val="bottom"/>
            <w:gridSpan w:val="2"/>
          </w:tcPr>
          <w:p>
            <w:pPr>
              <w:jc w:val="right"/>
              <w:ind w:right="220"/>
              <w:spacing w:after="0"/>
              <w:rPr>
                <w:sz w:val="20"/>
                <w:szCs w:val="20"/>
                <w:color w:val="auto"/>
              </w:rPr>
            </w:pPr>
            <w:r>
              <w:rPr>
                <w:rFonts w:ascii="Arial" w:cs="Arial" w:eastAsia="Arial" w:hAnsi="Arial"/>
                <w:sz w:val="14"/>
                <w:szCs w:val="14"/>
                <w:color w:val="auto"/>
              </w:rPr>
              <w:t>(1,557,797)</w:t>
            </w:r>
          </w:p>
        </w:tc>
        <w:tc>
          <w:tcPr>
            <w:tcW w:w="360" w:type="dxa"/>
            <w:vAlign w:val="bottom"/>
          </w:tcPr>
          <w:p>
            <w:pPr>
              <w:spacing w:after="0"/>
              <w:rPr>
                <w:sz w:val="14"/>
                <w:szCs w:val="14"/>
                <w:color w:val="auto"/>
              </w:rPr>
            </w:pPr>
          </w:p>
        </w:tc>
        <w:tc>
          <w:tcPr>
            <w:tcW w:w="1320" w:type="dxa"/>
            <w:vAlign w:val="bottom"/>
            <w:gridSpan w:val="2"/>
          </w:tcPr>
          <w:p>
            <w:pPr>
              <w:jc w:val="right"/>
              <w:ind w:right="80"/>
              <w:spacing w:after="0"/>
              <w:rPr>
                <w:sz w:val="20"/>
                <w:szCs w:val="20"/>
                <w:color w:val="auto"/>
              </w:rPr>
            </w:pPr>
            <w:r>
              <w:rPr>
                <w:rFonts w:ascii="Arial" w:cs="Arial" w:eastAsia="Arial" w:hAnsi="Arial"/>
                <w:sz w:val="14"/>
                <w:szCs w:val="14"/>
                <w:color w:val="auto"/>
              </w:rPr>
              <w:t>(1,260,933)</w:t>
            </w:r>
          </w:p>
        </w:tc>
        <w:tc>
          <w:tcPr>
            <w:tcW w:w="0" w:type="dxa"/>
            <w:vAlign w:val="bottom"/>
          </w:tcPr>
          <w:p>
            <w:pPr>
              <w:spacing w:after="0"/>
              <w:rPr>
                <w:sz w:val="1"/>
                <w:szCs w:val="1"/>
                <w:color w:val="auto"/>
              </w:rPr>
            </w:pPr>
          </w:p>
        </w:tc>
      </w:tr>
      <w:tr>
        <w:trPr>
          <w:trHeight w:val="162"/>
        </w:trPr>
        <w:tc>
          <w:tcPr>
            <w:tcW w:w="7720" w:type="dxa"/>
            <w:vAlign w:val="bottom"/>
            <w:shd w:val="clear" w:color="auto" w:fill="CCECFF"/>
          </w:tcPr>
          <w:p>
            <w:pPr>
              <w:ind w:left="1000"/>
              <w:spacing w:after="0"/>
              <w:rPr>
                <w:sz w:val="20"/>
                <w:szCs w:val="20"/>
                <w:color w:val="auto"/>
              </w:rPr>
            </w:pPr>
            <w:r>
              <w:rPr>
                <w:rFonts w:ascii="Arial" w:cs="Arial" w:eastAsia="Arial" w:hAnsi="Arial"/>
                <w:sz w:val="14"/>
                <w:szCs w:val="14"/>
                <w:color w:val="auto"/>
              </w:rPr>
              <w:t>Decrease in base management fee payable, net</w:t>
            </w:r>
          </w:p>
        </w:tc>
        <w:tc>
          <w:tcPr>
            <w:tcW w:w="360" w:type="dxa"/>
            <w:vAlign w:val="bottom"/>
            <w:shd w:val="clear" w:color="auto" w:fill="CCECFF"/>
          </w:tcPr>
          <w:p>
            <w:pPr>
              <w:spacing w:after="0"/>
              <w:rPr>
                <w:sz w:val="14"/>
                <w:szCs w:val="14"/>
                <w:color w:val="auto"/>
              </w:rPr>
            </w:pPr>
          </w:p>
        </w:tc>
        <w:tc>
          <w:tcPr>
            <w:tcW w:w="1480" w:type="dxa"/>
            <w:vAlign w:val="bottom"/>
            <w:gridSpan w:val="2"/>
            <w:shd w:val="clear" w:color="auto" w:fill="CCECFF"/>
          </w:tcPr>
          <w:p>
            <w:pPr>
              <w:jc w:val="right"/>
              <w:ind w:right="220"/>
              <w:spacing w:after="0"/>
              <w:rPr>
                <w:sz w:val="20"/>
                <w:szCs w:val="20"/>
                <w:color w:val="auto"/>
              </w:rPr>
            </w:pPr>
            <w:r>
              <w:rPr>
                <w:rFonts w:ascii="Arial" w:cs="Arial" w:eastAsia="Arial" w:hAnsi="Arial"/>
                <w:sz w:val="14"/>
                <w:szCs w:val="14"/>
                <w:color w:val="auto"/>
              </w:rPr>
              <w:t>(167,046)</w:t>
            </w:r>
          </w:p>
        </w:tc>
        <w:tc>
          <w:tcPr>
            <w:tcW w:w="360" w:type="dxa"/>
            <w:vAlign w:val="bottom"/>
            <w:shd w:val="clear" w:color="auto" w:fill="CCECFF"/>
          </w:tcPr>
          <w:p>
            <w:pPr>
              <w:spacing w:after="0"/>
              <w:rPr>
                <w:sz w:val="14"/>
                <w:szCs w:val="14"/>
                <w:color w:val="auto"/>
              </w:rPr>
            </w:pPr>
          </w:p>
        </w:tc>
        <w:tc>
          <w:tcPr>
            <w:tcW w:w="1320" w:type="dxa"/>
            <w:vAlign w:val="bottom"/>
            <w:gridSpan w:val="2"/>
            <w:shd w:val="clear" w:color="auto" w:fill="CCECFF"/>
          </w:tcPr>
          <w:p>
            <w:pPr>
              <w:jc w:val="right"/>
              <w:ind w:right="80"/>
              <w:spacing w:after="0"/>
              <w:rPr>
                <w:sz w:val="20"/>
                <w:szCs w:val="20"/>
                <w:color w:val="auto"/>
              </w:rPr>
            </w:pPr>
            <w:r>
              <w:rPr>
                <w:rFonts w:ascii="Arial" w:cs="Arial" w:eastAsia="Arial" w:hAnsi="Arial"/>
                <w:sz w:val="14"/>
                <w:szCs w:val="14"/>
                <w:color w:val="auto"/>
              </w:rPr>
              <w:t>(1,401,942)</w:t>
            </w:r>
          </w:p>
        </w:tc>
        <w:tc>
          <w:tcPr>
            <w:tcW w:w="0" w:type="dxa"/>
            <w:vAlign w:val="bottom"/>
          </w:tcPr>
          <w:p>
            <w:pPr>
              <w:spacing w:after="0"/>
              <w:rPr>
                <w:sz w:val="1"/>
                <w:szCs w:val="1"/>
                <w:color w:val="auto"/>
              </w:rPr>
            </w:pPr>
          </w:p>
        </w:tc>
      </w:tr>
      <w:tr>
        <w:trPr>
          <w:trHeight w:val="162"/>
        </w:trPr>
        <w:tc>
          <w:tcPr>
            <w:tcW w:w="7720" w:type="dxa"/>
            <w:vAlign w:val="bottom"/>
          </w:tcPr>
          <w:p>
            <w:pPr>
              <w:ind w:left="1000"/>
              <w:spacing w:after="0"/>
              <w:rPr>
                <w:sz w:val="20"/>
                <w:szCs w:val="20"/>
                <w:color w:val="auto"/>
              </w:rPr>
            </w:pPr>
            <w:r>
              <w:rPr>
                <w:rFonts w:ascii="Arial" w:cs="Arial" w:eastAsia="Arial" w:hAnsi="Arial"/>
                <w:sz w:val="14"/>
                <w:szCs w:val="14"/>
                <w:color w:val="auto"/>
              </w:rPr>
              <w:t>Decrease in performance-based incentive fee payable, net</w:t>
            </w:r>
          </w:p>
        </w:tc>
        <w:tc>
          <w:tcPr>
            <w:tcW w:w="360" w:type="dxa"/>
            <w:vAlign w:val="bottom"/>
          </w:tcPr>
          <w:p>
            <w:pPr>
              <w:spacing w:after="0"/>
              <w:rPr>
                <w:sz w:val="14"/>
                <w:szCs w:val="14"/>
                <w:color w:val="auto"/>
              </w:rPr>
            </w:pPr>
          </w:p>
        </w:tc>
        <w:tc>
          <w:tcPr>
            <w:tcW w:w="1480" w:type="dxa"/>
            <w:vAlign w:val="bottom"/>
            <w:gridSpan w:val="2"/>
          </w:tcPr>
          <w:p>
            <w:pPr>
              <w:jc w:val="right"/>
              <w:ind w:right="220"/>
              <w:spacing w:after="0"/>
              <w:rPr>
                <w:sz w:val="20"/>
                <w:szCs w:val="20"/>
                <w:color w:val="auto"/>
              </w:rPr>
            </w:pPr>
            <w:r>
              <w:rPr>
                <w:rFonts w:ascii="Arial" w:cs="Arial" w:eastAsia="Arial" w:hAnsi="Arial"/>
                <w:sz w:val="14"/>
                <w:szCs w:val="14"/>
                <w:color w:val="auto"/>
              </w:rPr>
              <w:t>(1,724,585)</w:t>
            </w:r>
          </w:p>
        </w:tc>
        <w:tc>
          <w:tcPr>
            <w:tcW w:w="360" w:type="dxa"/>
            <w:vAlign w:val="bottom"/>
          </w:tcPr>
          <w:p>
            <w:pPr>
              <w:spacing w:after="0"/>
              <w:rPr>
                <w:sz w:val="14"/>
                <w:szCs w:val="14"/>
                <w:color w:val="auto"/>
              </w:rPr>
            </w:pPr>
          </w:p>
        </w:tc>
        <w:tc>
          <w:tcPr>
            <w:tcW w:w="1320" w:type="dxa"/>
            <w:vAlign w:val="bottom"/>
            <w:gridSpan w:val="2"/>
          </w:tcPr>
          <w:p>
            <w:pPr>
              <w:jc w:val="right"/>
              <w:ind w:right="80"/>
              <w:spacing w:after="0"/>
              <w:rPr>
                <w:sz w:val="20"/>
                <w:szCs w:val="20"/>
                <w:color w:val="auto"/>
              </w:rPr>
            </w:pPr>
            <w:r>
              <w:rPr>
                <w:rFonts w:ascii="Arial" w:cs="Arial" w:eastAsia="Arial" w:hAnsi="Arial"/>
                <w:sz w:val="14"/>
                <w:szCs w:val="14"/>
                <w:color w:val="auto"/>
              </w:rPr>
              <w:t>(1,614,787)</w:t>
            </w:r>
          </w:p>
        </w:tc>
        <w:tc>
          <w:tcPr>
            <w:tcW w:w="0" w:type="dxa"/>
            <w:vAlign w:val="bottom"/>
          </w:tcPr>
          <w:p>
            <w:pPr>
              <w:spacing w:after="0"/>
              <w:rPr>
                <w:sz w:val="1"/>
                <w:szCs w:val="1"/>
                <w:color w:val="auto"/>
              </w:rPr>
            </w:pPr>
          </w:p>
        </w:tc>
      </w:tr>
      <w:tr>
        <w:trPr>
          <w:trHeight w:val="162"/>
        </w:trPr>
        <w:tc>
          <w:tcPr>
            <w:tcW w:w="7720" w:type="dxa"/>
            <w:vAlign w:val="bottom"/>
            <w:shd w:val="clear" w:color="auto" w:fill="CCECFF"/>
          </w:tcPr>
          <w:p>
            <w:pPr>
              <w:ind w:left="1000"/>
              <w:spacing w:after="0"/>
              <w:rPr>
                <w:sz w:val="20"/>
                <w:szCs w:val="20"/>
                <w:color w:val="auto"/>
              </w:rPr>
            </w:pPr>
            <w:r>
              <w:rPr>
                <w:rFonts w:ascii="Arial" w:cs="Arial" w:eastAsia="Arial" w:hAnsi="Arial"/>
                <w:sz w:val="14"/>
                <w:szCs w:val="14"/>
                <w:color w:val="auto"/>
              </w:rPr>
              <w:t>Increase (decrease) in accrued other expenses</w:t>
            </w:r>
          </w:p>
        </w:tc>
        <w:tc>
          <w:tcPr>
            <w:tcW w:w="360" w:type="dxa"/>
            <w:vAlign w:val="bottom"/>
            <w:shd w:val="clear" w:color="auto" w:fill="CCECFF"/>
          </w:tcPr>
          <w:p>
            <w:pPr>
              <w:spacing w:after="0"/>
              <w:rPr>
                <w:sz w:val="14"/>
                <w:szCs w:val="14"/>
                <w:color w:val="auto"/>
              </w:rPr>
            </w:pPr>
          </w:p>
        </w:tc>
        <w:tc>
          <w:tcPr>
            <w:tcW w:w="1200" w:type="dxa"/>
            <w:vAlign w:val="bottom"/>
            <w:shd w:val="clear" w:color="auto" w:fill="CCECFF"/>
          </w:tcPr>
          <w:p>
            <w:pPr>
              <w:jc w:val="right"/>
              <w:spacing w:after="0"/>
              <w:rPr>
                <w:sz w:val="20"/>
                <w:szCs w:val="20"/>
                <w:color w:val="auto"/>
              </w:rPr>
            </w:pPr>
            <w:r>
              <w:rPr>
                <w:rFonts w:ascii="Arial" w:cs="Arial" w:eastAsia="Arial" w:hAnsi="Arial"/>
                <w:sz w:val="14"/>
                <w:szCs w:val="14"/>
                <w:color w:val="auto"/>
              </w:rPr>
              <w:t>174,591</w:t>
            </w:r>
          </w:p>
        </w:tc>
        <w:tc>
          <w:tcPr>
            <w:tcW w:w="280" w:type="dxa"/>
            <w:vAlign w:val="bottom"/>
            <w:shd w:val="clear" w:color="auto" w:fill="CCECFF"/>
          </w:tcPr>
          <w:p>
            <w:pPr>
              <w:spacing w:after="0"/>
              <w:rPr>
                <w:sz w:val="14"/>
                <w:szCs w:val="14"/>
                <w:color w:val="auto"/>
              </w:rPr>
            </w:pPr>
          </w:p>
        </w:tc>
        <w:tc>
          <w:tcPr>
            <w:tcW w:w="360" w:type="dxa"/>
            <w:vAlign w:val="bottom"/>
            <w:shd w:val="clear" w:color="auto" w:fill="CCECFF"/>
          </w:tcPr>
          <w:p>
            <w:pPr>
              <w:spacing w:after="0"/>
              <w:rPr>
                <w:sz w:val="14"/>
                <w:szCs w:val="14"/>
                <w:color w:val="auto"/>
              </w:rPr>
            </w:pPr>
          </w:p>
        </w:tc>
        <w:tc>
          <w:tcPr>
            <w:tcW w:w="1320" w:type="dxa"/>
            <w:vAlign w:val="bottom"/>
            <w:gridSpan w:val="2"/>
            <w:shd w:val="clear" w:color="auto" w:fill="CCECFF"/>
          </w:tcPr>
          <w:p>
            <w:pPr>
              <w:jc w:val="right"/>
              <w:ind w:right="80"/>
              <w:spacing w:after="0"/>
              <w:rPr>
                <w:sz w:val="20"/>
                <w:szCs w:val="20"/>
                <w:color w:val="auto"/>
              </w:rPr>
            </w:pPr>
            <w:r>
              <w:rPr>
                <w:rFonts w:ascii="Arial" w:cs="Arial" w:eastAsia="Arial" w:hAnsi="Arial"/>
                <w:sz w:val="14"/>
                <w:szCs w:val="14"/>
                <w:color w:val="auto"/>
              </w:rPr>
              <w:t>(1,711,098)</w:t>
            </w:r>
          </w:p>
        </w:tc>
        <w:tc>
          <w:tcPr>
            <w:tcW w:w="0" w:type="dxa"/>
            <w:vAlign w:val="bottom"/>
          </w:tcPr>
          <w:p>
            <w:pPr>
              <w:spacing w:after="0"/>
              <w:rPr>
                <w:sz w:val="1"/>
                <w:szCs w:val="1"/>
                <w:color w:val="auto"/>
              </w:rPr>
            </w:pPr>
          </w:p>
        </w:tc>
      </w:tr>
      <w:tr>
        <w:trPr>
          <w:trHeight w:val="156"/>
        </w:trPr>
        <w:tc>
          <w:tcPr>
            <w:tcW w:w="7720" w:type="dxa"/>
            <w:vAlign w:val="bottom"/>
            <w:tcBorders>
              <w:bottom w:val="single" w:sz="8" w:color="CCECFF"/>
            </w:tcBorders>
          </w:tcPr>
          <w:p>
            <w:pPr>
              <w:ind w:left="1480"/>
              <w:spacing w:after="0" w:line="155" w:lineRule="exact"/>
              <w:rPr>
                <w:sz w:val="20"/>
                <w:szCs w:val="20"/>
                <w:color w:val="auto"/>
              </w:rPr>
            </w:pPr>
            <w:r>
              <w:rPr>
                <w:rFonts w:ascii="Arial" w:cs="Arial" w:eastAsia="Arial" w:hAnsi="Arial"/>
                <w:sz w:val="14"/>
                <w:szCs w:val="14"/>
                <w:color w:val="auto"/>
              </w:rPr>
              <w:t>Net cash provided by operating activities</w:t>
            </w:r>
          </w:p>
        </w:tc>
        <w:tc>
          <w:tcPr>
            <w:tcW w:w="360" w:type="dxa"/>
            <w:vAlign w:val="bottom"/>
            <w:tcBorders>
              <w:top w:val="single" w:sz="8" w:color="auto"/>
              <w:bottom w:val="single" w:sz="8" w:color="auto"/>
            </w:tcBorders>
          </w:tcPr>
          <w:p>
            <w:pPr>
              <w:spacing w:after="0"/>
              <w:rPr>
                <w:sz w:val="13"/>
                <w:szCs w:val="13"/>
                <w:color w:val="auto"/>
              </w:rPr>
            </w:pPr>
          </w:p>
        </w:tc>
        <w:tc>
          <w:tcPr>
            <w:tcW w:w="120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92,177,614</w:t>
            </w:r>
          </w:p>
        </w:tc>
        <w:tc>
          <w:tcPr>
            <w:tcW w:w="280" w:type="dxa"/>
            <w:vAlign w:val="bottom"/>
            <w:tcBorders>
              <w:bottom w:val="single" w:sz="8" w:color="CCECFF"/>
            </w:tcBorders>
          </w:tcPr>
          <w:p>
            <w:pPr>
              <w:spacing w:after="0"/>
              <w:rPr>
                <w:sz w:val="13"/>
                <w:szCs w:val="13"/>
                <w:color w:val="auto"/>
              </w:rPr>
            </w:pPr>
          </w:p>
        </w:tc>
        <w:tc>
          <w:tcPr>
            <w:tcW w:w="360" w:type="dxa"/>
            <w:vAlign w:val="bottom"/>
            <w:tcBorders>
              <w:top w:val="single" w:sz="8" w:color="auto"/>
              <w:bottom w:val="single" w:sz="8" w:color="auto"/>
            </w:tcBorders>
          </w:tcPr>
          <w:p>
            <w:pPr>
              <w:spacing w:after="0"/>
              <w:rPr>
                <w:sz w:val="13"/>
                <w:szCs w:val="13"/>
                <w:color w:val="auto"/>
              </w:rPr>
            </w:pPr>
          </w:p>
        </w:tc>
        <w:tc>
          <w:tcPr>
            <w:tcW w:w="120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34,207,634</w:t>
            </w:r>
          </w:p>
        </w:tc>
        <w:tc>
          <w:tcPr>
            <w:tcW w:w="120" w:type="dxa"/>
            <w:vAlign w:val="bottom"/>
            <w:tcBorders>
              <w:bottom w:val="single" w:sz="8" w:color="CCECFF"/>
            </w:tcBorders>
          </w:tcPr>
          <w:p>
            <w:pPr>
              <w:spacing w:after="0"/>
              <w:rPr>
                <w:sz w:val="13"/>
                <w:szCs w:val="13"/>
                <w:color w:val="auto"/>
              </w:rPr>
            </w:pPr>
          </w:p>
        </w:tc>
        <w:tc>
          <w:tcPr>
            <w:tcW w:w="0" w:type="dxa"/>
            <w:vAlign w:val="bottom"/>
          </w:tcPr>
          <w:p>
            <w:pPr>
              <w:spacing w:after="0"/>
              <w:rPr>
                <w:sz w:val="1"/>
                <w:szCs w:val="1"/>
                <w:color w:val="auto"/>
              </w:rPr>
            </w:pPr>
          </w:p>
        </w:tc>
      </w:tr>
      <w:tr>
        <w:trPr>
          <w:trHeight w:val="156"/>
        </w:trPr>
        <w:tc>
          <w:tcPr>
            <w:tcW w:w="7720" w:type="dxa"/>
            <w:vAlign w:val="bottom"/>
            <w:shd w:val="clear" w:color="auto" w:fill="CCECFF"/>
          </w:tcPr>
          <w:p>
            <w:pPr>
              <w:spacing w:after="0" w:line="155" w:lineRule="exact"/>
              <w:rPr>
                <w:sz w:val="20"/>
                <w:szCs w:val="20"/>
                <w:color w:val="auto"/>
              </w:rPr>
            </w:pPr>
            <w:r>
              <w:rPr>
                <w:rFonts w:ascii="Arial" w:cs="Arial" w:eastAsia="Arial" w:hAnsi="Arial"/>
                <w:sz w:val="14"/>
                <w:szCs w:val="14"/>
                <w:b w:val="1"/>
                <w:bCs w:val="1"/>
                <w:color w:val="auto"/>
              </w:rPr>
              <w:t>Cash flows from financing activities:</w:t>
            </w:r>
          </w:p>
        </w:tc>
        <w:tc>
          <w:tcPr>
            <w:tcW w:w="360" w:type="dxa"/>
            <w:vAlign w:val="bottom"/>
            <w:shd w:val="clear" w:color="auto" w:fill="CCECFF"/>
          </w:tcPr>
          <w:p>
            <w:pPr>
              <w:spacing w:after="0"/>
              <w:rPr>
                <w:sz w:val="13"/>
                <w:szCs w:val="13"/>
                <w:color w:val="auto"/>
              </w:rPr>
            </w:pPr>
          </w:p>
        </w:tc>
        <w:tc>
          <w:tcPr>
            <w:tcW w:w="1200" w:type="dxa"/>
            <w:vAlign w:val="bottom"/>
            <w:shd w:val="clear" w:color="auto" w:fill="CCECFF"/>
          </w:tcPr>
          <w:p>
            <w:pPr>
              <w:spacing w:after="0"/>
              <w:rPr>
                <w:sz w:val="13"/>
                <w:szCs w:val="13"/>
                <w:color w:val="auto"/>
              </w:rPr>
            </w:pPr>
          </w:p>
        </w:tc>
        <w:tc>
          <w:tcPr>
            <w:tcW w:w="280" w:type="dxa"/>
            <w:vAlign w:val="bottom"/>
            <w:shd w:val="clear" w:color="auto" w:fill="CCECFF"/>
          </w:tcPr>
          <w:p>
            <w:pPr>
              <w:spacing w:after="0"/>
              <w:rPr>
                <w:sz w:val="13"/>
                <w:szCs w:val="13"/>
                <w:color w:val="auto"/>
              </w:rPr>
            </w:pPr>
          </w:p>
        </w:tc>
        <w:tc>
          <w:tcPr>
            <w:tcW w:w="360" w:type="dxa"/>
            <w:vAlign w:val="bottom"/>
            <w:shd w:val="clear" w:color="auto" w:fill="CCECFF"/>
          </w:tcPr>
          <w:p>
            <w:pPr>
              <w:spacing w:after="0"/>
              <w:rPr>
                <w:sz w:val="13"/>
                <w:szCs w:val="13"/>
                <w:color w:val="auto"/>
              </w:rPr>
            </w:pPr>
          </w:p>
        </w:tc>
        <w:tc>
          <w:tcPr>
            <w:tcW w:w="1200" w:type="dxa"/>
            <w:vAlign w:val="bottom"/>
            <w:shd w:val="clear" w:color="auto" w:fill="CCECFF"/>
          </w:tcPr>
          <w:p>
            <w:pPr>
              <w:spacing w:after="0"/>
              <w:rPr>
                <w:sz w:val="13"/>
                <w:szCs w:val="13"/>
                <w:color w:val="auto"/>
              </w:rPr>
            </w:pPr>
          </w:p>
        </w:tc>
        <w:tc>
          <w:tcPr>
            <w:tcW w:w="120" w:type="dxa"/>
            <w:vAlign w:val="bottom"/>
            <w:shd w:val="clear" w:color="auto" w:fill="CCECFF"/>
          </w:tcPr>
          <w:p>
            <w:pPr>
              <w:spacing w:after="0"/>
              <w:rPr>
                <w:sz w:val="13"/>
                <w:szCs w:val="13"/>
                <w:color w:val="auto"/>
              </w:rPr>
            </w:pPr>
          </w:p>
        </w:tc>
        <w:tc>
          <w:tcPr>
            <w:tcW w:w="0" w:type="dxa"/>
            <w:vAlign w:val="bottom"/>
          </w:tcPr>
          <w:p>
            <w:pPr>
              <w:spacing w:after="0"/>
              <w:rPr>
                <w:sz w:val="1"/>
                <w:szCs w:val="1"/>
                <w:color w:val="auto"/>
              </w:rPr>
            </w:pPr>
          </w:p>
        </w:tc>
      </w:tr>
      <w:tr>
        <w:trPr>
          <w:trHeight w:val="162"/>
        </w:trPr>
        <w:tc>
          <w:tcPr>
            <w:tcW w:w="7720" w:type="dxa"/>
            <w:vAlign w:val="bottom"/>
          </w:tcPr>
          <w:p>
            <w:pPr>
              <w:ind w:left="1000"/>
              <w:spacing w:after="0"/>
              <w:rPr>
                <w:sz w:val="20"/>
                <w:szCs w:val="20"/>
                <w:color w:val="auto"/>
              </w:rPr>
            </w:pPr>
            <w:r>
              <w:rPr>
                <w:rFonts w:ascii="Arial" w:cs="Arial" w:eastAsia="Arial" w:hAnsi="Arial"/>
                <w:sz w:val="14"/>
                <w:szCs w:val="14"/>
                <w:color w:val="auto"/>
              </w:rPr>
              <w:t>Repurchase of common stock</w:t>
            </w:r>
          </w:p>
        </w:tc>
        <w:tc>
          <w:tcPr>
            <w:tcW w:w="360" w:type="dxa"/>
            <w:vAlign w:val="bottom"/>
          </w:tcPr>
          <w:p>
            <w:pPr>
              <w:spacing w:after="0"/>
              <w:rPr>
                <w:sz w:val="14"/>
                <w:szCs w:val="14"/>
                <w:color w:val="auto"/>
              </w:rPr>
            </w:pPr>
          </w:p>
        </w:tc>
        <w:tc>
          <w:tcPr>
            <w:tcW w:w="1480" w:type="dxa"/>
            <w:vAlign w:val="bottom"/>
            <w:gridSpan w:val="2"/>
          </w:tcPr>
          <w:p>
            <w:pPr>
              <w:jc w:val="right"/>
              <w:ind w:right="300"/>
              <w:spacing w:after="0"/>
              <w:rPr>
                <w:sz w:val="20"/>
                <w:szCs w:val="20"/>
                <w:color w:val="auto"/>
              </w:rPr>
            </w:pPr>
            <w:r>
              <w:rPr>
                <w:rFonts w:ascii="Arial" w:cs="Arial" w:eastAsia="Arial" w:hAnsi="Arial"/>
                <w:sz w:val="14"/>
                <w:szCs w:val="14"/>
                <w:color w:val="auto"/>
              </w:rPr>
              <w:t>—</w:t>
            </w:r>
          </w:p>
        </w:tc>
        <w:tc>
          <w:tcPr>
            <w:tcW w:w="360" w:type="dxa"/>
            <w:vAlign w:val="bottom"/>
          </w:tcPr>
          <w:p>
            <w:pPr>
              <w:spacing w:after="0"/>
              <w:rPr>
                <w:sz w:val="14"/>
                <w:szCs w:val="14"/>
                <w:color w:val="auto"/>
              </w:rPr>
            </w:pPr>
          </w:p>
        </w:tc>
        <w:tc>
          <w:tcPr>
            <w:tcW w:w="1320" w:type="dxa"/>
            <w:vAlign w:val="bottom"/>
            <w:gridSpan w:val="2"/>
          </w:tcPr>
          <w:p>
            <w:pPr>
              <w:jc w:val="right"/>
              <w:ind w:right="80"/>
              <w:spacing w:after="0"/>
              <w:rPr>
                <w:sz w:val="20"/>
                <w:szCs w:val="20"/>
                <w:color w:val="auto"/>
              </w:rPr>
            </w:pPr>
            <w:r>
              <w:rPr>
                <w:rFonts w:ascii="Arial" w:cs="Arial" w:eastAsia="Arial" w:hAnsi="Arial"/>
                <w:sz w:val="14"/>
                <w:szCs w:val="14"/>
                <w:color w:val="auto"/>
              </w:rPr>
              <w:t>(12,180,491)</w:t>
            </w:r>
          </w:p>
        </w:tc>
        <w:tc>
          <w:tcPr>
            <w:tcW w:w="0" w:type="dxa"/>
            <w:vAlign w:val="bottom"/>
          </w:tcPr>
          <w:p>
            <w:pPr>
              <w:spacing w:after="0"/>
              <w:rPr>
                <w:sz w:val="1"/>
                <w:szCs w:val="1"/>
                <w:color w:val="auto"/>
              </w:rPr>
            </w:pPr>
          </w:p>
        </w:tc>
      </w:tr>
      <w:tr>
        <w:trPr>
          <w:trHeight w:val="162"/>
        </w:trPr>
        <w:tc>
          <w:tcPr>
            <w:tcW w:w="7720" w:type="dxa"/>
            <w:vAlign w:val="bottom"/>
            <w:shd w:val="clear" w:color="auto" w:fill="CCECFF"/>
          </w:tcPr>
          <w:p>
            <w:pPr>
              <w:ind w:left="1000"/>
              <w:spacing w:after="0"/>
              <w:rPr>
                <w:sz w:val="20"/>
                <w:szCs w:val="20"/>
                <w:color w:val="auto"/>
              </w:rPr>
            </w:pPr>
            <w:r>
              <w:rPr>
                <w:rFonts w:ascii="Arial" w:cs="Arial" w:eastAsia="Arial" w:hAnsi="Arial"/>
                <w:sz w:val="14"/>
                <w:szCs w:val="14"/>
                <w:color w:val="auto"/>
              </w:rPr>
              <w:t>Distributions paid to stockholders</w:t>
            </w:r>
          </w:p>
        </w:tc>
        <w:tc>
          <w:tcPr>
            <w:tcW w:w="360" w:type="dxa"/>
            <w:vAlign w:val="bottom"/>
            <w:shd w:val="clear" w:color="auto" w:fill="CCECFF"/>
          </w:tcPr>
          <w:p>
            <w:pPr>
              <w:spacing w:after="0"/>
              <w:rPr>
                <w:sz w:val="14"/>
                <w:szCs w:val="14"/>
                <w:color w:val="auto"/>
              </w:rPr>
            </w:pPr>
          </w:p>
        </w:tc>
        <w:tc>
          <w:tcPr>
            <w:tcW w:w="1480" w:type="dxa"/>
            <w:vAlign w:val="bottom"/>
            <w:gridSpan w:val="2"/>
            <w:shd w:val="clear" w:color="auto" w:fill="CCECFF"/>
          </w:tcPr>
          <w:p>
            <w:pPr>
              <w:jc w:val="right"/>
              <w:ind w:right="220"/>
              <w:spacing w:after="0"/>
              <w:rPr>
                <w:sz w:val="20"/>
                <w:szCs w:val="20"/>
                <w:color w:val="auto"/>
              </w:rPr>
            </w:pPr>
            <w:r>
              <w:rPr>
                <w:rFonts w:ascii="Arial" w:cs="Arial" w:eastAsia="Arial" w:hAnsi="Arial"/>
                <w:sz w:val="14"/>
                <w:szCs w:val="14"/>
                <w:color w:val="auto"/>
              </w:rPr>
              <w:t>(52,585,018)</w:t>
            </w:r>
          </w:p>
        </w:tc>
        <w:tc>
          <w:tcPr>
            <w:tcW w:w="360" w:type="dxa"/>
            <w:vAlign w:val="bottom"/>
            <w:shd w:val="clear" w:color="auto" w:fill="CCECFF"/>
          </w:tcPr>
          <w:p>
            <w:pPr>
              <w:spacing w:after="0"/>
              <w:rPr>
                <w:sz w:val="14"/>
                <w:szCs w:val="14"/>
                <w:color w:val="auto"/>
              </w:rPr>
            </w:pPr>
          </w:p>
        </w:tc>
        <w:tc>
          <w:tcPr>
            <w:tcW w:w="1320" w:type="dxa"/>
            <w:vAlign w:val="bottom"/>
            <w:gridSpan w:val="2"/>
            <w:shd w:val="clear" w:color="auto" w:fill="CCECFF"/>
          </w:tcPr>
          <w:p>
            <w:pPr>
              <w:jc w:val="right"/>
              <w:ind w:right="80"/>
              <w:spacing w:after="0"/>
              <w:rPr>
                <w:sz w:val="20"/>
                <w:szCs w:val="20"/>
                <w:color w:val="auto"/>
              </w:rPr>
            </w:pPr>
            <w:r>
              <w:rPr>
                <w:rFonts w:ascii="Arial" w:cs="Arial" w:eastAsia="Arial" w:hAnsi="Arial"/>
                <w:sz w:val="14"/>
                <w:szCs w:val="14"/>
                <w:color w:val="auto"/>
              </w:rPr>
              <w:t>(60,416,325)</w:t>
            </w:r>
          </w:p>
        </w:tc>
        <w:tc>
          <w:tcPr>
            <w:tcW w:w="0" w:type="dxa"/>
            <w:vAlign w:val="bottom"/>
          </w:tcPr>
          <w:p>
            <w:pPr>
              <w:spacing w:after="0"/>
              <w:rPr>
                <w:sz w:val="1"/>
                <w:szCs w:val="1"/>
                <w:color w:val="auto"/>
              </w:rPr>
            </w:pPr>
          </w:p>
        </w:tc>
      </w:tr>
      <w:tr>
        <w:trPr>
          <w:trHeight w:val="162"/>
        </w:trPr>
        <w:tc>
          <w:tcPr>
            <w:tcW w:w="7720" w:type="dxa"/>
            <w:vAlign w:val="bottom"/>
          </w:tcPr>
          <w:p>
            <w:pPr>
              <w:ind w:left="1000"/>
              <w:spacing w:after="0"/>
              <w:rPr>
                <w:sz w:val="20"/>
                <w:szCs w:val="20"/>
                <w:color w:val="auto"/>
              </w:rPr>
            </w:pPr>
            <w:r>
              <w:rPr>
                <w:rFonts w:ascii="Arial" w:cs="Arial" w:eastAsia="Arial" w:hAnsi="Arial"/>
                <w:sz w:val="14"/>
                <w:szCs w:val="14"/>
                <w:color w:val="auto"/>
              </w:rPr>
              <w:t>Borrowings under SBA debentures</w:t>
            </w:r>
          </w:p>
        </w:tc>
        <w:tc>
          <w:tcPr>
            <w:tcW w:w="360" w:type="dxa"/>
            <w:vAlign w:val="bottom"/>
          </w:tcPr>
          <w:p>
            <w:pPr>
              <w:spacing w:after="0"/>
              <w:rPr>
                <w:sz w:val="14"/>
                <w:szCs w:val="14"/>
                <w:color w:val="auto"/>
              </w:rPr>
            </w:pPr>
          </w:p>
        </w:tc>
        <w:tc>
          <w:tcPr>
            <w:tcW w:w="1200" w:type="dxa"/>
            <w:vAlign w:val="bottom"/>
          </w:tcPr>
          <w:p>
            <w:pPr>
              <w:jc w:val="right"/>
              <w:spacing w:after="0"/>
              <w:rPr>
                <w:sz w:val="20"/>
                <w:szCs w:val="20"/>
                <w:color w:val="auto"/>
              </w:rPr>
            </w:pPr>
            <w:r>
              <w:rPr>
                <w:rFonts w:ascii="Arial" w:cs="Arial" w:eastAsia="Arial" w:hAnsi="Arial"/>
                <w:sz w:val="14"/>
                <w:szCs w:val="14"/>
                <w:color w:val="auto"/>
              </w:rPr>
              <w:t>27,500,000</w:t>
            </w:r>
          </w:p>
        </w:tc>
        <w:tc>
          <w:tcPr>
            <w:tcW w:w="2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200" w:type="dxa"/>
            <w:vAlign w:val="bottom"/>
          </w:tcPr>
          <w:p>
            <w:pPr>
              <w:jc w:val="right"/>
              <w:spacing w:after="0"/>
              <w:rPr>
                <w:sz w:val="20"/>
                <w:szCs w:val="20"/>
                <w:color w:val="auto"/>
              </w:rPr>
            </w:pPr>
            <w:r>
              <w:rPr>
                <w:rFonts w:ascii="Arial" w:cs="Arial" w:eastAsia="Arial" w:hAnsi="Arial"/>
                <w:sz w:val="14"/>
                <w:szCs w:val="14"/>
                <w:color w:val="auto"/>
              </w:rPr>
              <w:t>47,500,000</w:t>
            </w: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7720" w:type="dxa"/>
            <w:vAlign w:val="bottom"/>
            <w:shd w:val="clear" w:color="auto" w:fill="CCECFF"/>
          </w:tcPr>
          <w:p>
            <w:pPr>
              <w:ind w:left="1000"/>
              <w:spacing w:after="0"/>
              <w:rPr>
                <w:sz w:val="20"/>
                <w:szCs w:val="20"/>
                <w:color w:val="auto"/>
              </w:rPr>
            </w:pPr>
            <w:r>
              <w:rPr>
                <w:rFonts w:ascii="Arial" w:cs="Arial" w:eastAsia="Arial" w:hAnsi="Arial"/>
                <w:sz w:val="14"/>
                <w:szCs w:val="14"/>
                <w:color w:val="auto"/>
              </w:rPr>
              <w:t>Repayments under 2025 Notes</w:t>
            </w:r>
          </w:p>
        </w:tc>
        <w:tc>
          <w:tcPr>
            <w:tcW w:w="360" w:type="dxa"/>
            <w:vAlign w:val="bottom"/>
            <w:shd w:val="clear" w:color="auto" w:fill="CCECFF"/>
          </w:tcPr>
          <w:p>
            <w:pPr>
              <w:spacing w:after="0"/>
              <w:rPr>
                <w:sz w:val="14"/>
                <w:szCs w:val="14"/>
                <w:color w:val="auto"/>
              </w:rPr>
            </w:pPr>
          </w:p>
        </w:tc>
        <w:tc>
          <w:tcPr>
            <w:tcW w:w="1480" w:type="dxa"/>
            <w:vAlign w:val="bottom"/>
            <w:gridSpan w:val="2"/>
            <w:shd w:val="clear" w:color="auto" w:fill="CCECFF"/>
          </w:tcPr>
          <w:p>
            <w:pPr>
              <w:jc w:val="right"/>
              <w:ind w:right="220"/>
              <w:spacing w:after="0"/>
              <w:rPr>
                <w:sz w:val="20"/>
                <w:szCs w:val="20"/>
                <w:color w:val="auto"/>
              </w:rPr>
            </w:pPr>
            <w:r>
              <w:rPr>
                <w:rFonts w:ascii="Arial" w:cs="Arial" w:eastAsia="Arial" w:hAnsi="Arial"/>
                <w:sz w:val="14"/>
                <w:szCs w:val="14"/>
                <w:color w:val="auto"/>
              </w:rPr>
              <w:t>(71,250,000)</w:t>
            </w:r>
          </w:p>
        </w:tc>
        <w:tc>
          <w:tcPr>
            <w:tcW w:w="360" w:type="dxa"/>
            <w:vAlign w:val="bottom"/>
            <w:shd w:val="clear" w:color="auto" w:fill="CCECFF"/>
          </w:tcPr>
          <w:p>
            <w:pPr>
              <w:spacing w:after="0"/>
              <w:rPr>
                <w:sz w:val="14"/>
                <w:szCs w:val="14"/>
                <w:color w:val="auto"/>
              </w:rPr>
            </w:pPr>
          </w:p>
        </w:tc>
        <w:tc>
          <w:tcPr>
            <w:tcW w:w="1320" w:type="dxa"/>
            <w:vAlign w:val="bottom"/>
            <w:gridSpan w:val="2"/>
            <w:shd w:val="clear" w:color="auto" w:fill="CCECFF"/>
          </w:tcPr>
          <w:p>
            <w:pPr>
              <w:jc w:val="right"/>
              <w:ind w:right="140"/>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62"/>
        </w:trPr>
        <w:tc>
          <w:tcPr>
            <w:tcW w:w="7720" w:type="dxa"/>
            <w:vAlign w:val="bottom"/>
          </w:tcPr>
          <w:p>
            <w:pPr>
              <w:ind w:left="1000"/>
              <w:spacing w:after="0"/>
              <w:rPr>
                <w:sz w:val="20"/>
                <w:szCs w:val="20"/>
                <w:color w:val="auto"/>
              </w:rPr>
            </w:pPr>
            <w:r>
              <w:rPr>
                <w:rFonts w:ascii="Arial" w:cs="Arial" w:eastAsia="Arial" w:hAnsi="Arial"/>
                <w:sz w:val="14"/>
                <w:szCs w:val="14"/>
                <w:color w:val="auto"/>
              </w:rPr>
              <w:t>Capitalized borrowing costs</w:t>
            </w:r>
          </w:p>
        </w:tc>
        <w:tc>
          <w:tcPr>
            <w:tcW w:w="360" w:type="dxa"/>
            <w:vAlign w:val="bottom"/>
          </w:tcPr>
          <w:p>
            <w:pPr>
              <w:spacing w:after="0"/>
              <w:rPr>
                <w:sz w:val="14"/>
                <w:szCs w:val="14"/>
                <w:color w:val="auto"/>
              </w:rPr>
            </w:pPr>
          </w:p>
        </w:tc>
        <w:tc>
          <w:tcPr>
            <w:tcW w:w="1480" w:type="dxa"/>
            <w:vAlign w:val="bottom"/>
            <w:gridSpan w:val="2"/>
          </w:tcPr>
          <w:p>
            <w:pPr>
              <w:jc w:val="right"/>
              <w:ind w:right="220"/>
              <w:spacing w:after="0"/>
              <w:rPr>
                <w:sz w:val="20"/>
                <w:szCs w:val="20"/>
                <w:color w:val="auto"/>
              </w:rPr>
            </w:pPr>
            <w:r>
              <w:rPr>
                <w:rFonts w:ascii="Arial" w:cs="Arial" w:eastAsia="Arial" w:hAnsi="Arial"/>
                <w:sz w:val="14"/>
                <w:szCs w:val="14"/>
                <w:color w:val="auto"/>
              </w:rPr>
              <w:t>(666,875)</w:t>
            </w:r>
          </w:p>
        </w:tc>
        <w:tc>
          <w:tcPr>
            <w:tcW w:w="360" w:type="dxa"/>
            <w:vAlign w:val="bottom"/>
          </w:tcPr>
          <w:p>
            <w:pPr>
              <w:spacing w:after="0"/>
              <w:rPr>
                <w:sz w:val="14"/>
                <w:szCs w:val="14"/>
                <w:color w:val="auto"/>
              </w:rPr>
            </w:pPr>
          </w:p>
        </w:tc>
        <w:tc>
          <w:tcPr>
            <w:tcW w:w="1320" w:type="dxa"/>
            <w:vAlign w:val="bottom"/>
            <w:gridSpan w:val="2"/>
          </w:tcPr>
          <w:p>
            <w:pPr>
              <w:jc w:val="right"/>
              <w:ind w:right="80"/>
              <w:spacing w:after="0"/>
              <w:rPr>
                <w:sz w:val="20"/>
                <w:szCs w:val="20"/>
                <w:color w:val="auto"/>
              </w:rPr>
            </w:pPr>
            <w:r>
              <w:rPr>
                <w:rFonts w:ascii="Arial" w:cs="Arial" w:eastAsia="Arial" w:hAnsi="Arial"/>
                <w:sz w:val="14"/>
                <w:szCs w:val="14"/>
                <w:color w:val="auto"/>
              </w:rPr>
              <w:t>(1,151,875)</w:t>
            </w:r>
          </w:p>
        </w:tc>
        <w:tc>
          <w:tcPr>
            <w:tcW w:w="0" w:type="dxa"/>
            <w:vAlign w:val="bottom"/>
          </w:tcPr>
          <w:p>
            <w:pPr>
              <w:spacing w:after="0"/>
              <w:rPr>
                <w:sz w:val="1"/>
                <w:szCs w:val="1"/>
                <w:color w:val="auto"/>
              </w:rPr>
            </w:pPr>
          </w:p>
        </w:tc>
      </w:tr>
      <w:tr>
        <w:trPr>
          <w:trHeight w:val="162"/>
        </w:trPr>
        <w:tc>
          <w:tcPr>
            <w:tcW w:w="7720" w:type="dxa"/>
            <w:vAlign w:val="bottom"/>
            <w:shd w:val="clear" w:color="auto" w:fill="CCECFF"/>
          </w:tcPr>
          <w:p>
            <w:pPr>
              <w:ind w:left="1000"/>
              <w:spacing w:after="0"/>
              <w:rPr>
                <w:sz w:val="20"/>
                <w:szCs w:val="20"/>
                <w:color w:val="auto"/>
              </w:rPr>
            </w:pPr>
            <w:r>
              <w:rPr>
                <w:rFonts w:ascii="Arial" w:cs="Arial" w:eastAsia="Arial" w:hAnsi="Arial"/>
                <w:sz w:val="14"/>
                <w:szCs w:val="14"/>
                <w:color w:val="auto"/>
              </w:rPr>
              <w:t>Borrowings under Credit Facility</w:t>
            </w:r>
          </w:p>
        </w:tc>
        <w:tc>
          <w:tcPr>
            <w:tcW w:w="360" w:type="dxa"/>
            <w:vAlign w:val="bottom"/>
            <w:shd w:val="clear" w:color="auto" w:fill="CCECFF"/>
          </w:tcPr>
          <w:p>
            <w:pPr>
              <w:spacing w:after="0"/>
              <w:rPr>
                <w:sz w:val="14"/>
                <w:szCs w:val="14"/>
                <w:color w:val="auto"/>
              </w:rPr>
            </w:pPr>
          </w:p>
        </w:tc>
        <w:tc>
          <w:tcPr>
            <w:tcW w:w="1200" w:type="dxa"/>
            <w:vAlign w:val="bottom"/>
            <w:shd w:val="clear" w:color="auto" w:fill="CCECFF"/>
          </w:tcPr>
          <w:p>
            <w:pPr>
              <w:jc w:val="right"/>
              <w:spacing w:after="0"/>
              <w:rPr>
                <w:sz w:val="20"/>
                <w:szCs w:val="20"/>
                <w:color w:val="auto"/>
              </w:rPr>
            </w:pPr>
            <w:r>
              <w:rPr>
                <w:rFonts w:ascii="Arial" w:cs="Arial" w:eastAsia="Arial" w:hAnsi="Arial"/>
                <w:sz w:val="14"/>
                <w:szCs w:val="14"/>
                <w:color w:val="auto"/>
              </w:rPr>
              <w:t>363,760,000</w:t>
            </w:r>
          </w:p>
        </w:tc>
        <w:tc>
          <w:tcPr>
            <w:tcW w:w="280" w:type="dxa"/>
            <w:vAlign w:val="bottom"/>
            <w:shd w:val="clear" w:color="auto" w:fill="CCECFF"/>
          </w:tcPr>
          <w:p>
            <w:pPr>
              <w:spacing w:after="0"/>
              <w:rPr>
                <w:sz w:val="14"/>
                <w:szCs w:val="14"/>
                <w:color w:val="auto"/>
              </w:rPr>
            </w:pPr>
          </w:p>
        </w:tc>
        <w:tc>
          <w:tcPr>
            <w:tcW w:w="360" w:type="dxa"/>
            <w:vAlign w:val="bottom"/>
            <w:shd w:val="clear" w:color="auto" w:fill="CCECFF"/>
          </w:tcPr>
          <w:p>
            <w:pPr>
              <w:spacing w:after="0"/>
              <w:rPr>
                <w:sz w:val="14"/>
                <w:szCs w:val="14"/>
                <w:color w:val="auto"/>
              </w:rPr>
            </w:pPr>
          </w:p>
        </w:tc>
        <w:tc>
          <w:tcPr>
            <w:tcW w:w="1200" w:type="dxa"/>
            <w:vAlign w:val="bottom"/>
            <w:shd w:val="clear" w:color="auto" w:fill="CCECFF"/>
          </w:tcPr>
          <w:p>
            <w:pPr>
              <w:jc w:val="right"/>
              <w:spacing w:after="0"/>
              <w:rPr>
                <w:sz w:val="20"/>
                <w:szCs w:val="20"/>
                <w:color w:val="auto"/>
              </w:rPr>
            </w:pPr>
            <w:r>
              <w:rPr>
                <w:rFonts w:ascii="Arial" w:cs="Arial" w:eastAsia="Arial" w:hAnsi="Arial"/>
                <w:sz w:val="14"/>
                <w:szCs w:val="14"/>
                <w:color w:val="auto"/>
              </w:rPr>
              <w:t>365,664,923</w:t>
            </w:r>
          </w:p>
        </w:tc>
        <w:tc>
          <w:tcPr>
            <w:tcW w:w="120" w:type="dxa"/>
            <w:vAlign w:val="bottom"/>
            <w:shd w:val="clear" w:color="auto" w:fill="CCECFF"/>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7720" w:type="dxa"/>
            <w:vAlign w:val="bottom"/>
          </w:tcPr>
          <w:p>
            <w:pPr>
              <w:ind w:left="1000"/>
              <w:spacing w:after="0"/>
              <w:rPr>
                <w:sz w:val="20"/>
                <w:szCs w:val="20"/>
                <w:color w:val="auto"/>
              </w:rPr>
            </w:pPr>
            <w:r>
              <w:rPr>
                <w:rFonts w:ascii="Arial" w:cs="Arial" w:eastAsia="Arial" w:hAnsi="Arial"/>
                <w:sz w:val="14"/>
                <w:szCs w:val="14"/>
                <w:color w:val="auto"/>
              </w:rPr>
              <w:t>Repayments under Credit Facility</w:t>
            </w:r>
          </w:p>
        </w:tc>
        <w:tc>
          <w:tcPr>
            <w:tcW w:w="360" w:type="dxa"/>
            <w:vAlign w:val="bottom"/>
          </w:tcPr>
          <w:p>
            <w:pPr>
              <w:spacing w:after="0"/>
              <w:rPr>
                <w:sz w:val="14"/>
                <w:szCs w:val="14"/>
                <w:color w:val="auto"/>
              </w:rPr>
            </w:pPr>
          </w:p>
        </w:tc>
        <w:tc>
          <w:tcPr>
            <w:tcW w:w="1480" w:type="dxa"/>
            <w:vAlign w:val="bottom"/>
            <w:gridSpan w:val="2"/>
          </w:tcPr>
          <w:p>
            <w:pPr>
              <w:jc w:val="right"/>
              <w:ind w:right="220"/>
              <w:spacing w:after="0"/>
              <w:rPr>
                <w:sz w:val="20"/>
                <w:szCs w:val="20"/>
                <w:color w:val="auto"/>
              </w:rPr>
            </w:pPr>
            <w:r>
              <w:rPr>
                <w:rFonts w:ascii="Arial" w:cs="Arial" w:eastAsia="Arial" w:hAnsi="Arial"/>
                <w:sz w:val="14"/>
                <w:szCs w:val="14"/>
                <w:color w:val="auto"/>
              </w:rPr>
              <w:t>(331,994,400)</w:t>
            </w:r>
          </w:p>
        </w:tc>
        <w:tc>
          <w:tcPr>
            <w:tcW w:w="360" w:type="dxa"/>
            <w:vAlign w:val="bottom"/>
          </w:tcPr>
          <w:p>
            <w:pPr>
              <w:spacing w:after="0"/>
              <w:rPr>
                <w:sz w:val="14"/>
                <w:szCs w:val="14"/>
                <w:color w:val="auto"/>
              </w:rPr>
            </w:pPr>
          </w:p>
        </w:tc>
        <w:tc>
          <w:tcPr>
            <w:tcW w:w="1320" w:type="dxa"/>
            <w:vAlign w:val="bottom"/>
            <w:gridSpan w:val="2"/>
          </w:tcPr>
          <w:p>
            <w:pPr>
              <w:jc w:val="right"/>
              <w:ind w:right="80"/>
              <w:spacing w:after="0"/>
              <w:rPr>
                <w:sz w:val="20"/>
                <w:szCs w:val="20"/>
                <w:color w:val="auto"/>
              </w:rPr>
            </w:pPr>
            <w:r>
              <w:rPr>
                <w:rFonts w:ascii="Arial" w:cs="Arial" w:eastAsia="Arial" w:hAnsi="Arial"/>
                <w:sz w:val="14"/>
                <w:szCs w:val="14"/>
                <w:color w:val="auto"/>
              </w:rPr>
              <w:t>(385,385,300)</w:t>
            </w:r>
          </w:p>
        </w:tc>
        <w:tc>
          <w:tcPr>
            <w:tcW w:w="0" w:type="dxa"/>
            <w:vAlign w:val="bottom"/>
          </w:tcPr>
          <w:p>
            <w:pPr>
              <w:spacing w:after="0"/>
              <w:rPr>
                <w:sz w:val="1"/>
                <w:szCs w:val="1"/>
                <w:color w:val="auto"/>
              </w:rPr>
            </w:pPr>
          </w:p>
        </w:tc>
      </w:tr>
      <w:tr>
        <w:trPr>
          <w:trHeight w:val="156"/>
        </w:trPr>
        <w:tc>
          <w:tcPr>
            <w:tcW w:w="7720" w:type="dxa"/>
            <w:vAlign w:val="bottom"/>
            <w:tcBorders>
              <w:top w:val="single" w:sz="8" w:color="CCECFF"/>
            </w:tcBorders>
            <w:shd w:val="clear" w:color="auto" w:fill="CCECFF"/>
          </w:tcPr>
          <w:p>
            <w:pPr>
              <w:ind w:left="1480"/>
              <w:spacing w:after="0" w:line="155" w:lineRule="exact"/>
              <w:rPr>
                <w:sz w:val="20"/>
                <w:szCs w:val="20"/>
                <w:color w:val="auto"/>
              </w:rPr>
            </w:pPr>
            <w:r>
              <w:rPr>
                <w:rFonts w:ascii="Arial" w:cs="Arial" w:eastAsia="Arial" w:hAnsi="Arial"/>
                <w:sz w:val="14"/>
                <w:szCs w:val="14"/>
                <w:color w:val="auto"/>
              </w:rPr>
              <w:t>Net cash used in financing activities</w:t>
            </w:r>
          </w:p>
        </w:tc>
        <w:tc>
          <w:tcPr>
            <w:tcW w:w="360" w:type="dxa"/>
            <w:vAlign w:val="bottom"/>
            <w:tcBorders>
              <w:top w:val="single" w:sz="8" w:color="auto"/>
              <w:bottom w:val="single" w:sz="8" w:color="auto"/>
            </w:tcBorders>
            <w:shd w:val="clear" w:color="auto" w:fill="CCECFF"/>
          </w:tcPr>
          <w:p>
            <w:pPr>
              <w:spacing w:after="0"/>
              <w:rPr>
                <w:sz w:val="13"/>
                <w:szCs w:val="13"/>
                <w:color w:val="auto"/>
              </w:rPr>
            </w:pPr>
          </w:p>
        </w:tc>
        <w:tc>
          <w:tcPr>
            <w:tcW w:w="1200" w:type="dxa"/>
            <w:vAlign w:val="bottom"/>
            <w:tcBorders>
              <w:top w:val="single" w:sz="8" w:color="auto"/>
              <w:bottom w:val="single" w:sz="8" w:color="auto"/>
            </w:tcBorders>
            <w:shd w:val="clear" w:color="auto" w:fill="CCECFF"/>
          </w:tcPr>
          <w:p>
            <w:pPr>
              <w:jc w:val="right"/>
              <w:spacing w:after="0" w:line="155" w:lineRule="exact"/>
              <w:rPr>
                <w:sz w:val="20"/>
                <w:szCs w:val="20"/>
                <w:color w:val="auto"/>
              </w:rPr>
            </w:pPr>
            <w:r>
              <w:rPr>
                <w:rFonts w:ascii="Arial" w:cs="Arial" w:eastAsia="Arial" w:hAnsi="Arial"/>
                <w:sz w:val="14"/>
                <w:szCs w:val="14"/>
                <w:color w:val="auto"/>
              </w:rPr>
              <w:t>(65,236,293)</w:t>
            </w:r>
          </w:p>
        </w:tc>
        <w:tc>
          <w:tcPr>
            <w:tcW w:w="280" w:type="dxa"/>
            <w:vAlign w:val="bottom"/>
            <w:tcBorders>
              <w:top w:val="single" w:sz="8" w:color="CCECFF"/>
            </w:tcBorders>
            <w:shd w:val="clear" w:color="auto" w:fill="CCECFF"/>
          </w:tcPr>
          <w:p>
            <w:pPr>
              <w:spacing w:after="0"/>
              <w:rPr>
                <w:sz w:val="13"/>
                <w:szCs w:val="13"/>
                <w:color w:val="auto"/>
              </w:rPr>
            </w:pPr>
          </w:p>
        </w:tc>
        <w:tc>
          <w:tcPr>
            <w:tcW w:w="360" w:type="dxa"/>
            <w:vAlign w:val="bottom"/>
            <w:tcBorders>
              <w:top w:val="single" w:sz="8" w:color="auto"/>
              <w:bottom w:val="single" w:sz="8" w:color="auto"/>
            </w:tcBorders>
            <w:shd w:val="clear" w:color="auto" w:fill="CCECFF"/>
          </w:tcPr>
          <w:p>
            <w:pPr>
              <w:spacing w:after="0"/>
              <w:rPr>
                <w:sz w:val="13"/>
                <w:szCs w:val="13"/>
                <w:color w:val="auto"/>
              </w:rPr>
            </w:pPr>
          </w:p>
        </w:tc>
        <w:tc>
          <w:tcPr>
            <w:tcW w:w="1200" w:type="dxa"/>
            <w:vAlign w:val="bottom"/>
            <w:tcBorders>
              <w:top w:val="single" w:sz="8" w:color="auto"/>
              <w:bottom w:val="single" w:sz="8" w:color="auto"/>
            </w:tcBorders>
            <w:shd w:val="clear" w:color="auto" w:fill="CCECFF"/>
          </w:tcPr>
          <w:p>
            <w:pPr>
              <w:jc w:val="right"/>
              <w:spacing w:after="0" w:line="155" w:lineRule="exact"/>
              <w:rPr>
                <w:sz w:val="20"/>
                <w:szCs w:val="20"/>
                <w:color w:val="auto"/>
              </w:rPr>
            </w:pPr>
            <w:r>
              <w:rPr>
                <w:rFonts w:ascii="Arial" w:cs="Arial" w:eastAsia="Arial" w:hAnsi="Arial"/>
                <w:sz w:val="14"/>
                <w:szCs w:val="14"/>
                <w:color w:val="auto"/>
              </w:rPr>
              <w:t>(45,969,068)</w:t>
            </w:r>
          </w:p>
        </w:tc>
        <w:tc>
          <w:tcPr>
            <w:tcW w:w="120" w:type="dxa"/>
            <w:vAlign w:val="bottom"/>
            <w:tcBorders>
              <w:top w:val="single" w:sz="8" w:color="CCECFF"/>
            </w:tcBorders>
            <w:shd w:val="clear" w:color="auto" w:fill="CCECFF"/>
          </w:tcPr>
          <w:p>
            <w:pPr>
              <w:spacing w:after="0"/>
              <w:rPr>
                <w:sz w:val="13"/>
                <w:szCs w:val="13"/>
                <w:color w:val="auto"/>
              </w:rPr>
            </w:pPr>
          </w:p>
        </w:tc>
        <w:tc>
          <w:tcPr>
            <w:tcW w:w="0" w:type="dxa"/>
            <w:vAlign w:val="bottom"/>
          </w:tcPr>
          <w:p>
            <w:pPr>
              <w:spacing w:after="0"/>
              <w:rPr>
                <w:sz w:val="1"/>
                <w:szCs w:val="1"/>
                <w:color w:val="auto"/>
              </w:rPr>
            </w:pPr>
          </w:p>
        </w:tc>
      </w:tr>
      <w:tr>
        <w:trPr>
          <w:trHeight w:val="155"/>
        </w:trPr>
        <w:tc>
          <w:tcPr>
            <w:tcW w:w="7720" w:type="dxa"/>
            <w:vAlign w:val="bottom"/>
          </w:tcPr>
          <w:p>
            <w:pPr>
              <w:spacing w:after="0" w:line="155" w:lineRule="exact"/>
              <w:rPr>
                <w:sz w:val="20"/>
                <w:szCs w:val="20"/>
                <w:color w:val="auto"/>
              </w:rPr>
            </w:pPr>
            <w:r>
              <w:rPr>
                <w:rFonts w:ascii="Arial" w:cs="Arial" w:eastAsia="Arial" w:hAnsi="Arial"/>
                <w:sz w:val="14"/>
                <w:szCs w:val="14"/>
                <w:b w:val="1"/>
                <w:bCs w:val="1"/>
                <w:color w:val="auto"/>
              </w:rPr>
              <w:t>Net increase (decrease) in cash equivalents</w:t>
            </w:r>
          </w:p>
        </w:tc>
        <w:tc>
          <w:tcPr>
            <w:tcW w:w="360" w:type="dxa"/>
            <w:vAlign w:val="bottom"/>
          </w:tcPr>
          <w:p>
            <w:pPr>
              <w:spacing w:after="0"/>
              <w:rPr>
                <w:sz w:val="13"/>
                <w:szCs w:val="13"/>
                <w:color w:val="auto"/>
              </w:rPr>
            </w:pPr>
          </w:p>
        </w:tc>
        <w:tc>
          <w:tcPr>
            <w:tcW w:w="1200" w:type="dxa"/>
            <w:vAlign w:val="bottom"/>
          </w:tcPr>
          <w:p>
            <w:pPr>
              <w:jc w:val="right"/>
              <w:spacing w:after="0" w:line="155" w:lineRule="exact"/>
              <w:rPr>
                <w:sz w:val="20"/>
                <w:szCs w:val="20"/>
                <w:color w:val="auto"/>
              </w:rPr>
            </w:pPr>
            <w:r>
              <w:rPr>
                <w:rFonts w:ascii="Arial" w:cs="Arial" w:eastAsia="Arial" w:hAnsi="Arial"/>
                <w:sz w:val="14"/>
                <w:szCs w:val="14"/>
                <w:color w:val="auto"/>
              </w:rPr>
              <w:t>26,941,321</w:t>
            </w:r>
          </w:p>
        </w:tc>
        <w:tc>
          <w:tcPr>
            <w:tcW w:w="28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1200" w:type="dxa"/>
            <w:vAlign w:val="bottom"/>
          </w:tcPr>
          <w:p>
            <w:pPr>
              <w:jc w:val="right"/>
              <w:spacing w:after="0" w:line="155" w:lineRule="exact"/>
              <w:rPr>
                <w:sz w:val="20"/>
                <w:szCs w:val="20"/>
                <w:color w:val="auto"/>
              </w:rPr>
            </w:pPr>
            <w:r>
              <w:rPr>
                <w:rFonts w:ascii="Arial" w:cs="Arial" w:eastAsia="Arial" w:hAnsi="Arial"/>
                <w:sz w:val="14"/>
                <w:szCs w:val="14"/>
                <w:color w:val="auto"/>
              </w:rPr>
              <w:t>(11,761,434)</w:t>
            </w:r>
          </w:p>
        </w:tc>
        <w:tc>
          <w:tcPr>
            <w:tcW w:w="1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2"/>
        </w:trPr>
        <w:tc>
          <w:tcPr>
            <w:tcW w:w="7720" w:type="dxa"/>
            <w:vAlign w:val="bottom"/>
            <w:shd w:val="clear" w:color="auto" w:fill="CCECFF"/>
          </w:tcPr>
          <w:p>
            <w:pPr>
              <w:spacing w:after="0"/>
              <w:rPr>
                <w:sz w:val="20"/>
                <w:szCs w:val="20"/>
                <w:color w:val="auto"/>
              </w:rPr>
            </w:pPr>
            <w:r>
              <w:rPr>
                <w:rFonts w:ascii="Arial" w:cs="Arial" w:eastAsia="Arial" w:hAnsi="Arial"/>
                <w:sz w:val="14"/>
                <w:szCs w:val="14"/>
                <w:color w:val="auto"/>
              </w:rPr>
              <w:t>Effect of exchange rate changes on cash</w:t>
            </w:r>
          </w:p>
        </w:tc>
        <w:tc>
          <w:tcPr>
            <w:tcW w:w="360" w:type="dxa"/>
            <w:vAlign w:val="bottom"/>
            <w:shd w:val="clear" w:color="auto" w:fill="CCECFF"/>
          </w:tcPr>
          <w:p>
            <w:pPr>
              <w:spacing w:after="0"/>
              <w:rPr>
                <w:sz w:val="14"/>
                <w:szCs w:val="14"/>
                <w:color w:val="auto"/>
              </w:rPr>
            </w:pPr>
          </w:p>
        </w:tc>
        <w:tc>
          <w:tcPr>
            <w:tcW w:w="1200" w:type="dxa"/>
            <w:vAlign w:val="bottom"/>
            <w:shd w:val="clear" w:color="auto" w:fill="CCECFF"/>
          </w:tcPr>
          <w:p>
            <w:pPr>
              <w:jc w:val="right"/>
              <w:spacing w:after="0"/>
              <w:rPr>
                <w:sz w:val="20"/>
                <w:szCs w:val="20"/>
                <w:color w:val="auto"/>
              </w:rPr>
            </w:pPr>
            <w:r>
              <w:rPr>
                <w:rFonts w:ascii="Arial" w:cs="Arial" w:eastAsia="Arial" w:hAnsi="Arial"/>
                <w:sz w:val="14"/>
                <w:szCs w:val="14"/>
                <w:color w:val="auto"/>
              </w:rPr>
              <w:t>646,698</w:t>
            </w:r>
          </w:p>
        </w:tc>
        <w:tc>
          <w:tcPr>
            <w:tcW w:w="280" w:type="dxa"/>
            <w:vAlign w:val="bottom"/>
            <w:shd w:val="clear" w:color="auto" w:fill="CCECFF"/>
          </w:tcPr>
          <w:p>
            <w:pPr>
              <w:spacing w:after="0"/>
              <w:rPr>
                <w:sz w:val="14"/>
                <w:szCs w:val="14"/>
                <w:color w:val="auto"/>
              </w:rPr>
            </w:pPr>
          </w:p>
        </w:tc>
        <w:tc>
          <w:tcPr>
            <w:tcW w:w="360" w:type="dxa"/>
            <w:vAlign w:val="bottom"/>
            <w:shd w:val="clear" w:color="auto" w:fill="CCECFF"/>
          </w:tcPr>
          <w:p>
            <w:pPr>
              <w:spacing w:after="0"/>
              <w:rPr>
                <w:sz w:val="14"/>
                <w:szCs w:val="14"/>
                <w:color w:val="auto"/>
              </w:rPr>
            </w:pPr>
          </w:p>
        </w:tc>
        <w:tc>
          <w:tcPr>
            <w:tcW w:w="1200" w:type="dxa"/>
            <w:vAlign w:val="bottom"/>
            <w:shd w:val="clear" w:color="auto" w:fill="CCECFF"/>
          </w:tcPr>
          <w:p>
            <w:pPr>
              <w:jc w:val="right"/>
              <w:spacing w:after="0"/>
              <w:rPr>
                <w:sz w:val="20"/>
                <w:szCs w:val="20"/>
                <w:color w:val="auto"/>
              </w:rPr>
            </w:pPr>
            <w:r>
              <w:rPr>
                <w:rFonts w:ascii="Arial" w:cs="Arial" w:eastAsia="Arial" w:hAnsi="Arial"/>
                <w:sz w:val="14"/>
                <w:szCs w:val="14"/>
                <w:color w:val="auto"/>
              </w:rPr>
              <w:t>15,032</w:t>
            </w:r>
          </w:p>
        </w:tc>
        <w:tc>
          <w:tcPr>
            <w:tcW w:w="120" w:type="dxa"/>
            <w:vAlign w:val="bottom"/>
            <w:shd w:val="clear" w:color="auto" w:fill="CCECFF"/>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7720" w:type="dxa"/>
            <w:vAlign w:val="bottom"/>
            <w:tcBorders>
              <w:bottom w:val="single" w:sz="8" w:color="CCECFF"/>
            </w:tcBorders>
          </w:tcPr>
          <w:p>
            <w:pPr>
              <w:spacing w:after="0"/>
              <w:rPr>
                <w:sz w:val="20"/>
                <w:szCs w:val="20"/>
                <w:color w:val="auto"/>
              </w:rPr>
            </w:pPr>
            <w:r>
              <w:rPr>
                <w:rFonts w:ascii="Arial" w:cs="Arial" w:eastAsia="Arial" w:hAnsi="Arial"/>
                <w:sz w:val="14"/>
                <w:szCs w:val="14"/>
                <w:b w:val="1"/>
                <w:bCs w:val="1"/>
                <w:color w:val="auto"/>
              </w:rPr>
              <w:t>Cash and cash equivalents, beginning of period</w:t>
            </w:r>
          </w:p>
        </w:tc>
        <w:tc>
          <w:tcPr>
            <w:tcW w:w="360" w:type="dxa"/>
            <w:vAlign w:val="bottom"/>
            <w:tcBorders>
              <w:bottom w:val="single" w:sz="8" w:color="auto"/>
            </w:tcBorders>
          </w:tcPr>
          <w:p>
            <w:pPr>
              <w:spacing w:after="0"/>
              <w:rPr>
                <w:sz w:val="14"/>
                <w:szCs w:val="14"/>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75,608,113</w:t>
            </w:r>
          </w:p>
        </w:tc>
        <w:tc>
          <w:tcPr>
            <w:tcW w:w="280" w:type="dxa"/>
            <w:vAlign w:val="bottom"/>
            <w:tcBorders>
              <w:bottom w:val="single" w:sz="8" w:color="CCECFF"/>
            </w:tcBorders>
          </w:tcPr>
          <w:p>
            <w:pPr>
              <w:spacing w:after="0"/>
              <w:rPr>
                <w:sz w:val="14"/>
                <w:szCs w:val="14"/>
                <w:color w:val="auto"/>
              </w:rPr>
            </w:pPr>
          </w:p>
        </w:tc>
        <w:tc>
          <w:tcPr>
            <w:tcW w:w="360" w:type="dxa"/>
            <w:vAlign w:val="bottom"/>
            <w:tcBorders>
              <w:bottom w:val="single" w:sz="8" w:color="auto"/>
            </w:tcBorders>
          </w:tcPr>
          <w:p>
            <w:pPr>
              <w:spacing w:after="0"/>
              <w:rPr>
                <w:sz w:val="14"/>
                <w:szCs w:val="14"/>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49,619,256</w:t>
            </w:r>
          </w:p>
        </w:tc>
        <w:tc>
          <w:tcPr>
            <w:tcW w:w="120" w:type="dxa"/>
            <w:vAlign w:val="bottom"/>
            <w:tcBorders>
              <w:bottom w:val="single" w:sz="8" w:color="CCECFF"/>
            </w:tcBorders>
          </w:tcPr>
          <w:p>
            <w:pPr>
              <w:spacing w:after="0"/>
              <w:rPr>
                <w:sz w:val="14"/>
                <w:szCs w:val="14"/>
                <w:color w:val="auto"/>
              </w:rPr>
            </w:pPr>
          </w:p>
        </w:tc>
        <w:tc>
          <w:tcPr>
            <w:tcW w:w="0" w:type="dxa"/>
            <w:vAlign w:val="bottom"/>
          </w:tcPr>
          <w:p>
            <w:pPr>
              <w:spacing w:after="0"/>
              <w:rPr>
                <w:sz w:val="1"/>
                <w:szCs w:val="1"/>
                <w:color w:val="auto"/>
              </w:rPr>
            </w:pPr>
          </w:p>
        </w:tc>
      </w:tr>
      <w:tr>
        <w:trPr>
          <w:trHeight w:val="155"/>
        </w:trPr>
        <w:tc>
          <w:tcPr>
            <w:tcW w:w="7720" w:type="dxa"/>
            <w:vAlign w:val="bottom"/>
            <w:tcBorders>
              <w:bottom w:val="single" w:sz="8" w:color="CCECFF"/>
            </w:tcBorders>
            <w:shd w:val="clear" w:color="auto" w:fill="CCECFF"/>
          </w:tcPr>
          <w:p>
            <w:pPr>
              <w:spacing w:after="0" w:line="155" w:lineRule="exact"/>
              <w:rPr>
                <w:sz w:val="20"/>
                <w:szCs w:val="20"/>
                <w:color w:val="auto"/>
              </w:rPr>
            </w:pPr>
            <w:r>
              <w:rPr>
                <w:rFonts w:ascii="Arial" w:cs="Arial" w:eastAsia="Arial" w:hAnsi="Arial"/>
                <w:sz w:val="14"/>
                <w:szCs w:val="14"/>
                <w:b w:val="1"/>
                <w:bCs w:val="1"/>
                <w:color w:val="auto"/>
              </w:rPr>
              <w:t>Cash and cash equivalents, end of period</w:t>
            </w:r>
          </w:p>
        </w:tc>
        <w:tc>
          <w:tcPr>
            <w:tcW w:w="360" w:type="dxa"/>
            <w:vAlign w:val="bottom"/>
            <w:tcBorders>
              <w:bottom w:val="single" w:sz="8" w:color="auto"/>
            </w:tcBorders>
            <w:shd w:val="clear" w:color="auto" w:fill="CCECFF"/>
          </w:tcPr>
          <w:p>
            <w:pPr>
              <w:jc w:val="right"/>
              <w:ind w:right="208"/>
              <w:spacing w:after="0" w:line="155" w:lineRule="exact"/>
              <w:rPr>
                <w:sz w:val="20"/>
                <w:szCs w:val="20"/>
                <w:color w:val="auto"/>
              </w:rPr>
            </w:pPr>
            <w:r>
              <w:rPr>
                <w:rFonts w:ascii="Arial" w:cs="Arial" w:eastAsia="Arial" w:hAnsi="Arial"/>
                <w:sz w:val="14"/>
                <w:szCs w:val="14"/>
                <w:color w:val="auto"/>
                <w:w w:val="76"/>
              </w:rPr>
              <w:t>$</w:t>
            </w:r>
          </w:p>
        </w:tc>
        <w:tc>
          <w:tcPr>
            <w:tcW w:w="1200" w:type="dxa"/>
            <w:vAlign w:val="bottom"/>
            <w:tcBorders>
              <w:bottom w:val="single" w:sz="8" w:color="auto"/>
            </w:tcBorders>
            <w:shd w:val="clear" w:color="auto" w:fill="CCECFF"/>
          </w:tcPr>
          <w:p>
            <w:pPr>
              <w:jc w:val="right"/>
              <w:spacing w:after="0" w:line="155" w:lineRule="exact"/>
              <w:rPr>
                <w:sz w:val="20"/>
                <w:szCs w:val="20"/>
                <w:color w:val="auto"/>
              </w:rPr>
            </w:pPr>
            <w:r>
              <w:rPr>
                <w:rFonts w:ascii="Arial" w:cs="Arial" w:eastAsia="Arial" w:hAnsi="Arial"/>
                <w:sz w:val="14"/>
                <w:szCs w:val="14"/>
                <w:color w:val="auto"/>
              </w:rPr>
              <w:t>103,196,132</w:t>
            </w:r>
          </w:p>
        </w:tc>
        <w:tc>
          <w:tcPr>
            <w:tcW w:w="280" w:type="dxa"/>
            <w:vAlign w:val="bottom"/>
            <w:tcBorders>
              <w:bottom w:val="single" w:sz="8" w:color="CCECFF"/>
            </w:tcBorders>
            <w:shd w:val="clear" w:color="auto" w:fill="CCECFF"/>
          </w:tcPr>
          <w:p>
            <w:pPr>
              <w:spacing w:after="0"/>
              <w:rPr>
                <w:sz w:val="13"/>
                <w:szCs w:val="13"/>
                <w:color w:val="auto"/>
              </w:rPr>
            </w:pPr>
          </w:p>
        </w:tc>
        <w:tc>
          <w:tcPr>
            <w:tcW w:w="360" w:type="dxa"/>
            <w:vAlign w:val="bottom"/>
            <w:tcBorders>
              <w:bottom w:val="single" w:sz="8" w:color="auto"/>
            </w:tcBorders>
            <w:shd w:val="clear" w:color="auto" w:fill="CCECFF"/>
          </w:tcPr>
          <w:p>
            <w:pPr>
              <w:jc w:val="right"/>
              <w:ind w:right="208"/>
              <w:spacing w:after="0" w:line="155" w:lineRule="exact"/>
              <w:rPr>
                <w:sz w:val="20"/>
                <w:szCs w:val="20"/>
                <w:color w:val="auto"/>
              </w:rPr>
            </w:pPr>
            <w:r>
              <w:rPr>
                <w:rFonts w:ascii="Arial" w:cs="Arial" w:eastAsia="Arial" w:hAnsi="Arial"/>
                <w:sz w:val="14"/>
                <w:szCs w:val="14"/>
                <w:color w:val="auto"/>
                <w:w w:val="76"/>
              </w:rPr>
              <w:t>$</w:t>
            </w:r>
          </w:p>
        </w:tc>
        <w:tc>
          <w:tcPr>
            <w:tcW w:w="1200" w:type="dxa"/>
            <w:vAlign w:val="bottom"/>
            <w:tcBorders>
              <w:bottom w:val="single" w:sz="8" w:color="auto"/>
            </w:tcBorders>
            <w:shd w:val="clear" w:color="auto" w:fill="CCECFF"/>
          </w:tcPr>
          <w:p>
            <w:pPr>
              <w:jc w:val="right"/>
              <w:spacing w:after="0" w:line="155" w:lineRule="exact"/>
              <w:rPr>
                <w:sz w:val="20"/>
                <w:szCs w:val="20"/>
                <w:color w:val="auto"/>
              </w:rPr>
            </w:pPr>
            <w:r>
              <w:rPr>
                <w:rFonts w:ascii="Arial" w:cs="Arial" w:eastAsia="Arial" w:hAnsi="Arial"/>
                <w:sz w:val="14"/>
                <w:szCs w:val="14"/>
                <w:color w:val="auto"/>
              </w:rPr>
              <w:t>37,872,854</w:t>
            </w:r>
          </w:p>
        </w:tc>
        <w:tc>
          <w:tcPr>
            <w:tcW w:w="120" w:type="dxa"/>
            <w:vAlign w:val="bottom"/>
            <w:tcBorders>
              <w:bottom w:val="single" w:sz="8" w:color="CCECFF"/>
            </w:tcBorders>
            <w:shd w:val="clear" w:color="auto" w:fill="CCECFF"/>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7720" w:type="dxa"/>
            <w:vAlign w:val="bottom"/>
            <w:vMerge w:val="restart"/>
          </w:tcPr>
          <w:p>
            <w:pPr>
              <w:spacing w:after="0"/>
              <w:rPr>
                <w:sz w:val="20"/>
                <w:szCs w:val="20"/>
                <w:color w:val="auto"/>
              </w:rPr>
            </w:pPr>
            <w:r>
              <w:rPr>
                <w:rFonts w:ascii="Arial" w:cs="Arial" w:eastAsia="Arial" w:hAnsi="Arial"/>
                <w:sz w:val="14"/>
                <w:szCs w:val="14"/>
                <w:b w:val="1"/>
                <w:bCs w:val="1"/>
                <w:color w:val="auto"/>
              </w:rPr>
              <w:t>Supplemental disclosure of cash flow information:</w:t>
            </w:r>
          </w:p>
        </w:tc>
        <w:tc>
          <w:tcPr>
            <w:tcW w:w="36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3"/>
        </w:trPr>
        <w:tc>
          <w:tcPr>
            <w:tcW w:w="7720" w:type="dxa"/>
            <w:vAlign w:val="bottom"/>
            <w:vMerge w:val="continue"/>
          </w:tcPr>
          <w:p>
            <w:pPr>
              <w:spacing w:after="0"/>
              <w:rPr>
                <w:sz w:val="12"/>
                <w:szCs w:val="12"/>
                <w:color w:val="auto"/>
              </w:rPr>
            </w:pPr>
          </w:p>
        </w:tc>
        <w:tc>
          <w:tcPr>
            <w:tcW w:w="360" w:type="dxa"/>
            <w:vAlign w:val="bottom"/>
          </w:tcPr>
          <w:p>
            <w:pPr>
              <w:spacing w:after="0"/>
              <w:rPr>
                <w:sz w:val="12"/>
                <w:szCs w:val="12"/>
                <w:color w:val="auto"/>
              </w:rPr>
            </w:pPr>
          </w:p>
        </w:tc>
        <w:tc>
          <w:tcPr>
            <w:tcW w:w="12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12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2"/>
        </w:trPr>
        <w:tc>
          <w:tcPr>
            <w:tcW w:w="7720" w:type="dxa"/>
            <w:vAlign w:val="bottom"/>
            <w:tcBorders>
              <w:bottom w:val="single" w:sz="8" w:color="CCECFF"/>
            </w:tcBorders>
            <w:shd w:val="clear" w:color="auto" w:fill="CCECFF"/>
          </w:tcPr>
          <w:p>
            <w:pPr>
              <w:ind w:left="260"/>
              <w:spacing w:after="0"/>
              <w:rPr>
                <w:sz w:val="20"/>
                <w:szCs w:val="20"/>
                <w:color w:val="auto"/>
              </w:rPr>
            </w:pPr>
            <w:r>
              <w:rPr>
                <w:rFonts w:ascii="Arial" w:cs="Arial" w:eastAsia="Arial" w:hAnsi="Arial"/>
                <w:sz w:val="14"/>
                <w:szCs w:val="14"/>
                <w:color w:val="auto"/>
              </w:rPr>
              <w:t>Interest paid</w:t>
            </w:r>
          </w:p>
        </w:tc>
        <w:tc>
          <w:tcPr>
            <w:tcW w:w="360" w:type="dxa"/>
            <w:vAlign w:val="bottom"/>
            <w:tcBorders>
              <w:bottom w:val="single" w:sz="8" w:color="auto"/>
            </w:tcBorders>
            <w:shd w:val="clear" w:color="auto" w:fill="CCECFF"/>
          </w:tcPr>
          <w:p>
            <w:pPr>
              <w:jc w:val="right"/>
              <w:ind w:right="208"/>
              <w:spacing w:after="0"/>
              <w:rPr>
                <w:sz w:val="20"/>
                <w:szCs w:val="20"/>
                <w:color w:val="auto"/>
              </w:rPr>
            </w:pPr>
            <w:r>
              <w:rPr>
                <w:rFonts w:ascii="Arial" w:cs="Arial" w:eastAsia="Arial" w:hAnsi="Arial"/>
                <w:sz w:val="14"/>
                <w:szCs w:val="14"/>
                <w:color w:val="auto"/>
                <w:w w:val="76"/>
              </w:rPr>
              <w:t>$</w:t>
            </w:r>
          </w:p>
        </w:tc>
        <w:tc>
          <w:tcPr>
            <w:tcW w:w="1200" w:type="dxa"/>
            <w:vAlign w:val="bottom"/>
            <w:tcBorders>
              <w:bottom w:val="single" w:sz="8" w:color="auto"/>
            </w:tcBorders>
            <w:shd w:val="clear" w:color="auto" w:fill="CCECFF"/>
          </w:tcPr>
          <w:p>
            <w:pPr>
              <w:jc w:val="right"/>
              <w:spacing w:after="0"/>
              <w:rPr>
                <w:sz w:val="20"/>
                <w:szCs w:val="20"/>
                <w:color w:val="auto"/>
              </w:rPr>
            </w:pPr>
            <w:r>
              <w:rPr>
                <w:rFonts w:ascii="Arial" w:cs="Arial" w:eastAsia="Arial" w:hAnsi="Arial"/>
                <w:sz w:val="14"/>
                <w:szCs w:val="14"/>
                <w:color w:val="auto"/>
              </w:rPr>
              <w:t>21,683,789</w:t>
            </w:r>
          </w:p>
        </w:tc>
        <w:tc>
          <w:tcPr>
            <w:tcW w:w="280" w:type="dxa"/>
            <w:vAlign w:val="bottom"/>
            <w:tcBorders>
              <w:bottom w:val="single" w:sz="8" w:color="CCECFF"/>
            </w:tcBorders>
            <w:shd w:val="clear" w:color="auto" w:fill="CCECFF"/>
          </w:tcPr>
          <w:p>
            <w:pPr>
              <w:spacing w:after="0"/>
              <w:rPr>
                <w:sz w:val="14"/>
                <w:szCs w:val="14"/>
                <w:color w:val="auto"/>
              </w:rPr>
            </w:pPr>
          </w:p>
        </w:tc>
        <w:tc>
          <w:tcPr>
            <w:tcW w:w="360" w:type="dxa"/>
            <w:vAlign w:val="bottom"/>
            <w:tcBorders>
              <w:bottom w:val="single" w:sz="8" w:color="auto"/>
            </w:tcBorders>
            <w:shd w:val="clear" w:color="auto" w:fill="CCECFF"/>
          </w:tcPr>
          <w:p>
            <w:pPr>
              <w:jc w:val="right"/>
              <w:ind w:right="208"/>
              <w:spacing w:after="0"/>
              <w:rPr>
                <w:sz w:val="20"/>
                <w:szCs w:val="20"/>
                <w:color w:val="auto"/>
              </w:rPr>
            </w:pPr>
            <w:r>
              <w:rPr>
                <w:rFonts w:ascii="Arial" w:cs="Arial" w:eastAsia="Arial" w:hAnsi="Arial"/>
                <w:sz w:val="14"/>
                <w:szCs w:val="14"/>
                <w:color w:val="auto"/>
                <w:w w:val="76"/>
              </w:rPr>
              <w:t>$</w:t>
            </w:r>
          </w:p>
        </w:tc>
        <w:tc>
          <w:tcPr>
            <w:tcW w:w="1200" w:type="dxa"/>
            <w:vAlign w:val="bottom"/>
            <w:tcBorders>
              <w:bottom w:val="single" w:sz="8" w:color="auto"/>
            </w:tcBorders>
            <w:shd w:val="clear" w:color="auto" w:fill="CCECFF"/>
          </w:tcPr>
          <w:p>
            <w:pPr>
              <w:jc w:val="right"/>
              <w:spacing w:after="0"/>
              <w:rPr>
                <w:sz w:val="20"/>
                <w:szCs w:val="20"/>
                <w:color w:val="auto"/>
              </w:rPr>
            </w:pPr>
            <w:r>
              <w:rPr>
                <w:rFonts w:ascii="Arial" w:cs="Arial" w:eastAsia="Arial" w:hAnsi="Arial"/>
                <w:sz w:val="14"/>
                <w:szCs w:val="14"/>
                <w:color w:val="auto"/>
              </w:rPr>
              <w:t>21,479,719</w:t>
            </w:r>
          </w:p>
        </w:tc>
        <w:tc>
          <w:tcPr>
            <w:tcW w:w="120" w:type="dxa"/>
            <w:vAlign w:val="bottom"/>
            <w:tcBorders>
              <w:bottom w:val="single" w:sz="8" w:color="CCECFF"/>
            </w:tcBorders>
            <w:shd w:val="clear" w:color="auto" w:fill="CCECFF"/>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7720" w:type="dxa"/>
            <w:vAlign w:val="bottom"/>
            <w:vMerge w:val="restart"/>
          </w:tcPr>
          <w:p>
            <w:pPr>
              <w:ind w:left="260"/>
              <w:spacing w:after="0"/>
              <w:rPr>
                <w:sz w:val="20"/>
                <w:szCs w:val="20"/>
                <w:color w:val="auto"/>
              </w:rPr>
            </w:pPr>
            <w:r>
              <w:rPr>
                <w:rFonts w:ascii="Arial" w:cs="Arial" w:eastAsia="Arial" w:hAnsi="Arial"/>
                <w:sz w:val="14"/>
                <w:szCs w:val="14"/>
                <w:color w:val="auto"/>
              </w:rPr>
              <w:t>Taxes paid</w:t>
            </w:r>
          </w:p>
        </w:tc>
        <w:tc>
          <w:tcPr>
            <w:tcW w:w="36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7720" w:type="dxa"/>
            <w:vAlign w:val="bottom"/>
            <w:tcBorders>
              <w:bottom w:val="single" w:sz="8" w:color="CCECFF"/>
            </w:tcBorders>
            <w:vMerge w:val="continue"/>
          </w:tcPr>
          <w:p>
            <w:pPr>
              <w:spacing w:after="0"/>
              <w:rPr>
                <w:sz w:val="15"/>
                <w:szCs w:val="15"/>
                <w:color w:val="auto"/>
              </w:rPr>
            </w:pPr>
          </w:p>
        </w:tc>
        <w:tc>
          <w:tcPr>
            <w:tcW w:w="360" w:type="dxa"/>
            <w:vAlign w:val="bottom"/>
            <w:tcBorders>
              <w:bottom w:val="single" w:sz="8" w:color="auto"/>
            </w:tcBorders>
          </w:tcPr>
          <w:p>
            <w:pPr>
              <w:jc w:val="right"/>
              <w:ind w:right="208"/>
              <w:spacing w:after="0" w:line="143" w:lineRule="exact"/>
              <w:rPr>
                <w:sz w:val="20"/>
                <w:szCs w:val="20"/>
                <w:color w:val="auto"/>
              </w:rPr>
            </w:pPr>
            <w:r>
              <w:rPr>
                <w:rFonts w:ascii="Arial" w:cs="Arial" w:eastAsia="Arial" w:hAnsi="Arial"/>
                <w:sz w:val="14"/>
                <w:szCs w:val="14"/>
                <w:color w:val="auto"/>
                <w:w w:val="76"/>
              </w:rPr>
              <w:t>$</w:t>
            </w:r>
          </w:p>
        </w:tc>
        <w:tc>
          <w:tcPr>
            <w:tcW w:w="1200" w:type="dxa"/>
            <w:vAlign w:val="bottom"/>
            <w:tcBorders>
              <w:bottom w:val="single" w:sz="8" w:color="auto"/>
            </w:tcBorders>
          </w:tcPr>
          <w:p>
            <w:pPr>
              <w:jc w:val="right"/>
              <w:spacing w:after="0" w:line="143" w:lineRule="exact"/>
              <w:rPr>
                <w:sz w:val="20"/>
                <w:szCs w:val="20"/>
                <w:color w:val="auto"/>
              </w:rPr>
            </w:pPr>
            <w:r>
              <w:rPr>
                <w:rFonts w:ascii="Arial" w:cs="Arial" w:eastAsia="Arial" w:hAnsi="Arial"/>
                <w:sz w:val="14"/>
                <w:szCs w:val="14"/>
                <w:color w:val="auto"/>
              </w:rPr>
              <w:t>1,280,898</w:t>
            </w:r>
          </w:p>
        </w:tc>
        <w:tc>
          <w:tcPr>
            <w:tcW w:w="280" w:type="dxa"/>
            <w:vAlign w:val="bottom"/>
            <w:tcBorders>
              <w:bottom w:val="single" w:sz="8" w:color="CCECFF"/>
            </w:tcBorders>
          </w:tcPr>
          <w:p>
            <w:pPr>
              <w:spacing w:after="0"/>
              <w:rPr>
                <w:sz w:val="15"/>
                <w:szCs w:val="15"/>
                <w:color w:val="auto"/>
              </w:rPr>
            </w:pPr>
          </w:p>
        </w:tc>
        <w:tc>
          <w:tcPr>
            <w:tcW w:w="360" w:type="dxa"/>
            <w:vAlign w:val="bottom"/>
            <w:tcBorders>
              <w:bottom w:val="single" w:sz="8" w:color="auto"/>
            </w:tcBorders>
          </w:tcPr>
          <w:p>
            <w:pPr>
              <w:jc w:val="right"/>
              <w:ind w:right="208"/>
              <w:spacing w:after="0" w:line="143" w:lineRule="exact"/>
              <w:rPr>
                <w:sz w:val="20"/>
                <w:szCs w:val="20"/>
                <w:color w:val="auto"/>
              </w:rPr>
            </w:pPr>
            <w:r>
              <w:rPr>
                <w:rFonts w:ascii="Arial" w:cs="Arial" w:eastAsia="Arial" w:hAnsi="Arial"/>
                <w:sz w:val="14"/>
                <w:szCs w:val="14"/>
                <w:color w:val="auto"/>
                <w:w w:val="76"/>
              </w:rPr>
              <w:t>$</w:t>
            </w:r>
          </w:p>
        </w:tc>
        <w:tc>
          <w:tcPr>
            <w:tcW w:w="1200" w:type="dxa"/>
            <w:vAlign w:val="bottom"/>
            <w:tcBorders>
              <w:bottom w:val="single" w:sz="8" w:color="auto"/>
            </w:tcBorders>
          </w:tcPr>
          <w:p>
            <w:pPr>
              <w:jc w:val="right"/>
              <w:spacing w:after="0" w:line="143" w:lineRule="exact"/>
              <w:rPr>
                <w:sz w:val="20"/>
                <w:szCs w:val="20"/>
                <w:color w:val="auto"/>
              </w:rPr>
            </w:pPr>
            <w:r>
              <w:rPr>
                <w:rFonts w:ascii="Arial" w:cs="Arial" w:eastAsia="Arial" w:hAnsi="Arial"/>
                <w:sz w:val="14"/>
                <w:szCs w:val="14"/>
                <w:color w:val="auto"/>
              </w:rPr>
              <w:t>2,154,226</w:t>
            </w:r>
          </w:p>
        </w:tc>
        <w:tc>
          <w:tcPr>
            <w:tcW w:w="120" w:type="dxa"/>
            <w:vAlign w:val="bottom"/>
            <w:tcBorders>
              <w:bottom w:val="single" w:sz="8" w:color="CCECFF"/>
            </w:tcBorders>
          </w:tcPr>
          <w:p>
            <w:pPr>
              <w:spacing w:after="0"/>
              <w:rPr>
                <w:sz w:val="15"/>
                <w:szCs w:val="15"/>
                <w:color w:val="auto"/>
              </w:rPr>
            </w:pPr>
          </w:p>
        </w:tc>
        <w:tc>
          <w:tcPr>
            <w:tcW w:w="0" w:type="dxa"/>
            <w:vAlign w:val="bottom"/>
          </w:tcPr>
          <w:p>
            <w:pPr>
              <w:spacing w:after="0"/>
              <w:rPr>
                <w:sz w:val="1"/>
                <w:szCs w:val="1"/>
                <w:color w:val="auto"/>
              </w:rPr>
            </w:pPr>
          </w:p>
        </w:tc>
      </w:tr>
      <w:tr>
        <w:trPr>
          <w:trHeight w:val="143"/>
        </w:trPr>
        <w:tc>
          <w:tcPr>
            <w:tcW w:w="7720" w:type="dxa"/>
            <w:vAlign w:val="bottom"/>
            <w:tcBorders>
              <w:bottom w:val="single" w:sz="8" w:color="CCECFF"/>
            </w:tcBorders>
            <w:shd w:val="clear" w:color="auto" w:fill="CCECFF"/>
          </w:tcPr>
          <w:p>
            <w:pPr>
              <w:ind w:left="260"/>
              <w:spacing w:after="0" w:line="143" w:lineRule="exact"/>
              <w:rPr>
                <w:sz w:val="20"/>
                <w:szCs w:val="20"/>
                <w:color w:val="auto"/>
              </w:rPr>
            </w:pPr>
            <w:r>
              <w:rPr>
                <w:rFonts w:ascii="Arial" w:cs="Arial" w:eastAsia="Arial" w:hAnsi="Arial"/>
                <w:sz w:val="14"/>
                <w:szCs w:val="14"/>
                <w:color w:val="auto"/>
              </w:rPr>
              <w:t>Non-cash exchanges and conversions</w:t>
            </w:r>
          </w:p>
        </w:tc>
        <w:tc>
          <w:tcPr>
            <w:tcW w:w="360" w:type="dxa"/>
            <w:vAlign w:val="bottom"/>
            <w:tcBorders>
              <w:bottom w:val="single" w:sz="8" w:color="auto"/>
            </w:tcBorders>
            <w:shd w:val="clear" w:color="auto" w:fill="CCECFF"/>
          </w:tcPr>
          <w:p>
            <w:pPr>
              <w:jc w:val="right"/>
              <w:ind w:right="208"/>
              <w:spacing w:after="0" w:line="143" w:lineRule="exact"/>
              <w:rPr>
                <w:sz w:val="20"/>
                <w:szCs w:val="20"/>
                <w:color w:val="auto"/>
              </w:rPr>
            </w:pPr>
            <w:r>
              <w:rPr>
                <w:rFonts w:ascii="Arial" w:cs="Arial" w:eastAsia="Arial" w:hAnsi="Arial"/>
                <w:sz w:val="14"/>
                <w:szCs w:val="14"/>
                <w:color w:val="auto"/>
                <w:w w:val="76"/>
              </w:rPr>
              <w:t>$</w:t>
            </w:r>
          </w:p>
        </w:tc>
        <w:tc>
          <w:tcPr>
            <w:tcW w:w="1200" w:type="dxa"/>
            <w:vAlign w:val="bottom"/>
            <w:tcBorders>
              <w:bottom w:val="single" w:sz="8" w:color="auto"/>
            </w:tcBorders>
            <w:shd w:val="clear" w:color="auto" w:fill="CCECFF"/>
          </w:tcPr>
          <w:p>
            <w:pPr>
              <w:jc w:val="right"/>
              <w:spacing w:after="0" w:line="143" w:lineRule="exact"/>
              <w:rPr>
                <w:sz w:val="20"/>
                <w:szCs w:val="20"/>
                <w:color w:val="auto"/>
              </w:rPr>
            </w:pPr>
            <w:r>
              <w:rPr>
                <w:rFonts w:ascii="Arial" w:cs="Arial" w:eastAsia="Arial" w:hAnsi="Arial"/>
                <w:sz w:val="14"/>
                <w:szCs w:val="14"/>
                <w:color w:val="auto"/>
              </w:rPr>
              <w:t>37,712,296</w:t>
            </w:r>
          </w:p>
        </w:tc>
        <w:tc>
          <w:tcPr>
            <w:tcW w:w="280" w:type="dxa"/>
            <w:vAlign w:val="bottom"/>
            <w:tcBorders>
              <w:bottom w:val="single" w:sz="8" w:color="CCECFF"/>
            </w:tcBorders>
            <w:shd w:val="clear" w:color="auto" w:fill="CCECFF"/>
          </w:tcPr>
          <w:p>
            <w:pPr>
              <w:spacing w:after="0"/>
              <w:rPr>
                <w:sz w:val="12"/>
                <w:szCs w:val="12"/>
                <w:color w:val="auto"/>
              </w:rPr>
            </w:pPr>
          </w:p>
        </w:tc>
        <w:tc>
          <w:tcPr>
            <w:tcW w:w="360" w:type="dxa"/>
            <w:vAlign w:val="bottom"/>
            <w:tcBorders>
              <w:bottom w:val="single" w:sz="8" w:color="auto"/>
            </w:tcBorders>
            <w:shd w:val="clear" w:color="auto" w:fill="CCECFF"/>
          </w:tcPr>
          <w:p>
            <w:pPr>
              <w:jc w:val="right"/>
              <w:ind w:right="208"/>
              <w:spacing w:after="0" w:line="143" w:lineRule="exact"/>
              <w:rPr>
                <w:sz w:val="20"/>
                <w:szCs w:val="20"/>
                <w:color w:val="auto"/>
              </w:rPr>
            </w:pPr>
            <w:r>
              <w:rPr>
                <w:rFonts w:ascii="Arial" w:cs="Arial" w:eastAsia="Arial" w:hAnsi="Arial"/>
                <w:sz w:val="14"/>
                <w:szCs w:val="14"/>
                <w:color w:val="auto"/>
                <w:w w:val="76"/>
              </w:rPr>
              <w:t>$</w:t>
            </w:r>
          </w:p>
        </w:tc>
        <w:tc>
          <w:tcPr>
            <w:tcW w:w="1200" w:type="dxa"/>
            <w:vAlign w:val="bottom"/>
            <w:tcBorders>
              <w:bottom w:val="single" w:sz="8" w:color="auto"/>
            </w:tcBorders>
            <w:shd w:val="clear" w:color="auto" w:fill="CCECFF"/>
          </w:tcPr>
          <w:p>
            <w:pPr>
              <w:jc w:val="right"/>
              <w:spacing w:after="0" w:line="143" w:lineRule="exact"/>
              <w:rPr>
                <w:sz w:val="20"/>
                <w:szCs w:val="20"/>
                <w:color w:val="auto"/>
              </w:rPr>
            </w:pPr>
            <w:r>
              <w:rPr>
                <w:rFonts w:ascii="Arial" w:cs="Arial" w:eastAsia="Arial" w:hAnsi="Arial"/>
                <w:sz w:val="14"/>
                <w:szCs w:val="14"/>
                <w:color w:val="auto"/>
              </w:rPr>
              <w:t>60,438,396</w:t>
            </w:r>
          </w:p>
        </w:tc>
        <w:tc>
          <w:tcPr>
            <w:tcW w:w="120" w:type="dxa"/>
            <w:vAlign w:val="bottom"/>
            <w:tcBorders>
              <w:bottom w:val="single" w:sz="8" w:color="CCECFF"/>
            </w:tcBorders>
            <w:shd w:val="clear" w:color="auto" w:fill="CCECFF"/>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772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46"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SEE NOTES TO CONSOLIDATED FINANCIAL STATEMENTS</w:t>
      </w:r>
    </w:p>
    <w:p>
      <w:pPr>
        <w:spacing w:after="0" w:line="136"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72390</wp:posOffset>
            </wp:positionV>
            <wp:extent cx="7149465" cy="171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333" w:right="339" w:bottom="1440" w:gutter="0" w:footer="0" w:header="0"/>
        </w:sectPr>
      </w:pPr>
    </w:p>
    <w:bookmarkStart w:id="7" w:name="page8"/>
    <w:bookmarkEnd w:id="7"/>
    <w:p>
      <w:pPr>
        <w:jc w:val="center"/>
        <w:spacing w:after="0"/>
        <w:rPr>
          <w:sz w:val="20"/>
          <w:szCs w:val="20"/>
          <w:color w:val="auto"/>
        </w:rPr>
      </w:pPr>
      <w:r>
        <w:rPr>
          <w:rFonts w:ascii="Arial" w:cs="Arial" w:eastAsia="Arial" w:hAnsi="Arial"/>
          <w:sz w:val="14"/>
          <w:szCs w:val="14"/>
          <w:b w:val="1"/>
          <w:bCs w:val="1"/>
          <w:color w:val="auto"/>
        </w:rPr>
        <w:t>PENNANTPARK INVESTMENT CORPORATION AND SUBSIDIARIES</w:t>
      </w:r>
    </w:p>
    <w:p>
      <w:pPr>
        <w:jc w:val="center"/>
        <w:spacing w:after="0" w:line="226" w:lineRule="auto"/>
        <w:rPr>
          <w:sz w:val="20"/>
          <w:szCs w:val="20"/>
          <w:color w:val="auto"/>
        </w:rPr>
      </w:pPr>
      <w:r>
        <w:rPr>
          <w:rFonts w:ascii="Arial" w:cs="Arial" w:eastAsia="Arial" w:hAnsi="Arial"/>
          <w:sz w:val="14"/>
          <w:szCs w:val="14"/>
          <w:b w:val="1"/>
          <w:bCs w:val="1"/>
          <w:color w:val="auto"/>
        </w:rPr>
        <w:t>CONSOLIDATED SCHEDULE OF INVESTMENTS</w:t>
      </w:r>
    </w:p>
    <w:p>
      <w:pPr>
        <w:jc w:val="center"/>
        <w:spacing w:after="0" w:line="221" w:lineRule="auto"/>
        <w:rPr>
          <w:sz w:val="20"/>
          <w:szCs w:val="20"/>
          <w:color w:val="auto"/>
        </w:rPr>
      </w:pPr>
      <w:r>
        <w:rPr>
          <w:rFonts w:ascii="Arial" w:cs="Arial" w:eastAsia="Arial" w:hAnsi="Arial"/>
          <w:sz w:val="14"/>
          <w:szCs w:val="14"/>
          <w:b w:val="1"/>
          <w:bCs w:val="1"/>
          <w:color w:val="auto"/>
        </w:rPr>
        <w:t>JUNE 30, 2017</w:t>
      </w:r>
    </w:p>
    <w:p>
      <w:pPr>
        <w:spacing w:after="0" w:line="1"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(Unaudited)</w:t>
      </w:r>
    </w:p>
    <w:p>
      <w:pPr>
        <w:spacing w:after="0" w:line="294" w:lineRule="exact"/>
        <w:rPr>
          <w:sz w:val="20"/>
          <w:szCs w:val="20"/>
          <w:color w:val="auto"/>
        </w:rPr>
      </w:pPr>
    </w:p>
    <w:tbl>
      <w:tblPr>
        <w:tblLayout w:type="fixed"/>
        <w:tblInd w:w="0" w:type="dxa"/>
        <w:tblCellMar>
          <w:top w:w="0" w:type="dxa"/>
          <w:left w:w="0" w:type="dxa"/>
          <w:bottom w:w="0" w:type="dxa"/>
          <w:right w:w="0" w:type="dxa"/>
        </w:tblCellMar>
      </w:tblPr>
      <w:tr>
        <w:trPr>
          <w:trHeight w:val="138"/>
        </w:trPr>
        <w:tc>
          <w:tcPr>
            <w:tcW w:w="302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26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680" w:type="dxa"/>
            <w:vAlign w:val="bottom"/>
          </w:tcPr>
          <w:p>
            <w:pPr>
              <w:jc w:val="center"/>
              <w:spacing w:after="0"/>
              <w:rPr>
                <w:sz w:val="20"/>
                <w:szCs w:val="20"/>
                <w:color w:val="auto"/>
              </w:rPr>
            </w:pPr>
            <w:r>
              <w:rPr>
                <w:rFonts w:ascii="Arial" w:cs="Arial" w:eastAsia="Arial" w:hAnsi="Arial"/>
                <w:sz w:val="12"/>
                <w:szCs w:val="12"/>
                <w:b w:val="1"/>
                <w:bCs w:val="1"/>
                <w:color w:val="auto"/>
                <w:w w:val="85"/>
              </w:rPr>
              <w:t>Basis Point</w:t>
            </w:r>
          </w:p>
        </w:tc>
        <w:tc>
          <w:tcPr>
            <w:tcW w:w="2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00" w:type="dxa"/>
            <w:vAlign w:val="bottom"/>
          </w:tcPr>
          <w:p>
            <w:pPr>
              <w:spacing w:after="0"/>
              <w:rPr>
                <w:sz w:val="12"/>
                <w:szCs w:val="12"/>
                <w:color w:val="auto"/>
              </w:rPr>
            </w:pPr>
          </w:p>
        </w:tc>
      </w:tr>
      <w:tr>
        <w:trPr>
          <w:trHeight w:val="135"/>
        </w:trPr>
        <w:tc>
          <w:tcPr>
            <w:tcW w:w="302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26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80" w:type="dxa"/>
            <w:vAlign w:val="bottom"/>
          </w:tcPr>
          <w:p>
            <w:pPr>
              <w:jc w:val="center"/>
              <w:spacing w:after="0" w:line="135" w:lineRule="exact"/>
              <w:rPr>
                <w:sz w:val="20"/>
                <w:szCs w:val="20"/>
                <w:color w:val="auto"/>
              </w:rPr>
            </w:pPr>
            <w:r>
              <w:rPr>
                <w:rFonts w:ascii="Arial" w:cs="Arial" w:eastAsia="Arial" w:hAnsi="Arial"/>
                <w:sz w:val="12"/>
                <w:szCs w:val="12"/>
                <w:b w:val="1"/>
                <w:bCs w:val="1"/>
                <w:color w:val="auto"/>
                <w:w w:val="88"/>
              </w:rPr>
              <w:t>Spread</w:t>
            </w:r>
          </w:p>
        </w:tc>
        <w:tc>
          <w:tcPr>
            <w:tcW w:w="2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00" w:type="dxa"/>
            <w:vAlign w:val="bottom"/>
          </w:tcPr>
          <w:p>
            <w:pPr>
              <w:spacing w:after="0"/>
              <w:rPr>
                <w:sz w:val="11"/>
                <w:szCs w:val="11"/>
                <w:color w:val="auto"/>
              </w:rPr>
            </w:pPr>
          </w:p>
        </w:tc>
      </w:tr>
      <w:tr>
        <w:trPr>
          <w:trHeight w:val="135"/>
        </w:trPr>
        <w:tc>
          <w:tcPr>
            <w:tcW w:w="3020" w:type="dxa"/>
            <w:vAlign w:val="bottom"/>
          </w:tcPr>
          <w:p>
            <w:pPr>
              <w:spacing w:after="0"/>
              <w:rPr>
                <w:sz w:val="11"/>
                <w:szCs w:val="11"/>
                <w:color w:val="auto"/>
              </w:rPr>
            </w:pPr>
          </w:p>
        </w:tc>
        <w:tc>
          <w:tcPr>
            <w:tcW w:w="900" w:type="dxa"/>
            <w:vAlign w:val="bottom"/>
          </w:tcPr>
          <w:p>
            <w:pPr>
              <w:ind w:left="120"/>
              <w:spacing w:after="0" w:line="135" w:lineRule="exact"/>
              <w:rPr>
                <w:sz w:val="20"/>
                <w:szCs w:val="20"/>
                <w:color w:val="auto"/>
              </w:rPr>
            </w:pPr>
            <w:r>
              <w:rPr>
                <w:rFonts w:ascii="Arial" w:cs="Arial" w:eastAsia="Arial" w:hAnsi="Arial"/>
                <w:sz w:val="12"/>
                <w:szCs w:val="12"/>
                <w:b w:val="1"/>
                <w:bCs w:val="1"/>
                <w:color w:val="auto"/>
              </w:rPr>
              <w:t>Maturity /</w:t>
            </w:r>
          </w:p>
        </w:tc>
        <w:tc>
          <w:tcPr>
            <w:tcW w:w="26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940" w:type="dxa"/>
            <w:vAlign w:val="bottom"/>
            <w:gridSpan w:val="2"/>
          </w:tcPr>
          <w:p>
            <w:pPr>
              <w:jc w:val="right"/>
              <w:ind w:right="420"/>
              <w:spacing w:after="0" w:line="135" w:lineRule="exact"/>
              <w:rPr>
                <w:sz w:val="20"/>
                <w:szCs w:val="20"/>
                <w:color w:val="auto"/>
              </w:rPr>
            </w:pPr>
            <w:r>
              <w:rPr>
                <w:rFonts w:ascii="Arial" w:cs="Arial" w:eastAsia="Arial" w:hAnsi="Arial"/>
                <w:sz w:val="12"/>
                <w:szCs w:val="12"/>
                <w:b w:val="1"/>
                <w:bCs w:val="1"/>
                <w:color w:val="auto"/>
              </w:rPr>
              <w:t>Current</w:t>
            </w:r>
          </w:p>
        </w:tc>
        <w:tc>
          <w:tcPr>
            <w:tcW w:w="680" w:type="dxa"/>
            <w:vAlign w:val="bottom"/>
          </w:tcPr>
          <w:p>
            <w:pPr>
              <w:jc w:val="center"/>
              <w:spacing w:after="0" w:line="135" w:lineRule="exact"/>
              <w:rPr>
                <w:sz w:val="20"/>
                <w:szCs w:val="20"/>
                <w:color w:val="auto"/>
              </w:rPr>
            </w:pPr>
            <w:r>
              <w:rPr>
                <w:rFonts w:ascii="Arial" w:cs="Arial" w:eastAsia="Arial" w:hAnsi="Arial"/>
                <w:sz w:val="12"/>
                <w:szCs w:val="12"/>
                <w:b w:val="1"/>
                <w:bCs w:val="1"/>
                <w:color w:val="auto"/>
                <w:w w:val="87"/>
              </w:rPr>
              <w:t>Above</w:t>
            </w:r>
          </w:p>
        </w:tc>
        <w:tc>
          <w:tcPr>
            <w:tcW w:w="2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80" w:type="dxa"/>
            <w:vAlign w:val="bottom"/>
          </w:tcPr>
          <w:p>
            <w:pPr>
              <w:jc w:val="right"/>
              <w:ind w:right="162"/>
              <w:spacing w:after="0" w:line="135" w:lineRule="exact"/>
              <w:rPr>
                <w:sz w:val="20"/>
                <w:szCs w:val="20"/>
                <w:color w:val="auto"/>
              </w:rPr>
            </w:pPr>
            <w:r>
              <w:rPr>
                <w:rFonts w:ascii="Arial" w:cs="Arial" w:eastAsia="Arial" w:hAnsi="Arial"/>
                <w:sz w:val="12"/>
                <w:szCs w:val="12"/>
                <w:b w:val="1"/>
                <w:bCs w:val="1"/>
                <w:color w:val="auto"/>
              </w:rPr>
              <w:t>Par /</w:t>
            </w:r>
          </w:p>
        </w:tc>
        <w:tc>
          <w:tcPr>
            <w:tcW w:w="2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00" w:type="dxa"/>
            <w:vAlign w:val="bottom"/>
          </w:tcPr>
          <w:p>
            <w:pPr>
              <w:spacing w:after="0"/>
              <w:rPr>
                <w:sz w:val="11"/>
                <w:szCs w:val="11"/>
                <w:color w:val="auto"/>
              </w:rPr>
            </w:pPr>
          </w:p>
        </w:tc>
      </w:tr>
      <w:tr>
        <w:trPr>
          <w:trHeight w:val="143"/>
        </w:trPr>
        <w:tc>
          <w:tcPr>
            <w:tcW w:w="3020" w:type="dxa"/>
            <w:vAlign w:val="bottom"/>
            <w:tcBorders>
              <w:bottom w:val="single" w:sz="8" w:color="auto"/>
            </w:tcBorders>
          </w:tcPr>
          <w:p>
            <w:pPr>
              <w:spacing w:after="0"/>
              <w:rPr>
                <w:sz w:val="20"/>
                <w:szCs w:val="20"/>
                <w:color w:val="auto"/>
              </w:rPr>
            </w:pPr>
            <w:r>
              <w:rPr>
                <w:rFonts w:ascii="Arial" w:cs="Arial" w:eastAsia="Arial" w:hAnsi="Arial"/>
                <w:sz w:val="12"/>
                <w:szCs w:val="12"/>
                <w:b w:val="1"/>
                <w:bCs w:val="1"/>
                <w:color w:val="auto"/>
              </w:rPr>
              <w:t>Issuer Name</w:t>
            </w:r>
          </w:p>
        </w:tc>
        <w:tc>
          <w:tcPr>
            <w:tcW w:w="900" w:type="dxa"/>
            <w:vAlign w:val="bottom"/>
            <w:tcBorders>
              <w:bottom w:val="single" w:sz="8" w:color="auto"/>
            </w:tcBorders>
          </w:tcPr>
          <w:p>
            <w:pPr>
              <w:ind w:left="120"/>
              <w:spacing w:after="0"/>
              <w:rPr>
                <w:sz w:val="20"/>
                <w:szCs w:val="20"/>
                <w:color w:val="auto"/>
              </w:rPr>
            </w:pPr>
            <w:r>
              <w:rPr>
                <w:rFonts w:ascii="Arial" w:cs="Arial" w:eastAsia="Arial" w:hAnsi="Arial"/>
                <w:sz w:val="12"/>
                <w:szCs w:val="12"/>
                <w:b w:val="1"/>
                <w:bCs w:val="1"/>
                <w:color w:val="auto"/>
              </w:rPr>
              <w:t>Expiration</w:t>
            </w:r>
          </w:p>
        </w:tc>
        <w:tc>
          <w:tcPr>
            <w:tcW w:w="2640" w:type="dxa"/>
            <w:vAlign w:val="bottom"/>
            <w:tcBorders>
              <w:bottom w:val="single" w:sz="8" w:color="auto"/>
            </w:tcBorders>
          </w:tcPr>
          <w:p>
            <w:pPr>
              <w:jc w:val="center"/>
              <w:spacing w:after="0"/>
              <w:rPr>
                <w:sz w:val="20"/>
                <w:szCs w:val="20"/>
                <w:color w:val="auto"/>
              </w:rPr>
            </w:pPr>
            <w:r>
              <w:rPr>
                <w:rFonts w:ascii="Arial" w:cs="Arial" w:eastAsia="Arial" w:hAnsi="Arial"/>
                <w:sz w:val="12"/>
                <w:szCs w:val="12"/>
                <w:b w:val="1"/>
                <w:bCs w:val="1"/>
                <w:color w:val="auto"/>
                <w:w w:val="92"/>
              </w:rPr>
              <w:t>Industry</w:t>
            </w:r>
          </w:p>
        </w:tc>
        <w:tc>
          <w:tcPr>
            <w:tcW w:w="140" w:type="dxa"/>
            <w:vAlign w:val="bottom"/>
            <w:tcBorders>
              <w:bottom w:val="single" w:sz="8" w:color="CCECFF"/>
            </w:tcBorders>
          </w:tcPr>
          <w:p>
            <w:pPr>
              <w:spacing w:after="0"/>
              <w:rPr>
                <w:sz w:val="12"/>
                <w:szCs w:val="12"/>
                <w:color w:val="auto"/>
              </w:rPr>
            </w:pPr>
          </w:p>
        </w:tc>
        <w:tc>
          <w:tcPr>
            <w:tcW w:w="660" w:type="dxa"/>
            <w:vAlign w:val="bottom"/>
            <w:tcBorders>
              <w:bottom w:val="single" w:sz="8" w:color="auto"/>
            </w:tcBorders>
          </w:tcPr>
          <w:p>
            <w:pPr>
              <w:jc w:val="right"/>
              <w:ind w:right="82"/>
              <w:spacing w:after="0"/>
              <w:rPr>
                <w:sz w:val="20"/>
                <w:szCs w:val="20"/>
                <w:color w:val="auto"/>
              </w:rPr>
            </w:pPr>
            <w:r>
              <w:rPr>
                <w:rFonts w:ascii="Arial" w:cs="Arial" w:eastAsia="Arial" w:hAnsi="Arial"/>
                <w:sz w:val="12"/>
                <w:szCs w:val="12"/>
                <w:b w:val="1"/>
                <w:bCs w:val="1"/>
                <w:color w:val="auto"/>
              </w:rPr>
              <w:t>Coupon</w:t>
            </w:r>
          </w:p>
        </w:tc>
        <w:tc>
          <w:tcPr>
            <w:tcW w:w="280" w:type="dxa"/>
            <w:vAlign w:val="bottom"/>
            <w:tcBorders>
              <w:bottom w:val="single" w:sz="8" w:color="CCECFF"/>
            </w:tcBorders>
          </w:tcPr>
          <w:p>
            <w:pPr>
              <w:spacing w:after="0"/>
              <w:rPr>
                <w:sz w:val="12"/>
                <w:szCs w:val="12"/>
                <w:color w:val="auto"/>
              </w:rPr>
            </w:pPr>
          </w:p>
        </w:tc>
        <w:tc>
          <w:tcPr>
            <w:tcW w:w="680" w:type="dxa"/>
            <w:vAlign w:val="bottom"/>
            <w:tcBorders>
              <w:bottom w:val="single" w:sz="8" w:color="auto"/>
            </w:tcBorders>
          </w:tcPr>
          <w:p>
            <w:pPr>
              <w:jc w:val="center"/>
              <w:spacing w:after="0"/>
              <w:rPr>
                <w:sz w:val="20"/>
                <w:szCs w:val="20"/>
                <w:color w:val="auto"/>
              </w:rPr>
            </w:pPr>
            <w:r>
              <w:rPr>
                <w:rFonts w:ascii="Arial" w:cs="Arial" w:eastAsia="Arial" w:hAnsi="Arial"/>
                <w:sz w:val="12"/>
                <w:szCs w:val="12"/>
                <w:b w:val="1"/>
                <w:bCs w:val="1"/>
                <w:color w:val="auto"/>
                <w:w w:val="96"/>
              </w:rPr>
              <w:t xml:space="preserve">Index </w:t>
            </w:r>
            <w:r>
              <w:rPr>
                <w:rFonts w:ascii="Arial" w:cs="Arial" w:eastAsia="Arial" w:hAnsi="Arial"/>
                <w:sz w:val="9"/>
                <w:szCs w:val="9"/>
                <w:b w:val="1"/>
                <w:bCs w:val="1"/>
                <w:color w:val="auto"/>
                <w:w w:val="96"/>
              </w:rPr>
              <w:t>(4)</w:t>
            </w:r>
          </w:p>
        </w:tc>
        <w:tc>
          <w:tcPr>
            <w:tcW w:w="240" w:type="dxa"/>
            <w:vAlign w:val="bottom"/>
            <w:tcBorders>
              <w:bottom w:val="single" w:sz="8" w:color="CCECFF"/>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580" w:type="dxa"/>
            <w:vAlign w:val="bottom"/>
            <w:tcBorders>
              <w:bottom w:val="single" w:sz="8" w:color="auto"/>
            </w:tcBorders>
          </w:tcPr>
          <w:p>
            <w:pPr>
              <w:jc w:val="right"/>
              <w:ind w:right="122"/>
              <w:spacing w:after="0"/>
              <w:rPr>
                <w:sz w:val="20"/>
                <w:szCs w:val="20"/>
                <w:color w:val="auto"/>
              </w:rPr>
            </w:pPr>
            <w:r>
              <w:rPr>
                <w:rFonts w:ascii="Arial" w:cs="Arial" w:eastAsia="Arial" w:hAnsi="Arial"/>
                <w:sz w:val="12"/>
                <w:szCs w:val="12"/>
                <w:b w:val="1"/>
                <w:bCs w:val="1"/>
                <w:color w:val="auto"/>
                <w:w w:val="94"/>
              </w:rPr>
              <w:t>Shares</w:t>
            </w:r>
          </w:p>
        </w:tc>
        <w:tc>
          <w:tcPr>
            <w:tcW w:w="240" w:type="dxa"/>
            <w:vAlign w:val="bottom"/>
            <w:tcBorders>
              <w:bottom w:val="single" w:sz="8" w:color="CCECFF"/>
            </w:tcBorders>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620" w:type="dxa"/>
            <w:vAlign w:val="bottom"/>
            <w:tcBorders>
              <w:bottom w:val="single" w:sz="8" w:color="auto"/>
            </w:tcBorders>
          </w:tcPr>
          <w:p>
            <w:pPr>
              <w:jc w:val="right"/>
              <w:ind w:right="182"/>
              <w:spacing w:after="0"/>
              <w:rPr>
                <w:sz w:val="20"/>
                <w:szCs w:val="20"/>
                <w:color w:val="auto"/>
              </w:rPr>
            </w:pPr>
            <w:r>
              <w:rPr>
                <w:rFonts w:ascii="Arial" w:cs="Arial" w:eastAsia="Arial" w:hAnsi="Arial"/>
                <w:sz w:val="12"/>
                <w:szCs w:val="12"/>
                <w:b w:val="1"/>
                <w:bCs w:val="1"/>
                <w:color w:val="auto"/>
              </w:rPr>
              <w:t>Cost</w:t>
            </w:r>
          </w:p>
        </w:tc>
        <w:tc>
          <w:tcPr>
            <w:tcW w:w="240" w:type="dxa"/>
            <w:vAlign w:val="bottom"/>
            <w:tcBorders>
              <w:bottom w:val="single" w:sz="8" w:color="CCECFF"/>
            </w:tcBorders>
          </w:tcPr>
          <w:p>
            <w:pPr>
              <w:spacing w:after="0"/>
              <w:rPr>
                <w:sz w:val="12"/>
                <w:szCs w:val="12"/>
                <w:color w:val="auto"/>
              </w:rPr>
            </w:pPr>
          </w:p>
        </w:tc>
        <w:tc>
          <w:tcPr>
            <w:tcW w:w="720" w:type="dxa"/>
            <w:vAlign w:val="bottom"/>
            <w:tcBorders>
              <w:bottom w:val="single" w:sz="8" w:color="auto"/>
            </w:tcBorders>
            <w:gridSpan w:val="2"/>
          </w:tcPr>
          <w:p>
            <w:pPr>
              <w:jc w:val="right"/>
              <w:spacing w:after="0"/>
              <w:rPr>
                <w:sz w:val="20"/>
                <w:szCs w:val="20"/>
                <w:color w:val="auto"/>
              </w:rPr>
            </w:pPr>
            <w:r>
              <w:rPr>
                <w:rFonts w:ascii="Arial" w:cs="Arial" w:eastAsia="Arial" w:hAnsi="Arial"/>
                <w:sz w:val="12"/>
                <w:szCs w:val="12"/>
                <w:b w:val="1"/>
                <w:bCs w:val="1"/>
                <w:color w:val="auto"/>
                <w:w w:val="91"/>
              </w:rPr>
              <w:t xml:space="preserve">Fair Value </w:t>
            </w:r>
            <w:r>
              <w:rPr>
                <w:rFonts w:ascii="Arial" w:cs="Arial" w:eastAsia="Arial" w:hAnsi="Arial"/>
                <w:sz w:val="9"/>
                <w:szCs w:val="9"/>
                <w:b w:val="1"/>
                <w:bCs w:val="1"/>
                <w:color w:val="auto"/>
                <w:w w:val="91"/>
              </w:rPr>
              <w:t>(3)</w:t>
            </w:r>
          </w:p>
        </w:tc>
        <w:tc>
          <w:tcPr>
            <w:tcW w:w="100" w:type="dxa"/>
            <w:vAlign w:val="bottom"/>
            <w:tcBorders>
              <w:bottom w:val="single" w:sz="8" w:color="CCECFF"/>
            </w:tcBorders>
          </w:tcPr>
          <w:p>
            <w:pPr>
              <w:spacing w:after="0"/>
              <w:rPr>
                <w:sz w:val="12"/>
                <w:szCs w:val="12"/>
                <w:color w:val="auto"/>
              </w:rPr>
            </w:pPr>
          </w:p>
        </w:tc>
      </w:tr>
      <w:tr>
        <w:trPr>
          <w:trHeight w:val="142"/>
        </w:trPr>
        <w:tc>
          <w:tcPr>
            <w:tcW w:w="6700" w:type="dxa"/>
            <w:vAlign w:val="bottom"/>
            <w:gridSpan w:val="4"/>
            <w:shd w:val="clear" w:color="auto" w:fill="CCECFF"/>
          </w:tcPr>
          <w:p>
            <w:pPr>
              <w:spacing w:after="0"/>
              <w:rPr>
                <w:sz w:val="20"/>
                <w:szCs w:val="20"/>
                <w:color w:val="auto"/>
              </w:rPr>
            </w:pPr>
            <w:r>
              <w:rPr>
                <w:rFonts w:ascii="Arial" w:cs="Arial" w:eastAsia="Arial" w:hAnsi="Arial"/>
                <w:sz w:val="12"/>
                <w:szCs w:val="12"/>
                <w:b w:val="1"/>
                <w:bCs w:val="1"/>
                <w:color w:val="auto"/>
              </w:rPr>
              <w:t xml:space="preserve">Investments in Non-Controlled, Non-Affiliated Portfolio Companies—120.9% </w:t>
            </w:r>
            <w:r>
              <w:rPr>
                <w:rFonts w:ascii="Arial" w:cs="Arial" w:eastAsia="Arial" w:hAnsi="Arial"/>
                <w:sz w:val="9"/>
                <w:szCs w:val="9"/>
                <w:b w:val="1"/>
                <w:bCs w:val="1"/>
                <w:color w:val="auto"/>
              </w:rPr>
              <w:t>(1), (2)</w:t>
            </w:r>
          </w:p>
        </w:tc>
        <w:tc>
          <w:tcPr>
            <w:tcW w:w="660" w:type="dxa"/>
            <w:vAlign w:val="bottom"/>
            <w:shd w:val="clear" w:color="auto" w:fill="CCECFF"/>
          </w:tcPr>
          <w:p>
            <w:pPr>
              <w:spacing w:after="0"/>
              <w:rPr>
                <w:sz w:val="12"/>
                <w:szCs w:val="12"/>
                <w:color w:val="auto"/>
              </w:rPr>
            </w:pPr>
          </w:p>
        </w:tc>
        <w:tc>
          <w:tcPr>
            <w:tcW w:w="280" w:type="dxa"/>
            <w:vAlign w:val="bottom"/>
            <w:shd w:val="clear" w:color="auto" w:fill="CCECFF"/>
          </w:tcPr>
          <w:p>
            <w:pPr>
              <w:spacing w:after="0"/>
              <w:rPr>
                <w:sz w:val="12"/>
                <w:szCs w:val="12"/>
                <w:color w:val="auto"/>
              </w:rPr>
            </w:pPr>
          </w:p>
        </w:tc>
        <w:tc>
          <w:tcPr>
            <w:tcW w:w="680" w:type="dxa"/>
            <w:vAlign w:val="bottom"/>
            <w:shd w:val="clear" w:color="auto" w:fill="CCECFF"/>
          </w:tcPr>
          <w:p>
            <w:pPr>
              <w:spacing w:after="0"/>
              <w:rPr>
                <w:sz w:val="12"/>
                <w:szCs w:val="12"/>
                <w:color w:val="auto"/>
              </w:rPr>
            </w:pPr>
          </w:p>
        </w:tc>
        <w:tc>
          <w:tcPr>
            <w:tcW w:w="240" w:type="dxa"/>
            <w:vAlign w:val="bottom"/>
            <w:shd w:val="clear" w:color="auto" w:fill="CCECFF"/>
          </w:tcPr>
          <w:p>
            <w:pPr>
              <w:spacing w:after="0"/>
              <w:rPr>
                <w:sz w:val="12"/>
                <w:szCs w:val="12"/>
                <w:color w:val="auto"/>
              </w:rPr>
            </w:pPr>
          </w:p>
        </w:tc>
        <w:tc>
          <w:tcPr>
            <w:tcW w:w="100" w:type="dxa"/>
            <w:vAlign w:val="bottom"/>
            <w:shd w:val="clear" w:color="auto" w:fill="CCECFF"/>
          </w:tcPr>
          <w:p>
            <w:pPr>
              <w:spacing w:after="0"/>
              <w:rPr>
                <w:sz w:val="12"/>
                <w:szCs w:val="12"/>
                <w:color w:val="auto"/>
              </w:rPr>
            </w:pPr>
          </w:p>
        </w:tc>
        <w:tc>
          <w:tcPr>
            <w:tcW w:w="580" w:type="dxa"/>
            <w:vAlign w:val="bottom"/>
            <w:shd w:val="clear" w:color="auto" w:fill="CCECFF"/>
          </w:tcPr>
          <w:p>
            <w:pPr>
              <w:spacing w:after="0"/>
              <w:rPr>
                <w:sz w:val="12"/>
                <w:szCs w:val="12"/>
                <w:color w:val="auto"/>
              </w:rPr>
            </w:pPr>
          </w:p>
        </w:tc>
        <w:tc>
          <w:tcPr>
            <w:tcW w:w="240" w:type="dxa"/>
            <w:vAlign w:val="bottom"/>
            <w:shd w:val="clear" w:color="auto" w:fill="CCECFF"/>
          </w:tcPr>
          <w:p>
            <w:pPr>
              <w:spacing w:after="0"/>
              <w:rPr>
                <w:sz w:val="12"/>
                <w:szCs w:val="12"/>
                <w:color w:val="auto"/>
              </w:rPr>
            </w:pPr>
          </w:p>
        </w:tc>
        <w:tc>
          <w:tcPr>
            <w:tcW w:w="80" w:type="dxa"/>
            <w:vAlign w:val="bottom"/>
            <w:shd w:val="clear" w:color="auto" w:fill="CCECFF"/>
          </w:tcPr>
          <w:p>
            <w:pPr>
              <w:spacing w:after="0"/>
              <w:rPr>
                <w:sz w:val="12"/>
                <w:szCs w:val="12"/>
                <w:color w:val="auto"/>
              </w:rPr>
            </w:pPr>
          </w:p>
        </w:tc>
        <w:tc>
          <w:tcPr>
            <w:tcW w:w="620" w:type="dxa"/>
            <w:vAlign w:val="bottom"/>
            <w:shd w:val="clear" w:color="auto" w:fill="CCECFF"/>
          </w:tcPr>
          <w:p>
            <w:pPr>
              <w:spacing w:after="0"/>
              <w:rPr>
                <w:sz w:val="12"/>
                <w:szCs w:val="12"/>
                <w:color w:val="auto"/>
              </w:rPr>
            </w:pPr>
          </w:p>
        </w:tc>
        <w:tc>
          <w:tcPr>
            <w:tcW w:w="240" w:type="dxa"/>
            <w:vAlign w:val="bottom"/>
            <w:shd w:val="clear" w:color="auto" w:fill="CCECFF"/>
          </w:tcPr>
          <w:p>
            <w:pPr>
              <w:spacing w:after="0"/>
              <w:rPr>
                <w:sz w:val="12"/>
                <w:szCs w:val="12"/>
                <w:color w:val="auto"/>
              </w:rPr>
            </w:pPr>
          </w:p>
        </w:tc>
        <w:tc>
          <w:tcPr>
            <w:tcW w:w="80" w:type="dxa"/>
            <w:vAlign w:val="bottom"/>
            <w:shd w:val="clear" w:color="auto" w:fill="CCECFF"/>
          </w:tcPr>
          <w:p>
            <w:pPr>
              <w:spacing w:after="0"/>
              <w:rPr>
                <w:sz w:val="12"/>
                <w:szCs w:val="12"/>
                <w:color w:val="auto"/>
              </w:rPr>
            </w:pPr>
          </w:p>
        </w:tc>
        <w:tc>
          <w:tcPr>
            <w:tcW w:w="640" w:type="dxa"/>
            <w:vAlign w:val="bottom"/>
            <w:shd w:val="clear" w:color="auto" w:fill="CCECFF"/>
          </w:tcPr>
          <w:p>
            <w:pPr>
              <w:spacing w:after="0"/>
              <w:rPr>
                <w:sz w:val="12"/>
                <w:szCs w:val="12"/>
                <w:color w:val="auto"/>
              </w:rPr>
            </w:pPr>
          </w:p>
        </w:tc>
        <w:tc>
          <w:tcPr>
            <w:tcW w:w="100" w:type="dxa"/>
            <w:vAlign w:val="bottom"/>
            <w:shd w:val="clear" w:color="auto" w:fill="CCECFF"/>
          </w:tcPr>
          <w:p>
            <w:pPr>
              <w:spacing w:after="0"/>
              <w:rPr>
                <w:sz w:val="12"/>
                <w:szCs w:val="12"/>
                <w:color w:val="auto"/>
              </w:rPr>
            </w:pPr>
          </w:p>
        </w:tc>
      </w:tr>
      <w:tr>
        <w:trPr>
          <w:trHeight w:val="149"/>
        </w:trPr>
        <w:tc>
          <w:tcPr>
            <w:tcW w:w="3020" w:type="dxa"/>
            <w:vAlign w:val="bottom"/>
          </w:tcPr>
          <w:p>
            <w:pPr>
              <w:spacing w:after="0"/>
              <w:rPr>
                <w:sz w:val="20"/>
                <w:szCs w:val="20"/>
                <w:color w:val="auto"/>
              </w:rPr>
            </w:pPr>
            <w:r>
              <w:rPr>
                <w:rFonts w:ascii="Arial" w:cs="Arial" w:eastAsia="Arial" w:hAnsi="Arial"/>
                <w:sz w:val="12"/>
                <w:szCs w:val="12"/>
                <w:b w:val="1"/>
                <w:bCs w:val="1"/>
                <w:color w:val="auto"/>
              </w:rPr>
              <w:t>First Lien Secured Debt—46.1%</w:t>
            </w:r>
          </w:p>
        </w:tc>
        <w:tc>
          <w:tcPr>
            <w:tcW w:w="900" w:type="dxa"/>
            <w:vAlign w:val="bottom"/>
          </w:tcPr>
          <w:p>
            <w:pPr>
              <w:spacing w:after="0"/>
              <w:rPr>
                <w:sz w:val="12"/>
                <w:szCs w:val="12"/>
                <w:color w:val="auto"/>
              </w:rPr>
            </w:pPr>
          </w:p>
        </w:tc>
        <w:tc>
          <w:tcPr>
            <w:tcW w:w="26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00" w:type="dxa"/>
            <w:vAlign w:val="bottom"/>
          </w:tcPr>
          <w:p>
            <w:pPr>
              <w:spacing w:after="0"/>
              <w:rPr>
                <w:sz w:val="12"/>
                <w:szCs w:val="12"/>
                <w:color w:val="auto"/>
              </w:rPr>
            </w:pPr>
          </w:p>
        </w:tc>
      </w:tr>
      <w:tr>
        <w:trPr>
          <w:trHeight w:val="148"/>
        </w:trPr>
        <w:tc>
          <w:tcPr>
            <w:tcW w:w="3020" w:type="dxa"/>
            <w:vAlign w:val="bottom"/>
            <w:shd w:val="clear" w:color="auto" w:fill="CCECFF"/>
          </w:tcPr>
          <w:p>
            <w:pPr>
              <w:spacing w:after="0"/>
              <w:rPr>
                <w:sz w:val="20"/>
                <w:szCs w:val="20"/>
                <w:color w:val="auto"/>
              </w:rPr>
            </w:pPr>
            <w:r>
              <w:rPr>
                <w:rFonts w:ascii="Arial" w:cs="Arial" w:eastAsia="Arial" w:hAnsi="Arial"/>
                <w:sz w:val="12"/>
                <w:szCs w:val="12"/>
                <w:color w:val="auto"/>
              </w:rPr>
              <w:t>ACC of Tamarac, LLC</w:t>
            </w:r>
          </w:p>
        </w:tc>
        <w:tc>
          <w:tcPr>
            <w:tcW w:w="900" w:type="dxa"/>
            <w:vAlign w:val="bottom"/>
            <w:shd w:val="clear" w:color="auto" w:fill="CCECFF"/>
          </w:tcPr>
          <w:p>
            <w:pPr>
              <w:ind w:left="120"/>
              <w:spacing w:after="0"/>
              <w:rPr>
                <w:sz w:val="20"/>
                <w:szCs w:val="20"/>
                <w:color w:val="auto"/>
              </w:rPr>
            </w:pPr>
            <w:r>
              <w:rPr>
                <w:rFonts w:ascii="Arial" w:cs="Arial" w:eastAsia="Arial" w:hAnsi="Arial"/>
                <w:sz w:val="12"/>
                <w:szCs w:val="12"/>
                <w:color w:val="auto"/>
              </w:rPr>
              <w:t>06/20/2022</w:t>
            </w:r>
          </w:p>
        </w:tc>
        <w:tc>
          <w:tcPr>
            <w:tcW w:w="2780" w:type="dxa"/>
            <w:vAlign w:val="bottom"/>
            <w:gridSpan w:val="2"/>
            <w:shd w:val="clear" w:color="auto" w:fill="CCECFF"/>
          </w:tcPr>
          <w:p>
            <w:pPr>
              <w:jc w:val="center"/>
              <w:ind w:right="160"/>
              <w:spacing w:after="0"/>
              <w:rPr>
                <w:sz w:val="20"/>
                <w:szCs w:val="20"/>
                <w:color w:val="auto"/>
              </w:rPr>
            </w:pPr>
            <w:r>
              <w:rPr>
                <w:rFonts w:ascii="Arial" w:cs="Arial" w:eastAsia="Arial" w:hAnsi="Arial"/>
                <w:sz w:val="12"/>
                <w:szCs w:val="12"/>
                <w:color w:val="auto"/>
                <w:w w:val="89"/>
              </w:rPr>
              <w:t>Telecommunications</w:t>
            </w:r>
          </w:p>
        </w:tc>
        <w:tc>
          <w:tcPr>
            <w:tcW w:w="940" w:type="dxa"/>
            <w:vAlign w:val="bottom"/>
            <w:gridSpan w:val="2"/>
            <w:shd w:val="clear" w:color="auto" w:fill="CCECFF"/>
          </w:tcPr>
          <w:p>
            <w:pPr>
              <w:jc w:val="right"/>
              <w:ind w:right="180"/>
              <w:spacing w:after="0"/>
              <w:rPr>
                <w:sz w:val="20"/>
                <w:szCs w:val="20"/>
                <w:color w:val="auto"/>
              </w:rPr>
            </w:pPr>
            <w:r>
              <w:rPr>
                <w:rFonts w:ascii="Arial" w:cs="Arial" w:eastAsia="Arial" w:hAnsi="Arial"/>
                <w:sz w:val="12"/>
                <w:szCs w:val="12"/>
                <w:color w:val="auto"/>
              </w:rPr>
              <w:t>10.77%</w:t>
            </w:r>
          </w:p>
        </w:tc>
        <w:tc>
          <w:tcPr>
            <w:tcW w:w="680" w:type="dxa"/>
            <w:vAlign w:val="bottom"/>
            <w:shd w:val="clear" w:color="auto" w:fill="CCECFF"/>
          </w:tcPr>
          <w:p>
            <w:pPr>
              <w:jc w:val="right"/>
              <w:spacing w:after="0"/>
              <w:rPr>
                <w:sz w:val="20"/>
                <w:szCs w:val="20"/>
                <w:color w:val="auto"/>
              </w:rPr>
            </w:pPr>
            <w:r>
              <w:rPr>
                <w:rFonts w:ascii="Arial" w:cs="Arial" w:eastAsia="Arial" w:hAnsi="Arial"/>
                <w:sz w:val="12"/>
                <w:szCs w:val="12"/>
                <w:color w:val="auto"/>
              </w:rPr>
              <w:t>L+950</w:t>
            </w:r>
          </w:p>
        </w:tc>
        <w:tc>
          <w:tcPr>
            <w:tcW w:w="240" w:type="dxa"/>
            <w:vAlign w:val="bottom"/>
            <w:shd w:val="clear" w:color="auto" w:fill="CCECFF"/>
          </w:tcPr>
          <w:p>
            <w:pPr>
              <w:spacing w:after="0"/>
              <w:rPr>
                <w:sz w:val="12"/>
                <w:szCs w:val="12"/>
                <w:color w:val="auto"/>
              </w:rPr>
            </w:pPr>
          </w:p>
        </w:tc>
        <w:tc>
          <w:tcPr>
            <w:tcW w:w="100" w:type="dxa"/>
            <w:vAlign w:val="bottom"/>
            <w:shd w:val="clear" w:color="auto" w:fill="CCECFF"/>
          </w:tcPr>
          <w:p>
            <w:pPr>
              <w:spacing w:after="0"/>
              <w:rPr>
                <w:sz w:val="12"/>
                <w:szCs w:val="12"/>
                <w:color w:val="auto"/>
              </w:rPr>
            </w:pPr>
          </w:p>
        </w:tc>
        <w:tc>
          <w:tcPr>
            <w:tcW w:w="580" w:type="dxa"/>
            <w:vAlign w:val="bottom"/>
            <w:shd w:val="clear" w:color="auto" w:fill="CCECFF"/>
          </w:tcPr>
          <w:p>
            <w:pPr>
              <w:jc w:val="right"/>
              <w:spacing w:after="0"/>
              <w:rPr>
                <w:sz w:val="20"/>
                <w:szCs w:val="20"/>
                <w:color w:val="auto"/>
              </w:rPr>
            </w:pPr>
            <w:r>
              <w:rPr>
                <w:rFonts w:ascii="Arial" w:cs="Arial" w:eastAsia="Arial" w:hAnsi="Arial"/>
                <w:sz w:val="12"/>
                <w:szCs w:val="12"/>
                <w:color w:val="auto"/>
              </w:rPr>
              <w:t>7,500,000</w:t>
            </w:r>
          </w:p>
        </w:tc>
        <w:tc>
          <w:tcPr>
            <w:tcW w:w="320" w:type="dxa"/>
            <w:vAlign w:val="bottom"/>
            <w:gridSpan w:val="2"/>
            <w:shd w:val="clear" w:color="auto" w:fill="CCECFF"/>
          </w:tcPr>
          <w:p>
            <w:pPr>
              <w:jc w:val="right"/>
              <w:ind w:right="20"/>
              <w:spacing w:after="0"/>
              <w:rPr>
                <w:sz w:val="20"/>
                <w:szCs w:val="20"/>
                <w:color w:val="auto"/>
              </w:rPr>
            </w:pPr>
            <w:r>
              <w:rPr>
                <w:rFonts w:ascii="Arial" w:cs="Arial" w:eastAsia="Arial" w:hAnsi="Arial"/>
                <w:sz w:val="12"/>
                <w:szCs w:val="12"/>
                <w:color w:val="auto"/>
              </w:rPr>
              <w:t>$</w:t>
            </w:r>
          </w:p>
        </w:tc>
        <w:tc>
          <w:tcPr>
            <w:tcW w:w="620" w:type="dxa"/>
            <w:vAlign w:val="bottom"/>
            <w:shd w:val="clear" w:color="auto" w:fill="CCECFF"/>
          </w:tcPr>
          <w:p>
            <w:pPr>
              <w:jc w:val="right"/>
              <w:spacing w:after="0"/>
              <w:rPr>
                <w:sz w:val="20"/>
                <w:szCs w:val="20"/>
                <w:color w:val="auto"/>
              </w:rPr>
            </w:pPr>
            <w:r>
              <w:rPr>
                <w:rFonts w:ascii="Arial" w:cs="Arial" w:eastAsia="Arial" w:hAnsi="Arial"/>
                <w:sz w:val="12"/>
                <w:szCs w:val="12"/>
                <w:color w:val="auto"/>
              </w:rPr>
              <w:t>7,350,868</w:t>
            </w:r>
          </w:p>
        </w:tc>
        <w:tc>
          <w:tcPr>
            <w:tcW w:w="320" w:type="dxa"/>
            <w:vAlign w:val="bottom"/>
            <w:gridSpan w:val="2"/>
            <w:shd w:val="clear" w:color="auto" w:fill="CCECFF"/>
          </w:tcPr>
          <w:p>
            <w:pPr>
              <w:jc w:val="right"/>
              <w:spacing w:after="0"/>
              <w:rPr>
                <w:sz w:val="20"/>
                <w:szCs w:val="20"/>
                <w:color w:val="auto"/>
              </w:rPr>
            </w:pPr>
            <w:r>
              <w:rPr>
                <w:rFonts w:ascii="Arial" w:cs="Arial" w:eastAsia="Arial" w:hAnsi="Arial"/>
                <w:sz w:val="12"/>
                <w:szCs w:val="12"/>
                <w:color w:val="auto"/>
              </w:rPr>
              <w:t>$</w:t>
            </w:r>
          </w:p>
        </w:tc>
        <w:tc>
          <w:tcPr>
            <w:tcW w:w="640" w:type="dxa"/>
            <w:vAlign w:val="bottom"/>
            <w:shd w:val="clear" w:color="auto" w:fill="CCECFF"/>
          </w:tcPr>
          <w:p>
            <w:pPr>
              <w:jc w:val="right"/>
              <w:spacing w:after="0"/>
              <w:rPr>
                <w:sz w:val="20"/>
                <w:szCs w:val="20"/>
                <w:color w:val="auto"/>
              </w:rPr>
            </w:pPr>
            <w:r>
              <w:rPr>
                <w:rFonts w:ascii="Arial" w:cs="Arial" w:eastAsia="Arial" w:hAnsi="Arial"/>
                <w:sz w:val="12"/>
                <w:szCs w:val="12"/>
                <w:color w:val="auto"/>
              </w:rPr>
              <w:t>7,350,000</w:t>
            </w:r>
          </w:p>
        </w:tc>
        <w:tc>
          <w:tcPr>
            <w:tcW w:w="100" w:type="dxa"/>
            <w:vAlign w:val="bottom"/>
            <w:shd w:val="clear" w:color="auto" w:fill="CCECFF"/>
          </w:tcPr>
          <w:p>
            <w:pPr>
              <w:spacing w:after="0"/>
              <w:rPr>
                <w:sz w:val="12"/>
                <w:szCs w:val="12"/>
                <w:color w:val="auto"/>
              </w:rPr>
            </w:pPr>
          </w:p>
        </w:tc>
      </w:tr>
      <w:tr>
        <w:trPr>
          <w:trHeight w:val="148"/>
        </w:trPr>
        <w:tc>
          <w:tcPr>
            <w:tcW w:w="3020" w:type="dxa"/>
            <w:vAlign w:val="bottom"/>
          </w:tcPr>
          <w:p>
            <w:pPr>
              <w:spacing w:after="0"/>
              <w:rPr>
                <w:sz w:val="20"/>
                <w:szCs w:val="20"/>
                <w:color w:val="auto"/>
              </w:rPr>
            </w:pPr>
            <w:r>
              <w:rPr>
                <w:rFonts w:ascii="Arial" w:cs="Arial" w:eastAsia="Arial" w:hAnsi="Arial"/>
                <w:sz w:val="12"/>
                <w:szCs w:val="12"/>
                <w:color w:val="auto"/>
              </w:rPr>
              <w:t>Bottom Line Systems, LLC</w:t>
            </w:r>
          </w:p>
        </w:tc>
        <w:tc>
          <w:tcPr>
            <w:tcW w:w="900" w:type="dxa"/>
            <w:vAlign w:val="bottom"/>
          </w:tcPr>
          <w:p>
            <w:pPr>
              <w:ind w:left="120"/>
              <w:spacing w:after="0"/>
              <w:rPr>
                <w:sz w:val="20"/>
                <w:szCs w:val="20"/>
                <w:color w:val="auto"/>
              </w:rPr>
            </w:pPr>
            <w:r>
              <w:rPr>
                <w:rFonts w:ascii="Arial" w:cs="Arial" w:eastAsia="Arial" w:hAnsi="Arial"/>
                <w:sz w:val="12"/>
                <w:szCs w:val="12"/>
                <w:color w:val="auto"/>
              </w:rPr>
              <w:t>02/13/2023</w:t>
            </w:r>
          </w:p>
        </w:tc>
        <w:tc>
          <w:tcPr>
            <w:tcW w:w="2780" w:type="dxa"/>
            <w:vAlign w:val="bottom"/>
            <w:gridSpan w:val="2"/>
          </w:tcPr>
          <w:p>
            <w:pPr>
              <w:jc w:val="center"/>
              <w:ind w:right="140"/>
              <w:spacing w:after="0"/>
              <w:rPr>
                <w:sz w:val="20"/>
                <w:szCs w:val="20"/>
                <w:color w:val="auto"/>
              </w:rPr>
            </w:pPr>
            <w:r>
              <w:rPr>
                <w:rFonts w:ascii="Arial" w:cs="Arial" w:eastAsia="Arial" w:hAnsi="Arial"/>
                <w:sz w:val="12"/>
                <w:szCs w:val="12"/>
                <w:color w:val="auto"/>
                <w:w w:val="87"/>
              </w:rPr>
              <w:t>Healthcare, Education and Childcare</w:t>
            </w:r>
          </w:p>
        </w:tc>
        <w:tc>
          <w:tcPr>
            <w:tcW w:w="940" w:type="dxa"/>
            <w:vAlign w:val="bottom"/>
            <w:gridSpan w:val="2"/>
          </w:tcPr>
          <w:p>
            <w:pPr>
              <w:jc w:val="right"/>
              <w:ind w:right="180"/>
              <w:spacing w:after="0"/>
              <w:rPr>
                <w:sz w:val="20"/>
                <w:szCs w:val="20"/>
                <w:color w:val="auto"/>
              </w:rPr>
            </w:pPr>
            <w:r>
              <w:rPr>
                <w:rFonts w:ascii="Arial" w:cs="Arial" w:eastAsia="Arial" w:hAnsi="Arial"/>
                <w:sz w:val="12"/>
                <w:szCs w:val="12"/>
                <w:color w:val="auto"/>
              </w:rPr>
              <w:t>8.80%</w:t>
            </w:r>
          </w:p>
        </w:tc>
        <w:tc>
          <w:tcPr>
            <w:tcW w:w="680" w:type="dxa"/>
            <w:vAlign w:val="bottom"/>
          </w:tcPr>
          <w:p>
            <w:pPr>
              <w:jc w:val="right"/>
              <w:spacing w:after="0"/>
              <w:rPr>
                <w:sz w:val="20"/>
                <w:szCs w:val="20"/>
                <w:color w:val="auto"/>
              </w:rPr>
            </w:pPr>
            <w:r>
              <w:rPr>
                <w:rFonts w:ascii="Arial" w:cs="Arial" w:eastAsia="Arial" w:hAnsi="Arial"/>
                <w:sz w:val="12"/>
                <w:szCs w:val="12"/>
                <w:color w:val="auto"/>
              </w:rPr>
              <w:t>L+750</w:t>
            </w:r>
          </w:p>
        </w:tc>
        <w:tc>
          <w:tcPr>
            <w:tcW w:w="2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80" w:type="dxa"/>
            <w:vAlign w:val="bottom"/>
          </w:tcPr>
          <w:p>
            <w:pPr>
              <w:jc w:val="right"/>
              <w:spacing w:after="0"/>
              <w:rPr>
                <w:sz w:val="20"/>
                <w:szCs w:val="20"/>
                <w:color w:val="auto"/>
              </w:rPr>
            </w:pPr>
            <w:r>
              <w:rPr>
                <w:rFonts w:ascii="Arial" w:cs="Arial" w:eastAsia="Arial" w:hAnsi="Arial"/>
                <w:sz w:val="12"/>
                <w:szCs w:val="12"/>
                <w:color w:val="auto"/>
                <w:w w:val="89"/>
              </w:rPr>
              <w:t>19,900,000</w:t>
            </w:r>
          </w:p>
        </w:tc>
        <w:tc>
          <w:tcPr>
            <w:tcW w:w="2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20" w:type="dxa"/>
            <w:vAlign w:val="bottom"/>
          </w:tcPr>
          <w:p>
            <w:pPr>
              <w:jc w:val="right"/>
              <w:spacing w:after="0"/>
              <w:rPr>
                <w:sz w:val="20"/>
                <w:szCs w:val="20"/>
                <w:color w:val="auto"/>
              </w:rPr>
            </w:pPr>
            <w:r>
              <w:rPr>
                <w:rFonts w:ascii="Arial" w:cs="Arial" w:eastAsia="Arial" w:hAnsi="Arial"/>
                <w:sz w:val="12"/>
                <w:szCs w:val="12"/>
                <w:color w:val="auto"/>
                <w:w w:val="99"/>
              </w:rPr>
              <w:t>19,614,550</w:t>
            </w:r>
          </w:p>
        </w:tc>
        <w:tc>
          <w:tcPr>
            <w:tcW w:w="2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40" w:type="dxa"/>
            <w:vAlign w:val="bottom"/>
          </w:tcPr>
          <w:p>
            <w:pPr>
              <w:jc w:val="right"/>
              <w:spacing w:after="0"/>
              <w:rPr>
                <w:sz w:val="20"/>
                <w:szCs w:val="20"/>
                <w:color w:val="auto"/>
              </w:rPr>
            </w:pPr>
            <w:r>
              <w:rPr>
                <w:rFonts w:ascii="Arial" w:cs="Arial" w:eastAsia="Arial" w:hAnsi="Arial"/>
                <w:sz w:val="12"/>
                <w:szCs w:val="12"/>
                <w:color w:val="auto"/>
                <w:w w:val="99"/>
              </w:rPr>
              <w:t>19,675,001</w:t>
            </w:r>
          </w:p>
        </w:tc>
        <w:tc>
          <w:tcPr>
            <w:tcW w:w="100" w:type="dxa"/>
            <w:vAlign w:val="bottom"/>
          </w:tcPr>
          <w:p>
            <w:pPr>
              <w:spacing w:after="0"/>
              <w:rPr>
                <w:sz w:val="12"/>
                <w:szCs w:val="12"/>
                <w:color w:val="auto"/>
              </w:rPr>
            </w:pPr>
          </w:p>
        </w:tc>
      </w:tr>
      <w:tr>
        <w:trPr>
          <w:trHeight w:val="148"/>
        </w:trPr>
        <w:tc>
          <w:tcPr>
            <w:tcW w:w="3020" w:type="dxa"/>
            <w:vAlign w:val="bottom"/>
            <w:shd w:val="clear" w:color="auto" w:fill="CCECFF"/>
          </w:tcPr>
          <w:p>
            <w:pPr>
              <w:spacing w:after="0"/>
              <w:rPr>
                <w:sz w:val="20"/>
                <w:szCs w:val="20"/>
                <w:color w:val="auto"/>
              </w:rPr>
            </w:pPr>
            <w:r>
              <w:rPr>
                <w:rFonts w:ascii="Arial" w:cs="Arial" w:eastAsia="Arial" w:hAnsi="Arial"/>
                <w:sz w:val="12"/>
                <w:szCs w:val="12"/>
                <w:color w:val="auto"/>
              </w:rPr>
              <w:t>Broder Bros., Co., Tranche A</w:t>
            </w:r>
          </w:p>
        </w:tc>
        <w:tc>
          <w:tcPr>
            <w:tcW w:w="900" w:type="dxa"/>
            <w:vAlign w:val="bottom"/>
            <w:shd w:val="clear" w:color="auto" w:fill="CCECFF"/>
          </w:tcPr>
          <w:p>
            <w:pPr>
              <w:ind w:left="120"/>
              <w:spacing w:after="0"/>
              <w:rPr>
                <w:sz w:val="20"/>
                <w:szCs w:val="20"/>
                <w:color w:val="auto"/>
              </w:rPr>
            </w:pPr>
            <w:r>
              <w:rPr>
                <w:rFonts w:ascii="Arial" w:cs="Arial" w:eastAsia="Arial" w:hAnsi="Arial"/>
                <w:sz w:val="12"/>
                <w:szCs w:val="12"/>
                <w:color w:val="auto"/>
              </w:rPr>
              <w:t>06/03/2021</w:t>
            </w:r>
          </w:p>
        </w:tc>
        <w:tc>
          <w:tcPr>
            <w:tcW w:w="2780" w:type="dxa"/>
            <w:vAlign w:val="bottom"/>
            <w:gridSpan w:val="2"/>
            <w:shd w:val="clear" w:color="auto" w:fill="CCECFF"/>
          </w:tcPr>
          <w:p>
            <w:pPr>
              <w:jc w:val="center"/>
              <w:ind w:right="140"/>
              <w:spacing w:after="0"/>
              <w:rPr>
                <w:sz w:val="20"/>
                <w:szCs w:val="20"/>
                <w:color w:val="auto"/>
              </w:rPr>
            </w:pPr>
            <w:r>
              <w:rPr>
                <w:rFonts w:ascii="Arial" w:cs="Arial" w:eastAsia="Arial" w:hAnsi="Arial"/>
                <w:sz w:val="12"/>
                <w:szCs w:val="12"/>
                <w:color w:val="auto"/>
                <w:w w:val="86"/>
              </w:rPr>
              <w:t>Consumer Products</w:t>
            </w:r>
          </w:p>
        </w:tc>
        <w:tc>
          <w:tcPr>
            <w:tcW w:w="940" w:type="dxa"/>
            <w:vAlign w:val="bottom"/>
            <w:gridSpan w:val="2"/>
            <w:shd w:val="clear" w:color="auto" w:fill="CCECFF"/>
          </w:tcPr>
          <w:p>
            <w:pPr>
              <w:jc w:val="right"/>
              <w:ind w:right="180"/>
              <w:spacing w:after="0"/>
              <w:rPr>
                <w:sz w:val="20"/>
                <w:szCs w:val="20"/>
                <w:color w:val="auto"/>
              </w:rPr>
            </w:pPr>
            <w:r>
              <w:rPr>
                <w:rFonts w:ascii="Arial" w:cs="Arial" w:eastAsia="Arial" w:hAnsi="Arial"/>
                <w:sz w:val="12"/>
                <w:szCs w:val="12"/>
                <w:color w:val="auto"/>
              </w:rPr>
              <w:t>7.05%</w:t>
            </w:r>
          </w:p>
        </w:tc>
        <w:tc>
          <w:tcPr>
            <w:tcW w:w="680" w:type="dxa"/>
            <w:vAlign w:val="bottom"/>
            <w:shd w:val="clear" w:color="auto" w:fill="CCECFF"/>
          </w:tcPr>
          <w:p>
            <w:pPr>
              <w:jc w:val="right"/>
              <w:spacing w:after="0"/>
              <w:rPr>
                <w:sz w:val="20"/>
                <w:szCs w:val="20"/>
                <w:color w:val="auto"/>
              </w:rPr>
            </w:pPr>
            <w:r>
              <w:rPr>
                <w:rFonts w:ascii="Arial" w:cs="Arial" w:eastAsia="Arial" w:hAnsi="Arial"/>
                <w:sz w:val="12"/>
                <w:szCs w:val="12"/>
                <w:color w:val="auto"/>
              </w:rPr>
              <w:t>L+575</w:t>
            </w:r>
          </w:p>
        </w:tc>
        <w:tc>
          <w:tcPr>
            <w:tcW w:w="240" w:type="dxa"/>
            <w:vAlign w:val="bottom"/>
            <w:shd w:val="clear" w:color="auto" w:fill="CCECFF"/>
          </w:tcPr>
          <w:p>
            <w:pPr>
              <w:spacing w:after="0"/>
              <w:rPr>
                <w:sz w:val="12"/>
                <w:szCs w:val="12"/>
                <w:color w:val="auto"/>
              </w:rPr>
            </w:pPr>
          </w:p>
        </w:tc>
        <w:tc>
          <w:tcPr>
            <w:tcW w:w="100" w:type="dxa"/>
            <w:vAlign w:val="bottom"/>
            <w:shd w:val="clear" w:color="auto" w:fill="CCECFF"/>
          </w:tcPr>
          <w:p>
            <w:pPr>
              <w:spacing w:after="0"/>
              <w:rPr>
                <w:sz w:val="12"/>
                <w:szCs w:val="12"/>
                <w:color w:val="auto"/>
              </w:rPr>
            </w:pPr>
          </w:p>
        </w:tc>
        <w:tc>
          <w:tcPr>
            <w:tcW w:w="580" w:type="dxa"/>
            <w:vAlign w:val="bottom"/>
            <w:shd w:val="clear" w:color="auto" w:fill="CCECFF"/>
          </w:tcPr>
          <w:p>
            <w:pPr>
              <w:jc w:val="right"/>
              <w:spacing w:after="0"/>
              <w:rPr>
                <w:sz w:val="20"/>
                <w:szCs w:val="20"/>
                <w:color w:val="auto"/>
              </w:rPr>
            </w:pPr>
            <w:r>
              <w:rPr>
                <w:rFonts w:ascii="Arial" w:cs="Arial" w:eastAsia="Arial" w:hAnsi="Arial"/>
                <w:sz w:val="12"/>
                <w:szCs w:val="12"/>
                <w:color w:val="auto"/>
              </w:rPr>
              <w:t>8,454,352</w:t>
            </w:r>
          </w:p>
        </w:tc>
        <w:tc>
          <w:tcPr>
            <w:tcW w:w="240" w:type="dxa"/>
            <w:vAlign w:val="bottom"/>
            <w:shd w:val="clear" w:color="auto" w:fill="CCECFF"/>
          </w:tcPr>
          <w:p>
            <w:pPr>
              <w:spacing w:after="0"/>
              <w:rPr>
                <w:sz w:val="12"/>
                <w:szCs w:val="12"/>
                <w:color w:val="auto"/>
              </w:rPr>
            </w:pPr>
          </w:p>
        </w:tc>
        <w:tc>
          <w:tcPr>
            <w:tcW w:w="80" w:type="dxa"/>
            <w:vAlign w:val="bottom"/>
            <w:shd w:val="clear" w:color="auto" w:fill="CCECFF"/>
          </w:tcPr>
          <w:p>
            <w:pPr>
              <w:spacing w:after="0"/>
              <w:rPr>
                <w:sz w:val="12"/>
                <w:szCs w:val="12"/>
                <w:color w:val="auto"/>
              </w:rPr>
            </w:pPr>
          </w:p>
        </w:tc>
        <w:tc>
          <w:tcPr>
            <w:tcW w:w="620" w:type="dxa"/>
            <w:vAlign w:val="bottom"/>
            <w:shd w:val="clear" w:color="auto" w:fill="CCECFF"/>
          </w:tcPr>
          <w:p>
            <w:pPr>
              <w:jc w:val="right"/>
              <w:spacing w:after="0"/>
              <w:rPr>
                <w:sz w:val="20"/>
                <w:szCs w:val="20"/>
                <w:color w:val="auto"/>
              </w:rPr>
            </w:pPr>
            <w:r>
              <w:rPr>
                <w:rFonts w:ascii="Arial" w:cs="Arial" w:eastAsia="Arial" w:hAnsi="Arial"/>
                <w:sz w:val="12"/>
                <w:szCs w:val="12"/>
                <w:color w:val="auto"/>
              </w:rPr>
              <w:t>8,327,362</w:t>
            </w:r>
          </w:p>
        </w:tc>
        <w:tc>
          <w:tcPr>
            <w:tcW w:w="240" w:type="dxa"/>
            <w:vAlign w:val="bottom"/>
            <w:shd w:val="clear" w:color="auto" w:fill="CCECFF"/>
          </w:tcPr>
          <w:p>
            <w:pPr>
              <w:spacing w:after="0"/>
              <w:rPr>
                <w:sz w:val="12"/>
                <w:szCs w:val="12"/>
                <w:color w:val="auto"/>
              </w:rPr>
            </w:pPr>
          </w:p>
        </w:tc>
        <w:tc>
          <w:tcPr>
            <w:tcW w:w="80" w:type="dxa"/>
            <w:vAlign w:val="bottom"/>
            <w:shd w:val="clear" w:color="auto" w:fill="CCECFF"/>
          </w:tcPr>
          <w:p>
            <w:pPr>
              <w:spacing w:after="0"/>
              <w:rPr>
                <w:sz w:val="12"/>
                <w:szCs w:val="12"/>
                <w:color w:val="auto"/>
              </w:rPr>
            </w:pPr>
          </w:p>
        </w:tc>
        <w:tc>
          <w:tcPr>
            <w:tcW w:w="640" w:type="dxa"/>
            <w:vAlign w:val="bottom"/>
            <w:shd w:val="clear" w:color="auto" w:fill="CCECFF"/>
          </w:tcPr>
          <w:p>
            <w:pPr>
              <w:jc w:val="right"/>
              <w:spacing w:after="0"/>
              <w:rPr>
                <w:sz w:val="20"/>
                <w:szCs w:val="20"/>
                <w:color w:val="auto"/>
              </w:rPr>
            </w:pPr>
            <w:r>
              <w:rPr>
                <w:rFonts w:ascii="Arial" w:cs="Arial" w:eastAsia="Arial" w:hAnsi="Arial"/>
                <w:sz w:val="12"/>
                <w:szCs w:val="12"/>
                <w:color w:val="auto"/>
              </w:rPr>
              <w:t>8,475,488</w:t>
            </w:r>
          </w:p>
        </w:tc>
        <w:tc>
          <w:tcPr>
            <w:tcW w:w="100" w:type="dxa"/>
            <w:vAlign w:val="bottom"/>
            <w:shd w:val="clear" w:color="auto" w:fill="CCECFF"/>
          </w:tcPr>
          <w:p>
            <w:pPr>
              <w:spacing w:after="0"/>
              <w:rPr>
                <w:sz w:val="12"/>
                <w:szCs w:val="12"/>
                <w:color w:val="auto"/>
              </w:rPr>
            </w:pPr>
          </w:p>
        </w:tc>
      </w:tr>
      <w:tr>
        <w:trPr>
          <w:trHeight w:val="148"/>
        </w:trPr>
        <w:tc>
          <w:tcPr>
            <w:tcW w:w="3020" w:type="dxa"/>
            <w:vAlign w:val="bottom"/>
          </w:tcPr>
          <w:p>
            <w:pPr>
              <w:spacing w:after="0"/>
              <w:rPr>
                <w:sz w:val="20"/>
                <w:szCs w:val="20"/>
                <w:color w:val="auto"/>
              </w:rPr>
            </w:pPr>
            <w:r>
              <w:rPr>
                <w:rFonts w:ascii="Arial" w:cs="Arial" w:eastAsia="Arial" w:hAnsi="Arial"/>
                <w:sz w:val="12"/>
                <w:szCs w:val="12"/>
                <w:color w:val="auto"/>
              </w:rPr>
              <w:t>Broder Bros., Co., Tranche B</w:t>
            </w:r>
          </w:p>
        </w:tc>
        <w:tc>
          <w:tcPr>
            <w:tcW w:w="900" w:type="dxa"/>
            <w:vAlign w:val="bottom"/>
          </w:tcPr>
          <w:p>
            <w:pPr>
              <w:ind w:left="120"/>
              <w:spacing w:after="0"/>
              <w:rPr>
                <w:sz w:val="20"/>
                <w:szCs w:val="20"/>
                <w:color w:val="auto"/>
              </w:rPr>
            </w:pPr>
            <w:r>
              <w:rPr>
                <w:rFonts w:ascii="Arial" w:cs="Arial" w:eastAsia="Arial" w:hAnsi="Arial"/>
                <w:sz w:val="12"/>
                <w:szCs w:val="12"/>
                <w:color w:val="auto"/>
              </w:rPr>
              <w:t>06/03/2021</w:t>
            </w:r>
          </w:p>
        </w:tc>
        <w:tc>
          <w:tcPr>
            <w:tcW w:w="2780" w:type="dxa"/>
            <w:vAlign w:val="bottom"/>
            <w:gridSpan w:val="2"/>
          </w:tcPr>
          <w:p>
            <w:pPr>
              <w:jc w:val="center"/>
              <w:ind w:right="140"/>
              <w:spacing w:after="0"/>
              <w:rPr>
                <w:sz w:val="20"/>
                <w:szCs w:val="20"/>
                <w:color w:val="auto"/>
              </w:rPr>
            </w:pPr>
            <w:r>
              <w:rPr>
                <w:rFonts w:ascii="Arial" w:cs="Arial" w:eastAsia="Arial" w:hAnsi="Arial"/>
                <w:sz w:val="12"/>
                <w:szCs w:val="12"/>
                <w:color w:val="auto"/>
                <w:w w:val="86"/>
              </w:rPr>
              <w:t>Consumer Products</w:t>
            </w:r>
          </w:p>
        </w:tc>
        <w:tc>
          <w:tcPr>
            <w:tcW w:w="940" w:type="dxa"/>
            <w:vAlign w:val="bottom"/>
            <w:gridSpan w:val="2"/>
          </w:tcPr>
          <w:p>
            <w:pPr>
              <w:jc w:val="right"/>
              <w:ind w:right="180"/>
              <w:spacing w:after="0"/>
              <w:rPr>
                <w:sz w:val="20"/>
                <w:szCs w:val="20"/>
                <w:color w:val="auto"/>
              </w:rPr>
            </w:pPr>
            <w:r>
              <w:rPr>
                <w:rFonts w:ascii="Arial" w:cs="Arial" w:eastAsia="Arial" w:hAnsi="Arial"/>
                <w:sz w:val="12"/>
                <w:szCs w:val="12"/>
                <w:color w:val="auto"/>
              </w:rPr>
              <w:t>13.55%</w:t>
            </w:r>
          </w:p>
        </w:tc>
        <w:tc>
          <w:tcPr>
            <w:tcW w:w="680" w:type="dxa"/>
            <w:vAlign w:val="bottom"/>
          </w:tcPr>
          <w:p>
            <w:pPr>
              <w:jc w:val="right"/>
              <w:spacing w:after="0"/>
              <w:rPr>
                <w:sz w:val="20"/>
                <w:szCs w:val="20"/>
                <w:color w:val="auto"/>
              </w:rPr>
            </w:pPr>
            <w:r>
              <w:rPr>
                <w:rFonts w:ascii="Arial" w:cs="Arial" w:eastAsia="Arial" w:hAnsi="Arial"/>
                <w:sz w:val="12"/>
                <w:szCs w:val="12"/>
                <w:color w:val="auto"/>
              </w:rPr>
              <w:t>L+1,225</w:t>
            </w:r>
          </w:p>
        </w:tc>
        <w:tc>
          <w:tcPr>
            <w:tcW w:w="2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80" w:type="dxa"/>
            <w:vAlign w:val="bottom"/>
          </w:tcPr>
          <w:p>
            <w:pPr>
              <w:jc w:val="right"/>
              <w:spacing w:after="0"/>
              <w:rPr>
                <w:sz w:val="20"/>
                <w:szCs w:val="20"/>
                <w:color w:val="auto"/>
              </w:rPr>
            </w:pPr>
            <w:r>
              <w:rPr>
                <w:rFonts w:ascii="Arial" w:cs="Arial" w:eastAsia="Arial" w:hAnsi="Arial"/>
                <w:sz w:val="12"/>
                <w:szCs w:val="12"/>
                <w:color w:val="auto"/>
              </w:rPr>
              <w:t>8,761,235</w:t>
            </w:r>
          </w:p>
        </w:tc>
        <w:tc>
          <w:tcPr>
            <w:tcW w:w="2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20" w:type="dxa"/>
            <w:vAlign w:val="bottom"/>
          </w:tcPr>
          <w:p>
            <w:pPr>
              <w:jc w:val="right"/>
              <w:spacing w:after="0"/>
              <w:rPr>
                <w:sz w:val="20"/>
                <w:szCs w:val="20"/>
                <w:color w:val="auto"/>
              </w:rPr>
            </w:pPr>
            <w:r>
              <w:rPr>
                <w:rFonts w:ascii="Arial" w:cs="Arial" w:eastAsia="Arial" w:hAnsi="Arial"/>
                <w:sz w:val="12"/>
                <w:szCs w:val="12"/>
                <w:color w:val="auto"/>
              </w:rPr>
              <w:t>8,623,984</w:t>
            </w:r>
          </w:p>
        </w:tc>
        <w:tc>
          <w:tcPr>
            <w:tcW w:w="2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40" w:type="dxa"/>
            <w:vAlign w:val="bottom"/>
          </w:tcPr>
          <w:p>
            <w:pPr>
              <w:jc w:val="right"/>
              <w:spacing w:after="0"/>
              <w:rPr>
                <w:sz w:val="20"/>
                <w:szCs w:val="20"/>
                <w:color w:val="auto"/>
              </w:rPr>
            </w:pPr>
            <w:r>
              <w:rPr>
                <w:rFonts w:ascii="Arial" w:cs="Arial" w:eastAsia="Arial" w:hAnsi="Arial"/>
                <w:sz w:val="12"/>
                <w:szCs w:val="12"/>
                <w:color w:val="auto"/>
              </w:rPr>
              <w:t>8,783,138</w:t>
            </w:r>
          </w:p>
        </w:tc>
        <w:tc>
          <w:tcPr>
            <w:tcW w:w="100" w:type="dxa"/>
            <w:vAlign w:val="bottom"/>
          </w:tcPr>
          <w:p>
            <w:pPr>
              <w:spacing w:after="0"/>
              <w:rPr>
                <w:sz w:val="12"/>
                <w:szCs w:val="12"/>
                <w:color w:val="auto"/>
              </w:rPr>
            </w:pPr>
          </w:p>
        </w:tc>
      </w:tr>
      <w:tr>
        <w:trPr>
          <w:trHeight w:val="148"/>
        </w:trPr>
        <w:tc>
          <w:tcPr>
            <w:tcW w:w="3020" w:type="dxa"/>
            <w:vAlign w:val="bottom"/>
            <w:shd w:val="clear" w:color="auto" w:fill="CCECFF"/>
          </w:tcPr>
          <w:p>
            <w:pPr>
              <w:spacing w:after="0"/>
              <w:rPr>
                <w:sz w:val="20"/>
                <w:szCs w:val="20"/>
                <w:color w:val="auto"/>
              </w:rPr>
            </w:pPr>
            <w:r>
              <w:rPr>
                <w:rFonts w:ascii="Arial" w:cs="Arial" w:eastAsia="Arial" w:hAnsi="Arial"/>
                <w:sz w:val="12"/>
                <w:szCs w:val="12"/>
                <w:color w:val="auto"/>
              </w:rPr>
              <w:t>Cano Health, LLC</w:t>
            </w:r>
          </w:p>
        </w:tc>
        <w:tc>
          <w:tcPr>
            <w:tcW w:w="900" w:type="dxa"/>
            <w:vAlign w:val="bottom"/>
            <w:shd w:val="clear" w:color="auto" w:fill="CCECFF"/>
          </w:tcPr>
          <w:p>
            <w:pPr>
              <w:ind w:left="120"/>
              <w:spacing w:after="0"/>
              <w:rPr>
                <w:sz w:val="20"/>
                <w:szCs w:val="20"/>
                <w:color w:val="auto"/>
              </w:rPr>
            </w:pPr>
            <w:r>
              <w:rPr>
                <w:rFonts w:ascii="Arial" w:cs="Arial" w:eastAsia="Arial" w:hAnsi="Arial"/>
                <w:sz w:val="12"/>
                <w:szCs w:val="12"/>
                <w:color w:val="auto"/>
              </w:rPr>
              <w:t>12/23/2021</w:t>
            </w:r>
          </w:p>
        </w:tc>
        <w:tc>
          <w:tcPr>
            <w:tcW w:w="2780" w:type="dxa"/>
            <w:vAlign w:val="bottom"/>
            <w:gridSpan w:val="2"/>
            <w:shd w:val="clear" w:color="auto" w:fill="CCECFF"/>
          </w:tcPr>
          <w:p>
            <w:pPr>
              <w:jc w:val="center"/>
              <w:ind w:right="140"/>
              <w:spacing w:after="0"/>
              <w:rPr>
                <w:sz w:val="20"/>
                <w:szCs w:val="20"/>
                <w:color w:val="auto"/>
              </w:rPr>
            </w:pPr>
            <w:r>
              <w:rPr>
                <w:rFonts w:ascii="Arial" w:cs="Arial" w:eastAsia="Arial" w:hAnsi="Arial"/>
                <w:sz w:val="12"/>
                <w:szCs w:val="12"/>
                <w:color w:val="auto"/>
                <w:w w:val="87"/>
              </w:rPr>
              <w:t>Healthcare, Education and Childcare</w:t>
            </w:r>
          </w:p>
        </w:tc>
        <w:tc>
          <w:tcPr>
            <w:tcW w:w="940" w:type="dxa"/>
            <w:vAlign w:val="bottom"/>
            <w:gridSpan w:val="2"/>
            <w:shd w:val="clear" w:color="auto" w:fill="CCECFF"/>
          </w:tcPr>
          <w:p>
            <w:pPr>
              <w:jc w:val="right"/>
              <w:ind w:right="180"/>
              <w:spacing w:after="0"/>
              <w:rPr>
                <w:sz w:val="20"/>
                <w:szCs w:val="20"/>
                <w:color w:val="auto"/>
              </w:rPr>
            </w:pPr>
            <w:r>
              <w:rPr>
                <w:rFonts w:ascii="Arial" w:cs="Arial" w:eastAsia="Arial" w:hAnsi="Arial"/>
                <w:sz w:val="12"/>
                <w:szCs w:val="12"/>
                <w:color w:val="auto"/>
              </w:rPr>
              <w:t>11.06%</w:t>
            </w:r>
          </w:p>
        </w:tc>
        <w:tc>
          <w:tcPr>
            <w:tcW w:w="680" w:type="dxa"/>
            <w:vAlign w:val="bottom"/>
            <w:shd w:val="clear" w:color="auto" w:fill="CCECFF"/>
          </w:tcPr>
          <w:p>
            <w:pPr>
              <w:jc w:val="right"/>
              <w:spacing w:after="0"/>
              <w:rPr>
                <w:sz w:val="20"/>
                <w:szCs w:val="20"/>
                <w:color w:val="auto"/>
              </w:rPr>
            </w:pPr>
            <w:r>
              <w:rPr>
                <w:rFonts w:ascii="Arial" w:cs="Arial" w:eastAsia="Arial" w:hAnsi="Arial"/>
                <w:sz w:val="12"/>
                <w:szCs w:val="12"/>
                <w:color w:val="auto"/>
              </w:rPr>
              <w:t>L+1,000</w:t>
            </w:r>
          </w:p>
        </w:tc>
        <w:tc>
          <w:tcPr>
            <w:tcW w:w="240" w:type="dxa"/>
            <w:vAlign w:val="bottom"/>
            <w:shd w:val="clear" w:color="auto" w:fill="CCECFF"/>
          </w:tcPr>
          <w:p>
            <w:pPr>
              <w:spacing w:after="0"/>
              <w:rPr>
                <w:sz w:val="12"/>
                <w:szCs w:val="12"/>
                <w:color w:val="auto"/>
              </w:rPr>
            </w:pPr>
          </w:p>
        </w:tc>
        <w:tc>
          <w:tcPr>
            <w:tcW w:w="100" w:type="dxa"/>
            <w:vAlign w:val="bottom"/>
            <w:shd w:val="clear" w:color="auto" w:fill="CCECFF"/>
          </w:tcPr>
          <w:p>
            <w:pPr>
              <w:spacing w:after="0"/>
              <w:rPr>
                <w:sz w:val="12"/>
                <w:szCs w:val="12"/>
                <w:color w:val="auto"/>
              </w:rPr>
            </w:pPr>
          </w:p>
        </w:tc>
        <w:tc>
          <w:tcPr>
            <w:tcW w:w="580" w:type="dxa"/>
            <w:vAlign w:val="bottom"/>
            <w:shd w:val="clear" w:color="auto" w:fill="CCECFF"/>
          </w:tcPr>
          <w:p>
            <w:pPr>
              <w:jc w:val="right"/>
              <w:spacing w:after="0"/>
              <w:rPr>
                <w:sz w:val="20"/>
                <w:szCs w:val="20"/>
                <w:color w:val="auto"/>
              </w:rPr>
            </w:pPr>
            <w:r>
              <w:rPr>
                <w:rFonts w:ascii="Arial" w:cs="Arial" w:eastAsia="Arial" w:hAnsi="Arial"/>
                <w:sz w:val="12"/>
                <w:szCs w:val="12"/>
                <w:color w:val="auto"/>
                <w:w w:val="89"/>
              </w:rPr>
              <w:t>19,522,688</w:t>
            </w:r>
          </w:p>
        </w:tc>
        <w:tc>
          <w:tcPr>
            <w:tcW w:w="240" w:type="dxa"/>
            <w:vAlign w:val="bottom"/>
            <w:shd w:val="clear" w:color="auto" w:fill="CCECFF"/>
          </w:tcPr>
          <w:p>
            <w:pPr>
              <w:spacing w:after="0"/>
              <w:rPr>
                <w:sz w:val="12"/>
                <w:szCs w:val="12"/>
                <w:color w:val="auto"/>
              </w:rPr>
            </w:pPr>
          </w:p>
        </w:tc>
        <w:tc>
          <w:tcPr>
            <w:tcW w:w="80" w:type="dxa"/>
            <w:vAlign w:val="bottom"/>
            <w:shd w:val="clear" w:color="auto" w:fill="CCECFF"/>
          </w:tcPr>
          <w:p>
            <w:pPr>
              <w:spacing w:after="0"/>
              <w:rPr>
                <w:sz w:val="12"/>
                <w:szCs w:val="12"/>
                <w:color w:val="auto"/>
              </w:rPr>
            </w:pPr>
          </w:p>
        </w:tc>
        <w:tc>
          <w:tcPr>
            <w:tcW w:w="620" w:type="dxa"/>
            <w:vAlign w:val="bottom"/>
            <w:shd w:val="clear" w:color="auto" w:fill="CCECFF"/>
          </w:tcPr>
          <w:p>
            <w:pPr>
              <w:jc w:val="right"/>
              <w:spacing w:after="0"/>
              <w:rPr>
                <w:sz w:val="20"/>
                <w:szCs w:val="20"/>
                <w:color w:val="auto"/>
              </w:rPr>
            </w:pPr>
            <w:r>
              <w:rPr>
                <w:rFonts w:ascii="Arial" w:cs="Arial" w:eastAsia="Arial" w:hAnsi="Arial"/>
                <w:sz w:val="12"/>
                <w:szCs w:val="12"/>
                <w:color w:val="auto"/>
                <w:w w:val="99"/>
              </w:rPr>
              <w:t>19,058,944</w:t>
            </w:r>
          </w:p>
        </w:tc>
        <w:tc>
          <w:tcPr>
            <w:tcW w:w="240" w:type="dxa"/>
            <w:vAlign w:val="bottom"/>
            <w:shd w:val="clear" w:color="auto" w:fill="CCECFF"/>
          </w:tcPr>
          <w:p>
            <w:pPr>
              <w:spacing w:after="0"/>
              <w:rPr>
                <w:sz w:val="12"/>
                <w:szCs w:val="12"/>
                <w:color w:val="auto"/>
              </w:rPr>
            </w:pPr>
          </w:p>
        </w:tc>
        <w:tc>
          <w:tcPr>
            <w:tcW w:w="80" w:type="dxa"/>
            <w:vAlign w:val="bottom"/>
            <w:shd w:val="clear" w:color="auto" w:fill="CCECFF"/>
          </w:tcPr>
          <w:p>
            <w:pPr>
              <w:spacing w:after="0"/>
              <w:rPr>
                <w:sz w:val="12"/>
                <w:szCs w:val="12"/>
                <w:color w:val="auto"/>
              </w:rPr>
            </w:pPr>
          </w:p>
        </w:tc>
        <w:tc>
          <w:tcPr>
            <w:tcW w:w="640" w:type="dxa"/>
            <w:vAlign w:val="bottom"/>
            <w:shd w:val="clear" w:color="auto" w:fill="CCECFF"/>
          </w:tcPr>
          <w:p>
            <w:pPr>
              <w:jc w:val="right"/>
              <w:spacing w:after="0"/>
              <w:rPr>
                <w:sz w:val="20"/>
                <w:szCs w:val="20"/>
                <w:color w:val="auto"/>
              </w:rPr>
            </w:pPr>
            <w:r>
              <w:rPr>
                <w:rFonts w:ascii="Arial" w:cs="Arial" w:eastAsia="Arial" w:hAnsi="Arial"/>
                <w:sz w:val="12"/>
                <w:szCs w:val="12"/>
                <w:color w:val="auto"/>
                <w:w w:val="99"/>
              </w:rPr>
              <w:t>19,522,688</w:t>
            </w:r>
          </w:p>
        </w:tc>
        <w:tc>
          <w:tcPr>
            <w:tcW w:w="100" w:type="dxa"/>
            <w:vAlign w:val="bottom"/>
            <w:shd w:val="clear" w:color="auto" w:fill="CCECFF"/>
          </w:tcPr>
          <w:p>
            <w:pPr>
              <w:spacing w:after="0"/>
              <w:rPr>
                <w:sz w:val="12"/>
                <w:szCs w:val="12"/>
                <w:color w:val="auto"/>
              </w:rPr>
            </w:pPr>
          </w:p>
        </w:tc>
      </w:tr>
      <w:tr>
        <w:trPr>
          <w:trHeight w:val="149"/>
        </w:trPr>
        <w:tc>
          <w:tcPr>
            <w:tcW w:w="3020" w:type="dxa"/>
            <w:vAlign w:val="bottom"/>
          </w:tcPr>
          <w:p>
            <w:pPr>
              <w:spacing w:after="0"/>
              <w:rPr>
                <w:sz w:val="20"/>
                <w:szCs w:val="20"/>
                <w:color w:val="auto"/>
              </w:rPr>
            </w:pPr>
            <w:r>
              <w:rPr>
                <w:rFonts w:ascii="Arial" w:cs="Arial" w:eastAsia="Arial" w:hAnsi="Arial"/>
                <w:sz w:val="12"/>
                <w:szCs w:val="12"/>
                <w:color w:val="auto"/>
              </w:rPr>
              <w:t xml:space="preserve">Cano Health, LLC (Revolver) </w:t>
            </w:r>
            <w:r>
              <w:rPr>
                <w:rFonts w:ascii="Arial" w:cs="Arial" w:eastAsia="Arial" w:hAnsi="Arial"/>
                <w:sz w:val="9"/>
                <w:szCs w:val="9"/>
                <w:color w:val="auto"/>
              </w:rPr>
              <w:t>(8)</w:t>
            </w:r>
          </w:p>
        </w:tc>
        <w:tc>
          <w:tcPr>
            <w:tcW w:w="900" w:type="dxa"/>
            <w:vAlign w:val="bottom"/>
          </w:tcPr>
          <w:p>
            <w:pPr>
              <w:ind w:left="120"/>
              <w:spacing w:after="0"/>
              <w:rPr>
                <w:sz w:val="20"/>
                <w:szCs w:val="20"/>
                <w:color w:val="auto"/>
              </w:rPr>
            </w:pPr>
            <w:r>
              <w:rPr>
                <w:rFonts w:ascii="Arial" w:cs="Arial" w:eastAsia="Arial" w:hAnsi="Arial"/>
                <w:sz w:val="12"/>
                <w:szCs w:val="12"/>
                <w:color w:val="auto"/>
              </w:rPr>
              <w:t>12/22/2017</w:t>
            </w:r>
          </w:p>
        </w:tc>
        <w:tc>
          <w:tcPr>
            <w:tcW w:w="2780" w:type="dxa"/>
            <w:vAlign w:val="bottom"/>
            <w:gridSpan w:val="2"/>
          </w:tcPr>
          <w:p>
            <w:pPr>
              <w:jc w:val="center"/>
              <w:ind w:right="140"/>
              <w:spacing w:after="0"/>
              <w:rPr>
                <w:sz w:val="20"/>
                <w:szCs w:val="20"/>
                <w:color w:val="auto"/>
              </w:rPr>
            </w:pPr>
            <w:r>
              <w:rPr>
                <w:rFonts w:ascii="Arial" w:cs="Arial" w:eastAsia="Arial" w:hAnsi="Arial"/>
                <w:sz w:val="12"/>
                <w:szCs w:val="12"/>
                <w:color w:val="auto"/>
                <w:w w:val="87"/>
              </w:rPr>
              <w:t>Healthcare, Education and Childcare</w:t>
            </w:r>
          </w:p>
        </w:tc>
        <w:tc>
          <w:tcPr>
            <w:tcW w:w="940" w:type="dxa"/>
            <w:vAlign w:val="bottom"/>
            <w:gridSpan w:val="2"/>
          </w:tcPr>
          <w:p>
            <w:pPr>
              <w:jc w:val="right"/>
              <w:ind w:right="280"/>
              <w:spacing w:after="0"/>
              <w:rPr>
                <w:sz w:val="20"/>
                <w:szCs w:val="20"/>
                <w:color w:val="auto"/>
              </w:rPr>
            </w:pPr>
            <w:r>
              <w:rPr>
                <w:rFonts w:ascii="Arial" w:cs="Arial" w:eastAsia="Arial" w:hAnsi="Arial"/>
                <w:sz w:val="12"/>
                <w:szCs w:val="12"/>
                <w:color w:val="auto"/>
              </w:rPr>
              <w:t>—</w:t>
            </w:r>
          </w:p>
        </w:tc>
        <w:tc>
          <w:tcPr>
            <w:tcW w:w="680" w:type="dxa"/>
            <w:vAlign w:val="bottom"/>
          </w:tcPr>
          <w:p>
            <w:pPr>
              <w:jc w:val="right"/>
              <w:spacing w:after="0"/>
              <w:rPr>
                <w:sz w:val="20"/>
                <w:szCs w:val="20"/>
                <w:color w:val="auto"/>
              </w:rPr>
            </w:pPr>
            <w:r>
              <w:rPr>
                <w:rFonts w:ascii="Arial" w:cs="Arial" w:eastAsia="Arial" w:hAnsi="Arial"/>
                <w:sz w:val="12"/>
                <w:szCs w:val="12"/>
                <w:color w:val="auto"/>
              </w:rPr>
              <w:t>—</w:t>
            </w:r>
          </w:p>
        </w:tc>
        <w:tc>
          <w:tcPr>
            <w:tcW w:w="2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80" w:type="dxa"/>
            <w:vAlign w:val="bottom"/>
          </w:tcPr>
          <w:p>
            <w:pPr>
              <w:jc w:val="right"/>
              <w:spacing w:after="0"/>
              <w:rPr>
                <w:sz w:val="20"/>
                <w:szCs w:val="20"/>
                <w:color w:val="auto"/>
              </w:rPr>
            </w:pPr>
            <w:r>
              <w:rPr>
                <w:rFonts w:ascii="Arial" w:cs="Arial" w:eastAsia="Arial" w:hAnsi="Arial"/>
                <w:sz w:val="12"/>
                <w:szCs w:val="12"/>
                <w:color w:val="auto"/>
              </w:rPr>
              <w:t>900,000</w:t>
            </w:r>
          </w:p>
        </w:tc>
        <w:tc>
          <w:tcPr>
            <w:tcW w:w="2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20" w:type="dxa"/>
            <w:vAlign w:val="bottom"/>
          </w:tcPr>
          <w:p>
            <w:pPr>
              <w:jc w:val="right"/>
              <w:spacing w:after="0"/>
              <w:rPr>
                <w:sz w:val="20"/>
                <w:szCs w:val="20"/>
                <w:color w:val="auto"/>
              </w:rPr>
            </w:pPr>
            <w:r>
              <w:rPr>
                <w:rFonts w:ascii="Arial" w:cs="Arial" w:eastAsia="Arial" w:hAnsi="Arial"/>
                <w:sz w:val="12"/>
                <w:szCs w:val="12"/>
                <w:color w:val="auto"/>
              </w:rPr>
              <w:t>—</w:t>
            </w:r>
          </w:p>
        </w:tc>
        <w:tc>
          <w:tcPr>
            <w:tcW w:w="2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40" w:type="dxa"/>
            <w:vAlign w:val="bottom"/>
            <w:gridSpan w:val="2"/>
          </w:tcPr>
          <w:p>
            <w:pPr>
              <w:jc w:val="right"/>
              <w:ind w:right="120"/>
              <w:spacing w:after="0"/>
              <w:rPr>
                <w:sz w:val="20"/>
                <w:szCs w:val="20"/>
                <w:color w:val="auto"/>
              </w:rPr>
            </w:pPr>
            <w:r>
              <w:rPr>
                <w:rFonts w:ascii="Arial" w:cs="Arial" w:eastAsia="Arial" w:hAnsi="Arial"/>
                <w:sz w:val="12"/>
                <w:szCs w:val="12"/>
                <w:color w:val="auto"/>
              </w:rPr>
              <w:t>—</w:t>
            </w:r>
          </w:p>
        </w:tc>
      </w:tr>
      <w:tr>
        <w:trPr>
          <w:trHeight w:val="148"/>
        </w:trPr>
        <w:tc>
          <w:tcPr>
            <w:tcW w:w="3020" w:type="dxa"/>
            <w:vAlign w:val="bottom"/>
            <w:shd w:val="clear" w:color="auto" w:fill="CCECFF"/>
          </w:tcPr>
          <w:p>
            <w:pPr>
              <w:spacing w:after="0"/>
              <w:rPr>
                <w:sz w:val="20"/>
                <w:szCs w:val="20"/>
                <w:color w:val="auto"/>
              </w:rPr>
            </w:pPr>
            <w:r>
              <w:rPr>
                <w:rFonts w:ascii="Arial" w:cs="Arial" w:eastAsia="Arial" w:hAnsi="Arial"/>
                <w:sz w:val="12"/>
                <w:szCs w:val="12"/>
                <w:color w:val="auto"/>
              </w:rPr>
              <w:t>DermaRite Industries LLC</w:t>
            </w:r>
          </w:p>
        </w:tc>
        <w:tc>
          <w:tcPr>
            <w:tcW w:w="900" w:type="dxa"/>
            <w:vAlign w:val="bottom"/>
            <w:shd w:val="clear" w:color="auto" w:fill="CCECFF"/>
          </w:tcPr>
          <w:p>
            <w:pPr>
              <w:ind w:left="120"/>
              <w:spacing w:after="0"/>
              <w:rPr>
                <w:sz w:val="20"/>
                <w:szCs w:val="20"/>
                <w:color w:val="auto"/>
              </w:rPr>
            </w:pPr>
            <w:r>
              <w:rPr>
                <w:rFonts w:ascii="Arial" w:cs="Arial" w:eastAsia="Arial" w:hAnsi="Arial"/>
                <w:sz w:val="12"/>
                <w:szCs w:val="12"/>
                <w:color w:val="auto"/>
              </w:rPr>
              <w:t>03/03/2022</w:t>
            </w:r>
          </w:p>
        </w:tc>
        <w:tc>
          <w:tcPr>
            <w:tcW w:w="2780" w:type="dxa"/>
            <w:vAlign w:val="bottom"/>
            <w:gridSpan w:val="2"/>
            <w:shd w:val="clear" w:color="auto" w:fill="CCECFF"/>
          </w:tcPr>
          <w:p>
            <w:pPr>
              <w:jc w:val="center"/>
              <w:ind w:right="160"/>
              <w:spacing w:after="0"/>
              <w:rPr>
                <w:sz w:val="20"/>
                <w:szCs w:val="20"/>
                <w:color w:val="auto"/>
              </w:rPr>
            </w:pPr>
            <w:r>
              <w:rPr>
                <w:rFonts w:ascii="Arial" w:cs="Arial" w:eastAsia="Arial" w:hAnsi="Arial"/>
                <w:sz w:val="12"/>
                <w:szCs w:val="12"/>
                <w:color w:val="auto"/>
                <w:w w:val="90"/>
              </w:rPr>
              <w:t>Manufacturing / Basic Industries</w:t>
            </w:r>
          </w:p>
        </w:tc>
        <w:tc>
          <w:tcPr>
            <w:tcW w:w="940" w:type="dxa"/>
            <w:vAlign w:val="bottom"/>
            <w:gridSpan w:val="2"/>
            <w:shd w:val="clear" w:color="auto" w:fill="CCECFF"/>
          </w:tcPr>
          <w:p>
            <w:pPr>
              <w:jc w:val="right"/>
              <w:ind w:right="180"/>
              <w:spacing w:after="0"/>
              <w:rPr>
                <w:sz w:val="20"/>
                <w:szCs w:val="20"/>
                <w:color w:val="auto"/>
              </w:rPr>
            </w:pPr>
            <w:r>
              <w:rPr>
                <w:rFonts w:ascii="Arial" w:cs="Arial" w:eastAsia="Arial" w:hAnsi="Arial"/>
                <w:sz w:val="12"/>
                <w:szCs w:val="12"/>
                <w:color w:val="auto"/>
              </w:rPr>
              <w:t>8.30%</w:t>
            </w:r>
          </w:p>
        </w:tc>
        <w:tc>
          <w:tcPr>
            <w:tcW w:w="680" w:type="dxa"/>
            <w:vAlign w:val="bottom"/>
            <w:shd w:val="clear" w:color="auto" w:fill="CCECFF"/>
          </w:tcPr>
          <w:p>
            <w:pPr>
              <w:jc w:val="right"/>
              <w:spacing w:after="0"/>
              <w:rPr>
                <w:sz w:val="20"/>
                <w:szCs w:val="20"/>
                <w:color w:val="auto"/>
              </w:rPr>
            </w:pPr>
            <w:r>
              <w:rPr>
                <w:rFonts w:ascii="Arial" w:cs="Arial" w:eastAsia="Arial" w:hAnsi="Arial"/>
                <w:sz w:val="12"/>
                <w:szCs w:val="12"/>
                <w:color w:val="auto"/>
              </w:rPr>
              <w:t>L+700</w:t>
            </w:r>
          </w:p>
        </w:tc>
        <w:tc>
          <w:tcPr>
            <w:tcW w:w="240" w:type="dxa"/>
            <w:vAlign w:val="bottom"/>
            <w:shd w:val="clear" w:color="auto" w:fill="CCECFF"/>
          </w:tcPr>
          <w:p>
            <w:pPr>
              <w:spacing w:after="0"/>
              <w:rPr>
                <w:sz w:val="12"/>
                <w:szCs w:val="12"/>
                <w:color w:val="auto"/>
              </w:rPr>
            </w:pPr>
          </w:p>
        </w:tc>
        <w:tc>
          <w:tcPr>
            <w:tcW w:w="100" w:type="dxa"/>
            <w:vAlign w:val="bottom"/>
            <w:shd w:val="clear" w:color="auto" w:fill="CCECFF"/>
          </w:tcPr>
          <w:p>
            <w:pPr>
              <w:spacing w:after="0"/>
              <w:rPr>
                <w:sz w:val="12"/>
                <w:szCs w:val="12"/>
                <w:color w:val="auto"/>
              </w:rPr>
            </w:pPr>
          </w:p>
        </w:tc>
        <w:tc>
          <w:tcPr>
            <w:tcW w:w="580" w:type="dxa"/>
            <w:vAlign w:val="bottom"/>
            <w:shd w:val="clear" w:color="auto" w:fill="CCECFF"/>
          </w:tcPr>
          <w:p>
            <w:pPr>
              <w:jc w:val="right"/>
              <w:spacing w:after="0"/>
              <w:rPr>
                <w:sz w:val="20"/>
                <w:szCs w:val="20"/>
                <w:color w:val="auto"/>
              </w:rPr>
            </w:pPr>
            <w:r>
              <w:rPr>
                <w:rFonts w:ascii="Arial" w:cs="Arial" w:eastAsia="Arial" w:hAnsi="Arial"/>
                <w:sz w:val="12"/>
                <w:szCs w:val="12"/>
                <w:color w:val="auto"/>
              </w:rPr>
              <w:t>9,975,000</w:t>
            </w:r>
          </w:p>
        </w:tc>
        <w:tc>
          <w:tcPr>
            <w:tcW w:w="240" w:type="dxa"/>
            <w:vAlign w:val="bottom"/>
            <w:shd w:val="clear" w:color="auto" w:fill="CCECFF"/>
          </w:tcPr>
          <w:p>
            <w:pPr>
              <w:spacing w:after="0"/>
              <w:rPr>
                <w:sz w:val="12"/>
                <w:szCs w:val="12"/>
                <w:color w:val="auto"/>
              </w:rPr>
            </w:pPr>
          </w:p>
        </w:tc>
        <w:tc>
          <w:tcPr>
            <w:tcW w:w="80" w:type="dxa"/>
            <w:vAlign w:val="bottom"/>
            <w:shd w:val="clear" w:color="auto" w:fill="CCECFF"/>
          </w:tcPr>
          <w:p>
            <w:pPr>
              <w:spacing w:after="0"/>
              <w:rPr>
                <w:sz w:val="12"/>
                <w:szCs w:val="12"/>
                <w:color w:val="auto"/>
              </w:rPr>
            </w:pPr>
          </w:p>
        </w:tc>
        <w:tc>
          <w:tcPr>
            <w:tcW w:w="620" w:type="dxa"/>
            <w:vAlign w:val="bottom"/>
            <w:shd w:val="clear" w:color="auto" w:fill="CCECFF"/>
          </w:tcPr>
          <w:p>
            <w:pPr>
              <w:jc w:val="right"/>
              <w:spacing w:after="0"/>
              <w:rPr>
                <w:sz w:val="20"/>
                <w:szCs w:val="20"/>
                <w:color w:val="auto"/>
              </w:rPr>
            </w:pPr>
            <w:r>
              <w:rPr>
                <w:rFonts w:ascii="Arial" w:cs="Arial" w:eastAsia="Arial" w:hAnsi="Arial"/>
                <w:sz w:val="12"/>
                <w:szCs w:val="12"/>
                <w:color w:val="auto"/>
              </w:rPr>
              <w:t>9,832,201</w:t>
            </w:r>
          </w:p>
        </w:tc>
        <w:tc>
          <w:tcPr>
            <w:tcW w:w="240" w:type="dxa"/>
            <w:vAlign w:val="bottom"/>
            <w:shd w:val="clear" w:color="auto" w:fill="CCECFF"/>
          </w:tcPr>
          <w:p>
            <w:pPr>
              <w:spacing w:after="0"/>
              <w:rPr>
                <w:sz w:val="12"/>
                <w:szCs w:val="12"/>
                <w:color w:val="auto"/>
              </w:rPr>
            </w:pPr>
          </w:p>
        </w:tc>
        <w:tc>
          <w:tcPr>
            <w:tcW w:w="80" w:type="dxa"/>
            <w:vAlign w:val="bottom"/>
            <w:shd w:val="clear" w:color="auto" w:fill="CCECFF"/>
          </w:tcPr>
          <w:p>
            <w:pPr>
              <w:spacing w:after="0"/>
              <w:rPr>
                <w:sz w:val="12"/>
                <w:szCs w:val="12"/>
                <w:color w:val="auto"/>
              </w:rPr>
            </w:pPr>
          </w:p>
        </w:tc>
        <w:tc>
          <w:tcPr>
            <w:tcW w:w="640" w:type="dxa"/>
            <w:vAlign w:val="bottom"/>
            <w:shd w:val="clear" w:color="auto" w:fill="CCECFF"/>
          </w:tcPr>
          <w:p>
            <w:pPr>
              <w:jc w:val="right"/>
              <w:spacing w:after="0"/>
              <w:rPr>
                <w:sz w:val="20"/>
                <w:szCs w:val="20"/>
                <w:color w:val="auto"/>
              </w:rPr>
            </w:pPr>
            <w:r>
              <w:rPr>
                <w:rFonts w:ascii="Arial" w:cs="Arial" w:eastAsia="Arial" w:hAnsi="Arial"/>
                <w:sz w:val="12"/>
                <w:szCs w:val="12"/>
                <w:color w:val="auto"/>
              </w:rPr>
              <w:t>9,893,191</w:t>
            </w:r>
          </w:p>
        </w:tc>
        <w:tc>
          <w:tcPr>
            <w:tcW w:w="100" w:type="dxa"/>
            <w:vAlign w:val="bottom"/>
            <w:shd w:val="clear" w:color="auto" w:fill="CCECFF"/>
          </w:tcPr>
          <w:p>
            <w:pPr>
              <w:spacing w:after="0"/>
              <w:rPr>
                <w:sz w:val="12"/>
                <w:szCs w:val="12"/>
                <w:color w:val="auto"/>
              </w:rPr>
            </w:pPr>
          </w:p>
        </w:tc>
      </w:tr>
      <w:tr>
        <w:trPr>
          <w:trHeight w:val="148"/>
        </w:trPr>
        <w:tc>
          <w:tcPr>
            <w:tcW w:w="3020" w:type="dxa"/>
            <w:vAlign w:val="bottom"/>
          </w:tcPr>
          <w:p>
            <w:pPr>
              <w:spacing w:after="0"/>
              <w:rPr>
                <w:sz w:val="20"/>
                <w:szCs w:val="20"/>
                <w:color w:val="auto"/>
              </w:rPr>
            </w:pPr>
            <w:r>
              <w:rPr>
                <w:rFonts w:ascii="Arial" w:cs="Arial" w:eastAsia="Arial" w:hAnsi="Arial"/>
                <w:sz w:val="12"/>
                <w:szCs w:val="12"/>
                <w:color w:val="auto"/>
              </w:rPr>
              <w:t>Hollander Sleep Products, LLC</w:t>
            </w:r>
          </w:p>
        </w:tc>
        <w:tc>
          <w:tcPr>
            <w:tcW w:w="900" w:type="dxa"/>
            <w:vAlign w:val="bottom"/>
          </w:tcPr>
          <w:p>
            <w:pPr>
              <w:ind w:left="120"/>
              <w:spacing w:after="0"/>
              <w:rPr>
                <w:sz w:val="20"/>
                <w:szCs w:val="20"/>
                <w:color w:val="auto"/>
              </w:rPr>
            </w:pPr>
            <w:r>
              <w:rPr>
                <w:rFonts w:ascii="Arial" w:cs="Arial" w:eastAsia="Arial" w:hAnsi="Arial"/>
                <w:sz w:val="12"/>
                <w:szCs w:val="12"/>
                <w:color w:val="auto"/>
              </w:rPr>
              <w:t>06/09/2023</w:t>
            </w:r>
          </w:p>
        </w:tc>
        <w:tc>
          <w:tcPr>
            <w:tcW w:w="2780" w:type="dxa"/>
            <w:vAlign w:val="bottom"/>
            <w:gridSpan w:val="2"/>
          </w:tcPr>
          <w:p>
            <w:pPr>
              <w:jc w:val="center"/>
              <w:ind w:right="140"/>
              <w:spacing w:after="0"/>
              <w:rPr>
                <w:sz w:val="20"/>
                <w:szCs w:val="20"/>
                <w:color w:val="auto"/>
              </w:rPr>
            </w:pPr>
            <w:r>
              <w:rPr>
                <w:rFonts w:ascii="Arial" w:cs="Arial" w:eastAsia="Arial" w:hAnsi="Arial"/>
                <w:sz w:val="12"/>
                <w:szCs w:val="12"/>
                <w:color w:val="auto"/>
                <w:w w:val="86"/>
              </w:rPr>
              <w:t>Consumer Products</w:t>
            </w:r>
          </w:p>
        </w:tc>
        <w:tc>
          <w:tcPr>
            <w:tcW w:w="940" w:type="dxa"/>
            <w:vAlign w:val="bottom"/>
            <w:gridSpan w:val="2"/>
          </w:tcPr>
          <w:p>
            <w:pPr>
              <w:jc w:val="right"/>
              <w:ind w:right="180"/>
              <w:spacing w:after="0"/>
              <w:rPr>
                <w:sz w:val="20"/>
                <w:szCs w:val="20"/>
                <w:color w:val="auto"/>
              </w:rPr>
            </w:pPr>
            <w:r>
              <w:rPr>
                <w:rFonts w:ascii="Arial" w:cs="Arial" w:eastAsia="Arial" w:hAnsi="Arial"/>
                <w:sz w:val="12"/>
                <w:szCs w:val="12"/>
                <w:color w:val="auto"/>
              </w:rPr>
              <w:t>9.10%</w:t>
            </w:r>
          </w:p>
        </w:tc>
        <w:tc>
          <w:tcPr>
            <w:tcW w:w="680" w:type="dxa"/>
            <w:vAlign w:val="bottom"/>
          </w:tcPr>
          <w:p>
            <w:pPr>
              <w:jc w:val="right"/>
              <w:spacing w:after="0"/>
              <w:rPr>
                <w:sz w:val="20"/>
                <w:szCs w:val="20"/>
                <w:color w:val="auto"/>
              </w:rPr>
            </w:pPr>
            <w:r>
              <w:rPr>
                <w:rFonts w:ascii="Arial" w:cs="Arial" w:eastAsia="Arial" w:hAnsi="Arial"/>
                <w:sz w:val="12"/>
                <w:szCs w:val="12"/>
                <w:color w:val="auto"/>
              </w:rPr>
              <w:t>L+800</w:t>
            </w:r>
          </w:p>
        </w:tc>
        <w:tc>
          <w:tcPr>
            <w:tcW w:w="2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80" w:type="dxa"/>
            <w:vAlign w:val="bottom"/>
          </w:tcPr>
          <w:p>
            <w:pPr>
              <w:jc w:val="right"/>
              <w:spacing w:after="0"/>
              <w:rPr>
                <w:sz w:val="20"/>
                <w:szCs w:val="20"/>
                <w:color w:val="auto"/>
              </w:rPr>
            </w:pPr>
            <w:r>
              <w:rPr>
                <w:rFonts w:ascii="Arial" w:cs="Arial" w:eastAsia="Arial" w:hAnsi="Arial"/>
                <w:sz w:val="12"/>
                <w:szCs w:val="12"/>
                <w:color w:val="auto"/>
                <w:w w:val="89"/>
              </w:rPr>
              <w:t>22,500,000</w:t>
            </w:r>
          </w:p>
        </w:tc>
        <w:tc>
          <w:tcPr>
            <w:tcW w:w="2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20" w:type="dxa"/>
            <w:vAlign w:val="bottom"/>
          </w:tcPr>
          <w:p>
            <w:pPr>
              <w:jc w:val="right"/>
              <w:spacing w:after="0"/>
              <w:rPr>
                <w:sz w:val="20"/>
                <w:szCs w:val="20"/>
                <w:color w:val="auto"/>
              </w:rPr>
            </w:pPr>
            <w:r>
              <w:rPr>
                <w:rFonts w:ascii="Arial" w:cs="Arial" w:eastAsia="Arial" w:hAnsi="Arial"/>
                <w:sz w:val="12"/>
                <w:szCs w:val="12"/>
                <w:color w:val="auto"/>
                <w:w w:val="99"/>
              </w:rPr>
              <w:t>22,051,999</w:t>
            </w:r>
          </w:p>
        </w:tc>
        <w:tc>
          <w:tcPr>
            <w:tcW w:w="2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40" w:type="dxa"/>
            <w:vAlign w:val="bottom"/>
          </w:tcPr>
          <w:p>
            <w:pPr>
              <w:jc w:val="right"/>
              <w:spacing w:after="0"/>
              <w:rPr>
                <w:sz w:val="20"/>
                <w:szCs w:val="20"/>
                <w:color w:val="auto"/>
              </w:rPr>
            </w:pPr>
            <w:r>
              <w:rPr>
                <w:rFonts w:ascii="Arial" w:cs="Arial" w:eastAsia="Arial" w:hAnsi="Arial"/>
                <w:sz w:val="12"/>
                <w:szCs w:val="12"/>
                <w:color w:val="auto"/>
                <w:w w:val="99"/>
              </w:rPr>
              <w:t>22,050,000</w:t>
            </w:r>
          </w:p>
        </w:tc>
        <w:tc>
          <w:tcPr>
            <w:tcW w:w="100" w:type="dxa"/>
            <w:vAlign w:val="bottom"/>
          </w:tcPr>
          <w:p>
            <w:pPr>
              <w:spacing w:after="0"/>
              <w:rPr>
                <w:sz w:val="12"/>
                <w:szCs w:val="12"/>
                <w:color w:val="auto"/>
              </w:rPr>
            </w:pPr>
          </w:p>
        </w:tc>
      </w:tr>
      <w:tr>
        <w:trPr>
          <w:trHeight w:val="148"/>
        </w:trPr>
        <w:tc>
          <w:tcPr>
            <w:tcW w:w="3020" w:type="dxa"/>
            <w:vAlign w:val="bottom"/>
            <w:shd w:val="clear" w:color="auto" w:fill="CCECFF"/>
          </w:tcPr>
          <w:p>
            <w:pPr>
              <w:spacing w:after="0"/>
              <w:rPr>
                <w:sz w:val="20"/>
                <w:szCs w:val="20"/>
                <w:color w:val="auto"/>
              </w:rPr>
            </w:pPr>
            <w:r>
              <w:rPr>
                <w:rFonts w:ascii="Arial" w:cs="Arial" w:eastAsia="Arial" w:hAnsi="Arial"/>
                <w:sz w:val="12"/>
                <w:szCs w:val="12"/>
                <w:color w:val="auto"/>
              </w:rPr>
              <w:t>Home Town Cable TV, LLC</w:t>
            </w:r>
          </w:p>
        </w:tc>
        <w:tc>
          <w:tcPr>
            <w:tcW w:w="900" w:type="dxa"/>
            <w:vAlign w:val="bottom"/>
            <w:shd w:val="clear" w:color="auto" w:fill="CCECFF"/>
          </w:tcPr>
          <w:p>
            <w:pPr>
              <w:ind w:left="120"/>
              <w:spacing w:after="0"/>
              <w:rPr>
                <w:sz w:val="20"/>
                <w:szCs w:val="20"/>
                <w:color w:val="auto"/>
              </w:rPr>
            </w:pPr>
            <w:r>
              <w:rPr>
                <w:rFonts w:ascii="Arial" w:cs="Arial" w:eastAsia="Arial" w:hAnsi="Arial"/>
                <w:sz w:val="12"/>
                <w:szCs w:val="12"/>
                <w:color w:val="auto"/>
              </w:rPr>
              <w:t>06/20/2022</w:t>
            </w:r>
          </w:p>
        </w:tc>
        <w:tc>
          <w:tcPr>
            <w:tcW w:w="2780" w:type="dxa"/>
            <w:vAlign w:val="bottom"/>
            <w:gridSpan w:val="2"/>
            <w:shd w:val="clear" w:color="auto" w:fill="CCECFF"/>
          </w:tcPr>
          <w:p>
            <w:pPr>
              <w:jc w:val="center"/>
              <w:ind w:right="160"/>
              <w:spacing w:after="0"/>
              <w:rPr>
                <w:sz w:val="20"/>
                <w:szCs w:val="20"/>
                <w:color w:val="auto"/>
              </w:rPr>
            </w:pPr>
            <w:r>
              <w:rPr>
                <w:rFonts w:ascii="Arial" w:cs="Arial" w:eastAsia="Arial" w:hAnsi="Arial"/>
                <w:sz w:val="12"/>
                <w:szCs w:val="12"/>
                <w:color w:val="auto"/>
                <w:w w:val="89"/>
              </w:rPr>
              <w:t>Telecommunications</w:t>
            </w:r>
          </w:p>
        </w:tc>
        <w:tc>
          <w:tcPr>
            <w:tcW w:w="940" w:type="dxa"/>
            <w:vAlign w:val="bottom"/>
            <w:gridSpan w:val="2"/>
            <w:shd w:val="clear" w:color="auto" w:fill="CCECFF"/>
          </w:tcPr>
          <w:p>
            <w:pPr>
              <w:jc w:val="right"/>
              <w:ind w:right="180"/>
              <w:spacing w:after="0"/>
              <w:rPr>
                <w:sz w:val="20"/>
                <w:szCs w:val="20"/>
                <w:color w:val="auto"/>
              </w:rPr>
            </w:pPr>
            <w:r>
              <w:rPr>
                <w:rFonts w:ascii="Arial" w:cs="Arial" w:eastAsia="Arial" w:hAnsi="Arial"/>
                <w:sz w:val="12"/>
                <w:szCs w:val="12"/>
                <w:color w:val="auto"/>
              </w:rPr>
              <w:t>10.77%</w:t>
            </w:r>
          </w:p>
        </w:tc>
        <w:tc>
          <w:tcPr>
            <w:tcW w:w="680" w:type="dxa"/>
            <w:vAlign w:val="bottom"/>
            <w:shd w:val="clear" w:color="auto" w:fill="CCECFF"/>
          </w:tcPr>
          <w:p>
            <w:pPr>
              <w:jc w:val="right"/>
              <w:spacing w:after="0"/>
              <w:rPr>
                <w:sz w:val="20"/>
                <w:szCs w:val="20"/>
                <w:color w:val="auto"/>
              </w:rPr>
            </w:pPr>
            <w:r>
              <w:rPr>
                <w:rFonts w:ascii="Arial" w:cs="Arial" w:eastAsia="Arial" w:hAnsi="Arial"/>
                <w:sz w:val="12"/>
                <w:szCs w:val="12"/>
                <w:color w:val="auto"/>
              </w:rPr>
              <w:t>L+950</w:t>
            </w:r>
          </w:p>
        </w:tc>
        <w:tc>
          <w:tcPr>
            <w:tcW w:w="240" w:type="dxa"/>
            <w:vAlign w:val="bottom"/>
            <w:shd w:val="clear" w:color="auto" w:fill="CCECFF"/>
          </w:tcPr>
          <w:p>
            <w:pPr>
              <w:spacing w:after="0"/>
              <w:rPr>
                <w:sz w:val="12"/>
                <w:szCs w:val="12"/>
                <w:color w:val="auto"/>
              </w:rPr>
            </w:pPr>
          </w:p>
        </w:tc>
        <w:tc>
          <w:tcPr>
            <w:tcW w:w="100" w:type="dxa"/>
            <w:vAlign w:val="bottom"/>
            <w:shd w:val="clear" w:color="auto" w:fill="CCECFF"/>
          </w:tcPr>
          <w:p>
            <w:pPr>
              <w:spacing w:after="0"/>
              <w:rPr>
                <w:sz w:val="12"/>
                <w:szCs w:val="12"/>
                <w:color w:val="auto"/>
              </w:rPr>
            </w:pPr>
          </w:p>
        </w:tc>
        <w:tc>
          <w:tcPr>
            <w:tcW w:w="580" w:type="dxa"/>
            <w:vAlign w:val="bottom"/>
            <w:shd w:val="clear" w:color="auto" w:fill="CCECFF"/>
          </w:tcPr>
          <w:p>
            <w:pPr>
              <w:jc w:val="right"/>
              <w:spacing w:after="0"/>
              <w:rPr>
                <w:sz w:val="20"/>
                <w:szCs w:val="20"/>
                <w:color w:val="auto"/>
              </w:rPr>
            </w:pPr>
            <w:r>
              <w:rPr>
                <w:rFonts w:ascii="Arial" w:cs="Arial" w:eastAsia="Arial" w:hAnsi="Arial"/>
                <w:sz w:val="12"/>
                <w:szCs w:val="12"/>
                <w:color w:val="auto"/>
                <w:w w:val="89"/>
              </w:rPr>
              <w:t>10,000,000</w:t>
            </w:r>
          </w:p>
        </w:tc>
        <w:tc>
          <w:tcPr>
            <w:tcW w:w="240" w:type="dxa"/>
            <w:vAlign w:val="bottom"/>
            <w:shd w:val="clear" w:color="auto" w:fill="CCECFF"/>
          </w:tcPr>
          <w:p>
            <w:pPr>
              <w:spacing w:after="0"/>
              <w:rPr>
                <w:sz w:val="12"/>
                <w:szCs w:val="12"/>
                <w:color w:val="auto"/>
              </w:rPr>
            </w:pPr>
          </w:p>
        </w:tc>
        <w:tc>
          <w:tcPr>
            <w:tcW w:w="80" w:type="dxa"/>
            <w:vAlign w:val="bottom"/>
            <w:shd w:val="clear" w:color="auto" w:fill="CCECFF"/>
          </w:tcPr>
          <w:p>
            <w:pPr>
              <w:spacing w:after="0"/>
              <w:rPr>
                <w:sz w:val="12"/>
                <w:szCs w:val="12"/>
                <w:color w:val="auto"/>
              </w:rPr>
            </w:pPr>
          </w:p>
        </w:tc>
        <w:tc>
          <w:tcPr>
            <w:tcW w:w="620" w:type="dxa"/>
            <w:vAlign w:val="bottom"/>
            <w:shd w:val="clear" w:color="auto" w:fill="CCECFF"/>
          </w:tcPr>
          <w:p>
            <w:pPr>
              <w:jc w:val="right"/>
              <w:spacing w:after="0"/>
              <w:rPr>
                <w:sz w:val="20"/>
                <w:szCs w:val="20"/>
                <w:color w:val="auto"/>
              </w:rPr>
            </w:pPr>
            <w:r>
              <w:rPr>
                <w:rFonts w:ascii="Arial" w:cs="Arial" w:eastAsia="Arial" w:hAnsi="Arial"/>
                <w:sz w:val="12"/>
                <w:szCs w:val="12"/>
                <w:color w:val="auto"/>
              </w:rPr>
              <w:t>9,800,809</w:t>
            </w:r>
          </w:p>
        </w:tc>
        <w:tc>
          <w:tcPr>
            <w:tcW w:w="240" w:type="dxa"/>
            <w:vAlign w:val="bottom"/>
            <w:shd w:val="clear" w:color="auto" w:fill="CCECFF"/>
          </w:tcPr>
          <w:p>
            <w:pPr>
              <w:spacing w:after="0"/>
              <w:rPr>
                <w:sz w:val="12"/>
                <w:szCs w:val="12"/>
                <w:color w:val="auto"/>
              </w:rPr>
            </w:pPr>
          </w:p>
        </w:tc>
        <w:tc>
          <w:tcPr>
            <w:tcW w:w="80" w:type="dxa"/>
            <w:vAlign w:val="bottom"/>
            <w:shd w:val="clear" w:color="auto" w:fill="CCECFF"/>
          </w:tcPr>
          <w:p>
            <w:pPr>
              <w:spacing w:after="0"/>
              <w:rPr>
                <w:sz w:val="12"/>
                <w:szCs w:val="12"/>
                <w:color w:val="auto"/>
              </w:rPr>
            </w:pPr>
          </w:p>
        </w:tc>
        <w:tc>
          <w:tcPr>
            <w:tcW w:w="640" w:type="dxa"/>
            <w:vAlign w:val="bottom"/>
            <w:shd w:val="clear" w:color="auto" w:fill="CCECFF"/>
          </w:tcPr>
          <w:p>
            <w:pPr>
              <w:jc w:val="right"/>
              <w:spacing w:after="0"/>
              <w:rPr>
                <w:sz w:val="20"/>
                <w:szCs w:val="20"/>
                <w:color w:val="auto"/>
              </w:rPr>
            </w:pPr>
            <w:r>
              <w:rPr>
                <w:rFonts w:ascii="Arial" w:cs="Arial" w:eastAsia="Arial" w:hAnsi="Arial"/>
                <w:sz w:val="12"/>
                <w:szCs w:val="12"/>
                <w:color w:val="auto"/>
              </w:rPr>
              <w:t>9,800,000</w:t>
            </w:r>
          </w:p>
        </w:tc>
        <w:tc>
          <w:tcPr>
            <w:tcW w:w="100" w:type="dxa"/>
            <w:vAlign w:val="bottom"/>
            <w:shd w:val="clear" w:color="auto" w:fill="CCECFF"/>
          </w:tcPr>
          <w:p>
            <w:pPr>
              <w:spacing w:after="0"/>
              <w:rPr>
                <w:sz w:val="12"/>
                <w:szCs w:val="12"/>
                <w:color w:val="auto"/>
              </w:rPr>
            </w:pPr>
          </w:p>
        </w:tc>
      </w:tr>
      <w:tr>
        <w:trPr>
          <w:trHeight w:val="148"/>
        </w:trPr>
        <w:tc>
          <w:tcPr>
            <w:tcW w:w="3020" w:type="dxa"/>
            <w:vAlign w:val="bottom"/>
          </w:tcPr>
          <w:p>
            <w:pPr>
              <w:spacing w:after="0"/>
              <w:rPr>
                <w:sz w:val="20"/>
                <w:szCs w:val="20"/>
                <w:color w:val="auto"/>
              </w:rPr>
            </w:pPr>
            <w:r>
              <w:rPr>
                <w:rFonts w:ascii="Arial" w:cs="Arial" w:eastAsia="Arial" w:hAnsi="Arial"/>
                <w:sz w:val="12"/>
                <w:szCs w:val="12"/>
                <w:color w:val="auto"/>
              </w:rPr>
              <w:t>Interior Specialists, Inc.</w:t>
            </w:r>
          </w:p>
        </w:tc>
        <w:tc>
          <w:tcPr>
            <w:tcW w:w="900" w:type="dxa"/>
            <w:vAlign w:val="bottom"/>
          </w:tcPr>
          <w:p>
            <w:pPr>
              <w:ind w:left="120"/>
              <w:spacing w:after="0"/>
              <w:rPr>
                <w:sz w:val="20"/>
                <w:szCs w:val="20"/>
                <w:color w:val="auto"/>
              </w:rPr>
            </w:pPr>
            <w:r>
              <w:rPr>
                <w:rFonts w:ascii="Arial" w:cs="Arial" w:eastAsia="Arial" w:hAnsi="Arial"/>
                <w:sz w:val="12"/>
                <w:szCs w:val="12"/>
                <w:color w:val="auto"/>
              </w:rPr>
              <w:t>06/30/2020</w:t>
            </w:r>
          </w:p>
        </w:tc>
        <w:tc>
          <w:tcPr>
            <w:tcW w:w="2780" w:type="dxa"/>
            <w:vAlign w:val="bottom"/>
            <w:gridSpan w:val="2"/>
          </w:tcPr>
          <w:p>
            <w:pPr>
              <w:jc w:val="center"/>
              <w:ind w:right="140"/>
              <w:spacing w:after="0"/>
              <w:rPr>
                <w:sz w:val="20"/>
                <w:szCs w:val="20"/>
                <w:color w:val="auto"/>
              </w:rPr>
            </w:pPr>
            <w:r>
              <w:rPr>
                <w:rFonts w:ascii="Arial" w:cs="Arial" w:eastAsia="Arial" w:hAnsi="Arial"/>
                <w:sz w:val="12"/>
                <w:szCs w:val="12"/>
                <w:color w:val="auto"/>
                <w:w w:val="92"/>
              </w:rPr>
              <w:t>Building Materials</w:t>
            </w:r>
          </w:p>
        </w:tc>
        <w:tc>
          <w:tcPr>
            <w:tcW w:w="940" w:type="dxa"/>
            <w:vAlign w:val="bottom"/>
            <w:gridSpan w:val="2"/>
          </w:tcPr>
          <w:p>
            <w:pPr>
              <w:jc w:val="right"/>
              <w:ind w:right="180"/>
              <w:spacing w:after="0"/>
              <w:rPr>
                <w:sz w:val="20"/>
                <w:szCs w:val="20"/>
                <w:color w:val="auto"/>
              </w:rPr>
            </w:pPr>
            <w:r>
              <w:rPr>
                <w:rFonts w:ascii="Arial" w:cs="Arial" w:eastAsia="Arial" w:hAnsi="Arial"/>
                <w:sz w:val="12"/>
                <w:szCs w:val="12"/>
                <w:color w:val="auto"/>
              </w:rPr>
              <w:t>9.06%</w:t>
            </w:r>
          </w:p>
        </w:tc>
        <w:tc>
          <w:tcPr>
            <w:tcW w:w="680" w:type="dxa"/>
            <w:vAlign w:val="bottom"/>
          </w:tcPr>
          <w:p>
            <w:pPr>
              <w:jc w:val="right"/>
              <w:spacing w:after="0"/>
              <w:rPr>
                <w:sz w:val="20"/>
                <w:szCs w:val="20"/>
                <w:color w:val="auto"/>
              </w:rPr>
            </w:pPr>
            <w:r>
              <w:rPr>
                <w:rFonts w:ascii="Arial" w:cs="Arial" w:eastAsia="Arial" w:hAnsi="Arial"/>
                <w:sz w:val="12"/>
                <w:szCs w:val="12"/>
                <w:color w:val="auto"/>
              </w:rPr>
              <w:t>L+800</w:t>
            </w:r>
          </w:p>
        </w:tc>
        <w:tc>
          <w:tcPr>
            <w:tcW w:w="2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80" w:type="dxa"/>
            <w:vAlign w:val="bottom"/>
          </w:tcPr>
          <w:p>
            <w:pPr>
              <w:jc w:val="right"/>
              <w:spacing w:after="0"/>
              <w:rPr>
                <w:sz w:val="20"/>
                <w:szCs w:val="20"/>
                <w:color w:val="auto"/>
              </w:rPr>
            </w:pPr>
            <w:r>
              <w:rPr>
                <w:rFonts w:ascii="Arial" w:cs="Arial" w:eastAsia="Arial" w:hAnsi="Arial"/>
                <w:sz w:val="12"/>
                <w:szCs w:val="12"/>
                <w:color w:val="auto"/>
                <w:w w:val="89"/>
              </w:rPr>
              <w:t>24,599,092</w:t>
            </w:r>
          </w:p>
        </w:tc>
        <w:tc>
          <w:tcPr>
            <w:tcW w:w="2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20" w:type="dxa"/>
            <w:vAlign w:val="bottom"/>
          </w:tcPr>
          <w:p>
            <w:pPr>
              <w:jc w:val="right"/>
              <w:spacing w:after="0"/>
              <w:rPr>
                <w:sz w:val="20"/>
                <w:szCs w:val="20"/>
                <w:color w:val="auto"/>
              </w:rPr>
            </w:pPr>
            <w:r>
              <w:rPr>
                <w:rFonts w:ascii="Arial" w:cs="Arial" w:eastAsia="Arial" w:hAnsi="Arial"/>
                <w:sz w:val="12"/>
                <w:szCs w:val="12"/>
                <w:color w:val="auto"/>
                <w:w w:val="99"/>
              </w:rPr>
              <w:t>24,439,441</w:t>
            </w:r>
          </w:p>
        </w:tc>
        <w:tc>
          <w:tcPr>
            <w:tcW w:w="2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40" w:type="dxa"/>
            <w:vAlign w:val="bottom"/>
          </w:tcPr>
          <w:p>
            <w:pPr>
              <w:jc w:val="right"/>
              <w:spacing w:after="0"/>
              <w:rPr>
                <w:sz w:val="20"/>
                <w:szCs w:val="20"/>
                <w:color w:val="auto"/>
              </w:rPr>
            </w:pPr>
            <w:r>
              <w:rPr>
                <w:rFonts w:ascii="Arial" w:cs="Arial" w:eastAsia="Arial" w:hAnsi="Arial"/>
                <w:sz w:val="12"/>
                <w:szCs w:val="12"/>
                <w:color w:val="auto"/>
                <w:w w:val="99"/>
              </w:rPr>
              <w:t>24,599,092</w:t>
            </w:r>
          </w:p>
        </w:tc>
        <w:tc>
          <w:tcPr>
            <w:tcW w:w="100" w:type="dxa"/>
            <w:vAlign w:val="bottom"/>
          </w:tcPr>
          <w:p>
            <w:pPr>
              <w:spacing w:after="0"/>
              <w:rPr>
                <w:sz w:val="12"/>
                <w:szCs w:val="12"/>
                <w:color w:val="auto"/>
              </w:rPr>
            </w:pPr>
          </w:p>
        </w:tc>
      </w:tr>
      <w:tr>
        <w:trPr>
          <w:trHeight w:val="149"/>
        </w:trPr>
        <w:tc>
          <w:tcPr>
            <w:tcW w:w="3020" w:type="dxa"/>
            <w:vAlign w:val="bottom"/>
            <w:shd w:val="clear" w:color="auto" w:fill="CCECFF"/>
          </w:tcPr>
          <w:p>
            <w:pPr>
              <w:spacing w:after="0"/>
              <w:rPr>
                <w:sz w:val="20"/>
                <w:szCs w:val="20"/>
                <w:color w:val="auto"/>
              </w:rPr>
            </w:pPr>
            <w:r>
              <w:rPr>
                <w:rFonts w:ascii="Arial" w:cs="Arial" w:eastAsia="Arial" w:hAnsi="Arial"/>
                <w:sz w:val="12"/>
                <w:szCs w:val="12"/>
                <w:color w:val="auto"/>
              </w:rPr>
              <w:t>Juniper Landscaping of Florida, LLC</w:t>
            </w:r>
          </w:p>
        </w:tc>
        <w:tc>
          <w:tcPr>
            <w:tcW w:w="900" w:type="dxa"/>
            <w:vAlign w:val="bottom"/>
            <w:shd w:val="clear" w:color="auto" w:fill="CCECFF"/>
          </w:tcPr>
          <w:p>
            <w:pPr>
              <w:ind w:left="120"/>
              <w:spacing w:after="0"/>
              <w:rPr>
                <w:sz w:val="20"/>
                <w:szCs w:val="20"/>
                <w:color w:val="auto"/>
              </w:rPr>
            </w:pPr>
            <w:r>
              <w:rPr>
                <w:rFonts w:ascii="Arial" w:cs="Arial" w:eastAsia="Arial" w:hAnsi="Arial"/>
                <w:sz w:val="12"/>
                <w:szCs w:val="12"/>
                <w:color w:val="auto"/>
              </w:rPr>
              <w:t>12/22/2021</w:t>
            </w:r>
          </w:p>
        </w:tc>
        <w:tc>
          <w:tcPr>
            <w:tcW w:w="2780" w:type="dxa"/>
            <w:vAlign w:val="bottom"/>
            <w:gridSpan w:val="2"/>
            <w:shd w:val="clear" w:color="auto" w:fill="CCECFF"/>
          </w:tcPr>
          <w:p>
            <w:pPr>
              <w:jc w:val="center"/>
              <w:ind w:right="160"/>
              <w:spacing w:after="0"/>
              <w:rPr>
                <w:sz w:val="20"/>
                <w:szCs w:val="20"/>
                <w:color w:val="auto"/>
              </w:rPr>
            </w:pPr>
            <w:r>
              <w:rPr>
                <w:rFonts w:ascii="Arial" w:cs="Arial" w:eastAsia="Arial" w:hAnsi="Arial"/>
                <w:sz w:val="12"/>
                <w:szCs w:val="12"/>
                <w:color w:val="auto"/>
                <w:w w:val="86"/>
              </w:rPr>
              <w:t>Personal, Food and Miscellaneous Services</w:t>
            </w:r>
          </w:p>
        </w:tc>
        <w:tc>
          <w:tcPr>
            <w:tcW w:w="940" w:type="dxa"/>
            <w:vAlign w:val="bottom"/>
            <w:gridSpan w:val="2"/>
            <w:shd w:val="clear" w:color="auto" w:fill="CCECFF"/>
          </w:tcPr>
          <w:p>
            <w:pPr>
              <w:jc w:val="right"/>
              <w:ind w:right="180"/>
              <w:spacing w:after="0"/>
              <w:rPr>
                <w:sz w:val="20"/>
                <w:szCs w:val="20"/>
                <w:color w:val="auto"/>
              </w:rPr>
            </w:pPr>
            <w:r>
              <w:rPr>
                <w:rFonts w:ascii="Arial" w:cs="Arial" w:eastAsia="Arial" w:hAnsi="Arial"/>
                <w:sz w:val="12"/>
                <w:szCs w:val="12"/>
                <w:color w:val="auto"/>
              </w:rPr>
              <w:t>10.56%</w:t>
            </w:r>
          </w:p>
        </w:tc>
        <w:tc>
          <w:tcPr>
            <w:tcW w:w="680" w:type="dxa"/>
            <w:vAlign w:val="bottom"/>
            <w:shd w:val="clear" w:color="auto" w:fill="CCECFF"/>
          </w:tcPr>
          <w:p>
            <w:pPr>
              <w:jc w:val="right"/>
              <w:spacing w:after="0"/>
              <w:rPr>
                <w:sz w:val="20"/>
                <w:szCs w:val="20"/>
                <w:color w:val="auto"/>
              </w:rPr>
            </w:pPr>
            <w:r>
              <w:rPr>
                <w:rFonts w:ascii="Arial" w:cs="Arial" w:eastAsia="Arial" w:hAnsi="Arial"/>
                <w:sz w:val="12"/>
                <w:szCs w:val="12"/>
                <w:color w:val="auto"/>
              </w:rPr>
              <w:t>L+950</w:t>
            </w:r>
          </w:p>
        </w:tc>
        <w:tc>
          <w:tcPr>
            <w:tcW w:w="240" w:type="dxa"/>
            <w:vAlign w:val="bottom"/>
            <w:shd w:val="clear" w:color="auto" w:fill="CCECFF"/>
          </w:tcPr>
          <w:p>
            <w:pPr>
              <w:spacing w:after="0"/>
              <w:rPr>
                <w:sz w:val="12"/>
                <w:szCs w:val="12"/>
                <w:color w:val="auto"/>
              </w:rPr>
            </w:pPr>
          </w:p>
        </w:tc>
        <w:tc>
          <w:tcPr>
            <w:tcW w:w="100" w:type="dxa"/>
            <w:vAlign w:val="bottom"/>
            <w:shd w:val="clear" w:color="auto" w:fill="CCECFF"/>
          </w:tcPr>
          <w:p>
            <w:pPr>
              <w:spacing w:after="0"/>
              <w:rPr>
                <w:sz w:val="12"/>
                <w:szCs w:val="12"/>
                <w:color w:val="auto"/>
              </w:rPr>
            </w:pPr>
          </w:p>
        </w:tc>
        <w:tc>
          <w:tcPr>
            <w:tcW w:w="580" w:type="dxa"/>
            <w:vAlign w:val="bottom"/>
            <w:shd w:val="clear" w:color="auto" w:fill="CCECFF"/>
          </w:tcPr>
          <w:p>
            <w:pPr>
              <w:jc w:val="right"/>
              <w:spacing w:after="0"/>
              <w:rPr>
                <w:sz w:val="20"/>
                <w:szCs w:val="20"/>
                <w:color w:val="auto"/>
              </w:rPr>
            </w:pPr>
            <w:r>
              <w:rPr>
                <w:rFonts w:ascii="Arial" w:cs="Arial" w:eastAsia="Arial" w:hAnsi="Arial"/>
                <w:sz w:val="12"/>
                <w:szCs w:val="12"/>
                <w:color w:val="auto"/>
                <w:w w:val="89"/>
              </w:rPr>
              <w:t>14,083,875</w:t>
            </w:r>
          </w:p>
        </w:tc>
        <w:tc>
          <w:tcPr>
            <w:tcW w:w="240" w:type="dxa"/>
            <w:vAlign w:val="bottom"/>
            <w:shd w:val="clear" w:color="auto" w:fill="CCECFF"/>
          </w:tcPr>
          <w:p>
            <w:pPr>
              <w:spacing w:after="0"/>
              <w:rPr>
                <w:sz w:val="12"/>
                <w:szCs w:val="12"/>
                <w:color w:val="auto"/>
              </w:rPr>
            </w:pPr>
          </w:p>
        </w:tc>
        <w:tc>
          <w:tcPr>
            <w:tcW w:w="80" w:type="dxa"/>
            <w:vAlign w:val="bottom"/>
            <w:shd w:val="clear" w:color="auto" w:fill="CCECFF"/>
          </w:tcPr>
          <w:p>
            <w:pPr>
              <w:spacing w:after="0"/>
              <w:rPr>
                <w:sz w:val="12"/>
                <w:szCs w:val="12"/>
                <w:color w:val="auto"/>
              </w:rPr>
            </w:pPr>
          </w:p>
        </w:tc>
        <w:tc>
          <w:tcPr>
            <w:tcW w:w="620" w:type="dxa"/>
            <w:vAlign w:val="bottom"/>
            <w:shd w:val="clear" w:color="auto" w:fill="CCECFF"/>
          </w:tcPr>
          <w:p>
            <w:pPr>
              <w:jc w:val="right"/>
              <w:spacing w:after="0"/>
              <w:rPr>
                <w:sz w:val="20"/>
                <w:szCs w:val="20"/>
                <w:color w:val="auto"/>
              </w:rPr>
            </w:pPr>
            <w:r>
              <w:rPr>
                <w:rFonts w:ascii="Arial" w:cs="Arial" w:eastAsia="Arial" w:hAnsi="Arial"/>
                <w:sz w:val="12"/>
                <w:szCs w:val="12"/>
                <w:color w:val="auto"/>
                <w:w w:val="99"/>
              </w:rPr>
              <w:t>13,824,916</w:t>
            </w:r>
          </w:p>
        </w:tc>
        <w:tc>
          <w:tcPr>
            <w:tcW w:w="240" w:type="dxa"/>
            <w:vAlign w:val="bottom"/>
            <w:shd w:val="clear" w:color="auto" w:fill="CCECFF"/>
          </w:tcPr>
          <w:p>
            <w:pPr>
              <w:spacing w:after="0"/>
              <w:rPr>
                <w:sz w:val="12"/>
                <w:szCs w:val="12"/>
                <w:color w:val="auto"/>
              </w:rPr>
            </w:pPr>
          </w:p>
        </w:tc>
        <w:tc>
          <w:tcPr>
            <w:tcW w:w="80" w:type="dxa"/>
            <w:vAlign w:val="bottom"/>
            <w:shd w:val="clear" w:color="auto" w:fill="CCECFF"/>
          </w:tcPr>
          <w:p>
            <w:pPr>
              <w:spacing w:after="0"/>
              <w:rPr>
                <w:sz w:val="12"/>
                <w:szCs w:val="12"/>
                <w:color w:val="auto"/>
              </w:rPr>
            </w:pPr>
          </w:p>
        </w:tc>
        <w:tc>
          <w:tcPr>
            <w:tcW w:w="640" w:type="dxa"/>
            <w:vAlign w:val="bottom"/>
            <w:shd w:val="clear" w:color="auto" w:fill="CCECFF"/>
          </w:tcPr>
          <w:p>
            <w:pPr>
              <w:jc w:val="right"/>
              <w:spacing w:after="0"/>
              <w:rPr>
                <w:sz w:val="20"/>
                <w:szCs w:val="20"/>
                <w:color w:val="auto"/>
              </w:rPr>
            </w:pPr>
            <w:r>
              <w:rPr>
                <w:rFonts w:ascii="Arial" w:cs="Arial" w:eastAsia="Arial" w:hAnsi="Arial"/>
                <w:sz w:val="12"/>
                <w:szCs w:val="12"/>
                <w:color w:val="auto"/>
                <w:w w:val="99"/>
              </w:rPr>
              <w:t>14,048,665</w:t>
            </w:r>
          </w:p>
        </w:tc>
        <w:tc>
          <w:tcPr>
            <w:tcW w:w="100" w:type="dxa"/>
            <w:vAlign w:val="bottom"/>
            <w:shd w:val="clear" w:color="auto" w:fill="CCECFF"/>
          </w:tcPr>
          <w:p>
            <w:pPr>
              <w:spacing w:after="0"/>
              <w:rPr>
                <w:sz w:val="12"/>
                <w:szCs w:val="12"/>
                <w:color w:val="auto"/>
              </w:rPr>
            </w:pPr>
          </w:p>
        </w:tc>
      </w:tr>
      <w:tr>
        <w:trPr>
          <w:trHeight w:val="148"/>
        </w:trPr>
        <w:tc>
          <w:tcPr>
            <w:tcW w:w="3020" w:type="dxa"/>
            <w:vAlign w:val="bottom"/>
          </w:tcPr>
          <w:p>
            <w:pPr>
              <w:spacing w:after="0"/>
              <w:rPr>
                <w:sz w:val="20"/>
                <w:szCs w:val="20"/>
                <w:color w:val="auto"/>
              </w:rPr>
            </w:pPr>
            <w:r>
              <w:rPr>
                <w:rFonts w:ascii="Arial" w:cs="Arial" w:eastAsia="Arial" w:hAnsi="Arial"/>
                <w:sz w:val="12"/>
                <w:szCs w:val="12"/>
                <w:color w:val="auto"/>
              </w:rPr>
              <w:t>Juniper Landscaping of Florida, LLC (Revolver)</w:t>
            </w:r>
          </w:p>
        </w:tc>
        <w:tc>
          <w:tcPr>
            <w:tcW w:w="900" w:type="dxa"/>
            <w:vAlign w:val="bottom"/>
          </w:tcPr>
          <w:p>
            <w:pPr>
              <w:ind w:left="120"/>
              <w:spacing w:after="0"/>
              <w:rPr>
                <w:sz w:val="20"/>
                <w:szCs w:val="20"/>
                <w:color w:val="auto"/>
              </w:rPr>
            </w:pPr>
            <w:r>
              <w:rPr>
                <w:rFonts w:ascii="Arial" w:cs="Arial" w:eastAsia="Arial" w:hAnsi="Arial"/>
                <w:sz w:val="12"/>
                <w:szCs w:val="12"/>
                <w:color w:val="auto"/>
              </w:rPr>
              <w:t>12/22/2021</w:t>
            </w:r>
          </w:p>
        </w:tc>
        <w:tc>
          <w:tcPr>
            <w:tcW w:w="2780" w:type="dxa"/>
            <w:vAlign w:val="bottom"/>
            <w:gridSpan w:val="2"/>
          </w:tcPr>
          <w:p>
            <w:pPr>
              <w:jc w:val="center"/>
              <w:ind w:right="160"/>
              <w:spacing w:after="0"/>
              <w:rPr>
                <w:sz w:val="20"/>
                <w:szCs w:val="20"/>
                <w:color w:val="auto"/>
              </w:rPr>
            </w:pPr>
            <w:r>
              <w:rPr>
                <w:rFonts w:ascii="Arial" w:cs="Arial" w:eastAsia="Arial" w:hAnsi="Arial"/>
                <w:sz w:val="12"/>
                <w:szCs w:val="12"/>
                <w:color w:val="auto"/>
                <w:w w:val="86"/>
              </w:rPr>
              <w:t>Personal, Food and Miscellaneous Services</w:t>
            </w:r>
          </w:p>
        </w:tc>
        <w:tc>
          <w:tcPr>
            <w:tcW w:w="940" w:type="dxa"/>
            <w:vAlign w:val="bottom"/>
            <w:gridSpan w:val="2"/>
          </w:tcPr>
          <w:p>
            <w:pPr>
              <w:jc w:val="right"/>
              <w:ind w:right="180"/>
              <w:spacing w:after="0"/>
              <w:rPr>
                <w:sz w:val="20"/>
                <w:szCs w:val="20"/>
                <w:color w:val="auto"/>
              </w:rPr>
            </w:pPr>
            <w:r>
              <w:rPr>
                <w:rFonts w:ascii="Arial" w:cs="Arial" w:eastAsia="Arial" w:hAnsi="Arial"/>
                <w:sz w:val="12"/>
                <w:szCs w:val="12"/>
                <w:color w:val="auto"/>
              </w:rPr>
              <w:t>10.61%</w:t>
            </w:r>
          </w:p>
        </w:tc>
        <w:tc>
          <w:tcPr>
            <w:tcW w:w="680" w:type="dxa"/>
            <w:vAlign w:val="bottom"/>
          </w:tcPr>
          <w:p>
            <w:pPr>
              <w:jc w:val="right"/>
              <w:spacing w:after="0"/>
              <w:rPr>
                <w:sz w:val="20"/>
                <w:szCs w:val="20"/>
                <w:color w:val="auto"/>
              </w:rPr>
            </w:pPr>
            <w:r>
              <w:rPr>
                <w:rFonts w:ascii="Arial" w:cs="Arial" w:eastAsia="Arial" w:hAnsi="Arial"/>
                <w:sz w:val="12"/>
                <w:szCs w:val="12"/>
                <w:color w:val="auto"/>
              </w:rPr>
              <w:t>L+950</w:t>
            </w:r>
          </w:p>
        </w:tc>
        <w:tc>
          <w:tcPr>
            <w:tcW w:w="2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80" w:type="dxa"/>
            <w:vAlign w:val="bottom"/>
          </w:tcPr>
          <w:p>
            <w:pPr>
              <w:jc w:val="right"/>
              <w:spacing w:after="0"/>
              <w:rPr>
                <w:sz w:val="20"/>
                <w:szCs w:val="20"/>
                <w:color w:val="auto"/>
              </w:rPr>
            </w:pPr>
            <w:r>
              <w:rPr>
                <w:rFonts w:ascii="Arial" w:cs="Arial" w:eastAsia="Arial" w:hAnsi="Arial"/>
                <w:sz w:val="12"/>
                <w:szCs w:val="12"/>
                <w:color w:val="auto"/>
              </w:rPr>
              <w:t>720,000</w:t>
            </w:r>
          </w:p>
        </w:tc>
        <w:tc>
          <w:tcPr>
            <w:tcW w:w="2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20" w:type="dxa"/>
            <w:vAlign w:val="bottom"/>
          </w:tcPr>
          <w:p>
            <w:pPr>
              <w:jc w:val="right"/>
              <w:spacing w:after="0"/>
              <w:rPr>
                <w:sz w:val="20"/>
                <w:szCs w:val="20"/>
                <w:color w:val="auto"/>
              </w:rPr>
            </w:pPr>
            <w:r>
              <w:rPr>
                <w:rFonts w:ascii="Arial" w:cs="Arial" w:eastAsia="Arial" w:hAnsi="Arial"/>
                <w:sz w:val="12"/>
                <w:szCs w:val="12"/>
                <w:color w:val="auto"/>
              </w:rPr>
              <w:t>720,000</w:t>
            </w:r>
          </w:p>
        </w:tc>
        <w:tc>
          <w:tcPr>
            <w:tcW w:w="2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40" w:type="dxa"/>
            <w:vAlign w:val="bottom"/>
          </w:tcPr>
          <w:p>
            <w:pPr>
              <w:jc w:val="right"/>
              <w:spacing w:after="0"/>
              <w:rPr>
                <w:sz w:val="20"/>
                <w:szCs w:val="20"/>
                <w:color w:val="auto"/>
              </w:rPr>
            </w:pPr>
            <w:r>
              <w:rPr>
                <w:rFonts w:ascii="Arial" w:cs="Arial" w:eastAsia="Arial" w:hAnsi="Arial"/>
                <w:sz w:val="12"/>
                <w:szCs w:val="12"/>
                <w:color w:val="auto"/>
              </w:rPr>
              <w:t>720,000</w:t>
            </w:r>
          </w:p>
        </w:tc>
        <w:tc>
          <w:tcPr>
            <w:tcW w:w="100" w:type="dxa"/>
            <w:vAlign w:val="bottom"/>
          </w:tcPr>
          <w:p>
            <w:pPr>
              <w:spacing w:after="0"/>
              <w:rPr>
                <w:sz w:val="12"/>
                <w:szCs w:val="12"/>
                <w:color w:val="auto"/>
              </w:rPr>
            </w:pPr>
          </w:p>
        </w:tc>
      </w:tr>
      <w:tr>
        <w:trPr>
          <w:trHeight w:val="148"/>
        </w:trPr>
        <w:tc>
          <w:tcPr>
            <w:tcW w:w="3020" w:type="dxa"/>
            <w:vAlign w:val="bottom"/>
            <w:shd w:val="clear" w:color="auto" w:fill="CCECFF"/>
          </w:tcPr>
          <w:p>
            <w:pPr>
              <w:spacing w:after="0"/>
              <w:rPr>
                <w:sz w:val="20"/>
                <w:szCs w:val="20"/>
                <w:color w:val="auto"/>
              </w:rPr>
            </w:pPr>
            <w:r>
              <w:rPr>
                <w:rFonts w:ascii="Arial" w:cs="Arial" w:eastAsia="Arial" w:hAnsi="Arial"/>
                <w:sz w:val="12"/>
                <w:szCs w:val="12"/>
                <w:color w:val="auto"/>
              </w:rPr>
              <w:t xml:space="preserve">Juniper Landscaping of Florida, LLC (Revolver) </w:t>
            </w:r>
            <w:r>
              <w:rPr>
                <w:rFonts w:ascii="Arial" w:cs="Arial" w:eastAsia="Arial" w:hAnsi="Arial"/>
                <w:sz w:val="9"/>
                <w:szCs w:val="9"/>
                <w:color w:val="auto"/>
              </w:rPr>
              <w:t>(8)</w:t>
            </w:r>
          </w:p>
        </w:tc>
        <w:tc>
          <w:tcPr>
            <w:tcW w:w="900" w:type="dxa"/>
            <w:vAlign w:val="bottom"/>
            <w:shd w:val="clear" w:color="auto" w:fill="CCECFF"/>
          </w:tcPr>
          <w:p>
            <w:pPr>
              <w:ind w:left="120"/>
              <w:spacing w:after="0"/>
              <w:rPr>
                <w:sz w:val="20"/>
                <w:szCs w:val="20"/>
                <w:color w:val="auto"/>
              </w:rPr>
            </w:pPr>
            <w:r>
              <w:rPr>
                <w:rFonts w:ascii="Arial" w:cs="Arial" w:eastAsia="Arial" w:hAnsi="Arial"/>
                <w:sz w:val="12"/>
                <w:szCs w:val="12"/>
                <w:color w:val="auto"/>
              </w:rPr>
              <w:t>12/22/2021</w:t>
            </w:r>
          </w:p>
        </w:tc>
        <w:tc>
          <w:tcPr>
            <w:tcW w:w="2780" w:type="dxa"/>
            <w:vAlign w:val="bottom"/>
            <w:gridSpan w:val="2"/>
            <w:shd w:val="clear" w:color="auto" w:fill="CCECFF"/>
          </w:tcPr>
          <w:p>
            <w:pPr>
              <w:jc w:val="center"/>
              <w:ind w:right="160"/>
              <w:spacing w:after="0"/>
              <w:rPr>
                <w:sz w:val="20"/>
                <w:szCs w:val="20"/>
                <w:color w:val="auto"/>
              </w:rPr>
            </w:pPr>
            <w:r>
              <w:rPr>
                <w:rFonts w:ascii="Arial" w:cs="Arial" w:eastAsia="Arial" w:hAnsi="Arial"/>
                <w:sz w:val="12"/>
                <w:szCs w:val="12"/>
                <w:color w:val="auto"/>
                <w:w w:val="86"/>
              </w:rPr>
              <w:t>Personal, Food and Miscellaneous Services</w:t>
            </w:r>
          </w:p>
        </w:tc>
        <w:tc>
          <w:tcPr>
            <w:tcW w:w="940" w:type="dxa"/>
            <w:vAlign w:val="bottom"/>
            <w:gridSpan w:val="2"/>
            <w:shd w:val="clear" w:color="auto" w:fill="CCECFF"/>
          </w:tcPr>
          <w:p>
            <w:pPr>
              <w:jc w:val="right"/>
              <w:ind w:right="280"/>
              <w:spacing w:after="0"/>
              <w:rPr>
                <w:sz w:val="20"/>
                <w:szCs w:val="20"/>
                <w:color w:val="auto"/>
              </w:rPr>
            </w:pPr>
            <w:r>
              <w:rPr>
                <w:rFonts w:ascii="Arial" w:cs="Arial" w:eastAsia="Arial" w:hAnsi="Arial"/>
                <w:sz w:val="12"/>
                <w:szCs w:val="12"/>
                <w:color w:val="auto"/>
              </w:rPr>
              <w:t>—</w:t>
            </w:r>
          </w:p>
        </w:tc>
        <w:tc>
          <w:tcPr>
            <w:tcW w:w="680" w:type="dxa"/>
            <w:vAlign w:val="bottom"/>
            <w:shd w:val="clear" w:color="auto" w:fill="CCECFF"/>
          </w:tcPr>
          <w:p>
            <w:pPr>
              <w:jc w:val="right"/>
              <w:spacing w:after="0"/>
              <w:rPr>
                <w:sz w:val="20"/>
                <w:szCs w:val="20"/>
                <w:color w:val="auto"/>
              </w:rPr>
            </w:pPr>
            <w:r>
              <w:rPr>
                <w:rFonts w:ascii="Arial" w:cs="Arial" w:eastAsia="Arial" w:hAnsi="Arial"/>
                <w:sz w:val="12"/>
                <w:szCs w:val="12"/>
                <w:color w:val="auto"/>
              </w:rPr>
              <w:t>—</w:t>
            </w:r>
          </w:p>
        </w:tc>
        <w:tc>
          <w:tcPr>
            <w:tcW w:w="240" w:type="dxa"/>
            <w:vAlign w:val="bottom"/>
            <w:shd w:val="clear" w:color="auto" w:fill="CCECFF"/>
          </w:tcPr>
          <w:p>
            <w:pPr>
              <w:spacing w:after="0"/>
              <w:rPr>
                <w:sz w:val="12"/>
                <w:szCs w:val="12"/>
                <w:color w:val="auto"/>
              </w:rPr>
            </w:pPr>
          </w:p>
        </w:tc>
        <w:tc>
          <w:tcPr>
            <w:tcW w:w="100" w:type="dxa"/>
            <w:vAlign w:val="bottom"/>
            <w:shd w:val="clear" w:color="auto" w:fill="CCECFF"/>
          </w:tcPr>
          <w:p>
            <w:pPr>
              <w:spacing w:after="0"/>
              <w:rPr>
                <w:sz w:val="12"/>
                <w:szCs w:val="12"/>
                <w:color w:val="auto"/>
              </w:rPr>
            </w:pPr>
          </w:p>
        </w:tc>
        <w:tc>
          <w:tcPr>
            <w:tcW w:w="580" w:type="dxa"/>
            <w:vAlign w:val="bottom"/>
            <w:shd w:val="clear" w:color="auto" w:fill="CCECFF"/>
          </w:tcPr>
          <w:p>
            <w:pPr>
              <w:jc w:val="right"/>
              <w:spacing w:after="0"/>
              <w:rPr>
                <w:sz w:val="20"/>
                <w:szCs w:val="20"/>
                <w:color w:val="auto"/>
              </w:rPr>
            </w:pPr>
            <w:r>
              <w:rPr>
                <w:rFonts w:ascii="Arial" w:cs="Arial" w:eastAsia="Arial" w:hAnsi="Arial"/>
                <w:sz w:val="12"/>
                <w:szCs w:val="12"/>
                <w:color w:val="auto"/>
              </w:rPr>
              <w:t>2,880,000</w:t>
            </w:r>
          </w:p>
        </w:tc>
        <w:tc>
          <w:tcPr>
            <w:tcW w:w="240" w:type="dxa"/>
            <w:vAlign w:val="bottom"/>
            <w:shd w:val="clear" w:color="auto" w:fill="CCECFF"/>
          </w:tcPr>
          <w:p>
            <w:pPr>
              <w:spacing w:after="0"/>
              <w:rPr>
                <w:sz w:val="12"/>
                <w:szCs w:val="12"/>
                <w:color w:val="auto"/>
              </w:rPr>
            </w:pPr>
          </w:p>
        </w:tc>
        <w:tc>
          <w:tcPr>
            <w:tcW w:w="80" w:type="dxa"/>
            <w:vAlign w:val="bottom"/>
            <w:shd w:val="clear" w:color="auto" w:fill="CCECFF"/>
          </w:tcPr>
          <w:p>
            <w:pPr>
              <w:spacing w:after="0"/>
              <w:rPr>
                <w:sz w:val="12"/>
                <w:szCs w:val="12"/>
                <w:color w:val="auto"/>
              </w:rPr>
            </w:pPr>
          </w:p>
        </w:tc>
        <w:tc>
          <w:tcPr>
            <w:tcW w:w="620" w:type="dxa"/>
            <w:vAlign w:val="bottom"/>
            <w:shd w:val="clear" w:color="auto" w:fill="CCECFF"/>
          </w:tcPr>
          <w:p>
            <w:pPr>
              <w:jc w:val="right"/>
              <w:spacing w:after="0"/>
              <w:rPr>
                <w:sz w:val="20"/>
                <w:szCs w:val="20"/>
                <w:color w:val="auto"/>
              </w:rPr>
            </w:pPr>
            <w:r>
              <w:rPr>
                <w:rFonts w:ascii="Arial" w:cs="Arial" w:eastAsia="Arial" w:hAnsi="Arial"/>
                <w:sz w:val="12"/>
                <w:szCs w:val="12"/>
                <w:color w:val="auto"/>
              </w:rPr>
              <w:t>—</w:t>
            </w:r>
          </w:p>
        </w:tc>
        <w:tc>
          <w:tcPr>
            <w:tcW w:w="240" w:type="dxa"/>
            <w:vAlign w:val="bottom"/>
            <w:shd w:val="clear" w:color="auto" w:fill="CCECFF"/>
          </w:tcPr>
          <w:p>
            <w:pPr>
              <w:spacing w:after="0"/>
              <w:rPr>
                <w:sz w:val="12"/>
                <w:szCs w:val="12"/>
                <w:color w:val="auto"/>
              </w:rPr>
            </w:pPr>
          </w:p>
        </w:tc>
        <w:tc>
          <w:tcPr>
            <w:tcW w:w="80" w:type="dxa"/>
            <w:vAlign w:val="bottom"/>
            <w:shd w:val="clear" w:color="auto" w:fill="CCECFF"/>
          </w:tcPr>
          <w:p>
            <w:pPr>
              <w:spacing w:after="0"/>
              <w:rPr>
                <w:sz w:val="12"/>
                <w:szCs w:val="12"/>
                <w:color w:val="auto"/>
              </w:rPr>
            </w:pPr>
          </w:p>
        </w:tc>
        <w:tc>
          <w:tcPr>
            <w:tcW w:w="740" w:type="dxa"/>
            <w:vAlign w:val="bottom"/>
            <w:gridSpan w:val="2"/>
            <w:shd w:val="clear" w:color="auto" w:fill="CCECFF"/>
          </w:tcPr>
          <w:p>
            <w:pPr>
              <w:jc w:val="right"/>
              <w:ind w:right="120"/>
              <w:spacing w:after="0"/>
              <w:rPr>
                <w:sz w:val="20"/>
                <w:szCs w:val="20"/>
                <w:color w:val="auto"/>
              </w:rPr>
            </w:pPr>
            <w:r>
              <w:rPr>
                <w:rFonts w:ascii="Arial" w:cs="Arial" w:eastAsia="Arial" w:hAnsi="Arial"/>
                <w:sz w:val="12"/>
                <w:szCs w:val="12"/>
                <w:color w:val="auto"/>
              </w:rPr>
              <w:t>—</w:t>
            </w:r>
          </w:p>
        </w:tc>
      </w:tr>
      <w:tr>
        <w:trPr>
          <w:trHeight w:val="148"/>
        </w:trPr>
        <w:tc>
          <w:tcPr>
            <w:tcW w:w="3020" w:type="dxa"/>
            <w:vAlign w:val="bottom"/>
          </w:tcPr>
          <w:p>
            <w:pPr>
              <w:spacing w:after="0"/>
              <w:rPr>
                <w:sz w:val="20"/>
                <w:szCs w:val="20"/>
                <w:color w:val="auto"/>
              </w:rPr>
            </w:pPr>
            <w:r>
              <w:rPr>
                <w:rFonts w:ascii="Arial" w:cs="Arial" w:eastAsia="Arial" w:hAnsi="Arial"/>
                <w:sz w:val="12"/>
                <w:szCs w:val="12"/>
                <w:color w:val="auto"/>
              </w:rPr>
              <w:t>K2 Pure Solutions NoCal, L.P.</w:t>
            </w:r>
          </w:p>
        </w:tc>
        <w:tc>
          <w:tcPr>
            <w:tcW w:w="900" w:type="dxa"/>
            <w:vAlign w:val="bottom"/>
          </w:tcPr>
          <w:p>
            <w:pPr>
              <w:ind w:left="120"/>
              <w:spacing w:after="0"/>
              <w:rPr>
                <w:sz w:val="20"/>
                <w:szCs w:val="20"/>
                <w:color w:val="auto"/>
              </w:rPr>
            </w:pPr>
            <w:r>
              <w:rPr>
                <w:rFonts w:ascii="Arial" w:cs="Arial" w:eastAsia="Arial" w:hAnsi="Arial"/>
                <w:sz w:val="12"/>
                <w:szCs w:val="12"/>
                <w:color w:val="auto"/>
              </w:rPr>
              <w:t>02/19/2021</w:t>
            </w:r>
          </w:p>
        </w:tc>
        <w:tc>
          <w:tcPr>
            <w:tcW w:w="2780" w:type="dxa"/>
            <w:vAlign w:val="bottom"/>
            <w:gridSpan w:val="2"/>
          </w:tcPr>
          <w:p>
            <w:pPr>
              <w:jc w:val="center"/>
              <w:ind w:right="140"/>
              <w:spacing w:after="0"/>
              <w:rPr>
                <w:sz w:val="20"/>
                <w:szCs w:val="20"/>
                <w:color w:val="auto"/>
              </w:rPr>
            </w:pPr>
            <w:r>
              <w:rPr>
                <w:rFonts w:ascii="Arial" w:cs="Arial" w:eastAsia="Arial" w:hAnsi="Arial"/>
                <w:sz w:val="12"/>
                <w:szCs w:val="12"/>
                <w:color w:val="auto"/>
                <w:w w:val="87"/>
              </w:rPr>
              <w:t>Chemicals, Plastics and Rubber</w:t>
            </w:r>
          </w:p>
        </w:tc>
        <w:tc>
          <w:tcPr>
            <w:tcW w:w="940" w:type="dxa"/>
            <w:vAlign w:val="bottom"/>
            <w:gridSpan w:val="2"/>
          </w:tcPr>
          <w:p>
            <w:pPr>
              <w:jc w:val="right"/>
              <w:ind w:right="180"/>
              <w:spacing w:after="0"/>
              <w:rPr>
                <w:sz w:val="20"/>
                <w:szCs w:val="20"/>
                <w:color w:val="auto"/>
              </w:rPr>
            </w:pPr>
            <w:r>
              <w:rPr>
                <w:rFonts w:ascii="Arial" w:cs="Arial" w:eastAsia="Arial" w:hAnsi="Arial"/>
                <w:sz w:val="12"/>
                <w:szCs w:val="12"/>
                <w:color w:val="auto"/>
              </w:rPr>
              <w:t>10.23%</w:t>
            </w:r>
          </w:p>
        </w:tc>
        <w:tc>
          <w:tcPr>
            <w:tcW w:w="680" w:type="dxa"/>
            <w:vAlign w:val="bottom"/>
          </w:tcPr>
          <w:p>
            <w:pPr>
              <w:jc w:val="right"/>
              <w:spacing w:after="0"/>
              <w:rPr>
                <w:sz w:val="20"/>
                <w:szCs w:val="20"/>
                <w:color w:val="auto"/>
              </w:rPr>
            </w:pPr>
            <w:r>
              <w:rPr>
                <w:rFonts w:ascii="Arial" w:cs="Arial" w:eastAsia="Arial" w:hAnsi="Arial"/>
                <w:sz w:val="12"/>
                <w:szCs w:val="12"/>
                <w:color w:val="auto"/>
              </w:rPr>
              <w:t>L+900</w:t>
            </w:r>
          </w:p>
        </w:tc>
        <w:tc>
          <w:tcPr>
            <w:tcW w:w="2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80" w:type="dxa"/>
            <w:vAlign w:val="bottom"/>
          </w:tcPr>
          <w:p>
            <w:pPr>
              <w:jc w:val="right"/>
              <w:spacing w:after="0"/>
              <w:rPr>
                <w:sz w:val="20"/>
                <w:szCs w:val="20"/>
                <w:color w:val="auto"/>
              </w:rPr>
            </w:pPr>
            <w:r>
              <w:rPr>
                <w:rFonts w:ascii="Arial" w:cs="Arial" w:eastAsia="Arial" w:hAnsi="Arial"/>
                <w:sz w:val="12"/>
                <w:szCs w:val="12"/>
                <w:color w:val="auto"/>
                <w:w w:val="89"/>
              </w:rPr>
              <w:t>14,522,529</w:t>
            </w:r>
          </w:p>
        </w:tc>
        <w:tc>
          <w:tcPr>
            <w:tcW w:w="2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20" w:type="dxa"/>
            <w:vAlign w:val="bottom"/>
          </w:tcPr>
          <w:p>
            <w:pPr>
              <w:jc w:val="right"/>
              <w:spacing w:after="0"/>
              <w:rPr>
                <w:sz w:val="20"/>
                <w:szCs w:val="20"/>
                <w:color w:val="auto"/>
              </w:rPr>
            </w:pPr>
            <w:r>
              <w:rPr>
                <w:rFonts w:ascii="Arial" w:cs="Arial" w:eastAsia="Arial" w:hAnsi="Arial"/>
                <w:sz w:val="12"/>
                <w:szCs w:val="12"/>
                <w:color w:val="auto"/>
                <w:w w:val="99"/>
              </w:rPr>
              <w:t>14,285,881</w:t>
            </w:r>
          </w:p>
        </w:tc>
        <w:tc>
          <w:tcPr>
            <w:tcW w:w="2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40" w:type="dxa"/>
            <w:vAlign w:val="bottom"/>
          </w:tcPr>
          <w:p>
            <w:pPr>
              <w:jc w:val="right"/>
              <w:spacing w:after="0"/>
              <w:rPr>
                <w:sz w:val="20"/>
                <w:szCs w:val="20"/>
                <w:color w:val="auto"/>
              </w:rPr>
            </w:pPr>
            <w:r>
              <w:rPr>
                <w:rFonts w:ascii="Arial" w:cs="Arial" w:eastAsia="Arial" w:hAnsi="Arial"/>
                <w:sz w:val="12"/>
                <w:szCs w:val="12"/>
                <w:color w:val="auto"/>
                <w:w w:val="99"/>
              </w:rPr>
              <w:t>14,359,545</w:t>
            </w:r>
          </w:p>
        </w:tc>
        <w:tc>
          <w:tcPr>
            <w:tcW w:w="100" w:type="dxa"/>
            <w:vAlign w:val="bottom"/>
          </w:tcPr>
          <w:p>
            <w:pPr>
              <w:spacing w:after="0"/>
              <w:rPr>
                <w:sz w:val="12"/>
                <w:szCs w:val="12"/>
                <w:color w:val="auto"/>
              </w:rPr>
            </w:pPr>
          </w:p>
        </w:tc>
      </w:tr>
      <w:tr>
        <w:trPr>
          <w:trHeight w:val="148"/>
        </w:trPr>
        <w:tc>
          <w:tcPr>
            <w:tcW w:w="3020" w:type="dxa"/>
            <w:vAlign w:val="bottom"/>
            <w:shd w:val="clear" w:color="auto" w:fill="CCECFF"/>
          </w:tcPr>
          <w:p>
            <w:pPr>
              <w:spacing w:after="0"/>
              <w:rPr>
                <w:sz w:val="20"/>
                <w:szCs w:val="20"/>
                <w:color w:val="auto"/>
              </w:rPr>
            </w:pPr>
            <w:r>
              <w:rPr>
                <w:rFonts w:ascii="Arial" w:cs="Arial" w:eastAsia="Arial" w:hAnsi="Arial"/>
                <w:sz w:val="12"/>
                <w:szCs w:val="12"/>
                <w:color w:val="auto"/>
              </w:rPr>
              <w:t>One Sixty Over Ninety, LLC</w:t>
            </w:r>
          </w:p>
        </w:tc>
        <w:tc>
          <w:tcPr>
            <w:tcW w:w="900" w:type="dxa"/>
            <w:vAlign w:val="bottom"/>
            <w:shd w:val="clear" w:color="auto" w:fill="CCECFF"/>
          </w:tcPr>
          <w:p>
            <w:pPr>
              <w:ind w:left="120"/>
              <w:spacing w:after="0"/>
              <w:rPr>
                <w:sz w:val="20"/>
                <w:szCs w:val="20"/>
                <w:color w:val="auto"/>
              </w:rPr>
            </w:pPr>
            <w:r>
              <w:rPr>
                <w:rFonts w:ascii="Arial" w:cs="Arial" w:eastAsia="Arial" w:hAnsi="Arial"/>
                <w:sz w:val="12"/>
                <w:szCs w:val="12"/>
                <w:color w:val="auto"/>
              </w:rPr>
              <w:t>03/03/2022</w:t>
            </w:r>
          </w:p>
        </w:tc>
        <w:tc>
          <w:tcPr>
            <w:tcW w:w="2780" w:type="dxa"/>
            <w:vAlign w:val="bottom"/>
            <w:gridSpan w:val="2"/>
            <w:shd w:val="clear" w:color="auto" w:fill="CCECFF"/>
          </w:tcPr>
          <w:p>
            <w:pPr>
              <w:jc w:val="center"/>
              <w:ind w:right="160"/>
              <w:spacing w:after="0"/>
              <w:rPr>
                <w:sz w:val="20"/>
                <w:szCs w:val="20"/>
                <w:color w:val="auto"/>
              </w:rPr>
            </w:pPr>
            <w:r>
              <w:rPr>
                <w:rFonts w:ascii="Arial" w:cs="Arial" w:eastAsia="Arial" w:hAnsi="Arial"/>
                <w:sz w:val="12"/>
                <w:szCs w:val="12"/>
                <w:color w:val="auto"/>
                <w:w w:val="91"/>
              </w:rPr>
              <w:t>Media</w:t>
            </w:r>
          </w:p>
        </w:tc>
        <w:tc>
          <w:tcPr>
            <w:tcW w:w="940" w:type="dxa"/>
            <w:vAlign w:val="bottom"/>
            <w:gridSpan w:val="2"/>
            <w:shd w:val="clear" w:color="auto" w:fill="CCECFF"/>
          </w:tcPr>
          <w:p>
            <w:pPr>
              <w:jc w:val="right"/>
              <w:ind w:right="180"/>
              <w:spacing w:after="0"/>
              <w:rPr>
                <w:sz w:val="20"/>
                <w:szCs w:val="20"/>
                <w:color w:val="auto"/>
              </w:rPr>
            </w:pPr>
            <w:r>
              <w:rPr>
                <w:rFonts w:ascii="Arial" w:cs="Arial" w:eastAsia="Arial" w:hAnsi="Arial"/>
                <w:sz w:val="12"/>
                <w:szCs w:val="12"/>
                <w:color w:val="auto"/>
              </w:rPr>
              <w:t>10.51%</w:t>
            </w:r>
          </w:p>
        </w:tc>
        <w:tc>
          <w:tcPr>
            <w:tcW w:w="680" w:type="dxa"/>
            <w:vAlign w:val="bottom"/>
            <w:shd w:val="clear" w:color="auto" w:fill="CCECFF"/>
          </w:tcPr>
          <w:p>
            <w:pPr>
              <w:jc w:val="right"/>
              <w:spacing w:after="0"/>
              <w:rPr>
                <w:sz w:val="20"/>
                <w:szCs w:val="20"/>
                <w:color w:val="auto"/>
              </w:rPr>
            </w:pPr>
            <w:r>
              <w:rPr>
                <w:rFonts w:ascii="Arial" w:cs="Arial" w:eastAsia="Arial" w:hAnsi="Arial"/>
                <w:sz w:val="12"/>
                <w:szCs w:val="12"/>
                <w:color w:val="auto"/>
              </w:rPr>
              <w:t>L+921</w:t>
            </w:r>
          </w:p>
        </w:tc>
        <w:tc>
          <w:tcPr>
            <w:tcW w:w="240" w:type="dxa"/>
            <w:vAlign w:val="bottom"/>
            <w:shd w:val="clear" w:color="auto" w:fill="CCECFF"/>
          </w:tcPr>
          <w:p>
            <w:pPr>
              <w:spacing w:after="0"/>
              <w:rPr>
                <w:sz w:val="12"/>
                <w:szCs w:val="12"/>
                <w:color w:val="auto"/>
              </w:rPr>
            </w:pPr>
          </w:p>
        </w:tc>
        <w:tc>
          <w:tcPr>
            <w:tcW w:w="100" w:type="dxa"/>
            <w:vAlign w:val="bottom"/>
            <w:shd w:val="clear" w:color="auto" w:fill="CCECFF"/>
          </w:tcPr>
          <w:p>
            <w:pPr>
              <w:spacing w:after="0"/>
              <w:rPr>
                <w:sz w:val="12"/>
                <w:szCs w:val="12"/>
                <w:color w:val="auto"/>
              </w:rPr>
            </w:pPr>
          </w:p>
        </w:tc>
        <w:tc>
          <w:tcPr>
            <w:tcW w:w="580" w:type="dxa"/>
            <w:vAlign w:val="bottom"/>
            <w:shd w:val="clear" w:color="auto" w:fill="CCECFF"/>
          </w:tcPr>
          <w:p>
            <w:pPr>
              <w:jc w:val="right"/>
              <w:spacing w:after="0"/>
              <w:rPr>
                <w:sz w:val="20"/>
                <w:szCs w:val="20"/>
                <w:color w:val="auto"/>
              </w:rPr>
            </w:pPr>
            <w:r>
              <w:rPr>
                <w:rFonts w:ascii="Arial" w:cs="Arial" w:eastAsia="Arial" w:hAnsi="Arial"/>
                <w:sz w:val="12"/>
                <w:szCs w:val="12"/>
                <w:color w:val="auto"/>
                <w:w w:val="89"/>
              </w:rPr>
              <w:t>16,250,000</w:t>
            </w:r>
          </w:p>
        </w:tc>
        <w:tc>
          <w:tcPr>
            <w:tcW w:w="240" w:type="dxa"/>
            <w:vAlign w:val="bottom"/>
            <w:shd w:val="clear" w:color="auto" w:fill="CCECFF"/>
          </w:tcPr>
          <w:p>
            <w:pPr>
              <w:spacing w:after="0"/>
              <w:rPr>
                <w:sz w:val="12"/>
                <w:szCs w:val="12"/>
                <w:color w:val="auto"/>
              </w:rPr>
            </w:pPr>
          </w:p>
        </w:tc>
        <w:tc>
          <w:tcPr>
            <w:tcW w:w="80" w:type="dxa"/>
            <w:vAlign w:val="bottom"/>
            <w:shd w:val="clear" w:color="auto" w:fill="CCECFF"/>
          </w:tcPr>
          <w:p>
            <w:pPr>
              <w:spacing w:after="0"/>
              <w:rPr>
                <w:sz w:val="12"/>
                <w:szCs w:val="12"/>
                <w:color w:val="auto"/>
              </w:rPr>
            </w:pPr>
          </w:p>
        </w:tc>
        <w:tc>
          <w:tcPr>
            <w:tcW w:w="620" w:type="dxa"/>
            <w:vAlign w:val="bottom"/>
            <w:shd w:val="clear" w:color="auto" w:fill="CCECFF"/>
          </w:tcPr>
          <w:p>
            <w:pPr>
              <w:jc w:val="right"/>
              <w:spacing w:after="0"/>
              <w:rPr>
                <w:sz w:val="20"/>
                <w:szCs w:val="20"/>
                <w:color w:val="auto"/>
              </w:rPr>
            </w:pPr>
            <w:r>
              <w:rPr>
                <w:rFonts w:ascii="Arial" w:cs="Arial" w:eastAsia="Arial" w:hAnsi="Arial"/>
                <w:sz w:val="12"/>
                <w:szCs w:val="12"/>
                <w:color w:val="auto"/>
                <w:w w:val="99"/>
              </w:rPr>
              <w:t>15,940,214</w:t>
            </w:r>
          </w:p>
        </w:tc>
        <w:tc>
          <w:tcPr>
            <w:tcW w:w="240" w:type="dxa"/>
            <w:vAlign w:val="bottom"/>
            <w:shd w:val="clear" w:color="auto" w:fill="CCECFF"/>
          </w:tcPr>
          <w:p>
            <w:pPr>
              <w:spacing w:after="0"/>
              <w:rPr>
                <w:sz w:val="12"/>
                <w:szCs w:val="12"/>
                <w:color w:val="auto"/>
              </w:rPr>
            </w:pPr>
          </w:p>
        </w:tc>
        <w:tc>
          <w:tcPr>
            <w:tcW w:w="80" w:type="dxa"/>
            <w:vAlign w:val="bottom"/>
            <w:shd w:val="clear" w:color="auto" w:fill="CCECFF"/>
          </w:tcPr>
          <w:p>
            <w:pPr>
              <w:spacing w:after="0"/>
              <w:rPr>
                <w:sz w:val="12"/>
                <w:szCs w:val="12"/>
                <w:color w:val="auto"/>
              </w:rPr>
            </w:pPr>
          </w:p>
        </w:tc>
        <w:tc>
          <w:tcPr>
            <w:tcW w:w="640" w:type="dxa"/>
            <w:vAlign w:val="bottom"/>
            <w:shd w:val="clear" w:color="auto" w:fill="CCECFF"/>
          </w:tcPr>
          <w:p>
            <w:pPr>
              <w:jc w:val="right"/>
              <w:spacing w:after="0"/>
              <w:rPr>
                <w:sz w:val="20"/>
                <w:szCs w:val="20"/>
                <w:color w:val="auto"/>
              </w:rPr>
            </w:pPr>
            <w:r>
              <w:rPr>
                <w:rFonts w:ascii="Arial" w:cs="Arial" w:eastAsia="Arial" w:hAnsi="Arial"/>
                <w:sz w:val="12"/>
                <w:szCs w:val="12"/>
                <w:color w:val="auto"/>
                <w:w w:val="99"/>
              </w:rPr>
              <w:t>16,087,500</w:t>
            </w:r>
          </w:p>
        </w:tc>
        <w:tc>
          <w:tcPr>
            <w:tcW w:w="100" w:type="dxa"/>
            <w:vAlign w:val="bottom"/>
            <w:shd w:val="clear" w:color="auto" w:fill="CCECFF"/>
          </w:tcPr>
          <w:p>
            <w:pPr>
              <w:spacing w:after="0"/>
              <w:rPr>
                <w:sz w:val="12"/>
                <w:szCs w:val="12"/>
                <w:color w:val="auto"/>
              </w:rPr>
            </w:pPr>
          </w:p>
        </w:tc>
      </w:tr>
      <w:tr>
        <w:trPr>
          <w:trHeight w:val="149"/>
        </w:trPr>
        <w:tc>
          <w:tcPr>
            <w:tcW w:w="3020" w:type="dxa"/>
            <w:vAlign w:val="bottom"/>
          </w:tcPr>
          <w:p>
            <w:pPr>
              <w:spacing w:after="0"/>
              <w:rPr>
                <w:sz w:val="20"/>
                <w:szCs w:val="20"/>
                <w:color w:val="auto"/>
              </w:rPr>
            </w:pPr>
            <w:r>
              <w:rPr>
                <w:rFonts w:ascii="Arial" w:cs="Arial" w:eastAsia="Arial" w:hAnsi="Arial"/>
                <w:sz w:val="12"/>
                <w:szCs w:val="12"/>
                <w:color w:val="auto"/>
              </w:rPr>
              <w:t xml:space="preserve">Prince Mineral Holding Corp. </w:t>
            </w:r>
            <w:r>
              <w:rPr>
                <w:rFonts w:ascii="Arial" w:cs="Arial" w:eastAsia="Arial" w:hAnsi="Arial"/>
                <w:sz w:val="9"/>
                <w:szCs w:val="9"/>
                <w:color w:val="auto"/>
              </w:rPr>
              <w:t>(5)</w:t>
            </w:r>
          </w:p>
        </w:tc>
        <w:tc>
          <w:tcPr>
            <w:tcW w:w="900" w:type="dxa"/>
            <w:vAlign w:val="bottom"/>
          </w:tcPr>
          <w:p>
            <w:pPr>
              <w:ind w:left="120"/>
              <w:spacing w:after="0"/>
              <w:rPr>
                <w:sz w:val="20"/>
                <w:szCs w:val="20"/>
                <w:color w:val="auto"/>
              </w:rPr>
            </w:pPr>
            <w:r>
              <w:rPr>
                <w:rFonts w:ascii="Arial" w:cs="Arial" w:eastAsia="Arial" w:hAnsi="Arial"/>
                <w:sz w:val="12"/>
                <w:szCs w:val="12"/>
                <w:color w:val="auto"/>
              </w:rPr>
              <w:t>12/16/2019</w:t>
            </w:r>
          </w:p>
        </w:tc>
        <w:tc>
          <w:tcPr>
            <w:tcW w:w="2780" w:type="dxa"/>
            <w:vAlign w:val="bottom"/>
            <w:gridSpan w:val="2"/>
          </w:tcPr>
          <w:p>
            <w:pPr>
              <w:jc w:val="center"/>
              <w:ind w:right="160"/>
              <w:spacing w:after="0"/>
              <w:rPr>
                <w:sz w:val="20"/>
                <w:szCs w:val="20"/>
                <w:color w:val="auto"/>
              </w:rPr>
            </w:pPr>
            <w:r>
              <w:rPr>
                <w:rFonts w:ascii="Arial" w:cs="Arial" w:eastAsia="Arial" w:hAnsi="Arial"/>
                <w:sz w:val="12"/>
                <w:szCs w:val="12"/>
                <w:color w:val="auto"/>
                <w:w w:val="89"/>
              </w:rPr>
              <w:t>Mining, Steel, Iron and Non-Precious Metals</w:t>
            </w:r>
          </w:p>
        </w:tc>
        <w:tc>
          <w:tcPr>
            <w:tcW w:w="940" w:type="dxa"/>
            <w:vAlign w:val="bottom"/>
            <w:gridSpan w:val="2"/>
          </w:tcPr>
          <w:p>
            <w:pPr>
              <w:jc w:val="right"/>
              <w:ind w:right="180"/>
              <w:spacing w:after="0"/>
              <w:rPr>
                <w:sz w:val="20"/>
                <w:szCs w:val="20"/>
                <w:color w:val="auto"/>
              </w:rPr>
            </w:pPr>
            <w:r>
              <w:rPr>
                <w:rFonts w:ascii="Arial" w:cs="Arial" w:eastAsia="Arial" w:hAnsi="Arial"/>
                <w:sz w:val="12"/>
                <w:szCs w:val="12"/>
                <w:color w:val="auto"/>
              </w:rPr>
              <w:t>11.50%</w:t>
            </w:r>
          </w:p>
        </w:tc>
        <w:tc>
          <w:tcPr>
            <w:tcW w:w="680" w:type="dxa"/>
            <w:vAlign w:val="bottom"/>
          </w:tcPr>
          <w:p>
            <w:pPr>
              <w:jc w:val="right"/>
              <w:spacing w:after="0"/>
              <w:rPr>
                <w:sz w:val="20"/>
                <w:szCs w:val="20"/>
                <w:color w:val="auto"/>
              </w:rPr>
            </w:pPr>
            <w:r>
              <w:rPr>
                <w:rFonts w:ascii="Arial" w:cs="Arial" w:eastAsia="Arial" w:hAnsi="Arial"/>
                <w:sz w:val="12"/>
                <w:szCs w:val="12"/>
                <w:color w:val="auto"/>
              </w:rPr>
              <w:t>—</w:t>
            </w:r>
          </w:p>
        </w:tc>
        <w:tc>
          <w:tcPr>
            <w:tcW w:w="2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80" w:type="dxa"/>
            <w:vAlign w:val="bottom"/>
          </w:tcPr>
          <w:p>
            <w:pPr>
              <w:jc w:val="right"/>
              <w:spacing w:after="0"/>
              <w:rPr>
                <w:sz w:val="20"/>
                <w:szCs w:val="20"/>
                <w:color w:val="auto"/>
              </w:rPr>
            </w:pPr>
            <w:r>
              <w:rPr>
                <w:rFonts w:ascii="Arial" w:cs="Arial" w:eastAsia="Arial" w:hAnsi="Arial"/>
                <w:sz w:val="12"/>
                <w:szCs w:val="12"/>
                <w:color w:val="auto"/>
                <w:w w:val="89"/>
              </w:rPr>
              <w:t>14,250,000</w:t>
            </w:r>
          </w:p>
        </w:tc>
        <w:tc>
          <w:tcPr>
            <w:tcW w:w="2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20" w:type="dxa"/>
            <w:vAlign w:val="bottom"/>
          </w:tcPr>
          <w:p>
            <w:pPr>
              <w:jc w:val="right"/>
              <w:spacing w:after="0"/>
              <w:rPr>
                <w:sz w:val="20"/>
                <w:szCs w:val="20"/>
                <w:color w:val="auto"/>
              </w:rPr>
            </w:pPr>
            <w:r>
              <w:rPr>
                <w:rFonts w:ascii="Arial" w:cs="Arial" w:eastAsia="Arial" w:hAnsi="Arial"/>
                <w:sz w:val="12"/>
                <w:szCs w:val="12"/>
                <w:color w:val="auto"/>
                <w:w w:val="99"/>
              </w:rPr>
              <w:t>14,178,706</w:t>
            </w:r>
          </w:p>
        </w:tc>
        <w:tc>
          <w:tcPr>
            <w:tcW w:w="2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40" w:type="dxa"/>
            <w:vAlign w:val="bottom"/>
          </w:tcPr>
          <w:p>
            <w:pPr>
              <w:jc w:val="right"/>
              <w:spacing w:after="0"/>
              <w:rPr>
                <w:sz w:val="20"/>
                <w:szCs w:val="20"/>
                <w:color w:val="auto"/>
              </w:rPr>
            </w:pPr>
            <w:r>
              <w:rPr>
                <w:rFonts w:ascii="Arial" w:cs="Arial" w:eastAsia="Arial" w:hAnsi="Arial"/>
                <w:sz w:val="12"/>
                <w:szCs w:val="12"/>
                <w:color w:val="auto"/>
                <w:w w:val="99"/>
              </w:rPr>
              <w:t>14,606,250</w:t>
            </w:r>
          </w:p>
        </w:tc>
        <w:tc>
          <w:tcPr>
            <w:tcW w:w="100" w:type="dxa"/>
            <w:vAlign w:val="bottom"/>
          </w:tcPr>
          <w:p>
            <w:pPr>
              <w:spacing w:after="0"/>
              <w:rPr>
                <w:sz w:val="12"/>
                <w:szCs w:val="12"/>
                <w:color w:val="auto"/>
              </w:rPr>
            </w:pPr>
          </w:p>
        </w:tc>
      </w:tr>
      <w:tr>
        <w:trPr>
          <w:trHeight w:val="148"/>
        </w:trPr>
        <w:tc>
          <w:tcPr>
            <w:tcW w:w="3020" w:type="dxa"/>
            <w:vAlign w:val="bottom"/>
            <w:shd w:val="clear" w:color="auto" w:fill="CCECFF"/>
          </w:tcPr>
          <w:p>
            <w:pPr>
              <w:spacing w:after="0"/>
              <w:rPr>
                <w:sz w:val="20"/>
                <w:szCs w:val="20"/>
                <w:color w:val="auto"/>
              </w:rPr>
            </w:pPr>
            <w:r>
              <w:rPr>
                <w:rFonts w:ascii="Arial" w:cs="Arial" w:eastAsia="Arial" w:hAnsi="Arial"/>
                <w:sz w:val="12"/>
                <w:szCs w:val="12"/>
                <w:color w:val="auto"/>
              </w:rPr>
              <w:t>Robertshaw US Holding Corp.</w:t>
            </w:r>
          </w:p>
        </w:tc>
        <w:tc>
          <w:tcPr>
            <w:tcW w:w="900" w:type="dxa"/>
            <w:vAlign w:val="bottom"/>
            <w:shd w:val="clear" w:color="auto" w:fill="CCECFF"/>
          </w:tcPr>
          <w:p>
            <w:pPr>
              <w:ind w:left="120"/>
              <w:spacing w:after="0"/>
              <w:rPr>
                <w:sz w:val="20"/>
                <w:szCs w:val="20"/>
                <w:color w:val="auto"/>
              </w:rPr>
            </w:pPr>
            <w:r>
              <w:rPr>
                <w:rFonts w:ascii="Arial" w:cs="Arial" w:eastAsia="Arial" w:hAnsi="Arial"/>
                <w:sz w:val="12"/>
                <w:szCs w:val="12"/>
                <w:color w:val="auto"/>
              </w:rPr>
              <w:t>06/18/2019</w:t>
            </w:r>
          </w:p>
        </w:tc>
        <w:tc>
          <w:tcPr>
            <w:tcW w:w="2780" w:type="dxa"/>
            <w:vAlign w:val="bottom"/>
            <w:gridSpan w:val="2"/>
            <w:shd w:val="clear" w:color="auto" w:fill="CCECFF"/>
          </w:tcPr>
          <w:p>
            <w:pPr>
              <w:jc w:val="center"/>
              <w:ind w:right="160"/>
              <w:spacing w:after="0"/>
              <w:rPr>
                <w:sz w:val="20"/>
                <w:szCs w:val="20"/>
                <w:color w:val="auto"/>
              </w:rPr>
            </w:pPr>
            <w:r>
              <w:rPr>
                <w:rFonts w:ascii="Arial" w:cs="Arial" w:eastAsia="Arial" w:hAnsi="Arial"/>
                <w:sz w:val="12"/>
                <w:szCs w:val="12"/>
                <w:color w:val="auto"/>
                <w:w w:val="91"/>
              </w:rPr>
              <w:t>Electronics</w:t>
            </w:r>
          </w:p>
        </w:tc>
        <w:tc>
          <w:tcPr>
            <w:tcW w:w="940" w:type="dxa"/>
            <w:vAlign w:val="bottom"/>
            <w:gridSpan w:val="2"/>
            <w:shd w:val="clear" w:color="auto" w:fill="CCECFF"/>
          </w:tcPr>
          <w:p>
            <w:pPr>
              <w:jc w:val="right"/>
              <w:ind w:right="180"/>
              <w:spacing w:after="0"/>
              <w:rPr>
                <w:sz w:val="20"/>
                <w:szCs w:val="20"/>
                <w:color w:val="auto"/>
              </w:rPr>
            </w:pPr>
            <w:r>
              <w:rPr>
                <w:rFonts w:ascii="Arial" w:cs="Arial" w:eastAsia="Arial" w:hAnsi="Arial"/>
                <w:sz w:val="12"/>
                <w:szCs w:val="12"/>
                <w:color w:val="auto"/>
              </w:rPr>
              <w:t>8.50%</w:t>
            </w:r>
          </w:p>
        </w:tc>
        <w:tc>
          <w:tcPr>
            <w:tcW w:w="680" w:type="dxa"/>
            <w:vAlign w:val="bottom"/>
            <w:shd w:val="clear" w:color="auto" w:fill="CCECFF"/>
          </w:tcPr>
          <w:p>
            <w:pPr>
              <w:jc w:val="right"/>
              <w:spacing w:after="0"/>
              <w:rPr>
                <w:sz w:val="20"/>
                <w:szCs w:val="20"/>
                <w:color w:val="auto"/>
              </w:rPr>
            </w:pPr>
            <w:r>
              <w:rPr>
                <w:rFonts w:ascii="Arial" w:cs="Arial" w:eastAsia="Arial" w:hAnsi="Arial"/>
                <w:sz w:val="12"/>
                <w:szCs w:val="12"/>
                <w:color w:val="auto"/>
              </w:rPr>
              <w:t>L+700</w:t>
            </w:r>
          </w:p>
        </w:tc>
        <w:tc>
          <w:tcPr>
            <w:tcW w:w="240" w:type="dxa"/>
            <w:vAlign w:val="bottom"/>
            <w:shd w:val="clear" w:color="auto" w:fill="CCECFF"/>
          </w:tcPr>
          <w:p>
            <w:pPr>
              <w:spacing w:after="0"/>
              <w:rPr>
                <w:sz w:val="12"/>
                <w:szCs w:val="12"/>
                <w:color w:val="auto"/>
              </w:rPr>
            </w:pPr>
          </w:p>
        </w:tc>
        <w:tc>
          <w:tcPr>
            <w:tcW w:w="100" w:type="dxa"/>
            <w:vAlign w:val="bottom"/>
            <w:shd w:val="clear" w:color="auto" w:fill="CCECFF"/>
          </w:tcPr>
          <w:p>
            <w:pPr>
              <w:spacing w:after="0"/>
              <w:rPr>
                <w:sz w:val="12"/>
                <w:szCs w:val="12"/>
                <w:color w:val="auto"/>
              </w:rPr>
            </w:pPr>
          </w:p>
        </w:tc>
        <w:tc>
          <w:tcPr>
            <w:tcW w:w="580" w:type="dxa"/>
            <w:vAlign w:val="bottom"/>
            <w:shd w:val="clear" w:color="auto" w:fill="CCECFF"/>
          </w:tcPr>
          <w:p>
            <w:pPr>
              <w:jc w:val="right"/>
              <w:spacing w:after="0"/>
              <w:rPr>
                <w:sz w:val="20"/>
                <w:szCs w:val="20"/>
                <w:color w:val="auto"/>
              </w:rPr>
            </w:pPr>
            <w:r>
              <w:rPr>
                <w:rFonts w:ascii="Arial" w:cs="Arial" w:eastAsia="Arial" w:hAnsi="Arial"/>
                <w:sz w:val="12"/>
                <w:szCs w:val="12"/>
                <w:color w:val="auto"/>
                <w:w w:val="89"/>
              </w:rPr>
              <w:t>15,631,457</w:t>
            </w:r>
          </w:p>
        </w:tc>
        <w:tc>
          <w:tcPr>
            <w:tcW w:w="240" w:type="dxa"/>
            <w:vAlign w:val="bottom"/>
            <w:shd w:val="clear" w:color="auto" w:fill="CCECFF"/>
          </w:tcPr>
          <w:p>
            <w:pPr>
              <w:spacing w:after="0"/>
              <w:rPr>
                <w:sz w:val="12"/>
                <w:szCs w:val="12"/>
                <w:color w:val="auto"/>
              </w:rPr>
            </w:pPr>
          </w:p>
        </w:tc>
        <w:tc>
          <w:tcPr>
            <w:tcW w:w="80" w:type="dxa"/>
            <w:vAlign w:val="bottom"/>
            <w:shd w:val="clear" w:color="auto" w:fill="CCECFF"/>
          </w:tcPr>
          <w:p>
            <w:pPr>
              <w:spacing w:after="0"/>
              <w:rPr>
                <w:sz w:val="12"/>
                <w:szCs w:val="12"/>
                <w:color w:val="auto"/>
              </w:rPr>
            </w:pPr>
          </w:p>
        </w:tc>
        <w:tc>
          <w:tcPr>
            <w:tcW w:w="620" w:type="dxa"/>
            <w:vAlign w:val="bottom"/>
            <w:shd w:val="clear" w:color="auto" w:fill="CCECFF"/>
          </w:tcPr>
          <w:p>
            <w:pPr>
              <w:jc w:val="right"/>
              <w:spacing w:after="0"/>
              <w:rPr>
                <w:sz w:val="20"/>
                <w:szCs w:val="20"/>
                <w:color w:val="auto"/>
              </w:rPr>
            </w:pPr>
            <w:r>
              <w:rPr>
                <w:rFonts w:ascii="Arial" w:cs="Arial" w:eastAsia="Arial" w:hAnsi="Arial"/>
                <w:sz w:val="12"/>
                <w:szCs w:val="12"/>
                <w:color w:val="auto"/>
                <w:w w:val="99"/>
              </w:rPr>
              <w:t>15,578,747</w:t>
            </w:r>
          </w:p>
        </w:tc>
        <w:tc>
          <w:tcPr>
            <w:tcW w:w="240" w:type="dxa"/>
            <w:vAlign w:val="bottom"/>
            <w:shd w:val="clear" w:color="auto" w:fill="CCECFF"/>
          </w:tcPr>
          <w:p>
            <w:pPr>
              <w:spacing w:after="0"/>
              <w:rPr>
                <w:sz w:val="12"/>
                <w:szCs w:val="12"/>
                <w:color w:val="auto"/>
              </w:rPr>
            </w:pPr>
          </w:p>
        </w:tc>
        <w:tc>
          <w:tcPr>
            <w:tcW w:w="80" w:type="dxa"/>
            <w:vAlign w:val="bottom"/>
            <w:shd w:val="clear" w:color="auto" w:fill="CCECFF"/>
          </w:tcPr>
          <w:p>
            <w:pPr>
              <w:spacing w:after="0"/>
              <w:rPr>
                <w:sz w:val="12"/>
                <w:szCs w:val="12"/>
                <w:color w:val="auto"/>
              </w:rPr>
            </w:pPr>
          </w:p>
        </w:tc>
        <w:tc>
          <w:tcPr>
            <w:tcW w:w="640" w:type="dxa"/>
            <w:vAlign w:val="bottom"/>
            <w:shd w:val="clear" w:color="auto" w:fill="CCECFF"/>
          </w:tcPr>
          <w:p>
            <w:pPr>
              <w:jc w:val="right"/>
              <w:spacing w:after="0"/>
              <w:rPr>
                <w:sz w:val="20"/>
                <w:szCs w:val="20"/>
                <w:color w:val="auto"/>
              </w:rPr>
            </w:pPr>
            <w:r>
              <w:rPr>
                <w:rFonts w:ascii="Arial" w:cs="Arial" w:eastAsia="Arial" w:hAnsi="Arial"/>
                <w:sz w:val="12"/>
                <w:szCs w:val="12"/>
                <w:color w:val="auto"/>
                <w:w w:val="99"/>
              </w:rPr>
              <w:t>15,616,373</w:t>
            </w:r>
          </w:p>
        </w:tc>
        <w:tc>
          <w:tcPr>
            <w:tcW w:w="100" w:type="dxa"/>
            <w:vAlign w:val="bottom"/>
            <w:shd w:val="clear" w:color="auto" w:fill="CCECFF"/>
          </w:tcPr>
          <w:p>
            <w:pPr>
              <w:spacing w:after="0"/>
              <w:rPr>
                <w:sz w:val="12"/>
                <w:szCs w:val="12"/>
                <w:color w:val="auto"/>
              </w:rPr>
            </w:pPr>
          </w:p>
        </w:tc>
      </w:tr>
      <w:tr>
        <w:trPr>
          <w:trHeight w:val="155"/>
        </w:trPr>
        <w:tc>
          <w:tcPr>
            <w:tcW w:w="3020" w:type="dxa"/>
            <w:vAlign w:val="bottom"/>
          </w:tcPr>
          <w:p>
            <w:pPr>
              <w:spacing w:after="0"/>
              <w:rPr>
                <w:sz w:val="20"/>
                <w:szCs w:val="20"/>
                <w:color w:val="auto"/>
              </w:rPr>
            </w:pPr>
            <w:r>
              <w:rPr>
                <w:rFonts w:ascii="Arial" w:cs="Arial" w:eastAsia="Arial" w:hAnsi="Arial"/>
                <w:sz w:val="12"/>
                <w:szCs w:val="12"/>
                <w:color w:val="auto"/>
              </w:rPr>
              <w:t xml:space="preserve">Sunborn Oy, Sunborn Saga Oy </w:t>
            </w:r>
            <w:r>
              <w:rPr>
                <w:rFonts w:ascii="Arial" w:cs="Arial" w:eastAsia="Arial" w:hAnsi="Arial"/>
                <w:sz w:val="9"/>
                <w:szCs w:val="9"/>
                <w:color w:val="auto"/>
              </w:rPr>
              <w:t>(9), (11), (12)</w:t>
            </w:r>
          </w:p>
        </w:tc>
        <w:tc>
          <w:tcPr>
            <w:tcW w:w="900" w:type="dxa"/>
            <w:vAlign w:val="bottom"/>
          </w:tcPr>
          <w:p>
            <w:pPr>
              <w:ind w:left="120"/>
              <w:spacing w:after="0"/>
              <w:rPr>
                <w:sz w:val="20"/>
                <w:szCs w:val="20"/>
                <w:color w:val="auto"/>
              </w:rPr>
            </w:pPr>
            <w:r>
              <w:rPr>
                <w:rFonts w:ascii="Arial" w:cs="Arial" w:eastAsia="Arial" w:hAnsi="Arial"/>
                <w:sz w:val="12"/>
                <w:szCs w:val="12"/>
                <w:color w:val="auto"/>
              </w:rPr>
              <w:t>06/28/2019</w:t>
            </w:r>
          </w:p>
        </w:tc>
        <w:tc>
          <w:tcPr>
            <w:tcW w:w="2780" w:type="dxa"/>
            <w:vAlign w:val="bottom"/>
            <w:gridSpan w:val="2"/>
          </w:tcPr>
          <w:p>
            <w:pPr>
              <w:jc w:val="center"/>
              <w:ind w:right="160"/>
              <w:spacing w:after="0"/>
              <w:rPr>
                <w:sz w:val="20"/>
                <w:szCs w:val="20"/>
                <w:color w:val="auto"/>
              </w:rPr>
            </w:pPr>
            <w:r>
              <w:rPr>
                <w:rFonts w:ascii="Arial" w:cs="Arial" w:eastAsia="Arial" w:hAnsi="Arial"/>
                <w:sz w:val="12"/>
                <w:szCs w:val="12"/>
                <w:color w:val="auto"/>
                <w:w w:val="88"/>
              </w:rPr>
              <w:t>Hotels, Motels, Inns and Gaming</w:t>
            </w:r>
          </w:p>
        </w:tc>
        <w:tc>
          <w:tcPr>
            <w:tcW w:w="940" w:type="dxa"/>
            <w:vAlign w:val="bottom"/>
            <w:gridSpan w:val="2"/>
          </w:tcPr>
          <w:p>
            <w:pPr>
              <w:jc w:val="right"/>
              <w:ind w:right="180"/>
              <w:spacing w:after="0"/>
              <w:rPr>
                <w:sz w:val="20"/>
                <w:szCs w:val="20"/>
                <w:color w:val="auto"/>
              </w:rPr>
            </w:pPr>
            <w:r>
              <w:rPr>
                <w:rFonts w:ascii="Arial" w:cs="Arial" w:eastAsia="Arial" w:hAnsi="Arial"/>
                <w:sz w:val="12"/>
                <w:szCs w:val="12"/>
                <w:color w:val="auto"/>
              </w:rPr>
              <w:t>11.50%</w:t>
            </w:r>
          </w:p>
        </w:tc>
        <w:tc>
          <w:tcPr>
            <w:tcW w:w="680" w:type="dxa"/>
            <w:vAlign w:val="bottom"/>
          </w:tcPr>
          <w:p>
            <w:pPr>
              <w:jc w:val="right"/>
              <w:spacing w:after="0"/>
              <w:rPr>
                <w:sz w:val="20"/>
                <w:szCs w:val="20"/>
                <w:color w:val="auto"/>
              </w:rPr>
            </w:pPr>
            <w:r>
              <w:rPr>
                <w:rFonts w:ascii="Arial" w:cs="Arial" w:eastAsia="Arial" w:hAnsi="Arial"/>
                <w:sz w:val="12"/>
                <w:szCs w:val="12"/>
                <w:color w:val="auto"/>
              </w:rPr>
              <w:t>L+1,050</w:t>
            </w:r>
          </w:p>
        </w:tc>
        <w:tc>
          <w:tcPr>
            <w:tcW w:w="240" w:type="dxa"/>
            <w:vAlign w:val="bottom"/>
          </w:tcPr>
          <w:p>
            <w:pPr>
              <w:spacing w:after="0"/>
              <w:rPr>
                <w:sz w:val="13"/>
                <w:szCs w:val="13"/>
                <w:color w:val="auto"/>
              </w:rPr>
            </w:pPr>
          </w:p>
        </w:tc>
        <w:tc>
          <w:tcPr>
            <w:tcW w:w="100" w:type="dxa"/>
            <w:vAlign w:val="bottom"/>
          </w:tcPr>
          <w:p>
            <w:pPr>
              <w:jc w:val="right"/>
              <w:spacing w:after="0"/>
              <w:rPr>
                <w:sz w:val="20"/>
                <w:szCs w:val="20"/>
                <w:color w:val="auto"/>
              </w:rPr>
            </w:pPr>
            <w:r>
              <w:rPr>
                <w:rFonts w:ascii="Arial" w:cs="Arial" w:eastAsia="Arial" w:hAnsi="Arial"/>
                <w:sz w:val="9"/>
                <w:szCs w:val="9"/>
                <w:color w:val="auto"/>
                <w:w w:val="78"/>
              </w:rPr>
              <w:t>€</w:t>
            </w:r>
          </w:p>
        </w:tc>
        <w:tc>
          <w:tcPr>
            <w:tcW w:w="580" w:type="dxa"/>
            <w:vAlign w:val="bottom"/>
          </w:tcPr>
          <w:p>
            <w:pPr>
              <w:jc w:val="right"/>
              <w:spacing w:after="0"/>
              <w:rPr>
                <w:sz w:val="20"/>
                <w:szCs w:val="20"/>
                <w:color w:val="auto"/>
              </w:rPr>
            </w:pPr>
            <w:r>
              <w:rPr>
                <w:rFonts w:ascii="Arial" w:cs="Arial" w:eastAsia="Arial" w:hAnsi="Arial"/>
                <w:sz w:val="12"/>
                <w:szCs w:val="12"/>
                <w:color w:val="auto"/>
                <w:w w:val="89"/>
              </w:rPr>
              <w:t>29,885,887</w:t>
            </w:r>
          </w:p>
        </w:tc>
        <w:tc>
          <w:tcPr>
            <w:tcW w:w="2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20" w:type="dxa"/>
            <w:vAlign w:val="bottom"/>
          </w:tcPr>
          <w:p>
            <w:pPr>
              <w:jc w:val="right"/>
              <w:spacing w:after="0"/>
              <w:rPr>
                <w:sz w:val="20"/>
                <w:szCs w:val="20"/>
                <w:color w:val="auto"/>
              </w:rPr>
            </w:pPr>
            <w:r>
              <w:rPr>
                <w:rFonts w:ascii="Arial" w:cs="Arial" w:eastAsia="Arial" w:hAnsi="Arial"/>
                <w:sz w:val="12"/>
                <w:szCs w:val="12"/>
                <w:color w:val="auto"/>
                <w:w w:val="99"/>
              </w:rPr>
              <w:t>30,881,670</w:t>
            </w:r>
          </w:p>
        </w:tc>
        <w:tc>
          <w:tcPr>
            <w:tcW w:w="2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40" w:type="dxa"/>
            <w:vAlign w:val="bottom"/>
          </w:tcPr>
          <w:p>
            <w:pPr>
              <w:jc w:val="right"/>
              <w:spacing w:after="0"/>
              <w:rPr>
                <w:sz w:val="20"/>
                <w:szCs w:val="20"/>
                <w:color w:val="auto"/>
              </w:rPr>
            </w:pPr>
            <w:r>
              <w:rPr>
                <w:rFonts w:ascii="Arial" w:cs="Arial" w:eastAsia="Arial" w:hAnsi="Arial"/>
                <w:sz w:val="12"/>
                <w:szCs w:val="12"/>
                <w:color w:val="auto"/>
                <w:w w:val="99"/>
              </w:rPr>
              <w:t>34,171,564</w:t>
            </w:r>
          </w:p>
        </w:tc>
        <w:tc>
          <w:tcPr>
            <w:tcW w:w="100" w:type="dxa"/>
            <w:vAlign w:val="bottom"/>
          </w:tcPr>
          <w:p>
            <w:pPr>
              <w:spacing w:after="0"/>
              <w:rPr>
                <w:sz w:val="13"/>
                <w:szCs w:val="13"/>
                <w:color w:val="auto"/>
              </w:rPr>
            </w:pPr>
          </w:p>
        </w:tc>
      </w:tr>
      <w:tr>
        <w:trPr>
          <w:trHeight w:val="142"/>
        </w:trPr>
        <w:tc>
          <w:tcPr>
            <w:tcW w:w="302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26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40" w:type="dxa"/>
            <w:vAlign w:val="bottom"/>
            <w:gridSpan w:val="2"/>
          </w:tcPr>
          <w:p>
            <w:pPr>
              <w:jc w:val="right"/>
              <w:ind w:right="140"/>
              <w:spacing w:after="0"/>
              <w:rPr>
                <w:sz w:val="20"/>
                <w:szCs w:val="20"/>
                <w:color w:val="auto"/>
              </w:rPr>
            </w:pPr>
            <w:r>
              <w:rPr>
                <w:rFonts w:ascii="Arial" w:cs="Arial" w:eastAsia="Arial" w:hAnsi="Arial"/>
                <w:sz w:val="12"/>
                <w:szCs w:val="12"/>
                <w:color w:val="auto"/>
              </w:rPr>
              <w:t>(PIK 3.50%)</w:t>
            </w:r>
          </w:p>
        </w:tc>
        <w:tc>
          <w:tcPr>
            <w:tcW w:w="6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00" w:type="dxa"/>
            <w:vAlign w:val="bottom"/>
          </w:tcPr>
          <w:p>
            <w:pPr>
              <w:spacing w:after="0"/>
              <w:rPr>
                <w:sz w:val="12"/>
                <w:szCs w:val="12"/>
                <w:color w:val="auto"/>
              </w:rPr>
            </w:pPr>
          </w:p>
        </w:tc>
      </w:tr>
      <w:tr>
        <w:trPr>
          <w:trHeight w:val="148"/>
        </w:trPr>
        <w:tc>
          <w:tcPr>
            <w:tcW w:w="3020" w:type="dxa"/>
            <w:vAlign w:val="bottom"/>
            <w:shd w:val="clear" w:color="auto" w:fill="CCECFF"/>
          </w:tcPr>
          <w:p>
            <w:pPr>
              <w:spacing w:after="0"/>
              <w:rPr>
                <w:sz w:val="20"/>
                <w:szCs w:val="20"/>
                <w:color w:val="auto"/>
              </w:rPr>
            </w:pPr>
            <w:r>
              <w:rPr>
                <w:rFonts w:ascii="Arial" w:cs="Arial" w:eastAsia="Arial" w:hAnsi="Arial"/>
                <w:sz w:val="12"/>
                <w:szCs w:val="12"/>
                <w:color w:val="auto"/>
              </w:rPr>
              <w:t>Triad Manufacturing, Inc.</w:t>
            </w:r>
          </w:p>
        </w:tc>
        <w:tc>
          <w:tcPr>
            <w:tcW w:w="900" w:type="dxa"/>
            <w:vAlign w:val="bottom"/>
            <w:shd w:val="clear" w:color="auto" w:fill="CCECFF"/>
          </w:tcPr>
          <w:p>
            <w:pPr>
              <w:ind w:left="120"/>
              <w:spacing w:after="0"/>
              <w:rPr>
                <w:sz w:val="20"/>
                <w:szCs w:val="20"/>
                <w:color w:val="auto"/>
              </w:rPr>
            </w:pPr>
            <w:r>
              <w:rPr>
                <w:rFonts w:ascii="Arial" w:cs="Arial" w:eastAsia="Arial" w:hAnsi="Arial"/>
                <w:sz w:val="12"/>
                <w:szCs w:val="12"/>
                <w:color w:val="auto"/>
              </w:rPr>
              <w:t>12/28/2020</w:t>
            </w:r>
          </w:p>
        </w:tc>
        <w:tc>
          <w:tcPr>
            <w:tcW w:w="2780" w:type="dxa"/>
            <w:vAlign w:val="bottom"/>
            <w:gridSpan w:val="2"/>
            <w:shd w:val="clear" w:color="auto" w:fill="CCECFF"/>
          </w:tcPr>
          <w:p>
            <w:pPr>
              <w:jc w:val="center"/>
              <w:ind w:right="160"/>
              <w:spacing w:after="0"/>
              <w:rPr>
                <w:sz w:val="20"/>
                <w:szCs w:val="20"/>
                <w:color w:val="auto"/>
              </w:rPr>
            </w:pPr>
            <w:r>
              <w:rPr>
                <w:rFonts w:ascii="Arial" w:cs="Arial" w:eastAsia="Arial" w:hAnsi="Arial"/>
                <w:sz w:val="12"/>
                <w:szCs w:val="12"/>
                <w:color w:val="auto"/>
                <w:w w:val="90"/>
              </w:rPr>
              <w:t>Manufacturing / Basic Industries</w:t>
            </w:r>
          </w:p>
        </w:tc>
        <w:tc>
          <w:tcPr>
            <w:tcW w:w="940" w:type="dxa"/>
            <w:vAlign w:val="bottom"/>
            <w:gridSpan w:val="2"/>
            <w:shd w:val="clear" w:color="auto" w:fill="CCECFF"/>
          </w:tcPr>
          <w:p>
            <w:pPr>
              <w:jc w:val="right"/>
              <w:ind w:right="180"/>
              <w:spacing w:after="0"/>
              <w:rPr>
                <w:sz w:val="20"/>
                <w:szCs w:val="20"/>
                <w:color w:val="auto"/>
              </w:rPr>
            </w:pPr>
            <w:r>
              <w:rPr>
                <w:rFonts w:ascii="Arial" w:cs="Arial" w:eastAsia="Arial" w:hAnsi="Arial"/>
                <w:sz w:val="12"/>
                <w:szCs w:val="12"/>
                <w:color w:val="auto"/>
              </w:rPr>
              <w:t>12.48%</w:t>
            </w:r>
          </w:p>
        </w:tc>
        <w:tc>
          <w:tcPr>
            <w:tcW w:w="680" w:type="dxa"/>
            <w:vAlign w:val="bottom"/>
            <w:shd w:val="clear" w:color="auto" w:fill="CCECFF"/>
          </w:tcPr>
          <w:p>
            <w:pPr>
              <w:jc w:val="right"/>
              <w:spacing w:after="0"/>
              <w:rPr>
                <w:sz w:val="20"/>
                <w:szCs w:val="20"/>
                <w:color w:val="auto"/>
              </w:rPr>
            </w:pPr>
            <w:r>
              <w:rPr>
                <w:rFonts w:ascii="Arial" w:cs="Arial" w:eastAsia="Arial" w:hAnsi="Arial"/>
                <w:sz w:val="12"/>
                <w:szCs w:val="12"/>
                <w:color w:val="auto"/>
              </w:rPr>
              <w:t>L+1,125</w:t>
            </w:r>
          </w:p>
        </w:tc>
        <w:tc>
          <w:tcPr>
            <w:tcW w:w="240" w:type="dxa"/>
            <w:vAlign w:val="bottom"/>
            <w:shd w:val="clear" w:color="auto" w:fill="CCECFF"/>
          </w:tcPr>
          <w:p>
            <w:pPr>
              <w:spacing w:after="0"/>
              <w:rPr>
                <w:sz w:val="12"/>
                <w:szCs w:val="12"/>
                <w:color w:val="auto"/>
              </w:rPr>
            </w:pPr>
          </w:p>
        </w:tc>
        <w:tc>
          <w:tcPr>
            <w:tcW w:w="100" w:type="dxa"/>
            <w:vAlign w:val="bottom"/>
            <w:shd w:val="clear" w:color="auto" w:fill="CCECFF"/>
          </w:tcPr>
          <w:p>
            <w:pPr>
              <w:spacing w:after="0"/>
              <w:rPr>
                <w:sz w:val="12"/>
                <w:szCs w:val="12"/>
                <w:color w:val="auto"/>
              </w:rPr>
            </w:pPr>
          </w:p>
        </w:tc>
        <w:tc>
          <w:tcPr>
            <w:tcW w:w="580" w:type="dxa"/>
            <w:vAlign w:val="bottom"/>
            <w:shd w:val="clear" w:color="auto" w:fill="CCECFF"/>
          </w:tcPr>
          <w:p>
            <w:pPr>
              <w:jc w:val="right"/>
              <w:spacing w:after="0"/>
              <w:rPr>
                <w:sz w:val="20"/>
                <w:szCs w:val="20"/>
                <w:color w:val="auto"/>
              </w:rPr>
            </w:pPr>
            <w:r>
              <w:rPr>
                <w:rFonts w:ascii="Arial" w:cs="Arial" w:eastAsia="Arial" w:hAnsi="Arial"/>
                <w:sz w:val="12"/>
                <w:szCs w:val="12"/>
                <w:color w:val="auto"/>
                <w:w w:val="89"/>
              </w:rPr>
              <w:t>25,337,545</w:t>
            </w:r>
          </w:p>
        </w:tc>
        <w:tc>
          <w:tcPr>
            <w:tcW w:w="240" w:type="dxa"/>
            <w:vAlign w:val="bottom"/>
            <w:shd w:val="clear" w:color="auto" w:fill="CCECFF"/>
          </w:tcPr>
          <w:p>
            <w:pPr>
              <w:spacing w:after="0"/>
              <w:rPr>
                <w:sz w:val="12"/>
                <w:szCs w:val="12"/>
                <w:color w:val="auto"/>
              </w:rPr>
            </w:pPr>
          </w:p>
        </w:tc>
        <w:tc>
          <w:tcPr>
            <w:tcW w:w="80" w:type="dxa"/>
            <w:vAlign w:val="bottom"/>
            <w:shd w:val="clear" w:color="auto" w:fill="CCECFF"/>
          </w:tcPr>
          <w:p>
            <w:pPr>
              <w:spacing w:after="0"/>
              <w:rPr>
                <w:sz w:val="12"/>
                <w:szCs w:val="12"/>
                <w:color w:val="auto"/>
              </w:rPr>
            </w:pPr>
          </w:p>
        </w:tc>
        <w:tc>
          <w:tcPr>
            <w:tcW w:w="620" w:type="dxa"/>
            <w:vAlign w:val="bottom"/>
            <w:shd w:val="clear" w:color="auto" w:fill="CCECFF"/>
          </w:tcPr>
          <w:p>
            <w:pPr>
              <w:jc w:val="right"/>
              <w:spacing w:after="0"/>
              <w:rPr>
                <w:sz w:val="20"/>
                <w:szCs w:val="20"/>
                <w:color w:val="auto"/>
              </w:rPr>
            </w:pPr>
            <w:r>
              <w:rPr>
                <w:rFonts w:ascii="Arial" w:cs="Arial" w:eastAsia="Arial" w:hAnsi="Arial"/>
                <w:sz w:val="12"/>
                <w:szCs w:val="12"/>
                <w:color w:val="auto"/>
                <w:w w:val="99"/>
              </w:rPr>
              <w:t>24,956,129</w:t>
            </w:r>
          </w:p>
        </w:tc>
        <w:tc>
          <w:tcPr>
            <w:tcW w:w="240" w:type="dxa"/>
            <w:vAlign w:val="bottom"/>
            <w:shd w:val="clear" w:color="auto" w:fill="CCECFF"/>
          </w:tcPr>
          <w:p>
            <w:pPr>
              <w:spacing w:after="0"/>
              <w:rPr>
                <w:sz w:val="12"/>
                <w:szCs w:val="12"/>
                <w:color w:val="auto"/>
              </w:rPr>
            </w:pPr>
          </w:p>
        </w:tc>
        <w:tc>
          <w:tcPr>
            <w:tcW w:w="80" w:type="dxa"/>
            <w:vAlign w:val="bottom"/>
            <w:shd w:val="clear" w:color="auto" w:fill="CCECFF"/>
          </w:tcPr>
          <w:p>
            <w:pPr>
              <w:spacing w:after="0"/>
              <w:rPr>
                <w:sz w:val="12"/>
                <w:szCs w:val="12"/>
                <w:color w:val="auto"/>
              </w:rPr>
            </w:pPr>
          </w:p>
        </w:tc>
        <w:tc>
          <w:tcPr>
            <w:tcW w:w="640" w:type="dxa"/>
            <w:vAlign w:val="bottom"/>
            <w:shd w:val="clear" w:color="auto" w:fill="CCECFF"/>
          </w:tcPr>
          <w:p>
            <w:pPr>
              <w:jc w:val="right"/>
              <w:spacing w:after="0"/>
              <w:rPr>
                <w:sz w:val="20"/>
                <w:szCs w:val="20"/>
                <w:color w:val="auto"/>
              </w:rPr>
            </w:pPr>
            <w:r>
              <w:rPr>
                <w:rFonts w:ascii="Arial" w:cs="Arial" w:eastAsia="Arial" w:hAnsi="Arial"/>
                <w:sz w:val="12"/>
                <w:szCs w:val="12"/>
                <w:color w:val="auto"/>
                <w:w w:val="99"/>
              </w:rPr>
              <w:t>25,337,545</w:t>
            </w:r>
          </w:p>
        </w:tc>
        <w:tc>
          <w:tcPr>
            <w:tcW w:w="100" w:type="dxa"/>
            <w:vAlign w:val="bottom"/>
            <w:shd w:val="clear" w:color="auto" w:fill="CCECFF"/>
          </w:tcPr>
          <w:p>
            <w:pPr>
              <w:spacing w:after="0"/>
              <w:rPr>
                <w:sz w:val="12"/>
                <w:szCs w:val="12"/>
                <w:color w:val="auto"/>
              </w:rPr>
            </w:pPr>
          </w:p>
        </w:tc>
      </w:tr>
      <w:tr>
        <w:trPr>
          <w:trHeight w:val="148"/>
        </w:trPr>
        <w:tc>
          <w:tcPr>
            <w:tcW w:w="3020" w:type="dxa"/>
            <w:vAlign w:val="bottom"/>
          </w:tcPr>
          <w:p>
            <w:pPr>
              <w:spacing w:after="0"/>
              <w:rPr>
                <w:sz w:val="20"/>
                <w:szCs w:val="20"/>
                <w:color w:val="auto"/>
              </w:rPr>
            </w:pPr>
            <w:r>
              <w:rPr>
                <w:rFonts w:ascii="Arial" w:cs="Arial" w:eastAsia="Arial" w:hAnsi="Arial"/>
                <w:sz w:val="12"/>
                <w:szCs w:val="12"/>
                <w:color w:val="auto"/>
              </w:rPr>
              <w:t xml:space="preserve">Trust Inns Limited </w:t>
            </w:r>
            <w:r>
              <w:rPr>
                <w:rFonts w:ascii="Arial" w:cs="Arial" w:eastAsia="Arial" w:hAnsi="Arial"/>
                <w:sz w:val="9"/>
                <w:szCs w:val="9"/>
                <w:color w:val="auto"/>
              </w:rPr>
              <w:t>(9), (11), (12)</w:t>
            </w:r>
          </w:p>
        </w:tc>
        <w:tc>
          <w:tcPr>
            <w:tcW w:w="900" w:type="dxa"/>
            <w:vAlign w:val="bottom"/>
          </w:tcPr>
          <w:p>
            <w:pPr>
              <w:ind w:left="120"/>
              <w:spacing w:after="0"/>
              <w:rPr>
                <w:sz w:val="20"/>
                <w:szCs w:val="20"/>
                <w:color w:val="auto"/>
              </w:rPr>
            </w:pPr>
            <w:r>
              <w:rPr>
                <w:rFonts w:ascii="Arial" w:cs="Arial" w:eastAsia="Arial" w:hAnsi="Arial"/>
                <w:sz w:val="12"/>
                <w:szCs w:val="12"/>
                <w:color w:val="auto"/>
              </w:rPr>
              <w:t>02/12/2020</w:t>
            </w:r>
          </w:p>
        </w:tc>
        <w:tc>
          <w:tcPr>
            <w:tcW w:w="2780" w:type="dxa"/>
            <w:vAlign w:val="bottom"/>
            <w:gridSpan w:val="2"/>
          </w:tcPr>
          <w:p>
            <w:pPr>
              <w:jc w:val="center"/>
              <w:ind w:right="160"/>
              <w:spacing w:after="0"/>
              <w:rPr>
                <w:sz w:val="20"/>
                <w:szCs w:val="20"/>
                <w:color w:val="auto"/>
              </w:rPr>
            </w:pPr>
            <w:r>
              <w:rPr>
                <w:rFonts w:ascii="Arial" w:cs="Arial" w:eastAsia="Arial" w:hAnsi="Arial"/>
                <w:sz w:val="12"/>
                <w:szCs w:val="12"/>
                <w:color w:val="auto"/>
                <w:w w:val="88"/>
              </w:rPr>
              <w:t>Buildings and Real Estate</w:t>
            </w:r>
          </w:p>
        </w:tc>
        <w:tc>
          <w:tcPr>
            <w:tcW w:w="940" w:type="dxa"/>
            <w:vAlign w:val="bottom"/>
            <w:gridSpan w:val="2"/>
          </w:tcPr>
          <w:p>
            <w:pPr>
              <w:jc w:val="right"/>
              <w:ind w:right="180"/>
              <w:spacing w:after="0"/>
              <w:rPr>
                <w:sz w:val="20"/>
                <w:szCs w:val="20"/>
                <w:color w:val="auto"/>
              </w:rPr>
            </w:pPr>
            <w:r>
              <w:rPr>
                <w:rFonts w:ascii="Arial" w:cs="Arial" w:eastAsia="Arial" w:hAnsi="Arial"/>
                <w:sz w:val="12"/>
                <w:szCs w:val="12"/>
                <w:color w:val="auto"/>
              </w:rPr>
              <w:t>10.80%</w:t>
            </w:r>
          </w:p>
        </w:tc>
        <w:tc>
          <w:tcPr>
            <w:tcW w:w="680" w:type="dxa"/>
            <w:vAlign w:val="bottom"/>
          </w:tcPr>
          <w:p>
            <w:pPr>
              <w:jc w:val="right"/>
              <w:spacing w:after="0"/>
              <w:rPr>
                <w:sz w:val="20"/>
                <w:szCs w:val="20"/>
                <w:color w:val="auto"/>
              </w:rPr>
            </w:pPr>
            <w:r>
              <w:rPr>
                <w:rFonts w:ascii="Arial" w:cs="Arial" w:eastAsia="Arial" w:hAnsi="Arial"/>
                <w:sz w:val="12"/>
                <w:szCs w:val="12"/>
                <w:color w:val="auto"/>
              </w:rPr>
              <w:t>L+1,050</w:t>
            </w:r>
          </w:p>
        </w:tc>
        <w:tc>
          <w:tcPr>
            <w:tcW w:w="340" w:type="dxa"/>
            <w:vAlign w:val="bottom"/>
            <w:gridSpan w:val="2"/>
          </w:tcPr>
          <w:p>
            <w:pPr>
              <w:jc w:val="right"/>
              <w:spacing w:after="0"/>
              <w:rPr>
                <w:sz w:val="20"/>
                <w:szCs w:val="20"/>
                <w:color w:val="auto"/>
              </w:rPr>
            </w:pPr>
            <w:r>
              <w:rPr>
                <w:rFonts w:ascii="Arial" w:cs="Arial" w:eastAsia="Arial" w:hAnsi="Arial"/>
                <w:sz w:val="10"/>
                <w:szCs w:val="10"/>
                <w:color w:val="auto"/>
              </w:rPr>
              <w:t xml:space="preserve">(7) </w:t>
            </w:r>
            <w:r>
              <w:rPr>
                <w:rFonts w:ascii="Arial" w:cs="Arial" w:eastAsia="Arial" w:hAnsi="Arial"/>
                <w:sz w:val="11"/>
                <w:szCs w:val="11"/>
                <w:color w:val="auto"/>
              </w:rPr>
              <w:t>£</w:t>
            </w:r>
          </w:p>
        </w:tc>
        <w:tc>
          <w:tcPr>
            <w:tcW w:w="580" w:type="dxa"/>
            <w:vAlign w:val="bottom"/>
          </w:tcPr>
          <w:p>
            <w:pPr>
              <w:jc w:val="right"/>
              <w:spacing w:after="0"/>
              <w:rPr>
                <w:sz w:val="20"/>
                <w:szCs w:val="20"/>
                <w:color w:val="auto"/>
              </w:rPr>
            </w:pPr>
            <w:r>
              <w:rPr>
                <w:rFonts w:ascii="Arial" w:cs="Arial" w:eastAsia="Arial" w:hAnsi="Arial"/>
                <w:sz w:val="12"/>
                <w:szCs w:val="12"/>
                <w:color w:val="auto"/>
                <w:w w:val="89"/>
              </w:rPr>
              <w:t>20,820,895</w:t>
            </w:r>
          </w:p>
        </w:tc>
        <w:tc>
          <w:tcPr>
            <w:tcW w:w="2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20" w:type="dxa"/>
            <w:vAlign w:val="bottom"/>
          </w:tcPr>
          <w:p>
            <w:pPr>
              <w:jc w:val="right"/>
              <w:spacing w:after="0"/>
              <w:rPr>
                <w:sz w:val="20"/>
                <w:szCs w:val="20"/>
                <w:color w:val="auto"/>
              </w:rPr>
            </w:pPr>
            <w:r>
              <w:rPr>
                <w:rFonts w:ascii="Arial" w:cs="Arial" w:eastAsia="Arial" w:hAnsi="Arial"/>
                <w:sz w:val="12"/>
                <w:szCs w:val="12"/>
                <w:color w:val="auto"/>
                <w:w w:val="99"/>
              </w:rPr>
              <w:t>33,487,114</w:t>
            </w:r>
          </w:p>
        </w:tc>
        <w:tc>
          <w:tcPr>
            <w:tcW w:w="2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40" w:type="dxa"/>
            <w:vAlign w:val="bottom"/>
          </w:tcPr>
          <w:p>
            <w:pPr>
              <w:jc w:val="right"/>
              <w:spacing w:after="0"/>
              <w:rPr>
                <w:sz w:val="20"/>
                <w:szCs w:val="20"/>
                <w:color w:val="auto"/>
              </w:rPr>
            </w:pPr>
            <w:r>
              <w:rPr>
                <w:rFonts w:ascii="Arial" w:cs="Arial" w:eastAsia="Arial" w:hAnsi="Arial"/>
                <w:sz w:val="12"/>
                <w:szCs w:val="12"/>
                <w:color w:val="auto"/>
                <w:w w:val="99"/>
              </w:rPr>
              <w:t>27,315,839</w:t>
            </w:r>
          </w:p>
        </w:tc>
        <w:tc>
          <w:tcPr>
            <w:tcW w:w="100" w:type="dxa"/>
            <w:vAlign w:val="bottom"/>
          </w:tcPr>
          <w:p>
            <w:pPr>
              <w:spacing w:after="0"/>
              <w:rPr>
                <w:sz w:val="12"/>
                <w:szCs w:val="12"/>
                <w:color w:val="auto"/>
              </w:rPr>
            </w:pPr>
          </w:p>
        </w:tc>
      </w:tr>
      <w:tr>
        <w:trPr>
          <w:trHeight w:val="149"/>
        </w:trPr>
        <w:tc>
          <w:tcPr>
            <w:tcW w:w="3020" w:type="dxa"/>
            <w:vAlign w:val="bottom"/>
            <w:shd w:val="clear" w:color="auto" w:fill="CCECFF"/>
          </w:tcPr>
          <w:p>
            <w:pPr>
              <w:spacing w:after="0"/>
              <w:rPr>
                <w:sz w:val="20"/>
                <w:szCs w:val="20"/>
                <w:color w:val="auto"/>
              </w:rPr>
            </w:pPr>
            <w:r>
              <w:rPr>
                <w:rFonts w:ascii="Arial" w:cs="Arial" w:eastAsia="Arial" w:hAnsi="Arial"/>
                <w:sz w:val="12"/>
                <w:szCs w:val="12"/>
                <w:color w:val="auto"/>
              </w:rPr>
              <w:t>US Med Acquisition, Inc.</w:t>
            </w:r>
          </w:p>
        </w:tc>
        <w:tc>
          <w:tcPr>
            <w:tcW w:w="900" w:type="dxa"/>
            <w:vAlign w:val="bottom"/>
            <w:shd w:val="clear" w:color="auto" w:fill="CCECFF"/>
          </w:tcPr>
          <w:p>
            <w:pPr>
              <w:ind w:left="120"/>
              <w:spacing w:after="0"/>
              <w:rPr>
                <w:sz w:val="20"/>
                <w:szCs w:val="20"/>
                <w:color w:val="auto"/>
              </w:rPr>
            </w:pPr>
            <w:r>
              <w:rPr>
                <w:rFonts w:ascii="Arial" w:cs="Arial" w:eastAsia="Arial" w:hAnsi="Arial"/>
                <w:sz w:val="12"/>
                <w:szCs w:val="12"/>
                <w:color w:val="auto"/>
              </w:rPr>
              <w:t>08/13/2021</w:t>
            </w:r>
          </w:p>
        </w:tc>
        <w:tc>
          <w:tcPr>
            <w:tcW w:w="2780" w:type="dxa"/>
            <w:vAlign w:val="bottom"/>
            <w:gridSpan w:val="2"/>
            <w:shd w:val="clear" w:color="auto" w:fill="CCECFF"/>
          </w:tcPr>
          <w:p>
            <w:pPr>
              <w:jc w:val="center"/>
              <w:ind w:right="140"/>
              <w:spacing w:after="0"/>
              <w:rPr>
                <w:sz w:val="20"/>
                <w:szCs w:val="20"/>
                <w:color w:val="auto"/>
              </w:rPr>
            </w:pPr>
            <w:r>
              <w:rPr>
                <w:rFonts w:ascii="Arial" w:cs="Arial" w:eastAsia="Arial" w:hAnsi="Arial"/>
                <w:sz w:val="12"/>
                <w:szCs w:val="12"/>
                <w:color w:val="auto"/>
                <w:w w:val="87"/>
              </w:rPr>
              <w:t>Healthcare, Education and Childcare</w:t>
            </w:r>
          </w:p>
        </w:tc>
        <w:tc>
          <w:tcPr>
            <w:tcW w:w="940" w:type="dxa"/>
            <w:vAlign w:val="bottom"/>
            <w:gridSpan w:val="2"/>
            <w:shd w:val="clear" w:color="auto" w:fill="CCECFF"/>
          </w:tcPr>
          <w:p>
            <w:pPr>
              <w:jc w:val="right"/>
              <w:ind w:right="180"/>
              <w:spacing w:after="0"/>
              <w:rPr>
                <w:sz w:val="20"/>
                <w:szCs w:val="20"/>
                <w:color w:val="auto"/>
              </w:rPr>
            </w:pPr>
            <w:r>
              <w:rPr>
                <w:rFonts w:ascii="Arial" w:cs="Arial" w:eastAsia="Arial" w:hAnsi="Arial"/>
                <w:sz w:val="12"/>
                <w:szCs w:val="12"/>
                <w:color w:val="auto"/>
              </w:rPr>
              <w:t>10.30%</w:t>
            </w:r>
          </w:p>
        </w:tc>
        <w:tc>
          <w:tcPr>
            <w:tcW w:w="680" w:type="dxa"/>
            <w:vAlign w:val="bottom"/>
            <w:shd w:val="clear" w:color="auto" w:fill="CCECFF"/>
          </w:tcPr>
          <w:p>
            <w:pPr>
              <w:jc w:val="right"/>
              <w:spacing w:after="0"/>
              <w:rPr>
                <w:sz w:val="20"/>
                <w:szCs w:val="20"/>
                <w:color w:val="auto"/>
              </w:rPr>
            </w:pPr>
            <w:r>
              <w:rPr>
                <w:rFonts w:ascii="Arial" w:cs="Arial" w:eastAsia="Arial" w:hAnsi="Arial"/>
                <w:sz w:val="12"/>
                <w:szCs w:val="12"/>
                <w:color w:val="auto"/>
              </w:rPr>
              <w:t>L+900</w:t>
            </w:r>
          </w:p>
        </w:tc>
        <w:tc>
          <w:tcPr>
            <w:tcW w:w="240" w:type="dxa"/>
            <w:vAlign w:val="bottom"/>
            <w:shd w:val="clear" w:color="auto" w:fill="CCECFF"/>
          </w:tcPr>
          <w:p>
            <w:pPr>
              <w:spacing w:after="0"/>
              <w:rPr>
                <w:sz w:val="12"/>
                <w:szCs w:val="12"/>
                <w:color w:val="auto"/>
              </w:rPr>
            </w:pPr>
          </w:p>
        </w:tc>
        <w:tc>
          <w:tcPr>
            <w:tcW w:w="100" w:type="dxa"/>
            <w:vAlign w:val="bottom"/>
            <w:shd w:val="clear" w:color="auto" w:fill="CCECFF"/>
          </w:tcPr>
          <w:p>
            <w:pPr>
              <w:spacing w:after="0"/>
              <w:rPr>
                <w:sz w:val="12"/>
                <w:szCs w:val="12"/>
                <w:color w:val="auto"/>
              </w:rPr>
            </w:pPr>
          </w:p>
        </w:tc>
        <w:tc>
          <w:tcPr>
            <w:tcW w:w="580" w:type="dxa"/>
            <w:vAlign w:val="bottom"/>
            <w:shd w:val="clear" w:color="auto" w:fill="CCECFF"/>
          </w:tcPr>
          <w:p>
            <w:pPr>
              <w:jc w:val="right"/>
              <w:spacing w:after="0"/>
              <w:rPr>
                <w:sz w:val="20"/>
                <w:szCs w:val="20"/>
                <w:color w:val="auto"/>
              </w:rPr>
            </w:pPr>
            <w:r>
              <w:rPr>
                <w:rFonts w:ascii="Arial" w:cs="Arial" w:eastAsia="Arial" w:hAnsi="Arial"/>
                <w:sz w:val="12"/>
                <w:szCs w:val="12"/>
                <w:color w:val="auto"/>
              </w:rPr>
              <w:t>8,585,938</w:t>
            </w:r>
          </w:p>
        </w:tc>
        <w:tc>
          <w:tcPr>
            <w:tcW w:w="240" w:type="dxa"/>
            <w:vAlign w:val="bottom"/>
            <w:shd w:val="clear" w:color="auto" w:fill="CCECFF"/>
          </w:tcPr>
          <w:p>
            <w:pPr>
              <w:spacing w:after="0"/>
              <w:rPr>
                <w:sz w:val="12"/>
                <w:szCs w:val="12"/>
                <w:color w:val="auto"/>
              </w:rPr>
            </w:pPr>
          </w:p>
        </w:tc>
        <w:tc>
          <w:tcPr>
            <w:tcW w:w="80" w:type="dxa"/>
            <w:vAlign w:val="bottom"/>
            <w:tcBorders>
              <w:bottom w:val="single" w:sz="8" w:color="auto"/>
            </w:tcBorders>
            <w:shd w:val="clear" w:color="auto" w:fill="CCECFF"/>
          </w:tcPr>
          <w:p>
            <w:pPr>
              <w:spacing w:after="0"/>
              <w:rPr>
                <w:sz w:val="12"/>
                <w:szCs w:val="12"/>
                <w:color w:val="auto"/>
              </w:rPr>
            </w:pPr>
          </w:p>
        </w:tc>
        <w:tc>
          <w:tcPr>
            <w:tcW w:w="620" w:type="dxa"/>
            <w:vAlign w:val="bottom"/>
            <w:tcBorders>
              <w:bottom w:val="single" w:sz="8" w:color="auto"/>
            </w:tcBorders>
            <w:shd w:val="clear" w:color="auto" w:fill="CCECFF"/>
          </w:tcPr>
          <w:p>
            <w:pPr>
              <w:jc w:val="right"/>
              <w:spacing w:after="0"/>
              <w:rPr>
                <w:sz w:val="20"/>
                <w:szCs w:val="20"/>
                <w:color w:val="auto"/>
              </w:rPr>
            </w:pPr>
            <w:r>
              <w:rPr>
                <w:rFonts w:ascii="Arial" w:cs="Arial" w:eastAsia="Arial" w:hAnsi="Arial"/>
                <w:sz w:val="12"/>
                <w:szCs w:val="12"/>
                <w:color w:val="auto"/>
              </w:rPr>
              <w:t>8,585,938</w:t>
            </w:r>
          </w:p>
        </w:tc>
        <w:tc>
          <w:tcPr>
            <w:tcW w:w="240" w:type="dxa"/>
            <w:vAlign w:val="bottom"/>
            <w:shd w:val="clear" w:color="auto" w:fill="CCECFF"/>
          </w:tcPr>
          <w:p>
            <w:pPr>
              <w:spacing w:after="0"/>
              <w:rPr>
                <w:sz w:val="12"/>
                <w:szCs w:val="12"/>
                <w:color w:val="auto"/>
              </w:rPr>
            </w:pPr>
          </w:p>
        </w:tc>
        <w:tc>
          <w:tcPr>
            <w:tcW w:w="80" w:type="dxa"/>
            <w:vAlign w:val="bottom"/>
            <w:tcBorders>
              <w:bottom w:val="single" w:sz="8" w:color="auto"/>
            </w:tcBorders>
            <w:shd w:val="clear" w:color="auto" w:fill="CCECFF"/>
          </w:tcPr>
          <w:p>
            <w:pPr>
              <w:spacing w:after="0"/>
              <w:rPr>
                <w:sz w:val="12"/>
                <w:szCs w:val="12"/>
                <w:color w:val="auto"/>
              </w:rPr>
            </w:pPr>
          </w:p>
        </w:tc>
        <w:tc>
          <w:tcPr>
            <w:tcW w:w="640" w:type="dxa"/>
            <w:vAlign w:val="bottom"/>
            <w:tcBorders>
              <w:bottom w:val="single" w:sz="8" w:color="auto"/>
            </w:tcBorders>
            <w:shd w:val="clear" w:color="auto" w:fill="CCECFF"/>
          </w:tcPr>
          <w:p>
            <w:pPr>
              <w:jc w:val="right"/>
              <w:spacing w:after="0"/>
              <w:rPr>
                <w:sz w:val="20"/>
                <w:szCs w:val="20"/>
                <w:color w:val="auto"/>
              </w:rPr>
            </w:pPr>
            <w:r>
              <w:rPr>
                <w:rFonts w:ascii="Arial" w:cs="Arial" w:eastAsia="Arial" w:hAnsi="Arial"/>
                <w:sz w:val="12"/>
                <w:szCs w:val="12"/>
                <w:color w:val="auto"/>
              </w:rPr>
              <w:t>8,414,219</w:t>
            </w:r>
          </w:p>
        </w:tc>
        <w:tc>
          <w:tcPr>
            <w:tcW w:w="100" w:type="dxa"/>
            <w:vAlign w:val="bottom"/>
            <w:shd w:val="clear" w:color="auto" w:fill="CCECFF"/>
          </w:tcPr>
          <w:p>
            <w:pPr>
              <w:spacing w:after="0"/>
              <w:rPr>
                <w:sz w:val="12"/>
                <w:szCs w:val="12"/>
                <w:color w:val="auto"/>
              </w:rPr>
            </w:pPr>
          </w:p>
        </w:tc>
      </w:tr>
      <w:tr>
        <w:trPr>
          <w:trHeight w:val="142"/>
        </w:trPr>
        <w:tc>
          <w:tcPr>
            <w:tcW w:w="3020" w:type="dxa"/>
            <w:vAlign w:val="bottom"/>
            <w:tcBorders>
              <w:bottom w:val="single" w:sz="8" w:color="CCECFF"/>
            </w:tcBorders>
          </w:tcPr>
          <w:p>
            <w:pPr>
              <w:spacing w:after="0"/>
              <w:rPr>
                <w:sz w:val="20"/>
                <w:szCs w:val="20"/>
                <w:color w:val="auto"/>
              </w:rPr>
            </w:pPr>
            <w:r>
              <w:rPr>
                <w:rFonts w:ascii="Arial" w:cs="Arial" w:eastAsia="Arial" w:hAnsi="Arial"/>
                <w:sz w:val="12"/>
                <w:szCs w:val="12"/>
                <w:b w:val="1"/>
                <w:bCs w:val="1"/>
                <w:color w:val="auto"/>
              </w:rPr>
              <w:t>Total First Lien Secured Debt</w:t>
            </w:r>
          </w:p>
        </w:tc>
        <w:tc>
          <w:tcPr>
            <w:tcW w:w="900" w:type="dxa"/>
            <w:vAlign w:val="bottom"/>
            <w:tcBorders>
              <w:bottom w:val="single" w:sz="8" w:color="CCECFF"/>
            </w:tcBorders>
          </w:tcPr>
          <w:p>
            <w:pPr>
              <w:spacing w:after="0"/>
              <w:rPr>
                <w:sz w:val="12"/>
                <w:szCs w:val="12"/>
                <w:color w:val="auto"/>
              </w:rPr>
            </w:pPr>
          </w:p>
        </w:tc>
        <w:tc>
          <w:tcPr>
            <w:tcW w:w="2640" w:type="dxa"/>
            <w:vAlign w:val="bottom"/>
            <w:tcBorders>
              <w:bottom w:val="single" w:sz="8" w:color="CCECFF"/>
            </w:tcBorders>
          </w:tcPr>
          <w:p>
            <w:pPr>
              <w:spacing w:after="0"/>
              <w:rPr>
                <w:sz w:val="12"/>
                <w:szCs w:val="12"/>
                <w:color w:val="auto"/>
              </w:rPr>
            </w:pPr>
          </w:p>
        </w:tc>
        <w:tc>
          <w:tcPr>
            <w:tcW w:w="140" w:type="dxa"/>
            <w:vAlign w:val="bottom"/>
            <w:tcBorders>
              <w:bottom w:val="single" w:sz="8" w:color="CCECFF"/>
            </w:tcBorders>
          </w:tcPr>
          <w:p>
            <w:pPr>
              <w:spacing w:after="0"/>
              <w:rPr>
                <w:sz w:val="12"/>
                <w:szCs w:val="12"/>
                <w:color w:val="auto"/>
              </w:rPr>
            </w:pPr>
          </w:p>
        </w:tc>
        <w:tc>
          <w:tcPr>
            <w:tcW w:w="660" w:type="dxa"/>
            <w:vAlign w:val="bottom"/>
            <w:tcBorders>
              <w:bottom w:val="single" w:sz="8" w:color="CCECFF"/>
            </w:tcBorders>
          </w:tcPr>
          <w:p>
            <w:pPr>
              <w:spacing w:after="0"/>
              <w:rPr>
                <w:sz w:val="12"/>
                <w:szCs w:val="12"/>
                <w:color w:val="auto"/>
              </w:rPr>
            </w:pPr>
          </w:p>
        </w:tc>
        <w:tc>
          <w:tcPr>
            <w:tcW w:w="280" w:type="dxa"/>
            <w:vAlign w:val="bottom"/>
            <w:tcBorders>
              <w:bottom w:val="single" w:sz="8" w:color="CCECFF"/>
            </w:tcBorders>
          </w:tcPr>
          <w:p>
            <w:pPr>
              <w:spacing w:after="0"/>
              <w:rPr>
                <w:sz w:val="12"/>
                <w:szCs w:val="12"/>
                <w:color w:val="auto"/>
              </w:rPr>
            </w:pPr>
          </w:p>
        </w:tc>
        <w:tc>
          <w:tcPr>
            <w:tcW w:w="680" w:type="dxa"/>
            <w:vAlign w:val="bottom"/>
            <w:tcBorders>
              <w:bottom w:val="single" w:sz="8" w:color="CCECFF"/>
            </w:tcBorders>
          </w:tcPr>
          <w:p>
            <w:pPr>
              <w:spacing w:after="0"/>
              <w:rPr>
                <w:sz w:val="12"/>
                <w:szCs w:val="12"/>
                <w:color w:val="auto"/>
              </w:rPr>
            </w:pPr>
          </w:p>
        </w:tc>
        <w:tc>
          <w:tcPr>
            <w:tcW w:w="240" w:type="dxa"/>
            <w:vAlign w:val="bottom"/>
            <w:tcBorders>
              <w:bottom w:val="single" w:sz="8" w:color="CCECFF"/>
            </w:tcBorders>
          </w:tcPr>
          <w:p>
            <w:pPr>
              <w:spacing w:after="0"/>
              <w:rPr>
                <w:sz w:val="12"/>
                <w:szCs w:val="12"/>
                <w:color w:val="auto"/>
              </w:rPr>
            </w:pPr>
          </w:p>
        </w:tc>
        <w:tc>
          <w:tcPr>
            <w:tcW w:w="100" w:type="dxa"/>
            <w:vAlign w:val="bottom"/>
            <w:tcBorders>
              <w:bottom w:val="single" w:sz="8" w:color="CCECFF"/>
            </w:tcBorders>
          </w:tcPr>
          <w:p>
            <w:pPr>
              <w:spacing w:after="0"/>
              <w:rPr>
                <w:sz w:val="12"/>
                <w:szCs w:val="12"/>
                <w:color w:val="auto"/>
              </w:rPr>
            </w:pPr>
          </w:p>
        </w:tc>
        <w:tc>
          <w:tcPr>
            <w:tcW w:w="580" w:type="dxa"/>
            <w:vAlign w:val="bottom"/>
            <w:tcBorders>
              <w:bottom w:val="single" w:sz="8" w:color="CCECFF"/>
            </w:tcBorders>
          </w:tcPr>
          <w:p>
            <w:pPr>
              <w:spacing w:after="0"/>
              <w:rPr>
                <w:sz w:val="12"/>
                <w:szCs w:val="12"/>
                <w:color w:val="auto"/>
              </w:rPr>
            </w:pPr>
          </w:p>
        </w:tc>
        <w:tc>
          <w:tcPr>
            <w:tcW w:w="240" w:type="dxa"/>
            <w:vAlign w:val="bottom"/>
            <w:tcBorders>
              <w:bottom w:val="single" w:sz="8" w:color="CCECFF"/>
            </w:tcBorders>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w w:val="89"/>
              </w:rPr>
              <w:t>301,539,473</w:t>
            </w:r>
          </w:p>
        </w:tc>
        <w:tc>
          <w:tcPr>
            <w:tcW w:w="240" w:type="dxa"/>
            <w:vAlign w:val="bottom"/>
            <w:tcBorders>
              <w:bottom w:val="single" w:sz="8" w:color="CCECFF"/>
            </w:tcBorders>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w w:val="89"/>
              </w:rPr>
              <w:t>300,826,098</w:t>
            </w:r>
          </w:p>
        </w:tc>
        <w:tc>
          <w:tcPr>
            <w:tcW w:w="100" w:type="dxa"/>
            <w:vAlign w:val="bottom"/>
            <w:tcBorders>
              <w:bottom w:val="single" w:sz="8" w:color="CCECFF"/>
            </w:tcBorders>
          </w:tcPr>
          <w:p>
            <w:pPr>
              <w:spacing w:after="0"/>
              <w:rPr>
                <w:sz w:val="12"/>
                <w:szCs w:val="12"/>
                <w:color w:val="auto"/>
              </w:rPr>
            </w:pPr>
          </w:p>
        </w:tc>
      </w:tr>
      <w:tr>
        <w:trPr>
          <w:trHeight w:val="142"/>
        </w:trPr>
        <w:tc>
          <w:tcPr>
            <w:tcW w:w="3020" w:type="dxa"/>
            <w:vAlign w:val="bottom"/>
            <w:shd w:val="clear" w:color="auto" w:fill="CCECFF"/>
          </w:tcPr>
          <w:p>
            <w:pPr>
              <w:spacing w:after="0"/>
              <w:rPr>
                <w:sz w:val="20"/>
                <w:szCs w:val="20"/>
                <w:color w:val="auto"/>
              </w:rPr>
            </w:pPr>
            <w:r>
              <w:rPr>
                <w:rFonts w:ascii="Arial" w:cs="Arial" w:eastAsia="Arial" w:hAnsi="Arial"/>
                <w:sz w:val="12"/>
                <w:szCs w:val="12"/>
                <w:b w:val="1"/>
                <w:bCs w:val="1"/>
                <w:color w:val="auto"/>
              </w:rPr>
              <w:t>Second Lien Secured Debt—57.6%</w:t>
            </w:r>
          </w:p>
        </w:tc>
        <w:tc>
          <w:tcPr>
            <w:tcW w:w="900" w:type="dxa"/>
            <w:vAlign w:val="bottom"/>
            <w:shd w:val="clear" w:color="auto" w:fill="CCECFF"/>
          </w:tcPr>
          <w:p>
            <w:pPr>
              <w:spacing w:after="0"/>
              <w:rPr>
                <w:sz w:val="12"/>
                <w:szCs w:val="12"/>
                <w:color w:val="auto"/>
              </w:rPr>
            </w:pPr>
          </w:p>
        </w:tc>
        <w:tc>
          <w:tcPr>
            <w:tcW w:w="2640" w:type="dxa"/>
            <w:vAlign w:val="bottom"/>
            <w:shd w:val="clear" w:color="auto" w:fill="CCECFF"/>
          </w:tcPr>
          <w:p>
            <w:pPr>
              <w:spacing w:after="0"/>
              <w:rPr>
                <w:sz w:val="12"/>
                <w:szCs w:val="12"/>
                <w:color w:val="auto"/>
              </w:rPr>
            </w:pPr>
          </w:p>
        </w:tc>
        <w:tc>
          <w:tcPr>
            <w:tcW w:w="140" w:type="dxa"/>
            <w:vAlign w:val="bottom"/>
            <w:shd w:val="clear" w:color="auto" w:fill="CCECFF"/>
          </w:tcPr>
          <w:p>
            <w:pPr>
              <w:spacing w:after="0"/>
              <w:rPr>
                <w:sz w:val="12"/>
                <w:szCs w:val="12"/>
                <w:color w:val="auto"/>
              </w:rPr>
            </w:pPr>
          </w:p>
        </w:tc>
        <w:tc>
          <w:tcPr>
            <w:tcW w:w="660" w:type="dxa"/>
            <w:vAlign w:val="bottom"/>
            <w:shd w:val="clear" w:color="auto" w:fill="CCECFF"/>
          </w:tcPr>
          <w:p>
            <w:pPr>
              <w:spacing w:after="0"/>
              <w:rPr>
                <w:sz w:val="12"/>
                <w:szCs w:val="12"/>
                <w:color w:val="auto"/>
              </w:rPr>
            </w:pPr>
          </w:p>
        </w:tc>
        <w:tc>
          <w:tcPr>
            <w:tcW w:w="280" w:type="dxa"/>
            <w:vAlign w:val="bottom"/>
            <w:shd w:val="clear" w:color="auto" w:fill="CCECFF"/>
          </w:tcPr>
          <w:p>
            <w:pPr>
              <w:spacing w:after="0"/>
              <w:rPr>
                <w:sz w:val="12"/>
                <w:szCs w:val="12"/>
                <w:color w:val="auto"/>
              </w:rPr>
            </w:pPr>
          </w:p>
        </w:tc>
        <w:tc>
          <w:tcPr>
            <w:tcW w:w="680" w:type="dxa"/>
            <w:vAlign w:val="bottom"/>
            <w:shd w:val="clear" w:color="auto" w:fill="CCECFF"/>
          </w:tcPr>
          <w:p>
            <w:pPr>
              <w:spacing w:after="0"/>
              <w:rPr>
                <w:sz w:val="12"/>
                <w:szCs w:val="12"/>
                <w:color w:val="auto"/>
              </w:rPr>
            </w:pPr>
          </w:p>
        </w:tc>
        <w:tc>
          <w:tcPr>
            <w:tcW w:w="240" w:type="dxa"/>
            <w:vAlign w:val="bottom"/>
            <w:shd w:val="clear" w:color="auto" w:fill="CCECFF"/>
          </w:tcPr>
          <w:p>
            <w:pPr>
              <w:spacing w:after="0"/>
              <w:rPr>
                <w:sz w:val="12"/>
                <w:szCs w:val="12"/>
                <w:color w:val="auto"/>
              </w:rPr>
            </w:pPr>
          </w:p>
        </w:tc>
        <w:tc>
          <w:tcPr>
            <w:tcW w:w="100" w:type="dxa"/>
            <w:vAlign w:val="bottom"/>
            <w:shd w:val="clear" w:color="auto" w:fill="CCECFF"/>
          </w:tcPr>
          <w:p>
            <w:pPr>
              <w:spacing w:after="0"/>
              <w:rPr>
                <w:sz w:val="12"/>
                <w:szCs w:val="12"/>
                <w:color w:val="auto"/>
              </w:rPr>
            </w:pPr>
          </w:p>
        </w:tc>
        <w:tc>
          <w:tcPr>
            <w:tcW w:w="580" w:type="dxa"/>
            <w:vAlign w:val="bottom"/>
            <w:shd w:val="clear" w:color="auto" w:fill="CCECFF"/>
          </w:tcPr>
          <w:p>
            <w:pPr>
              <w:spacing w:after="0"/>
              <w:rPr>
                <w:sz w:val="12"/>
                <w:szCs w:val="12"/>
                <w:color w:val="auto"/>
              </w:rPr>
            </w:pPr>
          </w:p>
        </w:tc>
        <w:tc>
          <w:tcPr>
            <w:tcW w:w="240" w:type="dxa"/>
            <w:vAlign w:val="bottom"/>
            <w:shd w:val="clear" w:color="auto" w:fill="CCECFF"/>
          </w:tcPr>
          <w:p>
            <w:pPr>
              <w:spacing w:after="0"/>
              <w:rPr>
                <w:sz w:val="12"/>
                <w:szCs w:val="12"/>
                <w:color w:val="auto"/>
              </w:rPr>
            </w:pPr>
          </w:p>
        </w:tc>
        <w:tc>
          <w:tcPr>
            <w:tcW w:w="80" w:type="dxa"/>
            <w:vAlign w:val="bottom"/>
            <w:shd w:val="clear" w:color="auto" w:fill="CCECFF"/>
          </w:tcPr>
          <w:p>
            <w:pPr>
              <w:spacing w:after="0"/>
              <w:rPr>
                <w:sz w:val="12"/>
                <w:szCs w:val="12"/>
                <w:color w:val="auto"/>
              </w:rPr>
            </w:pPr>
          </w:p>
        </w:tc>
        <w:tc>
          <w:tcPr>
            <w:tcW w:w="620" w:type="dxa"/>
            <w:vAlign w:val="bottom"/>
            <w:shd w:val="clear" w:color="auto" w:fill="CCECFF"/>
          </w:tcPr>
          <w:p>
            <w:pPr>
              <w:spacing w:after="0"/>
              <w:rPr>
                <w:sz w:val="12"/>
                <w:szCs w:val="12"/>
                <w:color w:val="auto"/>
              </w:rPr>
            </w:pPr>
          </w:p>
        </w:tc>
        <w:tc>
          <w:tcPr>
            <w:tcW w:w="240" w:type="dxa"/>
            <w:vAlign w:val="bottom"/>
            <w:shd w:val="clear" w:color="auto" w:fill="CCECFF"/>
          </w:tcPr>
          <w:p>
            <w:pPr>
              <w:spacing w:after="0"/>
              <w:rPr>
                <w:sz w:val="12"/>
                <w:szCs w:val="12"/>
                <w:color w:val="auto"/>
              </w:rPr>
            </w:pPr>
          </w:p>
        </w:tc>
        <w:tc>
          <w:tcPr>
            <w:tcW w:w="80" w:type="dxa"/>
            <w:vAlign w:val="bottom"/>
            <w:shd w:val="clear" w:color="auto" w:fill="CCECFF"/>
          </w:tcPr>
          <w:p>
            <w:pPr>
              <w:spacing w:after="0"/>
              <w:rPr>
                <w:sz w:val="12"/>
                <w:szCs w:val="12"/>
                <w:color w:val="auto"/>
              </w:rPr>
            </w:pPr>
          </w:p>
        </w:tc>
        <w:tc>
          <w:tcPr>
            <w:tcW w:w="640" w:type="dxa"/>
            <w:vAlign w:val="bottom"/>
            <w:shd w:val="clear" w:color="auto" w:fill="CCECFF"/>
          </w:tcPr>
          <w:p>
            <w:pPr>
              <w:spacing w:after="0"/>
              <w:rPr>
                <w:sz w:val="12"/>
                <w:szCs w:val="12"/>
                <w:color w:val="auto"/>
              </w:rPr>
            </w:pPr>
          </w:p>
        </w:tc>
        <w:tc>
          <w:tcPr>
            <w:tcW w:w="100" w:type="dxa"/>
            <w:vAlign w:val="bottom"/>
            <w:shd w:val="clear" w:color="auto" w:fill="CCECFF"/>
          </w:tcPr>
          <w:p>
            <w:pPr>
              <w:spacing w:after="0"/>
              <w:rPr>
                <w:sz w:val="12"/>
                <w:szCs w:val="12"/>
                <w:color w:val="auto"/>
              </w:rPr>
            </w:pPr>
          </w:p>
        </w:tc>
      </w:tr>
      <w:tr>
        <w:trPr>
          <w:trHeight w:val="149"/>
        </w:trPr>
        <w:tc>
          <w:tcPr>
            <w:tcW w:w="3020" w:type="dxa"/>
            <w:vAlign w:val="bottom"/>
          </w:tcPr>
          <w:p>
            <w:pPr>
              <w:spacing w:after="0"/>
              <w:rPr>
                <w:sz w:val="20"/>
                <w:szCs w:val="20"/>
                <w:color w:val="auto"/>
              </w:rPr>
            </w:pPr>
            <w:r>
              <w:rPr>
                <w:rFonts w:ascii="Arial" w:cs="Arial" w:eastAsia="Arial" w:hAnsi="Arial"/>
                <w:sz w:val="12"/>
                <w:szCs w:val="12"/>
                <w:color w:val="auto"/>
              </w:rPr>
              <w:t>Acre Operating Company, LLC</w:t>
            </w:r>
          </w:p>
        </w:tc>
        <w:tc>
          <w:tcPr>
            <w:tcW w:w="900" w:type="dxa"/>
            <w:vAlign w:val="bottom"/>
          </w:tcPr>
          <w:p>
            <w:pPr>
              <w:ind w:left="120"/>
              <w:spacing w:after="0"/>
              <w:rPr>
                <w:sz w:val="20"/>
                <w:szCs w:val="20"/>
                <w:color w:val="auto"/>
              </w:rPr>
            </w:pPr>
            <w:r>
              <w:rPr>
                <w:rFonts w:ascii="Arial" w:cs="Arial" w:eastAsia="Arial" w:hAnsi="Arial"/>
                <w:sz w:val="12"/>
                <w:szCs w:val="12"/>
                <w:color w:val="auto"/>
              </w:rPr>
              <w:t>12/12/2023</w:t>
            </w:r>
          </w:p>
        </w:tc>
        <w:tc>
          <w:tcPr>
            <w:tcW w:w="2780" w:type="dxa"/>
            <w:vAlign w:val="bottom"/>
            <w:gridSpan w:val="2"/>
          </w:tcPr>
          <w:p>
            <w:pPr>
              <w:jc w:val="center"/>
              <w:ind w:right="160"/>
              <w:spacing w:after="0"/>
              <w:rPr>
                <w:sz w:val="20"/>
                <w:szCs w:val="20"/>
                <w:color w:val="auto"/>
              </w:rPr>
            </w:pPr>
            <w:r>
              <w:rPr>
                <w:rFonts w:ascii="Arial" w:cs="Arial" w:eastAsia="Arial" w:hAnsi="Arial"/>
                <w:sz w:val="12"/>
                <w:szCs w:val="12"/>
                <w:color w:val="auto"/>
                <w:w w:val="91"/>
              </w:rPr>
              <w:t>Electronics</w:t>
            </w:r>
          </w:p>
        </w:tc>
        <w:tc>
          <w:tcPr>
            <w:tcW w:w="940" w:type="dxa"/>
            <w:vAlign w:val="bottom"/>
            <w:gridSpan w:val="2"/>
          </w:tcPr>
          <w:p>
            <w:pPr>
              <w:jc w:val="right"/>
              <w:ind w:right="180"/>
              <w:spacing w:after="0"/>
              <w:rPr>
                <w:sz w:val="20"/>
                <w:szCs w:val="20"/>
                <w:color w:val="auto"/>
              </w:rPr>
            </w:pPr>
            <w:r>
              <w:rPr>
                <w:rFonts w:ascii="Arial" w:cs="Arial" w:eastAsia="Arial" w:hAnsi="Arial"/>
                <w:sz w:val="12"/>
                <w:szCs w:val="12"/>
                <w:color w:val="auto"/>
              </w:rPr>
              <w:t>10.67%</w:t>
            </w:r>
          </w:p>
        </w:tc>
        <w:tc>
          <w:tcPr>
            <w:tcW w:w="680" w:type="dxa"/>
            <w:vAlign w:val="bottom"/>
          </w:tcPr>
          <w:p>
            <w:pPr>
              <w:jc w:val="right"/>
              <w:spacing w:after="0"/>
              <w:rPr>
                <w:sz w:val="20"/>
                <w:szCs w:val="20"/>
                <w:color w:val="auto"/>
              </w:rPr>
            </w:pPr>
            <w:r>
              <w:rPr>
                <w:rFonts w:ascii="Arial" w:cs="Arial" w:eastAsia="Arial" w:hAnsi="Arial"/>
                <w:sz w:val="12"/>
                <w:szCs w:val="12"/>
                <w:color w:val="auto"/>
              </w:rPr>
              <w:t>L+950</w:t>
            </w:r>
          </w:p>
        </w:tc>
        <w:tc>
          <w:tcPr>
            <w:tcW w:w="2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80" w:type="dxa"/>
            <w:vAlign w:val="bottom"/>
          </w:tcPr>
          <w:p>
            <w:pPr>
              <w:jc w:val="right"/>
              <w:spacing w:after="0"/>
              <w:rPr>
                <w:sz w:val="20"/>
                <w:szCs w:val="20"/>
                <w:color w:val="auto"/>
              </w:rPr>
            </w:pPr>
            <w:r>
              <w:rPr>
                <w:rFonts w:ascii="Arial" w:cs="Arial" w:eastAsia="Arial" w:hAnsi="Arial"/>
                <w:sz w:val="12"/>
                <w:szCs w:val="12"/>
                <w:color w:val="auto"/>
                <w:w w:val="89"/>
              </w:rPr>
              <w:t>38,800,000</w:t>
            </w:r>
          </w:p>
        </w:tc>
        <w:tc>
          <w:tcPr>
            <w:tcW w:w="2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20" w:type="dxa"/>
            <w:vAlign w:val="bottom"/>
          </w:tcPr>
          <w:p>
            <w:pPr>
              <w:jc w:val="right"/>
              <w:spacing w:after="0"/>
              <w:rPr>
                <w:sz w:val="20"/>
                <w:szCs w:val="20"/>
                <w:color w:val="auto"/>
              </w:rPr>
            </w:pPr>
            <w:r>
              <w:rPr>
                <w:rFonts w:ascii="Arial" w:cs="Arial" w:eastAsia="Arial" w:hAnsi="Arial"/>
                <w:sz w:val="12"/>
                <w:szCs w:val="12"/>
                <w:color w:val="auto"/>
                <w:w w:val="99"/>
              </w:rPr>
              <w:t>38,149,962</w:t>
            </w:r>
          </w:p>
        </w:tc>
        <w:tc>
          <w:tcPr>
            <w:tcW w:w="2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40" w:type="dxa"/>
            <w:vAlign w:val="bottom"/>
          </w:tcPr>
          <w:p>
            <w:pPr>
              <w:jc w:val="right"/>
              <w:spacing w:after="0"/>
              <w:rPr>
                <w:sz w:val="20"/>
                <w:szCs w:val="20"/>
                <w:color w:val="auto"/>
              </w:rPr>
            </w:pPr>
            <w:r>
              <w:rPr>
                <w:rFonts w:ascii="Arial" w:cs="Arial" w:eastAsia="Arial" w:hAnsi="Arial"/>
                <w:sz w:val="12"/>
                <w:szCs w:val="12"/>
                <w:color w:val="auto"/>
                <w:w w:val="99"/>
              </w:rPr>
              <w:t>38,800,000</w:t>
            </w:r>
          </w:p>
        </w:tc>
        <w:tc>
          <w:tcPr>
            <w:tcW w:w="100" w:type="dxa"/>
            <w:vAlign w:val="bottom"/>
          </w:tcPr>
          <w:p>
            <w:pPr>
              <w:spacing w:after="0"/>
              <w:rPr>
                <w:sz w:val="12"/>
                <w:szCs w:val="12"/>
                <w:color w:val="auto"/>
              </w:rPr>
            </w:pPr>
          </w:p>
        </w:tc>
      </w:tr>
      <w:tr>
        <w:trPr>
          <w:trHeight w:val="148"/>
        </w:trPr>
        <w:tc>
          <w:tcPr>
            <w:tcW w:w="3020" w:type="dxa"/>
            <w:vAlign w:val="bottom"/>
            <w:shd w:val="clear" w:color="auto" w:fill="CCECFF"/>
          </w:tcPr>
          <w:p>
            <w:pPr>
              <w:spacing w:after="0"/>
              <w:rPr>
                <w:sz w:val="20"/>
                <w:szCs w:val="20"/>
                <w:color w:val="auto"/>
              </w:rPr>
            </w:pPr>
            <w:r>
              <w:rPr>
                <w:rFonts w:ascii="Arial" w:cs="Arial" w:eastAsia="Arial" w:hAnsi="Arial"/>
                <w:sz w:val="12"/>
                <w:szCs w:val="12"/>
                <w:color w:val="auto"/>
              </w:rPr>
              <w:t xml:space="preserve">Balboa Capital Corporation </w:t>
            </w:r>
            <w:r>
              <w:rPr>
                <w:rFonts w:ascii="Arial" w:cs="Arial" w:eastAsia="Arial" w:hAnsi="Arial"/>
                <w:sz w:val="9"/>
                <w:szCs w:val="9"/>
                <w:color w:val="auto"/>
              </w:rPr>
              <w:t>(12)</w:t>
            </w:r>
          </w:p>
        </w:tc>
        <w:tc>
          <w:tcPr>
            <w:tcW w:w="900" w:type="dxa"/>
            <w:vAlign w:val="bottom"/>
            <w:shd w:val="clear" w:color="auto" w:fill="CCECFF"/>
          </w:tcPr>
          <w:p>
            <w:pPr>
              <w:ind w:left="120"/>
              <w:spacing w:after="0"/>
              <w:rPr>
                <w:sz w:val="20"/>
                <w:szCs w:val="20"/>
                <w:color w:val="auto"/>
              </w:rPr>
            </w:pPr>
            <w:r>
              <w:rPr>
                <w:rFonts w:ascii="Arial" w:cs="Arial" w:eastAsia="Arial" w:hAnsi="Arial"/>
                <w:sz w:val="12"/>
                <w:szCs w:val="12"/>
                <w:color w:val="auto"/>
              </w:rPr>
              <w:t>03/04/2022</w:t>
            </w:r>
          </w:p>
        </w:tc>
        <w:tc>
          <w:tcPr>
            <w:tcW w:w="2780" w:type="dxa"/>
            <w:vAlign w:val="bottom"/>
            <w:gridSpan w:val="2"/>
            <w:shd w:val="clear" w:color="auto" w:fill="CCECFF"/>
          </w:tcPr>
          <w:p>
            <w:pPr>
              <w:jc w:val="center"/>
              <w:ind w:right="160"/>
              <w:spacing w:after="0"/>
              <w:rPr>
                <w:sz w:val="20"/>
                <w:szCs w:val="20"/>
                <w:color w:val="auto"/>
              </w:rPr>
            </w:pPr>
            <w:r>
              <w:rPr>
                <w:rFonts w:ascii="Arial" w:cs="Arial" w:eastAsia="Arial" w:hAnsi="Arial"/>
                <w:sz w:val="12"/>
                <w:szCs w:val="12"/>
                <w:color w:val="auto"/>
                <w:w w:val="88"/>
              </w:rPr>
              <w:t>Financial Services</w:t>
            </w:r>
          </w:p>
        </w:tc>
        <w:tc>
          <w:tcPr>
            <w:tcW w:w="940" w:type="dxa"/>
            <w:vAlign w:val="bottom"/>
            <w:gridSpan w:val="2"/>
            <w:shd w:val="clear" w:color="auto" w:fill="CCECFF"/>
          </w:tcPr>
          <w:p>
            <w:pPr>
              <w:jc w:val="right"/>
              <w:ind w:right="180"/>
              <w:spacing w:after="0"/>
              <w:rPr>
                <w:sz w:val="20"/>
                <w:szCs w:val="20"/>
                <w:color w:val="auto"/>
              </w:rPr>
            </w:pPr>
            <w:r>
              <w:rPr>
                <w:rFonts w:ascii="Arial" w:cs="Arial" w:eastAsia="Arial" w:hAnsi="Arial"/>
                <w:sz w:val="12"/>
                <w:szCs w:val="12"/>
                <w:color w:val="auto"/>
              </w:rPr>
              <w:t>13.75%</w:t>
            </w:r>
          </w:p>
        </w:tc>
        <w:tc>
          <w:tcPr>
            <w:tcW w:w="680" w:type="dxa"/>
            <w:vAlign w:val="bottom"/>
            <w:shd w:val="clear" w:color="auto" w:fill="CCECFF"/>
          </w:tcPr>
          <w:p>
            <w:pPr>
              <w:jc w:val="right"/>
              <w:spacing w:after="0"/>
              <w:rPr>
                <w:sz w:val="20"/>
                <w:szCs w:val="20"/>
                <w:color w:val="auto"/>
              </w:rPr>
            </w:pPr>
            <w:r>
              <w:rPr>
                <w:rFonts w:ascii="Arial" w:cs="Arial" w:eastAsia="Arial" w:hAnsi="Arial"/>
                <w:sz w:val="12"/>
                <w:szCs w:val="12"/>
                <w:color w:val="auto"/>
              </w:rPr>
              <w:t>—</w:t>
            </w:r>
          </w:p>
        </w:tc>
        <w:tc>
          <w:tcPr>
            <w:tcW w:w="240" w:type="dxa"/>
            <w:vAlign w:val="bottom"/>
            <w:shd w:val="clear" w:color="auto" w:fill="CCECFF"/>
          </w:tcPr>
          <w:p>
            <w:pPr>
              <w:spacing w:after="0"/>
              <w:rPr>
                <w:sz w:val="12"/>
                <w:szCs w:val="12"/>
                <w:color w:val="auto"/>
              </w:rPr>
            </w:pPr>
          </w:p>
        </w:tc>
        <w:tc>
          <w:tcPr>
            <w:tcW w:w="100" w:type="dxa"/>
            <w:vAlign w:val="bottom"/>
            <w:shd w:val="clear" w:color="auto" w:fill="CCECFF"/>
          </w:tcPr>
          <w:p>
            <w:pPr>
              <w:spacing w:after="0"/>
              <w:rPr>
                <w:sz w:val="12"/>
                <w:szCs w:val="12"/>
                <w:color w:val="auto"/>
              </w:rPr>
            </w:pPr>
          </w:p>
        </w:tc>
        <w:tc>
          <w:tcPr>
            <w:tcW w:w="580" w:type="dxa"/>
            <w:vAlign w:val="bottom"/>
            <w:shd w:val="clear" w:color="auto" w:fill="CCECFF"/>
          </w:tcPr>
          <w:p>
            <w:pPr>
              <w:jc w:val="right"/>
              <w:spacing w:after="0"/>
              <w:rPr>
                <w:sz w:val="20"/>
                <w:szCs w:val="20"/>
                <w:color w:val="auto"/>
              </w:rPr>
            </w:pPr>
            <w:r>
              <w:rPr>
                <w:rFonts w:ascii="Arial" w:cs="Arial" w:eastAsia="Arial" w:hAnsi="Arial"/>
                <w:sz w:val="12"/>
                <w:szCs w:val="12"/>
                <w:color w:val="auto"/>
                <w:w w:val="89"/>
              </w:rPr>
              <w:t>28,500,000</w:t>
            </w:r>
          </w:p>
        </w:tc>
        <w:tc>
          <w:tcPr>
            <w:tcW w:w="240" w:type="dxa"/>
            <w:vAlign w:val="bottom"/>
            <w:shd w:val="clear" w:color="auto" w:fill="CCECFF"/>
          </w:tcPr>
          <w:p>
            <w:pPr>
              <w:spacing w:after="0"/>
              <w:rPr>
                <w:sz w:val="12"/>
                <w:szCs w:val="12"/>
                <w:color w:val="auto"/>
              </w:rPr>
            </w:pPr>
          </w:p>
        </w:tc>
        <w:tc>
          <w:tcPr>
            <w:tcW w:w="80" w:type="dxa"/>
            <w:vAlign w:val="bottom"/>
            <w:shd w:val="clear" w:color="auto" w:fill="CCECFF"/>
          </w:tcPr>
          <w:p>
            <w:pPr>
              <w:spacing w:after="0"/>
              <w:rPr>
                <w:sz w:val="12"/>
                <w:szCs w:val="12"/>
                <w:color w:val="auto"/>
              </w:rPr>
            </w:pPr>
          </w:p>
        </w:tc>
        <w:tc>
          <w:tcPr>
            <w:tcW w:w="620" w:type="dxa"/>
            <w:vAlign w:val="bottom"/>
            <w:shd w:val="clear" w:color="auto" w:fill="CCECFF"/>
          </w:tcPr>
          <w:p>
            <w:pPr>
              <w:jc w:val="right"/>
              <w:spacing w:after="0"/>
              <w:rPr>
                <w:sz w:val="20"/>
                <w:szCs w:val="20"/>
                <w:color w:val="auto"/>
              </w:rPr>
            </w:pPr>
            <w:r>
              <w:rPr>
                <w:rFonts w:ascii="Arial" w:cs="Arial" w:eastAsia="Arial" w:hAnsi="Arial"/>
                <w:sz w:val="12"/>
                <w:szCs w:val="12"/>
                <w:color w:val="auto"/>
                <w:w w:val="99"/>
              </w:rPr>
              <w:t>28,279,535</w:t>
            </w:r>
          </w:p>
        </w:tc>
        <w:tc>
          <w:tcPr>
            <w:tcW w:w="240" w:type="dxa"/>
            <w:vAlign w:val="bottom"/>
            <w:shd w:val="clear" w:color="auto" w:fill="CCECFF"/>
          </w:tcPr>
          <w:p>
            <w:pPr>
              <w:spacing w:after="0"/>
              <w:rPr>
                <w:sz w:val="12"/>
                <w:szCs w:val="12"/>
                <w:color w:val="auto"/>
              </w:rPr>
            </w:pPr>
          </w:p>
        </w:tc>
        <w:tc>
          <w:tcPr>
            <w:tcW w:w="80" w:type="dxa"/>
            <w:vAlign w:val="bottom"/>
            <w:shd w:val="clear" w:color="auto" w:fill="CCECFF"/>
          </w:tcPr>
          <w:p>
            <w:pPr>
              <w:spacing w:after="0"/>
              <w:rPr>
                <w:sz w:val="12"/>
                <w:szCs w:val="12"/>
                <w:color w:val="auto"/>
              </w:rPr>
            </w:pPr>
          </w:p>
        </w:tc>
        <w:tc>
          <w:tcPr>
            <w:tcW w:w="640" w:type="dxa"/>
            <w:vAlign w:val="bottom"/>
            <w:shd w:val="clear" w:color="auto" w:fill="CCECFF"/>
          </w:tcPr>
          <w:p>
            <w:pPr>
              <w:jc w:val="right"/>
              <w:spacing w:after="0"/>
              <w:rPr>
                <w:sz w:val="20"/>
                <w:szCs w:val="20"/>
                <w:color w:val="auto"/>
              </w:rPr>
            </w:pPr>
            <w:r>
              <w:rPr>
                <w:rFonts w:ascii="Arial" w:cs="Arial" w:eastAsia="Arial" w:hAnsi="Arial"/>
                <w:sz w:val="12"/>
                <w:szCs w:val="12"/>
                <w:color w:val="auto"/>
                <w:w w:val="99"/>
              </w:rPr>
              <w:t>28,500,000</w:t>
            </w:r>
          </w:p>
        </w:tc>
        <w:tc>
          <w:tcPr>
            <w:tcW w:w="100" w:type="dxa"/>
            <w:vAlign w:val="bottom"/>
            <w:shd w:val="clear" w:color="auto" w:fill="CCECFF"/>
          </w:tcPr>
          <w:p>
            <w:pPr>
              <w:spacing w:after="0"/>
              <w:rPr>
                <w:sz w:val="12"/>
                <w:szCs w:val="12"/>
                <w:color w:val="auto"/>
              </w:rPr>
            </w:pPr>
          </w:p>
        </w:tc>
      </w:tr>
      <w:tr>
        <w:trPr>
          <w:trHeight w:val="148"/>
        </w:trPr>
        <w:tc>
          <w:tcPr>
            <w:tcW w:w="3020" w:type="dxa"/>
            <w:vAlign w:val="bottom"/>
          </w:tcPr>
          <w:p>
            <w:pPr>
              <w:spacing w:after="0"/>
              <w:rPr>
                <w:sz w:val="20"/>
                <w:szCs w:val="20"/>
                <w:color w:val="auto"/>
              </w:rPr>
            </w:pPr>
            <w:r>
              <w:rPr>
                <w:rFonts w:ascii="Arial" w:cs="Arial" w:eastAsia="Arial" w:hAnsi="Arial"/>
                <w:sz w:val="12"/>
                <w:szCs w:val="12"/>
                <w:color w:val="auto"/>
              </w:rPr>
              <w:t>Harbortouch Payments, LLC</w:t>
            </w:r>
          </w:p>
        </w:tc>
        <w:tc>
          <w:tcPr>
            <w:tcW w:w="900" w:type="dxa"/>
            <w:vAlign w:val="bottom"/>
          </w:tcPr>
          <w:p>
            <w:pPr>
              <w:ind w:left="120"/>
              <w:spacing w:after="0"/>
              <w:rPr>
                <w:sz w:val="20"/>
                <w:szCs w:val="20"/>
                <w:color w:val="auto"/>
              </w:rPr>
            </w:pPr>
            <w:r>
              <w:rPr>
                <w:rFonts w:ascii="Arial" w:cs="Arial" w:eastAsia="Arial" w:hAnsi="Arial"/>
                <w:sz w:val="12"/>
                <w:szCs w:val="12"/>
                <w:color w:val="auto"/>
              </w:rPr>
              <w:t>10/11/2024</w:t>
            </w:r>
          </w:p>
        </w:tc>
        <w:tc>
          <w:tcPr>
            <w:tcW w:w="2780" w:type="dxa"/>
            <w:vAlign w:val="bottom"/>
            <w:gridSpan w:val="2"/>
          </w:tcPr>
          <w:p>
            <w:pPr>
              <w:jc w:val="center"/>
              <w:ind w:right="160"/>
              <w:spacing w:after="0"/>
              <w:rPr>
                <w:sz w:val="20"/>
                <w:szCs w:val="20"/>
                <w:color w:val="auto"/>
              </w:rPr>
            </w:pPr>
            <w:r>
              <w:rPr>
                <w:rFonts w:ascii="Arial" w:cs="Arial" w:eastAsia="Arial" w:hAnsi="Arial"/>
                <w:sz w:val="12"/>
                <w:szCs w:val="12"/>
                <w:color w:val="auto"/>
                <w:w w:val="88"/>
              </w:rPr>
              <w:t>Financial Services</w:t>
            </w:r>
          </w:p>
        </w:tc>
        <w:tc>
          <w:tcPr>
            <w:tcW w:w="940" w:type="dxa"/>
            <w:vAlign w:val="bottom"/>
            <w:gridSpan w:val="2"/>
          </w:tcPr>
          <w:p>
            <w:pPr>
              <w:jc w:val="right"/>
              <w:ind w:right="180"/>
              <w:spacing w:after="0"/>
              <w:rPr>
                <w:sz w:val="20"/>
                <w:szCs w:val="20"/>
                <w:color w:val="auto"/>
              </w:rPr>
            </w:pPr>
            <w:r>
              <w:rPr>
                <w:rFonts w:ascii="Arial" w:cs="Arial" w:eastAsia="Arial" w:hAnsi="Arial"/>
                <w:sz w:val="12"/>
                <w:szCs w:val="12"/>
                <w:color w:val="auto"/>
              </w:rPr>
              <w:t>10.73%</w:t>
            </w:r>
          </w:p>
        </w:tc>
        <w:tc>
          <w:tcPr>
            <w:tcW w:w="680" w:type="dxa"/>
            <w:vAlign w:val="bottom"/>
          </w:tcPr>
          <w:p>
            <w:pPr>
              <w:jc w:val="right"/>
              <w:spacing w:after="0"/>
              <w:rPr>
                <w:sz w:val="20"/>
                <w:szCs w:val="20"/>
                <w:color w:val="auto"/>
              </w:rPr>
            </w:pPr>
            <w:r>
              <w:rPr>
                <w:rFonts w:ascii="Arial" w:cs="Arial" w:eastAsia="Arial" w:hAnsi="Arial"/>
                <w:sz w:val="12"/>
                <w:szCs w:val="12"/>
                <w:color w:val="auto"/>
              </w:rPr>
              <w:t>L+950</w:t>
            </w:r>
          </w:p>
        </w:tc>
        <w:tc>
          <w:tcPr>
            <w:tcW w:w="2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80" w:type="dxa"/>
            <w:vAlign w:val="bottom"/>
          </w:tcPr>
          <w:p>
            <w:pPr>
              <w:jc w:val="right"/>
              <w:spacing w:after="0"/>
              <w:rPr>
                <w:sz w:val="20"/>
                <w:szCs w:val="20"/>
                <w:color w:val="auto"/>
              </w:rPr>
            </w:pPr>
            <w:r>
              <w:rPr>
                <w:rFonts w:ascii="Arial" w:cs="Arial" w:eastAsia="Arial" w:hAnsi="Arial"/>
                <w:sz w:val="12"/>
                <w:szCs w:val="12"/>
                <w:color w:val="auto"/>
                <w:w w:val="89"/>
              </w:rPr>
              <w:t>18,900,000</w:t>
            </w:r>
          </w:p>
        </w:tc>
        <w:tc>
          <w:tcPr>
            <w:tcW w:w="2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20" w:type="dxa"/>
            <w:vAlign w:val="bottom"/>
          </w:tcPr>
          <w:p>
            <w:pPr>
              <w:jc w:val="right"/>
              <w:spacing w:after="0"/>
              <w:rPr>
                <w:sz w:val="20"/>
                <w:szCs w:val="20"/>
                <w:color w:val="auto"/>
              </w:rPr>
            </w:pPr>
            <w:r>
              <w:rPr>
                <w:rFonts w:ascii="Arial" w:cs="Arial" w:eastAsia="Arial" w:hAnsi="Arial"/>
                <w:sz w:val="12"/>
                <w:szCs w:val="12"/>
                <w:color w:val="auto"/>
                <w:w w:val="99"/>
              </w:rPr>
              <w:t>18,574,663</w:t>
            </w:r>
          </w:p>
        </w:tc>
        <w:tc>
          <w:tcPr>
            <w:tcW w:w="2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40" w:type="dxa"/>
            <w:vAlign w:val="bottom"/>
          </w:tcPr>
          <w:p>
            <w:pPr>
              <w:jc w:val="right"/>
              <w:spacing w:after="0"/>
              <w:rPr>
                <w:sz w:val="20"/>
                <w:szCs w:val="20"/>
                <w:color w:val="auto"/>
              </w:rPr>
            </w:pPr>
            <w:r>
              <w:rPr>
                <w:rFonts w:ascii="Arial" w:cs="Arial" w:eastAsia="Arial" w:hAnsi="Arial"/>
                <w:sz w:val="12"/>
                <w:szCs w:val="12"/>
                <w:color w:val="auto"/>
                <w:w w:val="99"/>
              </w:rPr>
              <w:t>18,900,000</w:t>
            </w:r>
          </w:p>
        </w:tc>
        <w:tc>
          <w:tcPr>
            <w:tcW w:w="100" w:type="dxa"/>
            <w:vAlign w:val="bottom"/>
          </w:tcPr>
          <w:p>
            <w:pPr>
              <w:spacing w:after="0"/>
              <w:rPr>
                <w:sz w:val="12"/>
                <w:szCs w:val="12"/>
                <w:color w:val="auto"/>
              </w:rPr>
            </w:pPr>
          </w:p>
        </w:tc>
      </w:tr>
      <w:tr>
        <w:trPr>
          <w:trHeight w:val="148"/>
        </w:trPr>
        <w:tc>
          <w:tcPr>
            <w:tcW w:w="3020" w:type="dxa"/>
            <w:vAlign w:val="bottom"/>
            <w:shd w:val="clear" w:color="auto" w:fill="CCECFF"/>
          </w:tcPr>
          <w:p>
            <w:pPr>
              <w:spacing w:after="0"/>
              <w:rPr>
                <w:sz w:val="20"/>
                <w:szCs w:val="20"/>
                <w:color w:val="auto"/>
              </w:rPr>
            </w:pPr>
            <w:r>
              <w:rPr>
                <w:rFonts w:ascii="Arial" w:cs="Arial" w:eastAsia="Arial" w:hAnsi="Arial"/>
                <w:sz w:val="12"/>
                <w:szCs w:val="12"/>
                <w:color w:val="auto"/>
              </w:rPr>
              <w:t>Howard Berger Co. LLC</w:t>
            </w:r>
          </w:p>
        </w:tc>
        <w:tc>
          <w:tcPr>
            <w:tcW w:w="900" w:type="dxa"/>
            <w:vAlign w:val="bottom"/>
            <w:shd w:val="clear" w:color="auto" w:fill="CCECFF"/>
          </w:tcPr>
          <w:p>
            <w:pPr>
              <w:ind w:left="120"/>
              <w:spacing w:after="0"/>
              <w:rPr>
                <w:sz w:val="20"/>
                <w:szCs w:val="20"/>
                <w:color w:val="auto"/>
              </w:rPr>
            </w:pPr>
            <w:r>
              <w:rPr>
                <w:rFonts w:ascii="Arial" w:cs="Arial" w:eastAsia="Arial" w:hAnsi="Arial"/>
                <w:sz w:val="12"/>
                <w:szCs w:val="12"/>
                <w:color w:val="auto"/>
              </w:rPr>
              <w:t>09/30/2020</w:t>
            </w:r>
          </w:p>
        </w:tc>
        <w:tc>
          <w:tcPr>
            <w:tcW w:w="2780" w:type="dxa"/>
            <w:vAlign w:val="bottom"/>
            <w:gridSpan w:val="2"/>
            <w:shd w:val="clear" w:color="auto" w:fill="CCECFF"/>
          </w:tcPr>
          <w:p>
            <w:pPr>
              <w:jc w:val="center"/>
              <w:ind w:right="140"/>
              <w:spacing w:after="0"/>
              <w:rPr>
                <w:sz w:val="20"/>
                <w:szCs w:val="20"/>
                <w:color w:val="auto"/>
              </w:rPr>
            </w:pPr>
            <w:r>
              <w:rPr>
                <w:rFonts w:ascii="Arial" w:cs="Arial" w:eastAsia="Arial" w:hAnsi="Arial"/>
                <w:sz w:val="12"/>
                <w:szCs w:val="12"/>
                <w:color w:val="auto"/>
                <w:w w:val="93"/>
              </w:rPr>
              <w:t>Distribution</w:t>
            </w:r>
          </w:p>
        </w:tc>
        <w:tc>
          <w:tcPr>
            <w:tcW w:w="940" w:type="dxa"/>
            <w:vAlign w:val="bottom"/>
            <w:gridSpan w:val="2"/>
            <w:shd w:val="clear" w:color="auto" w:fill="CCECFF"/>
          </w:tcPr>
          <w:p>
            <w:pPr>
              <w:jc w:val="right"/>
              <w:ind w:right="180"/>
              <w:spacing w:after="0"/>
              <w:rPr>
                <w:sz w:val="20"/>
                <w:szCs w:val="20"/>
                <w:color w:val="auto"/>
              </w:rPr>
            </w:pPr>
            <w:r>
              <w:rPr>
                <w:rFonts w:ascii="Arial" w:cs="Arial" w:eastAsia="Arial" w:hAnsi="Arial"/>
                <w:sz w:val="12"/>
                <w:szCs w:val="12"/>
                <w:color w:val="auto"/>
              </w:rPr>
              <w:t>11.30%</w:t>
            </w:r>
          </w:p>
        </w:tc>
        <w:tc>
          <w:tcPr>
            <w:tcW w:w="680" w:type="dxa"/>
            <w:vAlign w:val="bottom"/>
            <w:shd w:val="clear" w:color="auto" w:fill="CCECFF"/>
          </w:tcPr>
          <w:p>
            <w:pPr>
              <w:jc w:val="right"/>
              <w:spacing w:after="0"/>
              <w:rPr>
                <w:sz w:val="20"/>
                <w:szCs w:val="20"/>
                <w:color w:val="auto"/>
              </w:rPr>
            </w:pPr>
            <w:r>
              <w:rPr>
                <w:rFonts w:ascii="Arial" w:cs="Arial" w:eastAsia="Arial" w:hAnsi="Arial"/>
                <w:sz w:val="12"/>
                <w:szCs w:val="12"/>
                <w:color w:val="auto"/>
              </w:rPr>
              <w:t>L+1,000</w:t>
            </w:r>
          </w:p>
        </w:tc>
        <w:tc>
          <w:tcPr>
            <w:tcW w:w="240" w:type="dxa"/>
            <w:vAlign w:val="bottom"/>
            <w:shd w:val="clear" w:color="auto" w:fill="CCECFF"/>
          </w:tcPr>
          <w:p>
            <w:pPr>
              <w:spacing w:after="0"/>
              <w:rPr>
                <w:sz w:val="12"/>
                <w:szCs w:val="12"/>
                <w:color w:val="auto"/>
              </w:rPr>
            </w:pPr>
          </w:p>
        </w:tc>
        <w:tc>
          <w:tcPr>
            <w:tcW w:w="100" w:type="dxa"/>
            <w:vAlign w:val="bottom"/>
            <w:shd w:val="clear" w:color="auto" w:fill="CCECFF"/>
          </w:tcPr>
          <w:p>
            <w:pPr>
              <w:spacing w:after="0"/>
              <w:rPr>
                <w:sz w:val="12"/>
                <w:szCs w:val="12"/>
                <w:color w:val="auto"/>
              </w:rPr>
            </w:pPr>
          </w:p>
        </w:tc>
        <w:tc>
          <w:tcPr>
            <w:tcW w:w="580" w:type="dxa"/>
            <w:vAlign w:val="bottom"/>
            <w:shd w:val="clear" w:color="auto" w:fill="CCECFF"/>
          </w:tcPr>
          <w:p>
            <w:pPr>
              <w:jc w:val="right"/>
              <w:spacing w:after="0"/>
              <w:rPr>
                <w:sz w:val="20"/>
                <w:szCs w:val="20"/>
                <w:color w:val="auto"/>
              </w:rPr>
            </w:pPr>
            <w:r>
              <w:rPr>
                <w:rFonts w:ascii="Arial" w:cs="Arial" w:eastAsia="Arial" w:hAnsi="Arial"/>
                <w:sz w:val="12"/>
                <w:szCs w:val="12"/>
                <w:color w:val="auto"/>
                <w:w w:val="89"/>
              </w:rPr>
              <w:t>42,375,000</w:t>
            </w:r>
          </w:p>
        </w:tc>
        <w:tc>
          <w:tcPr>
            <w:tcW w:w="240" w:type="dxa"/>
            <w:vAlign w:val="bottom"/>
            <w:shd w:val="clear" w:color="auto" w:fill="CCECFF"/>
          </w:tcPr>
          <w:p>
            <w:pPr>
              <w:spacing w:after="0"/>
              <w:rPr>
                <w:sz w:val="12"/>
                <w:szCs w:val="12"/>
                <w:color w:val="auto"/>
              </w:rPr>
            </w:pPr>
          </w:p>
        </w:tc>
        <w:tc>
          <w:tcPr>
            <w:tcW w:w="80" w:type="dxa"/>
            <w:vAlign w:val="bottom"/>
            <w:shd w:val="clear" w:color="auto" w:fill="CCECFF"/>
          </w:tcPr>
          <w:p>
            <w:pPr>
              <w:spacing w:after="0"/>
              <w:rPr>
                <w:sz w:val="12"/>
                <w:szCs w:val="12"/>
                <w:color w:val="auto"/>
              </w:rPr>
            </w:pPr>
          </w:p>
        </w:tc>
        <w:tc>
          <w:tcPr>
            <w:tcW w:w="620" w:type="dxa"/>
            <w:vAlign w:val="bottom"/>
            <w:shd w:val="clear" w:color="auto" w:fill="CCECFF"/>
          </w:tcPr>
          <w:p>
            <w:pPr>
              <w:jc w:val="right"/>
              <w:spacing w:after="0"/>
              <w:rPr>
                <w:sz w:val="20"/>
                <w:szCs w:val="20"/>
                <w:color w:val="auto"/>
              </w:rPr>
            </w:pPr>
            <w:r>
              <w:rPr>
                <w:rFonts w:ascii="Arial" w:cs="Arial" w:eastAsia="Arial" w:hAnsi="Arial"/>
                <w:sz w:val="12"/>
                <w:szCs w:val="12"/>
                <w:color w:val="auto"/>
                <w:w w:val="99"/>
              </w:rPr>
              <w:t>40,828,535</w:t>
            </w:r>
          </w:p>
        </w:tc>
        <w:tc>
          <w:tcPr>
            <w:tcW w:w="240" w:type="dxa"/>
            <w:vAlign w:val="bottom"/>
            <w:shd w:val="clear" w:color="auto" w:fill="CCECFF"/>
          </w:tcPr>
          <w:p>
            <w:pPr>
              <w:spacing w:after="0"/>
              <w:rPr>
                <w:sz w:val="12"/>
                <w:szCs w:val="12"/>
                <w:color w:val="auto"/>
              </w:rPr>
            </w:pPr>
          </w:p>
        </w:tc>
        <w:tc>
          <w:tcPr>
            <w:tcW w:w="80" w:type="dxa"/>
            <w:vAlign w:val="bottom"/>
            <w:shd w:val="clear" w:color="auto" w:fill="CCECFF"/>
          </w:tcPr>
          <w:p>
            <w:pPr>
              <w:spacing w:after="0"/>
              <w:rPr>
                <w:sz w:val="12"/>
                <w:szCs w:val="12"/>
                <w:color w:val="auto"/>
              </w:rPr>
            </w:pPr>
          </w:p>
        </w:tc>
        <w:tc>
          <w:tcPr>
            <w:tcW w:w="640" w:type="dxa"/>
            <w:vAlign w:val="bottom"/>
            <w:shd w:val="clear" w:color="auto" w:fill="CCECFF"/>
          </w:tcPr>
          <w:p>
            <w:pPr>
              <w:jc w:val="right"/>
              <w:spacing w:after="0"/>
              <w:rPr>
                <w:sz w:val="20"/>
                <w:szCs w:val="20"/>
                <w:color w:val="auto"/>
              </w:rPr>
            </w:pPr>
            <w:r>
              <w:rPr>
                <w:rFonts w:ascii="Arial" w:cs="Arial" w:eastAsia="Arial" w:hAnsi="Arial"/>
                <w:sz w:val="12"/>
                <w:szCs w:val="12"/>
                <w:color w:val="auto"/>
                <w:w w:val="99"/>
              </w:rPr>
              <w:t>40,256,250</w:t>
            </w:r>
          </w:p>
        </w:tc>
        <w:tc>
          <w:tcPr>
            <w:tcW w:w="100" w:type="dxa"/>
            <w:vAlign w:val="bottom"/>
            <w:shd w:val="clear" w:color="auto" w:fill="CCECFF"/>
          </w:tcPr>
          <w:p>
            <w:pPr>
              <w:spacing w:after="0"/>
              <w:rPr>
                <w:sz w:val="12"/>
                <w:szCs w:val="12"/>
                <w:color w:val="auto"/>
              </w:rPr>
            </w:pPr>
          </w:p>
        </w:tc>
      </w:tr>
      <w:tr>
        <w:trPr>
          <w:trHeight w:val="148"/>
        </w:trPr>
        <w:tc>
          <w:tcPr>
            <w:tcW w:w="3020" w:type="dxa"/>
            <w:vAlign w:val="bottom"/>
            <w:shd w:val="clear" w:color="auto" w:fill="CCECFF"/>
          </w:tcPr>
          <w:p>
            <w:pPr>
              <w:spacing w:after="0"/>
              <w:rPr>
                <w:sz w:val="12"/>
                <w:szCs w:val="12"/>
                <w:color w:val="auto"/>
              </w:rPr>
            </w:pPr>
          </w:p>
        </w:tc>
        <w:tc>
          <w:tcPr>
            <w:tcW w:w="900" w:type="dxa"/>
            <w:vAlign w:val="bottom"/>
            <w:shd w:val="clear" w:color="auto" w:fill="CCECFF"/>
          </w:tcPr>
          <w:p>
            <w:pPr>
              <w:spacing w:after="0"/>
              <w:rPr>
                <w:sz w:val="12"/>
                <w:szCs w:val="12"/>
                <w:color w:val="auto"/>
              </w:rPr>
            </w:pPr>
          </w:p>
        </w:tc>
        <w:tc>
          <w:tcPr>
            <w:tcW w:w="2640" w:type="dxa"/>
            <w:vAlign w:val="bottom"/>
            <w:shd w:val="clear" w:color="auto" w:fill="CCECFF"/>
          </w:tcPr>
          <w:p>
            <w:pPr>
              <w:spacing w:after="0"/>
              <w:rPr>
                <w:sz w:val="12"/>
                <w:szCs w:val="12"/>
                <w:color w:val="auto"/>
              </w:rPr>
            </w:pPr>
          </w:p>
        </w:tc>
        <w:tc>
          <w:tcPr>
            <w:tcW w:w="140" w:type="dxa"/>
            <w:vAlign w:val="bottom"/>
            <w:shd w:val="clear" w:color="auto" w:fill="CCECFF"/>
          </w:tcPr>
          <w:p>
            <w:pPr>
              <w:spacing w:after="0"/>
              <w:rPr>
                <w:sz w:val="12"/>
                <w:szCs w:val="12"/>
                <w:color w:val="auto"/>
              </w:rPr>
            </w:pPr>
          </w:p>
        </w:tc>
        <w:tc>
          <w:tcPr>
            <w:tcW w:w="940" w:type="dxa"/>
            <w:vAlign w:val="bottom"/>
            <w:gridSpan w:val="2"/>
            <w:shd w:val="clear" w:color="auto" w:fill="CCECFF"/>
          </w:tcPr>
          <w:p>
            <w:pPr>
              <w:jc w:val="right"/>
              <w:ind w:right="140"/>
              <w:spacing w:after="0"/>
              <w:rPr>
                <w:sz w:val="20"/>
                <w:szCs w:val="20"/>
                <w:color w:val="auto"/>
              </w:rPr>
            </w:pPr>
            <w:r>
              <w:rPr>
                <w:rFonts w:ascii="Arial" w:cs="Arial" w:eastAsia="Arial" w:hAnsi="Arial"/>
                <w:sz w:val="12"/>
                <w:szCs w:val="12"/>
                <w:color w:val="auto"/>
              </w:rPr>
              <w:t>(PIK 5.25%)</w:t>
            </w:r>
          </w:p>
        </w:tc>
        <w:tc>
          <w:tcPr>
            <w:tcW w:w="680" w:type="dxa"/>
            <w:vAlign w:val="bottom"/>
            <w:shd w:val="clear" w:color="auto" w:fill="CCECFF"/>
          </w:tcPr>
          <w:p>
            <w:pPr>
              <w:spacing w:after="0"/>
              <w:rPr>
                <w:sz w:val="12"/>
                <w:szCs w:val="12"/>
                <w:color w:val="auto"/>
              </w:rPr>
            </w:pPr>
          </w:p>
        </w:tc>
        <w:tc>
          <w:tcPr>
            <w:tcW w:w="240" w:type="dxa"/>
            <w:vAlign w:val="bottom"/>
            <w:shd w:val="clear" w:color="auto" w:fill="CCECFF"/>
          </w:tcPr>
          <w:p>
            <w:pPr>
              <w:spacing w:after="0"/>
              <w:rPr>
                <w:sz w:val="12"/>
                <w:szCs w:val="12"/>
                <w:color w:val="auto"/>
              </w:rPr>
            </w:pPr>
          </w:p>
        </w:tc>
        <w:tc>
          <w:tcPr>
            <w:tcW w:w="100" w:type="dxa"/>
            <w:vAlign w:val="bottom"/>
            <w:shd w:val="clear" w:color="auto" w:fill="CCECFF"/>
          </w:tcPr>
          <w:p>
            <w:pPr>
              <w:spacing w:after="0"/>
              <w:rPr>
                <w:sz w:val="12"/>
                <w:szCs w:val="12"/>
                <w:color w:val="auto"/>
              </w:rPr>
            </w:pPr>
          </w:p>
        </w:tc>
        <w:tc>
          <w:tcPr>
            <w:tcW w:w="580" w:type="dxa"/>
            <w:vAlign w:val="bottom"/>
            <w:shd w:val="clear" w:color="auto" w:fill="CCECFF"/>
          </w:tcPr>
          <w:p>
            <w:pPr>
              <w:spacing w:after="0"/>
              <w:rPr>
                <w:sz w:val="12"/>
                <w:szCs w:val="12"/>
                <w:color w:val="auto"/>
              </w:rPr>
            </w:pPr>
          </w:p>
        </w:tc>
        <w:tc>
          <w:tcPr>
            <w:tcW w:w="240" w:type="dxa"/>
            <w:vAlign w:val="bottom"/>
            <w:shd w:val="clear" w:color="auto" w:fill="CCECFF"/>
          </w:tcPr>
          <w:p>
            <w:pPr>
              <w:spacing w:after="0"/>
              <w:rPr>
                <w:sz w:val="12"/>
                <w:szCs w:val="12"/>
                <w:color w:val="auto"/>
              </w:rPr>
            </w:pPr>
          </w:p>
        </w:tc>
        <w:tc>
          <w:tcPr>
            <w:tcW w:w="80" w:type="dxa"/>
            <w:vAlign w:val="bottom"/>
            <w:shd w:val="clear" w:color="auto" w:fill="CCECFF"/>
          </w:tcPr>
          <w:p>
            <w:pPr>
              <w:spacing w:after="0"/>
              <w:rPr>
                <w:sz w:val="12"/>
                <w:szCs w:val="12"/>
                <w:color w:val="auto"/>
              </w:rPr>
            </w:pPr>
          </w:p>
        </w:tc>
        <w:tc>
          <w:tcPr>
            <w:tcW w:w="620" w:type="dxa"/>
            <w:vAlign w:val="bottom"/>
            <w:shd w:val="clear" w:color="auto" w:fill="CCECFF"/>
          </w:tcPr>
          <w:p>
            <w:pPr>
              <w:spacing w:after="0"/>
              <w:rPr>
                <w:sz w:val="12"/>
                <w:szCs w:val="12"/>
                <w:color w:val="auto"/>
              </w:rPr>
            </w:pPr>
          </w:p>
        </w:tc>
        <w:tc>
          <w:tcPr>
            <w:tcW w:w="240" w:type="dxa"/>
            <w:vAlign w:val="bottom"/>
            <w:shd w:val="clear" w:color="auto" w:fill="CCECFF"/>
          </w:tcPr>
          <w:p>
            <w:pPr>
              <w:spacing w:after="0"/>
              <w:rPr>
                <w:sz w:val="12"/>
                <w:szCs w:val="12"/>
                <w:color w:val="auto"/>
              </w:rPr>
            </w:pPr>
          </w:p>
        </w:tc>
        <w:tc>
          <w:tcPr>
            <w:tcW w:w="80" w:type="dxa"/>
            <w:vAlign w:val="bottom"/>
            <w:shd w:val="clear" w:color="auto" w:fill="CCECFF"/>
          </w:tcPr>
          <w:p>
            <w:pPr>
              <w:spacing w:after="0"/>
              <w:rPr>
                <w:sz w:val="12"/>
                <w:szCs w:val="12"/>
                <w:color w:val="auto"/>
              </w:rPr>
            </w:pPr>
          </w:p>
        </w:tc>
        <w:tc>
          <w:tcPr>
            <w:tcW w:w="640" w:type="dxa"/>
            <w:vAlign w:val="bottom"/>
            <w:shd w:val="clear" w:color="auto" w:fill="CCECFF"/>
          </w:tcPr>
          <w:p>
            <w:pPr>
              <w:spacing w:after="0"/>
              <w:rPr>
                <w:sz w:val="12"/>
                <w:szCs w:val="12"/>
                <w:color w:val="auto"/>
              </w:rPr>
            </w:pPr>
          </w:p>
        </w:tc>
        <w:tc>
          <w:tcPr>
            <w:tcW w:w="100" w:type="dxa"/>
            <w:vAlign w:val="bottom"/>
            <w:shd w:val="clear" w:color="auto" w:fill="CCECFF"/>
          </w:tcPr>
          <w:p>
            <w:pPr>
              <w:spacing w:after="0"/>
              <w:rPr>
                <w:sz w:val="12"/>
                <w:szCs w:val="12"/>
                <w:color w:val="auto"/>
              </w:rPr>
            </w:pPr>
          </w:p>
        </w:tc>
      </w:tr>
      <w:tr>
        <w:trPr>
          <w:trHeight w:val="149"/>
        </w:trPr>
        <w:tc>
          <w:tcPr>
            <w:tcW w:w="3020" w:type="dxa"/>
            <w:vAlign w:val="bottom"/>
          </w:tcPr>
          <w:p>
            <w:pPr>
              <w:spacing w:after="0"/>
              <w:rPr>
                <w:sz w:val="20"/>
                <w:szCs w:val="20"/>
                <w:color w:val="auto"/>
              </w:rPr>
            </w:pPr>
            <w:r>
              <w:rPr>
                <w:rFonts w:ascii="Arial" w:cs="Arial" w:eastAsia="Arial" w:hAnsi="Arial"/>
                <w:sz w:val="12"/>
                <w:szCs w:val="12"/>
                <w:color w:val="auto"/>
              </w:rPr>
              <w:t>Infogroup, Inc.</w:t>
            </w:r>
          </w:p>
        </w:tc>
        <w:tc>
          <w:tcPr>
            <w:tcW w:w="900" w:type="dxa"/>
            <w:vAlign w:val="bottom"/>
          </w:tcPr>
          <w:p>
            <w:pPr>
              <w:ind w:left="120"/>
              <w:spacing w:after="0"/>
              <w:rPr>
                <w:sz w:val="20"/>
                <w:szCs w:val="20"/>
                <w:color w:val="auto"/>
              </w:rPr>
            </w:pPr>
            <w:r>
              <w:rPr>
                <w:rFonts w:ascii="Arial" w:cs="Arial" w:eastAsia="Arial" w:hAnsi="Arial"/>
                <w:sz w:val="12"/>
                <w:szCs w:val="12"/>
                <w:color w:val="auto"/>
              </w:rPr>
              <w:t>04/03/2024</w:t>
            </w:r>
          </w:p>
        </w:tc>
        <w:tc>
          <w:tcPr>
            <w:tcW w:w="2780" w:type="dxa"/>
            <w:vAlign w:val="bottom"/>
            <w:gridSpan w:val="2"/>
          </w:tcPr>
          <w:p>
            <w:pPr>
              <w:jc w:val="center"/>
              <w:ind w:right="160"/>
              <w:spacing w:after="0"/>
              <w:rPr>
                <w:sz w:val="20"/>
                <w:szCs w:val="20"/>
                <w:color w:val="auto"/>
              </w:rPr>
            </w:pPr>
            <w:r>
              <w:rPr>
                <w:rFonts w:ascii="Arial" w:cs="Arial" w:eastAsia="Arial" w:hAnsi="Arial"/>
                <w:sz w:val="12"/>
                <w:szCs w:val="12"/>
                <w:color w:val="auto"/>
                <w:w w:val="87"/>
              </w:rPr>
              <w:t>Other Media</w:t>
            </w:r>
          </w:p>
        </w:tc>
        <w:tc>
          <w:tcPr>
            <w:tcW w:w="940" w:type="dxa"/>
            <w:vAlign w:val="bottom"/>
            <w:gridSpan w:val="2"/>
          </w:tcPr>
          <w:p>
            <w:pPr>
              <w:jc w:val="right"/>
              <w:ind w:right="180"/>
              <w:spacing w:after="0"/>
              <w:rPr>
                <w:sz w:val="20"/>
                <w:szCs w:val="20"/>
                <w:color w:val="auto"/>
              </w:rPr>
            </w:pPr>
            <w:r>
              <w:rPr>
                <w:rFonts w:ascii="Arial" w:cs="Arial" w:eastAsia="Arial" w:hAnsi="Arial"/>
                <w:sz w:val="12"/>
                <w:szCs w:val="12"/>
                <w:color w:val="auto"/>
              </w:rPr>
              <w:t>10.40%</w:t>
            </w:r>
          </w:p>
        </w:tc>
        <w:tc>
          <w:tcPr>
            <w:tcW w:w="680" w:type="dxa"/>
            <w:vAlign w:val="bottom"/>
          </w:tcPr>
          <w:p>
            <w:pPr>
              <w:jc w:val="right"/>
              <w:spacing w:after="0"/>
              <w:rPr>
                <w:sz w:val="20"/>
                <w:szCs w:val="20"/>
                <w:color w:val="auto"/>
              </w:rPr>
            </w:pPr>
            <w:r>
              <w:rPr>
                <w:rFonts w:ascii="Arial" w:cs="Arial" w:eastAsia="Arial" w:hAnsi="Arial"/>
                <w:sz w:val="12"/>
                <w:szCs w:val="12"/>
                <w:color w:val="auto"/>
              </w:rPr>
              <w:t>L+925</w:t>
            </w:r>
          </w:p>
        </w:tc>
        <w:tc>
          <w:tcPr>
            <w:tcW w:w="2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80" w:type="dxa"/>
            <w:vAlign w:val="bottom"/>
          </w:tcPr>
          <w:p>
            <w:pPr>
              <w:jc w:val="right"/>
              <w:spacing w:after="0"/>
              <w:rPr>
                <w:sz w:val="20"/>
                <w:szCs w:val="20"/>
                <w:color w:val="auto"/>
              </w:rPr>
            </w:pPr>
            <w:r>
              <w:rPr>
                <w:rFonts w:ascii="Arial" w:cs="Arial" w:eastAsia="Arial" w:hAnsi="Arial"/>
                <w:sz w:val="12"/>
                <w:szCs w:val="12"/>
                <w:color w:val="auto"/>
                <w:w w:val="89"/>
              </w:rPr>
              <w:t>20,400,000</w:t>
            </w:r>
          </w:p>
        </w:tc>
        <w:tc>
          <w:tcPr>
            <w:tcW w:w="2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20" w:type="dxa"/>
            <w:vAlign w:val="bottom"/>
          </w:tcPr>
          <w:p>
            <w:pPr>
              <w:jc w:val="right"/>
              <w:spacing w:after="0"/>
              <w:rPr>
                <w:sz w:val="20"/>
                <w:szCs w:val="20"/>
                <w:color w:val="auto"/>
              </w:rPr>
            </w:pPr>
            <w:r>
              <w:rPr>
                <w:rFonts w:ascii="Arial" w:cs="Arial" w:eastAsia="Arial" w:hAnsi="Arial"/>
                <w:sz w:val="12"/>
                <w:szCs w:val="12"/>
                <w:color w:val="auto"/>
                <w:w w:val="99"/>
              </w:rPr>
              <w:t>20,003,304</w:t>
            </w:r>
          </w:p>
        </w:tc>
        <w:tc>
          <w:tcPr>
            <w:tcW w:w="2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40" w:type="dxa"/>
            <w:vAlign w:val="bottom"/>
          </w:tcPr>
          <w:p>
            <w:pPr>
              <w:jc w:val="right"/>
              <w:spacing w:after="0"/>
              <w:rPr>
                <w:sz w:val="20"/>
                <w:szCs w:val="20"/>
                <w:color w:val="auto"/>
              </w:rPr>
            </w:pPr>
            <w:r>
              <w:rPr>
                <w:rFonts w:ascii="Arial" w:cs="Arial" w:eastAsia="Arial" w:hAnsi="Arial"/>
                <w:sz w:val="12"/>
                <w:szCs w:val="12"/>
                <w:color w:val="auto"/>
                <w:w w:val="99"/>
              </w:rPr>
              <w:t>20,196,000</w:t>
            </w:r>
          </w:p>
        </w:tc>
        <w:tc>
          <w:tcPr>
            <w:tcW w:w="100" w:type="dxa"/>
            <w:vAlign w:val="bottom"/>
          </w:tcPr>
          <w:p>
            <w:pPr>
              <w:spacing w:after="0"/>
              <w:rPr>
                <w:sz w:val="12"/>
                <w:szCs w:val="12"/>
                <w:color w:val="auto"/>
              </w:rPr>
            </w:pPr>
          </w:p>
        </w:tc>
      </w:tr>
      <w:tr>
        <w:trPr>
          <w:trHeight w:val="148"/>
        </w:trPr>
        <w:tc>
          <w:tcPr>
            <w:tcW w:w="3020" w:type="dxa"/>
            <w:vAlign w:val="bottom"/>
            <w:shd w:val="clear" w:color="auto" w:fill="CCECFF"/>
          </w:tcPr>
          <w:p>
            <w:pPr>
              <w:spacing w:after="0"/>
              <w:rPr>
                <w:sz w:val="20"/>
                <w:szCs w:val="20"/>
                <w:color w:val="auto"/>
              </w:rPr>
            </w:pPr>
            <w:r>
              <w:rPr>
                <w:rFonts w:ascii="Arial" w:cs="Arial" w:eastAsia="Arial" w:hAnsi="Arial"/>
                <w:sz w:val="12"/>
                <w:szCs w:val="12"/>
                <w:color w:val="auto"/>
              </w:rPr>
              <w:t xml:space="preserve">Intermediate Transportation 100, LLC </w:t>
            </w:r>
            <w:r>
              <w:rPr>
                <w:rFonts w:ascii="Arial" w:cs="Arial" w:eastAsia="Arial" w:hAnsi="Arial"/>
                <w:sz w:val="9"/>
                <w:szCs w:val="9"/>
                <w:color w:val="auto"/>
              </w:rPr>
              <w:t>(5)</w:t>
            </w:r>
          </w:p>
        </w:tc>
        <w:tc>
          <w:tcPr>
            <w:tcW w:w="900" w:type="dxa"/>
            <w:vAlign w:val="bottom"/>
            <w:shd w:val="clear" w:color="auto" w:fill="CCECFF"/>
          </w:tcPr>
          <w:p>
            <w:pPr>
              <w:ind w:left="120"/>
              <w:spacing w:after="0"/>
              <w:rPr>
                <w:sz w:val="20"/>
                <w:szCs w:val="20"/>
                <w:color w:val="auto"/>
              </w:rPr>
            </w:pPr>
            <w:r>
              <w:rPr>
                <w:rFonts w:ascii="Arial" w:cs="Arial" w:eastAsia="Arial" w:hAnsi="Arial"/>
                <w:sz w:val="12"/>
                <w:szCs w:val="12"/>
                <w:color w:val="auto"/>
              </w:rPr>
              <w:t>03/01/2019</w:t>
            </w:r>
          </w:p>
        </w:tc>
        <w:tc>
          <w:tcPr>
            <w:tcW w:w="2780" w:type="dxa"/>
            <w:vAlign w:val="bottom"/>
            <w:gridSpan w:val="2"/>
            <w:shd w:val="clear" w:color="auto" w:fill="CCECFF"/>
          </w:tcPr>
          <w:p>
            <w:pPr>
              <w:jc w:val="center"/>
              <w:ind w:right="140"/>
              <w:spacing w:after="0"/>
              <w:rPr>
                <w:sz w:val="20"/>
                <w:szCs w:val="20"/>
                <w:color w:val="auto"/>
              </w:rPr>
            </w:pPr>
            <w:r>
              <w:rPr>
                <w:rFonts w:ascii="Arial" w:cs="Arial" w:eastAsia="Arial" w:hAnsi="Arial"/>
                <w:sz w:val="12"/>
                <w:szCs w:val="12"/>
                <w:color w:val="auto"/>
                <w:w w:val="86"/>
              </w:rPr>
              <w:t>Cargo Transport</w:t>
            </w:r>
          </w:p>
        </w:tc>
        <w:tc>
          <w:tcPr>
            <w:tcW w:w="940" w:type="dxa"/>
            <w:vAlign w:val="bottom"/>
            <w:gridSpan w:val="2"/>
            <w:shd w:val="clear" w:color="auto" w:fill="CCECFF"/>
          </w:tcPr>
          <w:p>
            <w:pPr>
              <w:jc w:val="right"/>
              <w:ind w:right="180"/>
              <w:spacing w:after="0"/>
              <w:rPr>
                <w:sz w:val="20"/>
                <w:szCs w:val="20"/>
                <w:color w:val="auto"/>
              </w:rPr>
            </w:pPr>
            <w:r>
              <w:rPr>
                <w:rFonts w:ascii="Arial" w:cs="Arial" w:eastAsia="Arial" w:hAnsi="Arial"/>
                <w:sz w:val="12"/>
                <w:szCs w:val="12"/>
                <w:color w:val="auto"/>
              </w:rPr>
              <w:t>11.00%</w:t>
            </w:r>
          </w:p>
        </w:tc>
        <w:tc>
          <w:tcPr>
            <w:tcW w:w="680" w:type="dxa"/>
            <w:vAlign w:val="bottom"/>
            <w:shd w:val="clear" w:color="auto" w:fill="CCECFF"/>
          </w:tcPr>
          <w:p>
            <w:pPr>
              <w:jc w:val="right"/>
              <w:spacing w:after="0"/>
              <w:rPr>
                <w:sz w:val="20"/>
                <w:szCs w:val="20"/>
                <w:color w:val="auto"/>
              </w:rPr>
            </w:pPr>
            <w:r>
              <w:rPr>
                <w:rFonts w:ascii="Arial" w:cs="Arial" w:eastAsia="Arial" w:hAnsi="Arial"/>
                <w:sz w:val="12"/>
                <w:szCs w:val="12"/>
                <w:color w:val="auto"/>
              </w:rPr>
              <w:t>—</w:t>
            </w:r>
          </w:p>
        </w:tc>
        <w:tc>
          <w:tcPr>
            <w:tcW w:w="240" w:type="dxa"/>
            <w:vAlign w:val="bottom"/>
            <w:shd w:val="clear" w:color="auto" w:fill="CCECFF"/>
          </w:tcPr>
          <w:p>
            <w:pPr>
              <w:spacing w:after="0"/>
              <w:rPr>
                <w:sz w:val="12"/>
                <w:szCs w:val="12"/>
                <w:color w:val="auto"/>
              </w:rPr>
            </w:pPr>
          </w:p>
        </w:tc>
        <w:tc>
          <w:tcPr>
            <w:tcW w:w="100" w:type="dxa"/>
            <w:vAlign w:val="bottom"/>
            <w:shd w:val="clear" w:color="auto" w:fill="CCECFF"/>
          </w:tcPr>
          <w:p>
            <w:pPr>
              <w:spacing w:after="0"/>
              <w:rPr>
                <w:sz w:val="12"/>
                <w:szCs w:val="12"/>
                <w:color w:val="auto"/>
              </w:rPr>
            </w:pPr>
          </w:p>
        </w:tc>
        <w:tc>
          <w:tcPr>
            <w:tcW w:w="580" w:type="dxa"/>
            <w:vAlign w:val="bottom"/>
            <w:shd w:val="clear" w:color="auto" w:fill="CCECFF"/>
          </w:tcPr>
          <w:p>
            <w:pPr>
              <w:jc w:val="right"/>
              <w:spacing w:after="0"/>
              <w:rPr>
                <w:sz w:val="20"/>
                <w:szCs w:val="20"/>
                <w:color w:val="auto"/>
              </w:rPr>
            </w:pPr>
            <w:r>
              <w:rPr>
                <w:rFonts w:ascii="Arial" w:cs="Arial" w:eastAsia="Arial" w:hAnsi="Arial"/>
                <w:sz w:val="12"/>
                <w:szCs w:val="12"/>
                <w:color w:val="auto"/>
              </w:rPr>
              <w:t>409,672</w:t>
            </w:r>
          </w:p>
        </w:tc>
        <w:tc>
          <w:tcPr>
            <w:tcW w:w="240" w:type="dxa"/>
            <w:vAlign w:val="bottom"/>
            <w:shd w:val="clear" w:color="auto" w:fill="CCECFF"/>
          </w:tcPr>
          <w:p>
            <w:pPr>
              <w:spacing w:after="0"/>
              <w:rPr>
                <w:sz w:val="12"/>
                <w:szCs w:val="12"/>
                <w:color w:val="auto"/>
              </w:rPr>
            </w:pPr>
          </w:p>
        </w:tc>
        <w:tc>
          <w:tcPr>
            <w:tcW w:w="80" w:type="dxa"/>
            <w:vAlign w:val="bottom"/>
            <w:shd w:val="clear" w:color="auto" w:fill="CCECFF"/>
          </w:tcPr>
          <w:p>
            <w:pPr>
              <w:spacing w:after="0"/>
              <w:rPr>
                <w:sz w:val="12"/>
                <w:szCs w:val="12"/>
                <w:color w:val="auto"/>
              </w:rPr>
            </w:pPr>
          </w:p>
        </w:tc>
        <w:tc>
          <w:tcPr>
            <w:tcW w:w="620" w:type="dxa"/>
            <w:vAlign w:val="bottom"/>
            <w:shd w:val="clear" w:color="auto" w:fill="CCECFF"/>
          </w:tcPr>
          <w:p>
            <w:pPr>
              <w:jc w:val="right"/>
              <w:spacing w:after="0"/>
              <w:rPr>
                <w:sz w:val="20"/>
                <w:szCs w:val="20"/>
                <w:color w:val="auto"/>
              </w:rPr>
            </w:pPr>
            <w:r>
              <w:rPr>
                <w:rFonts w:ascii="Arial" w:cs="Arial" w:eastAsia="Arial" w:hAnsi="Arial"/>
                <w:sz w:val="12"/>
                <w:szCs w:val="12"/>
                <w:color w:val="auto"/>
              </w:rPr>
              <w:t>298,661</w:t>
            </w:r>
          </w:p>
        </w:tc>
        <w:tc>
          <w:tcPr>
            <w:tcW w:w="240" w:type="dxa"/>
            <w:vAlign w:val="bottom"/>
            <w:shd w:val="clear" w:color="auto" w:fill="CCECFF"/>
          </w:tcPr>
          <w:p>
            <w:pPr>
              <w:spacing w:after="0"/>
              <w:rPr>
                <w:sz w:val="12"/>
                <w:szCs w:val="12"/>
                <w:color w:val="auto"/>
              </w:rPr>
            </w:pPr>
          </w:p>
        </w:tc>
        <w:tc>
          <w:tcPr>
            <w:tcW w:w="80" w:type="dxa"/>
            <w:vAlign w:val="bottom"/>
            <w:shd w:val="clear" w:color="auto" w:fill="CCECFF"/>
          </w:tcPr>
          <w:p>
            <w:pPr>
              <w:spacing w:after="0"/>
              <w:rPr>
                <w:sz w:val="12"/>
                <w:szCs w:val="12"/>
                <w:color w:val="auto"/>
              </w:rPr>
            </w:pPr>
          </w:p>
        </w:tc>
        <w:tc>
          <w:tcPr>
            <w:tcW w:w="640" w:type="dxa"/>
            <w:vAlign w:val="bottom"/>
            <w:shd w:val="clear" w:color="auto" w:fill="CCECFF"/>
          </w:tcPr>
          <w:p>
            <w:pPr>
              <w:jc w:val="right"/>
              <w:spacing w:after="0"/>
              <w:rPr>
                <w:sz w:val="20"/>
                <w:szCs w:val="20"/>
                <w:color w:val="auto"/>
              </w:rPr>
            </w:pPr>
            <w:r>
              <w:rPr>
                <w:rFonts w:ascii="Arial" w:cs="Arial" w:eastAsia="Arial" w:hAnsi="Arial"/>
                <w:sz w:val="12"/>
                <w:szCs w:val="12"/>
                <w:color w:val="auto"/>
              </w:rPr>
              <w:t>409,672</w:t>
            </w:r>
          </w:p>
        </w:tc>
        <w:tc>
          <w:tcPr>
            <w:tcW w:w="100" w:type="dxa"/>
            <w:vAlign w:val="bottom"/>
            <w:shd w:val="clear" w:color="auto" w:fill="CCECFF"/>
          </w:tcPr>
          <w:p>
            <w:pPr>
              <w:spacing w:after="0"/>
              <w:rPr>
                <w:sz w:val="12"/>
                <w:szCs w:val="12"/>
                <w:color w:val="auto"/>
              </w:rPr>
            </w:pPr>
          </w:p>
        </w:tc>
      </w:tr>
      <w:tr>
        <w:trPr>
          <w:trHeight w:val="149"/>
        </w:trPr>
        <w:tc>
          <w:tcPr>
            <w:tcW w:w="3020" w:type="dxa"/>
            <w:vAlign w:val="bottom"/>
            <w:shd w:val="clear" w:color="auto" w:fill="CCECFF"/>
          </w:tcPr>
          <w:p>
            <w:pPr>
              <w:spacing w:after="0"/>
              <w:rPr>
                <w:sz w:val="12"/>
                <w:szCs w:val="12"/>
                <w:color w:val="auto"/>
              </w:rPr>
            </w:pPr>
          </w:p>
        </w:tc>
        <w:tc>
          <w:tcPr>
            <w:tcW w:w="900" w:type="dxa"/>
            <w:vAlign w:val="bottom"/>
            <w:shd w:val="clear" w:color="auto" w:fill="CCECFF"/>
          </w:tcPr>
          <w:p>
            <w:pPr>
              <w:spacing w:after="0"/>
              <w:rPr>
                <w:sz w:val="12"/>
                <w:szCs w:val="12"/>
                <w:color w:val="auto"/>
              </w:rPr>
            </w:pPr>
          </w:p>
        </w:tc>
        <w:tc>
          <w:tcPr>
            <w:tcW w:w="2640" w:type="dxa"/>
            <w:vAlign w:val="bottom"/>
            <w:shd w:val="clear" w:color="auto" w:fill="CCECFF"/>
          </w:tcPr>
          <w:p>
            <w:pPr>
              <w:spacing w:after="0"/>
              <w:rPr>
                <w:sz w:val="12"/>
                <w:szCs w:val="12"/>
                <w:color w:val="auto"/>
              </w:rPr>
            </w:pPr>
          </w:p>
        </w:tc>
        <w:tc>
          <w:tcPr>
            <w:tcW w:w="140" w:type="dxa"/>
            <w:vAlign w:val="bottom"/>
            <w:shd w:val="clear" w:color="auto" w:fill="CCECFF"/>
          </w:tcPr>
          <w:p>
            <w:pPr>
              <w:spacing w:after="0"/>
              <w:rPr>
                <w:sz w:val="12"/>
                <w:szCs w:val="12"/>
                <w:color w:val="auto"/>
              </w:rPr>
            </w:pPr>
          </w:p>
        </w:tc>
        <w:tc>
          <w:tcPr>
            <w:tcW w:w="940" w:type="dxa"/>
            <w:vAlign w:val="bottom"/>
            <w:gridSpan w:val="2"/>
            <w:shd w:val="clear" w:color="auto" w:fill="CCECFF"/>
          </w:tcPr>
          <w:p>
            <w:pPr>
              <w:jc w:val="right"/>
              <w:ind w:right="140"/>
              <w:spacing w:after="0"/>
              <w:rPr>
                <w:sz w:val="20"/>
                <w:szCs w:val="20"/>
                <w:color w:val="auto"/>
              </w:rPr>
            </w:pPr>
            <w:r>
              <w:rPr>
                <w:rFonts w:ascii="Arial" w:cs="Arial" w:eastAsia="Arial" w:hAnsi="Arial"/>
                <w:sz w:val="12"/>
                <w:szCs w:val="12"/>
                <w:color w:val="auto"/>
              </w:rPr>
              <w:t>(PIK 11.00%)</w:t>
            </w:r>
          </w:p>
        </w:tc>
        <w:tc>
          <w:tcPr>
            <w:tcW w:w="680" w:type="dxa"/>
            <w:vAlign w:val="bottom"/>
            <w:shd w:val="clear" w:color="auto" w:fill="CCECFF"/>
          </w:tcPr>
          <w:p>
            <w:pPr>
              <w:spacing w:after="0"/>
              <w:rPr>
                <w:sz w:val="12"/>
                <w:szCs w:val="12"/>
                <w:color w:val="auto"/>
              </w:rPr>
            </w:pPr>
          </w:p>
        </w:tc>
        <w:tc>
          <w:tcPr>
            <w:tcW w:w="240" w:type="dxa"/>
            <w:vAlign w:val="bottom"/>
            <w:shd w:val="clear" w:color="auto" w:fill="CCECFF"/>
          </w:tcPr>
          <w:p>
            <w:pPr>
              <w:spacing w:after="0"/>
              <w:rPr>
                <w:sz w:val="12"/>
                <w:szCs w:val="12"/>
                <w:color w:val="auto"/>
              </w:rPr>
            </w:pPr>
          </w:p>
        </w:tc>
        <w:tc>
          <w:tcPr>
            <w:tcW w:w="100" w:type="dxa"/>
            <w:vAlign w:val="bottom"/>
            <w:shd w:val="clear" w:color="auto" w:fill="CCECFF"/>
          </w:tcPr>
          <w:p>
            <w:pPr>
              <w:spacing w:after="0"/>
              <w:rPr>
                <w:sz w:val="12"/>
                <w:szCs w:val="12"/>
                <w:color w:val="auto"/>
              </w:rPr>
            </w:pPr>
          </w:p>
        </w:tc>
        <w:tc>
          <w:tcPr>
            <w:tcW w:w="580" w:type="dxa"/>
            <w:vAlign w:val="bottom"/>
            <w:shd w:val="clear" w:color="auto" w:fill="CCECFF"/>
          </w:tcPr>
          <w:p>
            <w:pPr>
              <w:spacing w:after="0"/>
              <w:rPr>
                <w:sz w:val="12"/>
                <w:szCs w:val="12"/>
                <w:color w:val="auto"/>
              </w:rPr>
            </w:pPr>
          </w:p>
        </w:tc>
        <w:tc>
          <w:tcPr>
            <w:tcW w:w="240" w:type="dxa"/>
            <w:vAlign w:val="bottom"/>
            <w:shd w:val="clear" w:color="auto" w:fill="CCECFF"/>
          </w:tcPr>
          <w:p>
            <w:pPr>
              <w:spacing w:after="0"/>
              <w:rPr>
                <w:sz w:val="12"/>
                <w:szCs w:val="12"/>
                <w:color w:val="auto"/>
              </w:rPr>
            </w:pPr>
          </w:p>
        </w:tc>
        <w:tc>
          <w:tcPr>
            <w:tcW w:w="80" w:type="dxa"/>
            <w:vAlign w:val="bottom"/>
            <w:shd w:val="clear" w:color="auto" w:fill="CCECFF"/>
          </w:tcPr>
          <w:p>
            <w:pPr>
              <w:spacing w:after="0"/>
              <w:rPr>
                <w:sz w:val="12"/>
                <w:szCs w:val="12"/>
                <w:color w:val="auto"/>
              </w:rPr>
            </w:pPr>
          </w:p>
        </w:tc>
        <w:tc>
          <w:tcPr>
            <w:tcW w:w="620" w:type="dxa"/>
            <w:vAlign w:val="bottom"/>
            <w:shd w:val="clear" w:color="auto" w:fill="CCECFF"/>
          </w:tcPr>
          <w:p>
            <w:pPr>
              <w:spacing w:after="0"/>
              <w:rPr>
                <w:sz w:val="12"/>
                <w:szCs w:val="12"/>
                <w:color w:val="auto"/>
              </w:rPr>
            </w:pPr>
          </w:p>
        </w:tc>
        <w:tc>
          <w:tcPr>
            <w:tcW w:w="240" w:type="dxa"/>
            <w:vAlign w:val="bottom"/>
            <w:shd w:val="clear" w:color="auto" w:fill="CCECFF"/>
          </w:tcPr>
          <w:p>
            <w:pPr>
              <w:spacing w:after="0"/>
              <w:rPr>
                <w:sz w:val="12"/>
                <w:szCs w:val="12"/>
                <w:color w:val="auto"/>
              </w:rPr>
            </w:pPr>
          </w:p>
        </w:tc>
        <w:tc>
          <w:tcPr>
            <w:tcW w:w="80" w:type="dxa"/>
            <w:vAlign w:val="bottom"/>
            <w:shd w:val="clear" w:color="auto" w:fill="CCECFF"/>
          </w:tcPr>
          <w:p>
            <w:pPr>
              <w:spacing w:after="0"/>
              <w:rPr>
                <w:sz w:val="12"/>
                <w:szCs w:val="12"/>
                <w:color w:val="auto"/>
              </w:rPr>
            </w:pPr>
          </w:p>
        </w:tc>
        <w:tc>
          <w:tcPr>
            <w:tcW w:w="640" w:type="dxa"/>
            <w:vAlign w:val="bottom"/>
            <w:shd w:val="clear" w:color="auto" w:fill="CCECFF"/>
          </w:tcPr>
          <w:p>
            <w:pPr>
              <w:spacing w:after="0"/>
              <w:rPr>
                <w:sz w:val="12"/>
                <w:szCs w:val="12"/>
                <w:color w:val="auto"/>
              </w:rPr>
            </w:pPr>
          </w:p>
        </w:tc>
        <w:tc>
          <w:tcPr>
            <w:tcW w:w="100" w:type="dxa"/>
            <w:vAlign w:val="bottom"/>
            <w:shd w:val="clear" w:color="auto" w:fill="CCECFF"/>
          </w:tcPr>
          <w:p>
            <w:pPr>
              <w:spacing w:after="0"/>
              <w:rPr>
                <w:sz w:val="12"/>
                <w:szCs w:val="12"/>
                <w:color w:val="auto"/>
              </w:rPr>
            </w:pPr>
          </w:p>
        </w:tc>
      </w:tr>
      <w:tr>
        <w:trPr>
          <w:trHeight w:val="148"/>
        </w:trPr>
        <w:tc>
          <w:tcPr>
            <w:tcW w:w="3020" w:type="dxa"/>
            <w:vAlign w:val="bottom"/>
          </w:tcPr>
          <w:p>
            <w:pPr>
              <w:spacing w:after="0"/>
              <w:rPr>
                <w:sz w:val="20"/>
                <w:szCs w:val="20"/>
                <w:color w:val="auto"/>
              </w:rPr>
            </w:pPr>
            <w:r>
              <w:rPr>
                <w:rFonts w:ascii="Arial" w:cs="Arial" w:eastAsia="Arial" w:hAnsi="Arial"/>
                <w:sz w:val="12"/>
                <w:szCs w:val="12"/>
                <w:color w:val="auto"/>
              </w:rPr>
              <w:t>MailSouth, Inc.</w:t>
            </w:r>
          </w:p>
        </w:tc>
        <w:tc>
          <w:tcPr>
            <w:tcW w:w="900" w:type="dxa"/>
            <w:vAlign w:val="bottom"/>
          </w:tcPr>
          <w:p>
            <w:pPr>
              <w:ind w:left="120"/>
              <w:spacing w:after="0"/>
              <w:rPr>
                <w:sz w:val="20"/>
                <w:szCs w:val="20"/>
                <w:color w:val="auto"/>
              </w:rPr>
            </w:pPr>
            <w:r>
              <w:rPr>
                <w:rFonts w:ascii="Arial" w:cs="Arial" w:eastAsia="Arial" w:hAnsi="Arial"/>
                <w:sz w:val="12"/>
                <w:szCs w:val="12"/>
                <w:color w:val="auto"/>
              </w:rPr>
              <w:t>10/22/2021</w:t>
            </w:r>
          </w:p>
        </w:tc>
        <w:tc>
          <w:tcPr>
            <w:tcW w:w="2780" w:type="dxa"/>
            <w:vAlign w:val="bottom"/>
            <w:gridSpan w:val="2"/>
          </w:tcPr>
          <w:p>
            <w:pPr>
              <w:jc w:val="center"/>
              <w:ind w:right="160"/>
              <w:spacing w:after="0"/>
              <w:rPr>
                <w:sz w:val="20"/>
                <w:szCs w:val="20"/>
                <w:color w:val="auto"/>
              </w:rPr>
            </w:pPr>
            <w:r>
              <w:rPr>
                <w:rFonts w:ascii="Arial" w:cs="Arial" w:eastAsia="Arial" w:hAnsi="Arial"/>
                <w:sz w:val="12"/>
                <w:szCs w:val="12"/>
                <w:color w:val="auto"/>
                <w:w w:val="89"/>
              </w:rPr>
              <w:t>Printing and Publishing</w:t>
            </w:r>
          </w:p>
        </w:tc>
        <w:tc>
          <w:tcPr>
            <w:tcW w:w="940" w:type="dxa"/>
            <w:vAlign w:val="bottom"/>
            <w:gridSpan w:val="2"/>
          </w:tcPr>
          <w:p>
            <w:pPr>
              <w:jc w:val="right"/>
              <w:ind w:right="180"/>
              <w:spacing w:after="0"/>
              <w:rPr>
                <w:sz w:val="20"/>
                <w:szCs w:val="20"/>
                <w:color w:val="auto"/>
              </w:rPr>
            </w:pPr>
            <w:r>
              <w:rPr>
                <w:rFonts w:ascii="Arial" w:cs="Arial" w:eastAsia="Arial" w:hAnsi="Arial"/>
                <w:sz w:val="12"/>
                <w:szCs w:val="12"/>
                <w:color w:val="auto"/>
              </w:rPr>
              <w:t>11.65%</w:t>
            </w:r>
          </w:p>
        </w:tc>
        <w:tc>
          <w:tcPr>
            <w:tcW w:w="680" w:type="dxa"/>
            <w:vAlign w:val="bottom"/>
          </w:tcPr>
          <w:p>
            <w:pPr>
              <w:jc w:val="right"/>
              <w:spacing w:after="0"/>
              <w:rPr>
                <w:sz w:val="20"/>
                <w:szCs w:val="20"/>
                <w:color w:val="auto"/>
              </w:rPr>
            </w:pPr>
            <w:r>
              <w:rPr>
                <w:rFonts w:ascii="Arial" w:cs="Arial" w:eastAsia="Arial" w:hAnsi="Arial"/>
                <w:sz w:val="12"/>
                <w:szCs w:val="12"/>
                <w:color w:val="auto"/>
              </w:rPr>
              <w:t>L+1,050</w:t>
            </w:r>
          </w:p>
        </w:tc>
        <w:tc>
          <w:tcPr>
            <w:tcW w:w="2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80" w:type="dxa"/>
            <w:vAlign w:val="bottom"/>
          </w:tcPr>
          <w:p>
            <w:pPr>
              <w:jc w:val="right"/>
              <w:spacing w:after="0"/>
              <w:rPr>
                <w:sz w:val="20"/>
                <w:szCs w:val="20"/>
                <w:color w:val="auto"/>
              </w:rPr>
            </w:pPr>
            <w:r>
              <w:rPr>
                <w:rFonts w:ascii="Arial" w:cs="Arial" w:eastAsia="Arial" w:hAnsi="Arial"/>
                <w:sz w:val="12"/>
                <w:szCs w:val="12"/>
                <w:color w:val="auto"/>
                <w:w w:val="89"/>
              </w:rPr>
              <w:t>26,425,000</w:t>
            </w:r>
          </w:p>
        </w:tc>
        <w:tc>
          <w:tcPr>
            <w:tcW w:w="2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20" w:type="dxa"/>
            <w:vAlign w:val="bottom"/>
          </w:tcPr>
          <w:p>
            <w:pPr>
              <w:jc w:val="right"/>
              <w:spacing w:after="0"/>
              <w:rPr>
                <w:sz w:val="20"/>
                <w:szCs w:val="20"/>
                <w:color w:val="auto"/>
              </w:rPr>
            </w:pPr>
            <w:r>
              <w:rPr>
                <w:rFonts w:ascii="Arial" w:cs="Arial" w:eastAsia="Arial" w:hAnsi="Arial"/>
                <w:sz w:val="12"/>
                <w:szCs w:val="12"/>
                <w:color w:val="auto"/>
                <w:w w:val="99"/>
              </w:rPr>
              <w:t>25,984,206</w:t>
            </w:r>
          </w:p>
        </w:tc>
        <w:tc>
          <w:tcPr>
            <w:tcW w:w="2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40" w:type="dxa"/>
            <w:vAlign w:val="bottom"/>
          </w:tcPr>
          <w:p>
            <w:pPr>
              <w:jc w:val="right"/>
              <w:spacing w:after="0"/>
              <w:rPr>
                <w:sz w:val="20"/>
                <w:szCs w:val="20"/>
                <w:color w:val="auto"/>
              </w:rPr>
            </w:pPr>
            <w:r>
              <w:rPr>
                <w:rFonts w:ascii="Arial" w:cs="Arial" w:eastAsia="Arial" w:hAnsi="Arial"/>
                <w:sz w:val="12"/>
                <w:szCs w:val="12"/>
                <w:color w:val="auto"/>
                <w:w w:val="99"/>
              </w:rPr>
              <w:t>26,689,250</w:t>
            </w:r>
          </w:p>
        </w:tc>
        <w:tc>
          <w:tcPr>
            <w:tcW w:w="100" w:type="dxa"/>
            <w:vAlign w:val="bottom"/>
          </w:tcPr>
          <w:p>
            <w:pPr>
              <w:spacing w:after="0"/>
              <w:rPr>
                <w:sz w:val="12"/>
                <w:szCs w:val="12"/>
                <w:color w:val="auto"/>
              </w:rPr>
            </w:pPr>
          </w:p>
        </w:tc>
      </w:tr>
      <w:tr>
        <w:trPr>
          <w:trHeight w:val="149"/>
        </w:trPr>
        <w:tc>
          <w:tcPr>
            <w:tcW w:w="3020" w:type="dxa"/>
            <w:vAlign w:val="bottom"/>
            <w:shd w:val="clear" w:color="auto" w:fill="CCECFF"/>
          </w:tcPr>
          <w:p>
            <w:pPr>
              <w:spacing w:after="0"/>
              <w:rPr>
                <w:sz w:val="20"/>
                <w:szCs w:val="20"/>
                <w:color w:val="auto"/>
              </w:rPr>
            </w:pPr>
            <w:r>
              <w:rPr>
                <w:rFonts w:ascii="Arial" w:cs="Arial" w:eastAsia="Arial" w:hAnsi="Arial"/>
                <w:sz w:val="12"/>
                <w:szCs w:val="12"/>
                <w:color w:val="auto"/>
              </w:rPr>
              <w:t>Novitex Acquisition, LLC</w:t>
            </w:r>
          </w:p>
        </w:tc>
        <w:tc>
          <w:tcPr>
            <w:tcW w:w="900" w:type="dxa"/>
            <w:vAlign w:val="bottom"/>
            <w:shd w:val="clear" w:color="auto" w:fill="CCECFF"/>
          </w:tcPr>
          <w:p>
            <w:pPr>
              <w:ind w:left="120"/>
              <w:spacing w:after="0"/>
              <w:rPr>
                <w:sz w:val="20"/>
                <w:szCs w:val="20"/>
                <w:color w:val="auto"/>
              </w:rPr>
            </w:pPr>
            <w:r>
              <w:rPr>
                <w:rFonts w:ascii="Arial" w:cs="Arial" w:eastAsia="Arial" w:hAnsi="Arial"/>
                <w:sz w:val="12"/>
                <w:szCs w:val="12"/>
                <w:color w:val="auto"/>
              </w:rPr>
              <w:t>07/07/2021</w:t>
            </w:r>
          </w:p>
        </w:tc>
        <w:tc>
          <w:tcPr>
            <w:tcW w:w="2780" w:type="dxa"/>
            <w:vAlign w:val="bottom"/>
            <w:gridSpan w:val="2"/>
            <w:shd w:val="clear" w:color="auto" w:fill="CCECFF"/>
          </w:tcPr>
          <w:p>
            <w:pPr>
              <w:jc w:val="center"/>
              <w:ind w:right="140"/>
              <w:spacing w:after="0"/>
              <w:rPr>
                <w:sz w:val="20"/>
                <w:szCs w:val="20"/>
                <w:color w:val="auto"/>
              </w:rPr>
            </w:pPr>
            <w:r>
              <w:rPr>
                <w:rFonts w:ascii="Arial" w:cs="Arial" w:eastAsia="Arial" w:hAnsi="Arial"/>
                <w:sz w:val="12"/>
                <w:szCs w:val="12"/>
                <w:color w:val="auto"/>
                <w:w w:val="85"/>
              </w:rPr>
              <w:t>Business Services</w:t>
            </w:r>
          </w:p>
        </w:tc>
        <w:tc>
          <w:tcPr>
            <w:tcW w:w="940" w:type="dxa"/>
            <w:vAlign w:val="bottom"/>
            <w:gridSpan w:val="2"/>
            <w:shd w:val="clear" w:color="auto" w:fill="CCECFF"/>
          </w:tcPr>
          <w:p>
            <w:pPr>
              <w:jc w:val="right"/>
              <w:ind w:right="180"/>
              <w:spacing w:after="0"/>
              <w:rPr>
                <w:sz w:val="20"/>
                <w:szCs w:val="20"/>
                <w:color w:val="auto"/>
              </w:rPr>
            </w:pPr>
            <w:r>
              <w:rPr>
                <w:rFonts w:ascii="Arial" w:cs="Arial" w:eastAsia="Arial" w:hAnsi="Arial"/>
                <w:sz w:val="12"/>
                <w:szCs w:val="12"/>
                <w:color w:val="auto"/>
              </w:rPr>
              <w:t>12.32%</w:t>
            </w:r>
          </w:p>
        </w:tc>
        <w:tc>
          <w:tcPr>
            <w:tcW w:w="680" w:type="dxa"/>
            <w:vAlign w:val="bottom"/>
            <w:shd w:val="clear" w:color="auto" w:fill="CCECFF"/>
          </w:tcPr>
          <w:p>
            <w:pPr>
              <w:jc w:val="right"/>
              <w:spacing w:after="0"/>
              <w:rPr>
                <w:sz w:val="20"/>
                <w:szCs w:val="20"/>
                <w:color w:val="auto"/>
              </w:rPr>
            </w:pPr>
            <w:r>
              <w:rPr>
                <w:rFonts w:ascii="Arial" w:cs="Arial" w:eastAsia="Arial" w:hAnsi="Arial"/>
                <w:sz w:val="12"/>
                <w:szCs w:val="12"/>
                <w:color w:val="auto"/>
              </w:rPr>
              <w:t>L+1,100</w:t>
            </w:r>
          </w:p>
        </w:tc>
        <w:tc>
          <w:tcPr>
            <w:tcW w:w="240" w:type="dxa"/>
            <w:vAlign w:val="bottom"/>
            <w:shd w:val="clear" w:color="auto" w:fill="CCECFF"/>
          </w:tcPr>
          <w:p>
            <w:pPr>
              <w:spacing w:after="0"/>
              <w:rPr>
                <w:sz w:val="12"/>
                <w:szCs w:val="12"/>
                <w:color w:val="auto"/>
              </w:rPr>
            </w:pPr>
          </w:p>
        </w:tc>
        <w:tc>
          <w:tcPr>
            <w:tcW w:w="100" w:type="dxa"/>
            <w:vAlign w:val="bottom"/>
            <w:shd w:val="clear" w:color="auto" w:fill="CCECFF"/>
          </w:tcPr>
          <w:p>
            <w:pPr>
              <w:spacing w:after="0"/>
              <w:rPr>
                <w:sz w:val="12"/>
                <w:szCs w:val="12"/>
                <w:color w:val="auto"/>
              </w:rPr>
            </w:pPr>
          </w:p>
        </w:tc>
        <w:tc>
          <w:tcPr>
            <w:tcW w:w="580" w:type="dxa"/>
            <w:vAlign w:val="bottom"/>
            <w:shd w:val="clear" w:color="auto" w:fill="CCECFF"/>
          </w:tcPr>
          <w:p>
            <w:pPr>
              <w:jc w:val="right"/>
              <w:spacing w:after="0"/>
              <w:rPr>
                <w:sz w:val="20"/>
                <w:szCs w:val="20"/>
                <w:color w:val="auto"/>
              </w:rPr>
            </w:pPr>
            <w:r>
              <w:rPr>
                <w:rFonts w:ascii="Arial" w:cs="Arial" w:eastAsia="Arial" w:hAnsi="Arial"/>
                <w:sz w:val="12"/>
                <w:szCs w:val="12"/>
                <w:color w:val="auto"/>
                <w:w w:val="89"/>
              </w:rPr>
              <w:t>44,625,000</w:t>
            </w:r>
          </w:p>
        </w:tc>
        <w:tc>
          <w:tcPr>
            <w:tcW w:w="240" w:type="dxa"/>
            <w:vAlign w:val="bottom"/>
            <w:shd w:val="clear" w:color="auto" w:fill="CCECFF"/>
          </w:tcPr>
          <w:p>
            <w:pPr>
              <w:spacing w:after="0"/>
              <w:rPr>
                <w:sz w:val="12"/>
                <w:szCs w:val="12"/>
                <w:color w:val="auto"/>
              </w:rPr>
            </w:pPr>
          </w:p>
        </w:tc>
        <w:tc>
          <w:tcPr>
            <w:tcW w:w="80" w:type="dxa"/>
            <w:vAlign w:val="bottom"/>
            <w:shd w:val="clear" w:color="auto" w:fill="CCECFF"/>
          </w:tcPr>
          <w:p>
            <w:pPr>
              <w:spacing w:after="0"/>
              <w:rPr>
                <w:sz w:val="12"/>
                <w:szCs w:val="12"/>
                <w:color w:val="auto"/>
              </w:rPr>
            </w:pPr>
          </w:p>
        </w:tc>
        <w:tc>
          <w:tcPr>
            <w:tcW w:w="620" w:type="dxa"/>
            <w:vAlign w:val="bottom"/>
            <w:shd w:val="clear" w:color="auto" w:fill="CCECFF"/>
          </w:tcPr>
          <w:p>
            <w:pPr>
              <w:jc w:val="right"/>
              <w:spacing w:after="0"/>
              <w:rPr>
                <w:sz w:val="20"/>
                <w:szCs w:val="20"/>
                <w:color w:val="auto"/>
              </w:rPr>
            </w:pPr>
            <w:r>
              <w:rPr>
                <w:rFonts w:ascii="Arial" w:cs="Arial" w:eastAsia="Arial" w:hAnsi="Arial"/>
                <w:sz w:val="12"/>
                <w:szCs w:val="12"/>
                <w:color w:val="auto"/>
                <w:w w:val="99"/>
              </w:rPr>
              <w:t>44,157,954</w:t>
            </w:r>
          </w:p>
        </w:tc>
        <w:tc>
          <w:tcPr>
            <w:tcW w:w="240" w:type="dxa"/>
            <w:vAlign w:val="bottom"/>
            <w:shd w:val="clear" w:color="auto" w:fill="CCECFF"/>
          </w:tcPr>
          <w:p>
            <w:pPr>
              <w:spacing w:after="0"/>
              <w:rPr>
                <w:sz w:val="12"/>
                <w:szCs w:val="12"/>
                <w:color w:val="auto"/>
              </w:rPr>
            </w:pPr>
          </w:p>
        </w:tc>
        <w:tc>
          <w:tcPr>
            <w:tcW w:w="80" w:type="dxa"/>
            <w:vAlign w:val="bottom"/>
            <w:shd w:val="clear" w:color="auto" w:fill="CCECFF"/>
          </w:tcPr>
          <w:p>
            <w:pPr>
              <w:spacing w:after="0"/>
              <w:rPr>
                <w:sz w:val="12"/>
                <w:szCs w:val="12"/>
                <w:color w:val="auto"/>
              </w:rPr>
            </w:pPr>
          </w:p>
        </w:tc>
        <w:tc>
          <w:tcPr>
            <w:tcW w:w="640" w:type="dxa"/>
            <w:vAlign w:val="bottom"/>
            <w:shd w:val="clear" w:color="auto" w:fill="CCECFF"/>
          </w:tcPr>
          <w:p>
            <w:pPr>
              <w:jc w:val="right"/>
              <w:spacing w:after="0"/>
              <w:rPr>
                <w:sz w:val="20"/>
                <w:szCs w:val="20"/>
                <w:color w:val="auto"/>
              </w:rPr>
            </w:pPr>
            <w:r>
              <w:rPr>
                <w:rFonts w:ascii="Arial" w:cs="Arial" w:eastAsia="Arial" w:hAnsi="Arial"/>
                <w:sz w:val="12"/>
                <w:szCs w:val="12"/>
                <w:color w:val="auto"/>
                <w:w w:val="99"/>
              </w:rPr>
              <w:t>43,732,500</w:t>
            </w:r>
          </w:p>
        </w:tc>
        <w:tc>
          <w:tcPr>
            <w:tcW w:w="100" w:type="dxa"/>
            <w:vAlign w:val="bottom"/>
            <w:shd w:val="clear" w:color="auto" w:fill="CCECFF"/>
          </w:tcPr>
          <w:p>
            <w:pPr>
              <w:spacing w:after="0"/>
              <w:rPr>
                <w:sz w:val="12"/>
                <w:szCs w:val="12"/>
                <w:color w:val="auto"/>
              </w:rPr>
            </w:pPr>
          </w:p>
        </w:tc>
      </w:tr>
      <w:tr>
        <w:trPr>
          <w:trHeight w:val="148"/>
        </w:trPr>
        <w:tc>
          <w:tcPr>
            <w:tcW w:w="3020" w:type="dxa"/>
            <w:vAlign w:val="bottom"/>
          </w:tcPr>
          <w:p>
            <w:pPr>
              <w:spacing w:after="0"/>
              <w:rPr>
                <w:sz w:val="20"/>
                <w:szCs w:val="20"/>
                <w:color w:val="auto"/>
              </w:rPr>
            </w:pPr>
            <w:r>
              <w:rPr>
                <w:rFonts w:ascii="Arial" w:cs="Arial" w:eastAsia="Arial" w:hAnsi="Arial"/>
                <w:sz w:val="12"/>
                <w:szCs w:val="12"/>
                <w:color w:val="auto"/>
              </w:rPr>
              <w:t xml:space="preserve">Parq Holdings Limited Partnership </w:t>
            </w:r>
            <w:r>
              <w:rPr>
                <w:rFonts w:ascii="Arial" w:cs="Arial" w:eastAsia="Arial" w:hAnsi="Arial"/>
                <w:sz w:val="9"/>
                <w:szCs w:val="9"/>
                <w:color w:val="auto"/>
              </w:rPr>
              <w:t>(9), (12)</w:t>
            </w:r>
          </w:p>
        </w:tc>
        <w:tc>
          <w:tcPr>
            <w:tcW w:w="900" w:type="dxa"/>
            <w:vAlign w:val="bottom"/>
          </w:tcPr>
          <w:p>
            <w:pPr>
              <w:ind w:left="120"/>
              <w:spacing w:after="0"/>
              <w:rPr>
                <w:sz w:val="20"/>
                <w:szCs w:val="20"/>
                <w:color w:val="auto"/>
              </w:rPr>
            </w:pPr>
            <w:r>
              <w:rPr>
                <w:rFonts w:ascii="Arial" w:cs="Arial" w:eastAsia="Arial" w:hAnsi="Arial"/>
                <w:sz w:val="12"/>
                <w:szCs w:val="12"/>
                <w:color w:val="auto"/>
              </w:rPr>
              <w:t>12/17/2021</w:t>
            </w:r>
          </w:p>
        </w:tc>
        <w:tc>
          <w:tcPr>
            <w:tcW w:w="2780" w:type="dxa"/>
            <w:vAlign w:val="bottom"/>
            <w:gridSpan w:val="2"/>
          </w:tcPr>
          <w:p>
            <w:pPr>
              <w:jc w:val="center"/>
              <w:ind w:right="160"/>
              <w:spacing w:after="0"/>
              <w:rPr>
                <w:sz w:val="20"/>
                <w:szCs w:val="20"/>
                <w:color w:val="auto"/>
              </w:rPr>
            </w:pPr>
            <w:r>
              <w:rPr>
                <w:rFonts w:ascii="Arial" w:cs="Arial" w:eastAsia="Arial" w:hAnsi="Arial"/>
                <w:sz w:val="12"/>
                <w:szCs w:val="12"/>
                <w:color w:val="auto"/>
                <w:w w:val="88"/>
              </w:rPr>
              <w:t>Hotels, Motels, Inns and Gaming</w:t>
            </w:r>
          </w:p>
        </w:tc>
        <w:tc>
          <w:tcPr>
            <w:tcW w:w="940" w:type="dxa"/>
            <w:vAlign w:val="bottom"/>
            <w:gridSpan w:val="2"/>
          </w:tcPr>
          <w:p>
            <w:pPr>
              <w:jc w:val="right"/>
              <w:ind w:right="180"/>
              <w:spacing w:after="0"/>
              <w:rPr>
                <w:sz w:val="20"/>
                <w:szCs w:val="20"/>
                <w:color w:val="auto"/>
              </w:rPr>
            </w:pPr>
            <w:r>
              <w:rPr>
                <w:rFonts w:ascii="Arial" w:cs="Arial" w:eastAsia="Arial" w:hAnsi="Arial"/>
                <w:sz w:val="12"/>
                <w:szCs w:val="12"/>
                <w:color w:val="auto"/>
              </w:rPr>
              <w:t>13.23%</w:t>
            </w:r>
          </w:p>
        </w:tc>
        <w:tc>
          <w:tcPr>
            <w:tcW w:w="680" w:type="dxa"/>
            <w:vAlign w:val="bottom"/>
          </w:tcPr>
          <w:p>
            <w:pPr>
              <w:jc w:val="right"/>
              <w:spacing w:after="0"/>
              <w:rPr>
                <w:sz w:val="20"/>
                <w:szCs w:val="20"/>
                <w:color w:val="auto"/>
              </w:rPr>
            </w:pPr>
            <w:r>
              <w:rPr>
                <w:rFonts w:ascii="Arial" w:cs="Arial" w:eastAsia="Arial" w:hAnsi="Arial"/>
                <w:sz w:val="12"/>
                <w:szCs w:val="12"/>
                <w:color w:val="auto"/>
              </w:rPr>
              <w:t>L+1,200</w:t>
            </w:r>
          </w:p>
        </w:tc>
        <w:tc>
          <w:tcPr>
            <w:tcW w:w="2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80" w:type="dxa"/>
            <w:vAlign w:val="bottom"/>
          </w:tcPr>
          <w:p>
            <w:pPr>
              <w:jc w:val="right"/>
              <w:spacing w:after="0"/>
              <w:rPr>
                <w:sz w:val="20"/>
                <w:szCs w:val="20"/>
                <w:color w:val="auto"/>
              </w:rPr>
            </w:pPr>
            <w:r>
              <w:rPr>
                <w:rFonts w:ascii="Arial" w:cs="Arial" w:eastAsia="Arial" w:hAnsi="Arial"/>
                <w:sz w:val="12"/>
                <w:szCs w:val="12"/>
                <w:color w:val="auto"/>
                <w:w w:val="89"/>
              </w:rPr>
              <w:t>75,000,000</w:t>
            </w:r>
          </w:p>
        </w:tc>
        <w:tc>
          <w:tcPr>
            <w:tcW w:w="2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20" w:type="dxa"/>
            <w:vAlign w:val="bottom"/>
          </w:tcPr>
          <w:p>
            <w:pPr>
              <w:jc w:val="right"/>
              <w:spacing w:after="0"/>
              <w:rPr>
                <w:sz w:val="20"/>
                <w:szCs w:val="20"/>
                <w:color w:val="auto"/>
              </w:rPr>
            </w:pPr>
            <w:r>
              <w:rPr>
                <w:rFonts w:ascii="Arial" w:cs="Arial" w:eastAsia="Arial" w:hAnsi="Arial"/>
                <w:sz w:val="12"/>
                <w:szCs w:val="12"/>
                <w:color w:val="auto"/>
                <w:w w:val="99"/>
              </w:rPr>
              <w:t>75,000,000</w:t>
            </w:r>
          </w:p>
        </w:tc>
        <w:tc>
          <w:tcPr>
            <w:tcW w:w="2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40" w:type="dxa"/>
            <w:vAlign w:val="bottom"/>
          </w:tcPr>
          <w:p>
            <w:pPr>
              <w:jc w:val="right"/>
              <w:spacing w:after="0"/>
              <w:rPr>
                <w:sz w:val="20"/>
                <w:szCs w:val="20"/>
                <w:color w:val="auto"/>
              </w:rPr>
            </w:pPr>
            <w:r>
              <w:rPr>
                <w:rFonts w:ascii="Arial" w:cs="Arial" w:eastAsia="Arial" w:hAnsi="Arial"/>
                <w:sz w:val="12"/>
                <w:szCs w:val="12"/>
                <w:color w:val="auto"/>
                <w:w w:val="99"/>
              </w:rPr>
              <w:t>76,642,695</w:t>
            </w:r>
          </w:p>
        </w:tc>
        <w:tc>
          <w:tcPr>
            <w:tcW w:w="100" w:type="dxa"/>
            <w:vAlign w:val="bottom"/>
          </w:tcPr>
          <w:p>
            <w:pPr>
              <w:spacing w:after="0"/>
              <w:rPr>
                <w:sz w:val="12"/>
                <w:szCs w:val="12"/>
                <w:color w:val="auto"/>
              </w:rPr>
            </w:pPr>
          </w:p>
        </w:tc>
      </w:tr>
      <w:tr>
        <w:trPr>
          <w:trHeight w:val="148"/>
        </w:trPr>
        <w:tc>
          <w:tcPr>
            <w:tcW w:w="3020" w:type="dxa"/>
            <w:vAlign w:val="bottom"/>
            <w:shd w:val="clear" w:color="auto" w:fill="CCECFF"/>
          </w:tcPr>
          <w:p>
            <w:pPr>
              <w:spacing w:after="0"/>
              <w:rPr>
                <w:sz w:val="20"/>
                <w:szCs w:val="20"/>
                <w:color w:val="auto"/>
              </w:rPr>
            </w:pPr>
            <w:r>
              <w:rPr>
                <w:rFonts w:ascii="Arial" w:cs="Arial" w:eastAsia="Arial" w:hAnsi="Arial"/>
                <w:sz w:val="12"/>
                <w:szCs w:val="12"/>
                <w:color w:val="auto"/>
              </w:rPr>
              <w:t>Pre-Paid Legal Services, Inc.</w:t>
            </w:r>
          </w:p>
        </w:tc>
        <w:tc>
          <w:tcPr>
            <w:tcW w:w="900" w:type="dxa"/>
            <w:vAlign w:val="bottom"/>
            <w:shd w:val="clear" w:color="auto" w:fill="CCECFF"/>
          </w:tcPr>
          <w:p>
            <w:pPr>
              <w:ind w:left="120"/>
              <w:spacing w:after="0"/>
              <w:rPr>
                <w:sz w:val="20"/>
                <w:szCs w:val="20"/>
                <w:color w:val="auto"/>
              </w:rPr>
            </w:pPr>
            <w:r>
              <w:rPr>
                <w:rFonts w:ascii="Arial" w:cs="Arial" w:eastAsia="Arial" w:hAnsi="Arial"/>
                <w:sz w:val="12"/>
                <w:szCs w:val="12"/>
                <w:color w:val="auto"/>
              </w:rPr>
              <w:t>07/01/2020</w:t>
            </w:r>
          </w:p>
        </w:tc>
        <w:tc>
          <w:tcPr>
            <w:tcW w:w="2780" w:type="dxa"/>
            <w:vAlign w:val="bottom"/>
            <w:gridSpan w:val="2"/>
            <w:shd w:val="clear" w:color="auto" w:fill="CCECFF"/>
          </w:tcPr>
          <w:p>
            <w:pPr>
              <w:jc w:val="center"/>
              <w:ind w:right="160"/>
              <w:spacing w:after="0"/>
              <w:rPr>
                <w:sz w:val="20"/>
                <w:szCs w:val="20"/>
                <w:color w:val="auto"/>
              </w:rPr>
            </w:pPr>
            <w:r>
              <w:rPr>
                <w:rFonts w:ascii="Arial" w:cs="Arial" w:eastAsia="Arial" w:hAnsi="Arial"/>
                <w:sz w:val="12"/>
                <w:szCs w:val="12"/>
                <w:color w:val="auto"/>
                <w:w w:val="86"/>
              </w:rPr>
              <w:t>Personal, Food and Miscellaneous Services</w:t>
            </w:r>
          </w:p>
        </w:tc>
        <w:tc>
          <w:tcPr>
            <w:tcW w:w="940" w:type="dxa"/>
            <w:vAlign w:val="bottom"/>
            <w:gridSpan w:val="2"/>
            <w:shd w:val="clear" w:color="auto" w:fill="CCECFF"/>
          </w:tcPr>
          <w:p>
            <w:pPr>
              <w:jc w:val="right"/>
              <w:ind w:right="180"/>
              <w:spacing w:after="0"/>
              <w:rPr>
                <w:sz w:val="20"/>
                <w:szCs w:val="20"/>
                <w:color w:val="auto"/>
              </w:rPr>
            </w:pPr>
            <w:r>
              <w:rPr>
                <w:rFonts w:ascii="Arial" w:cs="Arial" w:eastAsia="Arial" w:hAnsi="Arial"/>
                <w:sz w:val="12"/>
                <w:szCs w:val="12"/>
                <w:color w:val="auto"/>
              </w:rPr>
              <w:t>10.25%</w:t>
            </w:r>
          </w:p>
        </w:tc>
        <w:tc>
          <w:tcPr>
            <w:tcW w:w="680" w:type="dxa"/>
            <w:vAlign w:val="bottom"/>
            <w:shd w:val="clear" w:color="auto" w:fill="CCECFF"/>
          </w:tcPr>
          <w:p>
            <w:pPr>
              <w:jc w:val="right"/>
              <w:spacing w:after="0"/>
              <w:rPr>
                <w:sz w:val="20"/>
                <w:szCs w:val="20"/>
                <w:color w:val="auto"/>
              </w:rPr>
            </w:pPr>
            <w:r>
              <w:rPr>
                <w:rFonts w:ascii="Arial" w:cs="Arial" w:eastAsia="Arial" w:hAnsi="Arial"/>
                <w:sz w:val="12"/>
                <w:szCs w:val="12"/>
                <w:color w:val="auto"/>
              </w:rPr>
              <w:t>L+900</w:t>
            </w:r>
          </w:p>
        </w:tc>
        <w:tc>
          <w:tcPr>
            <w:tcW w:w="240" w:type="dxa"/>
            <w:vAlign w:val="bottom"/>
            <w:shd w:val="clear" w:color="auto" w:fill="CCECFF"/>
          </w:tcPr>
          <w:p>
            <w:pPr>
              <w:spacing w:after="0"/>
              <w:rPr>
                <w:sz w:val="12"/>
                <w:szCs w:val="12"/>
                <w:color w:val="auto"/>
              </w:rPr>
            </w:pPr>
          </w:p>
        </w:tc>
        <w:tc>
          <w:tcPr>
            <w:tcW w:w="100" w:type="dxa"/>
            <w:vAlign w:val="bottom"/>
            <w:shd w:val="clear" w:color="auto" w:fill="CCECFF"/>
          </w:tcPr>
          <w:p>
            <w:pPr>
              <w:spacing w:after="0"/>
              <w:rPr>
                <w:sz w:val="12"/>
                <w:szCs w:val="12"/>
                <w:color w:val="auto"/>
              </w:rPr>
            </w:pPr>
          </w:p>
        </w:tc>
        <w:tc>
          <w:tcPr>
            <w:tcW w:w="580" w:type="dxa"/>
            <w:vAlign w:val="bottom"/>
            <w:shd w:val="clear" w:color="auto" w:fill="CCECFF"/>
          </w:tcPr>
          <w:p>
            <w:pPr>
              <w:jc w:val="right"/>
              <w:spacing w:after="0"/>
              <w:rPr>
                <w:sz w:val="20"/>
                <w:szCs w:val="20"/>
                <w:color w:val="auto"/>
              </w:rPr>
            </w:pPr>
            <w:r>
              <w:rPr>
                <w:rFonts w:ascii="Arial" w:cs="Arial" w:eastAsia="Arial" w:hAnsi="Arial"/>
                <w:sz w:val="12"/>
                <w:szCs w:val="12"/>
                <w:color w:val="auto"/>
                <w:w w:val="89"/>
              </w:rPr>
              <w:t>62,750,000</w:t>
            </w:r>
          </w:p>
        </w:tc>
        <w:tc>
          <w:tcPr>
            <w:tcW w:w="240" w:type="dxa"/>
            <w:vAlign w:val="bottom"/>
            <w:shd w:val="clear" w:color="auto" w:fill="CCECFF"/>
          </w:tcPr>
          <w:p>
            <w:pPr>
              <w:spacing w:after="0"/>
              <w:rPr>
                <w:sz w:val="12"/>
                <w:szCs w:val="12"/>
                <w:color w:val="auto"/>
              </w:rPr>
            </w:pPr>
          </w:p>
        </w:tc>
        <w:tc>
          <w:tcPr>
            <w:tcW w:w="80" w:type="dxa"/>
            <w:vAlign w:val="bottom"/>
            <w:shd w:val="clear" w:color="auto" w:fill="CCECFF"/>
          </w:tcPr>
          <w:p>
            <w:pPr>
              <w:spacing w:after="0"/>
              <w:rPr>
                <w:sz w:val="12"/>
                <w:szCs w:val="12"/>
                <w:color w:val="auto"/>
              </w:rPr>
            </w:pPr>
          </w:p>
        </w:tc>
        <w:tc>
          <w:tcPr>
            <w:tcW w:w="620" w:type="dxa"/>
            <w:vAlign w:val="bottom"/>
            <w:shd w:val="clear" w:color="auto" w:fill="CCECFF"/>
          </w:tcPr>
          <w:p>
            <w:pPr>
              <w:jc w:val="right"/>
              <w:spacing w:after="0"/>
              <w:rPr>
                <w:sz w:val="20"/>
                <w:szCs w:val="20"/>
                <w:color w:val="auto"/>
              </w:rPr>
            </w:pPr>
            <w:r>
              <w:rPr>
                <w:rFonts w:ascii="Arial" w:cs="Arial" w:eastAsia="Arial" w:hAnsi="Arial"/>
                <w:sz w:val="12"/>
                <w:szCs w:val="12"/>
                <w:color w:val="auto"/>
                <w:w w:val="99"/>
              </w:rPr>
              <w:t>62,264,429</w:t>
            </w:r>
          </w:p>
        </w:tc>
        <w:tc>
          <w:tcPr>
            <w:tcW w:w="240" w:type="dxa"/>
            <w:vAlign w:val="bottom"/>
            <w:shd w:val="clear" w:color="auto" w:fill="CCECFF"/>
          </w:tcPr>
          <w:p>
            <w:pPr>
              <w:spacing w:after="0"/>
              <w:rPr>
                <w:sz w:val="12"/>
                <w:szCs w:val="12"/>
                <w:color w:val="auto"/>
              </w:rPr>
            </w:pPr>
          </w:p>
        </w:tc>
        <w:tc>
          <w:tcPr>
            <w:tcW w:w="80" w:type="dxa"/>
            <w:vAlign w:val="bottom"/>
            <w:shd w:val="clear" w:color="auto" w:fill="CCECFF"/>
          </w:tcPr>
          <w:p>
            <w:pPr>
              <w:spacing w:after="0"/>
              <w:rPr>
                <w:sz w:val="12"/>
                <w:szCs w:val="12"/>
                <w:color w:val="auto"/>
              </w:rPr>
            </w:pPr>
          </w:p>
        </w:tc>
        <w:tc>
          <w:tcPr>
            <w:tcW w:w="640" w:type="dxa"/>
            <w:vAlign w:val="bottom"/>
            <w:shd w:val="clear" w:color="auto" w:fill="CCECFF"/>
          </w:tcPr>
          <w:p>
            <w:pPr>
              <w:jc w:val="right"/>
              <w:spacing w:after="0"/>
              <w:rPr>
                <w:sz w:val="20"/>
                <w:szCs w:val="20"/>
                <w:color w:val="auto"/>
              </w:rPr>
            </w:pPr>
            <w:r>
              <w:rPr>
                <w:rFonts w:ascii="Arial" w:cs="Arial" w:eastAsia="Arial" w:hAnsi="Arial"/>
                <w:sz w:val="12"/>
                <w:szCs w:val="12"/>
                <w:color w:val="auto"/>
                <w:w w:val="99"/>
              </w:rPr>
              <w:t>62,985,312</w:t>
            </w:r>
          </w:p>
        </w:tc>
        <w:tc>
          <w:tcPr>
            <w:tcW w:w="100" w:type="dxa"/>
            <w:vAlign w:val="bottom"/>
            <w:shd w:val="clear" w:color="auto" w:fill="CCECFF"/>
          </w:tcPr>
          <w:p>
            <w:pPr>
              <w:spacing w:after="0"/>
              <w:rPr>
                <w:sz w:val="12"/>
                <w:szCs w:val="12"/>
                <w:color w:val="auto"/>
              </w:rPr>
            </w:pPr>
          </w:p>
        </w:tc>
      </w:tr>
      <w:tr>
        <w:trPr>
          <w:trHeight w:val="149"/>
        </w:trPr>
        <w:tc>
          <w:tcPr>
            <w:tcW w:w="3020" w:type="dxa"/>
            <w:vAlign w:val="bottom"/>
            <w:tcBorders>
              <w:bottom w:val="single" w:sz="8" w:color="CCECFF"/>
            </w:tcBorders>
          </w:tcPr>
          <w:p>
            <w:pPr>
              <w:spacing w:after="0"/>
              <w:rPr>
                <w:sz w:val="20"/>
                <w:szCs w:val="20"/>
                <w:color w:val="auto"/>
              </w:rPr>
            </w:pPr>
            <w:r>
              <w:rPr>
                <w:rFonts w:ascii="Arial" w:cs="Arial" w:eastAsia="Arial" w:hAnsi="Arial"/>
                <w:sz w:val="12"/>
                <w:szCs w:val="12"/>
                <w:color w:val="auto"/>
              </w:rPr>
              <w:t>Veritext Corp.</w:t>
            </w:r>
          </w:p>
        </w:tc>
        <w:tc>
          <w:tcPr>
            <w:tcW w:w="900" w:type="dxa"/>
            <w:vAlign w:val="bottom"/>
            <w:tcBorders>
              <w:bottom w:val="single" w:sz="8" w:color="CCECFF"/>
            </w:tcBorders>
          </w:tcPr>
          <w:p>
            <w:pPr>
              <w:ind w:left="120"/>
              <w:spacing w:after="0"/>
              <w:rPr>
                <w:sz w:val="20"/>
                <w:szCs w:val="20"/>
                <w:color w:val="auto"/>
              </w:rPr>
            </w:pPr>
            <w:r>
              <w:rPr>
                <w:rFonts w:ascii="Arial" w:cs="Arial" w:eastAsia="Arial" w:hAnsi="Arial"/>
                <w:sz w:val="12"/>
                <w:szCs w:val="12"/>
                <w:color w:val="auto"/>
              </w:rPr>
              <w:t>01/30/2023</w:t>
            </w:r>
          </w:p>
        </w:tc>
        <w:tc>
          <w:tcPr>
            <w:tcW w:w="2780" w:type="dxa"/>
            <w:vAlign w:val="bottom"/>
            <w:tcBorders>
              <w:bottom w:val="single" w:sz="8" w:color="CCECFF"/>
            </w:tcBorders>
            <w:gridSpan w:val="2"/>
          </w:tcPr>
          <w:p>
            <w:pPr>
              <w:jc w:val="center"/>
              <w:ind w:right="140"/>
              <w:spacing w:after="0"/>
              <w:rPr>
                <w:sz w:val="20"/>
                <w:szCs w:val="20"/>
                <w:color w:val="auto"/>
              </w:rPr>
            </w:pPr>
            <w:r>
              <w:rPr>
                <w:rFonts w:ascii="Arial" w:cs="Arial" w:eastAsia="Arial" w:hAnsi="Arial"/>
                <w:sz w:val="12"/>
                <w:szCs w:val="12"/>
                <w:color w:val="auto"/>
                <w:w w:val="85"/>
              </w:rPr>
              <w:t>Business Services</w:t>
            </w:r>
          </w:p>
        </w:tc>
        <w:tc>
          <w:tcPr>
            <w:tcW w:w="940" w:type="dxa"/>
            <w:vAlign w:val="bottom"/>
            <w:tcBorders>
              <w:bottom w:val="single" w:sz="8" w:color="CCECFF"/>
            </w:tcBorders>
            <w:gridSpan w:val="2"/>
          </w:tcPr>
          <w:p>
            <w:pPr>
              <w:jc w:val="right"/>
              <w:ind w:right="180"/>
              <w:spacing w:after="0"/>
              <w:rPr>
                <w:sz w:val="20"/>
                <w:szCs w:val="20"/>
                <w:color w:val="auto"/>
              </w:rPr>
            </w:pPr>
            <w:r>
              <w:rPr>
                <w:rFonts w:ascii="Arial" w:cs="Arial" w:eastAsia="Arial" w:hAnsi="Arial"/>
                <w:sz w:val="12"/>
                <w:szCs w:val="12"/>
                <w:color w:val="auto"/>
              </w:rPr>
              <w:t>10.30%</w:t>
            </w:r>
          </w:p>
        </w:tc>
        <w:tc>
          <w:tcPr>
            <w:tcW w:w="680" w:type="dxa"/>
            <w:vAlign w:val="bottom"/>
            <w:tcBorders>
              <w:bottom w:val="single" w:sz="8" w:color="CCECFF"/>
            </w:tcBorders>
          </w:tcPr>
          <w:p>
            <w:pPr>
              <w:jc w:val="right"/>
              <w:spacing w:after="0"/>
              <w:rPr>
                <w:sz w:val="20"/>
                <w:szCs w:val="20"/>
                <w:color w:val="auto"/>
              </w:rPr>
            </w:pPr>
            <w:r>
              <w:rPr>
                <w:rFonts w:ascii="Arial" w:cs="Arial" w:eastAsia="Arial" w:hAnsi="Arial"/>
                <w:sz w:val="12"/>
                <w:szCs w:val="12"/>
                <w:color w:val="auto"/>
              </w:rPr>
              <w:t>L+900</w:t>
            </w:r>
          </w:p>
        </w:tc>
        <w:tc>
          <w:tcPr>
            <w:tcW w:w="240" w:type="dxa"/>
            <w:vAlign w:val="bottom"/>
            <w:tcBorders>
              <w:bottom w:val="single" w:sz="8" w:color="CCECFF"/>
            </w:tcBorders>
          </w:tcPr>
          <w:p>
            <w:pPr>
              <w:spacing w:after="0"/>
              <w:rPr>
                <w:sz w:val="12"/>
                <w:szCs w:val="12"/>
                <w:color w:val="auto"/>
              </w:rPr>
            </w:pPr>
          </w:p>
        </w:tc>
        <w:tc>
          <w:tcPr>
            <w:tcW w:w="100" w:type="dxa"/>
            <w:vAlign w:val="bottom"/>
            <w:tcBorders>
              <w:bottom w:val="single" w:sz="8" w:color="CCECFF"/>
            </w:tcBorders>
          </w:tcPr>
          <w:p>
            <w:pPr>
              <w:spacing w:after="0"/>
              <w:rPr>
                <w:sz w:val="12"/>
                <w:szCs w:val="12"/>
                <w:color w:val="auto"/>
              </w:rPr>
            </w:pPr>
          </w:p>
        </w:tc>
        <w:tc>
          <w:tcPr>
            <w:tcW w:w="580" w:type="dxa"/>
            <w:vAlign w:val="bottom"/>
            <w:tcBorders>
              <w:bottom w:val="single" w:sz="8" w:color="CCECFF"/>
            </w:tcBorders>
          </w:tcPr>
          <w:p>
            <w:pPr>
              <w:jc w:val="right"/>
              <w:spacing w:after="0"/>
              <w:rPr>
                <w:sz w:val="20"/>
                <w:szCs w:val="20"/>
                <w:color w:val="auto"/>
              </w:rPr>
            </w:pPr>
            <w:r>
              <w:rPr>
                <w:rFonts w:ascii="Arial" w:cs="Arial" w:eastAsia="Arial" w:hAnsi="Arial"/>
                <w:sz w:val="12"/>
                <w:szCs w:val="12"/>
                <w:color w:val="auto"/>
                <w:w w:val="89"/>
              </w:rPr>
              <w:t>18,834,375</w:t>
            </w:r>
          </w:p>
        </w:tc>
        <w:tc>
          <w:tcPr>
            <w:tcW w:w="240" w:type="dxa"/>
            <w:vAlign w:val="bottom"/>
            <w:tcBorders>
              <w:bottom w:val="single" w:sz="8" w:color="CCECFF"/>
            </w:tcBorders>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w w:val="99"/>
              </w:rPr>
              <w:t>18,335,071</w:t>
            </w:r>
          </w:p>
        </w:tc>
        <w:tc>
          <w:tcPr>
            <w:tcW w:w="240" w:type="dxa"/>
            <w:vAlign w:val="bottom"/>
            <w:tcBorders>
              <w:bottom w:val="single" w:sz="8" w:color="CCECFF"/>
            </w:tcBorders>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w w:val="99"/>
              </w:rPr>
              <w:t>18,457,689</w:t>
            </w:r>
          </w:p>
        </w:tc>
        <w:tc>
          <w:tcPr>
            <w:tcW w:w="100" w:type="dxa"/>
            <w:vAlign w:val="bottom"/>
            <w:tcBorders>
              <w:bottom w:val="single" w:sz="8" w:color="CCECFF"/>
            </w:tcBorders>
          </w:tcPr>
          <w:p>
            <w:pPr>
              <w:spacing w:after="0"/>
              <w:rPr>
                <w:sz w:val="12"/>
                <w:szCs w:val="12"/>
                <w:color w:val="auto"/>
              </w:rPr>
            </w:pPr>
          </w:p>
        </w:tc>
      </w:tr>
      <w:tr>
        <w:trPr>
          <w:trHeight w:val="142"/>
        </w:trPr>
        <w:tc>
          <w:tcPr>
            <w:tcW w:w="3020" w:type="dxa"/>
            <w:vAlign w:val="bottom"/>
            <w:shd w:val="clear" w:color="auto" w:fill="CCECFF"/>
          </w:tcPr>
          <w:p>
            <w:pPr>
              <w:spacing w:after="0"/>
              <w:rPr>
                <w:sz w:val="20"/>
                <w:szCs w:val="20"/>
                <w:color w:val="auto"/>
              </w:rPr>
            </w:pPr>
            <w:r>
              <w:rPr>
                <w:rFonts w:ascii="Arial" w:cs="Arial" w:eastAsia="Arial" w:hAnsi="Arial"/>
                <w:sz w:val="12"/>
                <w:szCs w:val="12"/>
                <w:b w:val="1"/>
                <w:bCs w:val="1"/>
                <w:color w:val="auto"/>
              </w:rPr>
              <w:t>Total Second Lien Secured Debt</w:t>
            </w:r>
          </w:p>
        </w:tc>
        <w:tc>
          <w:tcPr>
            <w:tcW w:w="900" w:type="dxa"/>
            <w:vAlign w:val="bottom"/>
            <w:shd w:val="clear" w:color="auto" w:fill="CCECFF"/>
          </w:tcPr>
          <w:p>
            <w:pPr>
              <w:spacing w:after="0"/>
              <w:rPr>
                <w:sz w:val="12"/>
                <w:szCs w:val="12"/>
                <w:color w:val="auto"/>
              </w:rPr>
            </w:pPr>
          </w:p>
        </w:tc>
        <w:tc>
          <w:tcPr>
            <w:tcW w:w="2640" w:type="dxa"/>
            <w:vAlign w:val="bottom"/>
            <w:shd w:val="clear" w:color="auto" w:fill="CCECFF"/>
          </w:tcPr>
          <w:p>
            <w:pPr>
              <w:spacing w:after="0"/>
              <w:rPr>
                <w:sz w:val="12"/>
                <w:szCs w:val="12"/>
                <w:color w:val="auto"/>
              </w:rPr>
            </w:pPr>
          </w:p>
        </w:tc>
        <w:tc>
          <w:tcPr>
            <w:tcW w:w="140" w:type="dxa"/>
            <w:vAlign w:val="bottom"/>
            <w:shd w:val="clear" w:color="auto" w:fill="CCECFF"/>
          </w:tcPr>
          <w:p>
            <w:pPr>
              <w:spacing w:after="0"/>
              <w:rPr>
                <w:sz w:val="12"/>
                <w:szCs w:val="12"/>
                <w:color w:val="auto"/>
              </w:rPr>
            </w:pPr>
          </w:p>
        </w:tc>
        <w:tc>
          <w:tcPr>
            <w:tcW w:w="660" w:type="dxa"/>
            <w:vAlign w:val="bottom"/>
            <w:shd w:val="clear" w:color="auto" w:fill="CCECFF"/>
          </w:tcPr>
          <w:p>
            <w:pPr>
              <w:spacing w:after="0"/>
              <w:rPr>
                <w:sz w:val="12"/>
                <w:szCs w:val="12"/>
                <w:color w:val="auto"/>
              </w:rPr>
            </w:pPr>
          </w:p>
        </w:tc>
        <w:tc>
          <w:tcPr>
            <w:tcW w:w="280" w:type="dxa"/>
            <w:vAlign w:val="bottom"/>
            <w:shd w:val="clear" w:color="auto" w:fill="CCECFF"/>
          </w:tcPr>
          <w:p>
            <w:pPr>
              <w:spacing w:after="0"/>
              <w:rPr>
                <w:sz w:val="12"/>
                <w:szCs w:val="12"/>
                <w:color w:val="auto"/>
              </w:rPr>
            </w:pPr>
          </w:p>
        </w:tc>
        <w:tc>
          <w:tcPr>
            <w:tcW w:w="680" w:type="dxa"/>
            <w:vAlign w:val="bottom"/>
            <w:shd w:val="clear" w:color="auto" w:fill="CCECFF"/>
          </w:tcPr>
          <w:p>
            <w:pPr>
              <w:spacing w:after="0"/>
              <w:rPr>
                <w:sz w:val="12"/>
                <w:szCs w:val="12"/>
                <w:color w:val="auto"/>
              </w:rPr>
            </w:pPr>
          </w:p>
        </w:tc>
        <w:tc>
          <w:tcPr>
            <w:tcW w:w="240" w:type="dxa"/>
            <w:vAlign w:val="bottom"/>
            <w:shd w:val="clear" w:color="auto" w:fill="CCECFF"/>
          </w:tcPr>
          <w:p>
            <w:pPr>
              <w:spacing w:after="0"/>
              <w:rPr>
                <w:sz w:val="12"/>
                <w:szCs w:val="12"/>
                <w:color w:val="auto"/>
              </w:rPr>
            </w:pPr>
          </w:p>
        </w:tc>
        <w:tc>
          <w:tcPr>
            <w:tcW w:w="100" w:type="dxa"/>
            <w:vAlign w:val="bottom"/>
            <w:shd w:val="clear" w:color="auto" w:fill="CCECFF"/>
          </w:tcPr>
          <w:p>
            <w:pPr>
              <w:spacing w:after="0"/>
              <w:rPr>
                <w:sz w:val="12"/>
                <w:szCs w:val="12"/>
                <w:color w:val="auto"/>
              </w:rPr>
            </w:pPr>
          </w:p>
        </w:tc>
        <w:tc>
          <w:tcPr>
            <w:tcW w:w="580" w:type="dxa"/>
            <w:vAlign w:val="bottom"/>
            <w:shd w:val="clear" w:color="auto" w:fill="CCECFF"/>
          </w:tcPr>
          <w:p>
            <w:pPr>
              <w:spacing w:after="0"/>
              <w:rPr>
                <w:sz w:val="12"/>
                <w:szCs w:val="12"/>
                <w:color w:val="auto"/>
              </w:rPr>
            </w:pPr>
          </w:p>
        </w:tc>
        <w:tc>
          <w:tcPr>
            <w:tcW w:w="240" w:type="dxa"/>
            <w:vAlign w:val="bottom"/>
            <w:shd w:val="clear" w:color="auto" w:fill="CCECFF"/>
          </w:tcPr>
          <w:p>
            <w:pPr>
              <w:spacing w:after="0"/>
              <w:rPr>
                <w:sz w:val="12"/>
                <w:szCs w:val="12"/>
                <w:color w:val="auto"/>
              </w:rPr>
            </w:pPr>
          </w:p>
        </w:tc>
        <w:tc>
          <w:tcPr>
            <w:tcW w:w="80" w:type="dxa"/>
            <w:vAlign w:val="bottom"/>
            <w:tcBorders>
              <w:bottom w:val="single" w:sz="8" w:color="auto"/>
            </w:tcBorders>
            <w:shd w:val="clear" w:color="auto" w:fill="CCECFF"/>
          </w:tcPr>
          <w:p>
            <w:pPr>
              <w:spacing w:after="0"/>
              <w:rPr>
                <w:sz w:val="12"/>
                <w:szCs w:val="12"/>
                <w:color w:val="auto"/>
              </w:rPr>
            </w:pPr>
          </w:p>
        </w:tc>
        <w:tc>
          <w:tcPr>
            <w:tcW w:w="620" w:type="dxa"/>
            <w:vAlign w:val="bottom"/>
            <w:tcBorders>
              <w:bottom w:val="single" w:sz="8" w:color="auto"/>
            </w:tcBorders>
            <w:shd w:val="clear" w:color="auto" w:fill="CCECFF"/>
          </w:tcPr>
          <w:p>
            <w:pPr>
              <w:jc w:val="right"/>
              <w:spacing w:after="0"/>
              <w:rPr>
                <w:sz w:val="20"/>
                <w:szCs w:val="20"/>
                <w:color w:val="auto"/>
              </w:rPr>
            </w:pPr>
            <w:r>
              <w:rPr>
                <w:rFonts w:ascii="Arial" w:cs="Arial" w:eastAsia="Arial" w:hAnsi="Arial"/>
                <w:sz w:val="12"/>
                <w:szCs w:val="12"/>
                <w:color w:val="auto"/>
                <w:w w:val="89"/>
              </w:rPr>
              <w:t>371,876,320</w:t>
            </w:r>
          </w:p>
        </w:tc>
        <w:tc>
          <w:tcPr>
            <w:tcW w:w="240" w:type="dxa"/>
            <w:vAlign w:val="bottom"/>
            <w:shd w:val="clear" w:color="auto" w:fill="CCECFF"/>
          </w:tcPr>
          <w:p>
            <w:pPr>
              <w:spacing w:after="0"/>
              <w:rPr>
                <w:sz w:val="12"/>
                <w:szCs w:val="12"/>
                <w:color w:val="auto"/>
              </w:rPr>
            </w:pPr>
          </w:p>
        </w:tc>
        <w:tc>
          <w:tcPr>
            <w:tcW w:w="80" w:type="dxa"/>
            <w:vAlign w:val="bottom"/>
            <w:tcBorders>
              <w:bottom w:val="single" w:sz="8" w:color="auto"/>
            </w:tcBorders>
            <w:shd w:val="clear" w:color="auto" w:fill="CCECFF"/>
          </w:tcPr>
          <w:p>
            <w:pPr>
              <w:spacing w:after="0"/>
              <w:rPr>
                <w:sz w:val="12"/>
                <w:szCs w:val="12"/>
                <w:color w:val="auto"/>
              </w:rPr>
            </w:pPr>
          </w:p>
        </w:tc>
        <w:tc>
          <w:tcPr>
            <w:tcW w:w="640" w:type="dxa"/>
            <w:vAlign w:val="bottom"/>
            <w:tcBorders>
              <w:bottom w:val="single" w:sz="8" w:color="auto"/>
            </w:tcBorders>
            <w:shd w:val="clear" w:color="auto" w:fill="CCECFF"/>
          </w:tcPr>
          <w:p>
            <w:pPr>
              <w:jc w:val="right"/>
              <w:spacing w:after="0"/>
              <w:rPr>
                <w:sz w:val="20"/>
                <w:szCs w:val="20"/>
                <w:color w:val="auto"/>
              </w:rPr>
            </w:pPr>
            <w:r>
              <w:rPr>
                <w:rFonts w:ascii="Arial" w:cs="Arial" w:eastAsia="Arial" w:hAnsi="Arial"/>
                <w:sz w:val="12"/>
                <w:szCs w:val="12"/>
                <w:color w:val="auto"/>
                <w:w w:val="89"/>
              </w:rPr>
              <w:t>375,569,368</w:t>
            </w:r>
          </w:p>
        </w:tc>
        <w:tc>
          <w:tcPr>
            <w:tcW w:w="100" w:type="dxa"/>
            <w:vAlign w:val="bottom"/>
            <w:shd w:val="clear" w:color="auto" w:fill="CCECFF"/>
          </w:tcPr>
          <w:p>
            <w:pPr>
              <w:spacing w:after="0"/>
              <w:rPr>
                <w:sz w:val="12"/>
                <w:szCs w:val="12"/>
                <w:color w:val="auto"/>
              </w:rPr>
            </w:pPr>
          </w:p>
        </w:tc>
      </w:tr>
      <w:tr>
        <w:trPr>
          <w:trHeight w:val="142"/>
        </w:trPr>
        <w:tc>
          <w:tcPr>
            <w:tcW w:w="3020" w:type="dxa"/>
            <w:vAlign w:val="bottom"/>
          </w:tcPr>
          <w:p>
            <w:pPr>
              <w:spacing w:after="0"/>
              <w:rPr>
                <w:sz w:val="20"/>
                <w:szCs w:val="20"/>
                <w:color w:val="auto"/>
              </w:rPr>
            </w:pPr>
            <w:r>
              <w:rPr>
                <w:rFonts w:ascii="Arial" w:cs="Arial" w:eastAsia="Arial" w:hAnsi="Arial"/>
                <w:sz w:val="12"/>
                <w:szCs w:val="12"/>
                <w:b w:val="1"/>
                <w:bCs w:val="1"/>
                <w:color w:val="auto"/>
              </w:rPr>
              <w:t>Subordinated Debt/Corporate Notes—10.5%</w:t>
            </w:r>
          </w:p>
        </w:tc>
        <w:tc>
          <w:tcPr>
            <w:tcW w:w="900" w:type="dxa"/>
            <w:vAlign w:val="bottom"/>
          </w:tcPr>
          <w:p>
            <w:pPr>
              <w:spacing w:after="0"/>
              <w:rPr>
                <w:sz w:val="12"/>
                <w:szCs w:val="12"/>
                <w:color w:val="auto"/>
              </w:rPr>
            </w:pPr>
          </w:p>
        </w:tc>
        <w:tc>
          <w:tcPr>
            <w:tcW w:w="26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00" w:type="dxa"/>
            <w:vAlign w:val="bottom"/>
          </w:tcPr>
          <w:p>
            <w:pPr>
              <w:spacing w:after="0"/>
              <w:rPr>
                <w:sz w:val="12"/>
                <w:szCs w:val="12"/>
                <w:color w:val="auto"/>
              </w:rPr>
            </w:pPr>
          </w:p>
        </w:tc>
      </w:tr>
      <w:tr>
        <w:trPr>
          <w:trHeight w:val="149"/>
        </w:trPr>
        <w:tc>
          <w:tcPr>
            <w:tcW w:w="3020" w:type="dxa"/>
            <w:vAlign w:val="bottom"/>
            <w:shd w:val="clear" w:color="auto" w:fill="CCECFF"/>
          </w:tcPr>
          <w:p>
            <w:pPr>
              <w:spacing w:after="0"/>
              <w:rPr>
                <w:sz w:val="20"/>
                <w:szCs w:val="20"/>
                <w:color w:val="auto"/>
              </w:rPr>
            </w:pPr>
            <w:r>
              <w:rPr>
                <w:rFonts w:ascii="Arial" w:cs="Arial" w:eastAsia="Arial" w:hAnsi="Arial"/>
                <w:sz w:val="12"/>
                <w:szCs w:val="12"/>
                <w:color w:val="auto"/>
              </w:rPr>
              <w:t>Cascade Environmental LLC</w:t>
            </w:r>
          </w:p>
        </w:tc>
        <w:tc>
          <w:tcPr>
            <w:tcW w:w="900" w:type="dxa"/>
            <w:vAlign w:val="bottom"/>
            <w:shd w:val="clear" w:color="auto" w:fill="CCECFF"/>
          </w:tcPr>
          <w:p>
            <w:pPr>
              <w:ind w:left="120"/>
              <w:spacing w:after="0"/>
              <w:rPr>
                <w:sz w:val="20"/>
                <w:szCs w:val="20"/>
                <w:color w:val="auto"/>
              </w:rPr>
            </w:pPr>
            <w:r>
              <w:rPr>
                <w:rFonts w:ascii="Arial" w:cs="Arial" w:eastAsia="Arial" w:hAnsi="Arial"/>
                <w:sz w:val="12"/>
                <w:szCs w:val="12"/>
                <w:color w:val="auto"/>
              </w:rPr>
              <w:t>08/20/2021</w:t>
            </w:r>
          </w:p>
        </w:tc>
        <w:tc>
          <w:tcPr>
            <w:tcW w:w="2780" w:type="dxa"/>
            <w:vAlign w:val="bottom"/>
            <w:gridSpan w:val="2"/>
            <w:shd w:val="clear" w:color="auto" w:fill="CCECFF"/>
          </w:tcPr>
          <w:p>
            <w:pPr>
              <w:jc w:val="center"/>
              <w:ind w:right="140"/>
              <w:spacing w:after="0"/>
              <w:rPr>
                <w:sz w:val="20"/>
                <w:szCs w:val="20"/>
                <w:color w:val="auto"/>
              </w:rPr>
            </w:pPr>
            <w:r>
              <w:rPr>
                <w:rFonts w:ascii="Arial" w:cs="Arial" w:eastAsia="Arial" w:hAnsi="Arial"/>
                <w:sz w:val="12"/>
                <w:szCs w:val="12"/>
                <w:color w:val="auto"/>
                <w:w w:val="88"/>
              </w:rPr>
              <w:t>Environmental Services</w:t>
            </w:r>
          </w:p>
        </w:tc>
        <w:tc>
          <w:tcPr>
            <w:tcW w:w="940" w:type="dxa"/>
            <w:vAlign w:val="bottom"/>
            <w:gridSpan w:val="2"/>
            <w:shd w:val="clear" w:color="auto" w:fill="CCECFF"/>
          </w:tcPr>
          <w:p>
            <w:pPr>
              <w:jc w:val="right"/>
              <w:ind w:right="180"/>
              <w:spacing w:after="0"/>
              <w:rPr>
                <w:sz w:val="20"/>
                <w:szCs w:val="20"/>
                <w:color w:val="auto"/>
              </w:rPr>
            </w:pPr>
            <w:r>
              <w:rPr>
                <w:rFonts w:ascii="Arial" w:cs="Arial" w:eastAsia="Arial" w:hAnsi="Arial"/>
                <w:sz w:val="12"/>
                <w:szCs w:val="12"/>
                <w:color w:val="auto"/>
              </w:rPr>
              <w:t>12.00%</w:t>
            </w:r>
          </w:p>
        </w:tc>
        <w:tc>
          <w:tcPr>
            <w:tcW w:w="680" w:type="dxa"/>
            <w:vAlign w:val="bottom"/>
            <w:shd w:val="clear" w:color="auto" w:fill="CCECFF"/>
          </w:tcPr>
          <w:p>
            <w:pPr>
              <w:jc w:val="right"/>
              <w:spacing w:after="0"/>
              <w:rPr>
                <w:sz w:val="20"/>
                <w:szCs w:val="20"/>
                <w:color w:val="auto"/>
              </w:rPr>
            </w:pPr>
            <w:r>
              <w:rPr>
                <w:rFonts w:ascii="Arial" w:cs="Arial" w:eastAsia="Arial" w:hAnsi="Arial"/>
                <w:sz w:val="12"/>
                <w:szCs w:val="12"/>
                <w:color w:val="auto"/>
              </w:rPr>
              <w:t>—</w:t>
            </w:r>
          </w:p>
        </w:tc>
        <w:tc>
          <w:tcPr>
            <w:tcW w:w="240" w:type="dxa"/>
            <w:vAlign w:val="bottom"/>
            <w:shd w:val="clear" w:color="auto" w:fill="CCECFF"/>
          </w:tcPr>
          <w:p>
            <w:pPr>
              <w:spacing w:after="0"/>
              <w:rPr>
                <w:sz w:val="12"/>
                <w:szCs w:val="12"/>
                <w:color w:val="auto"/>
              </w:rPr>
            </w:pPr>
          </w:p>
        </w:tc>
        <w:tc>
          <w:tcPr>
            <w:tcW w:w="100" w:type="dxa"/>
            <w:vAlign w:val="bottom"/>
            <w:shd w:val="clear" w:color="auto" w:fill="CCECFF"/>
          </w:tcPr>
          <w:p>
            <w:pPr>
              <w:spacing w:after="0"/>
              <w:rPr>
                <w:sz w:val="12"/>
                <w:szCs w:val="12"/>
                <w:color w:val="auto"/>
              </w:rPr>
            </w:pPr>
          </w:p>
        </w:tc>
        <w:tc>
          <w:tcPr>
            <w:tcW w:w="580" w:type="dxa"/>
            <w:vAlign w:val="bottom"/>
            <w:shd w:val="clear" w:color="auto" w:fill="CCECFF"/>
          </w:tcPr>
          <w:p>
            <w:pPr>
              <w:jc w:val="right"/>
              <w:spacing w:after="0"/>
              <w:rPr>
                <w:sz w:val="20"/>
                <w:szCs w:val="20"/>
                <w:color w:val="auto"/>
              </w:rPr>
            </w:pPr>
            <w:r>
              <w:rPr>
                <w:rFonts w:ascii="Arial" w:cs="Arial" w:eastAsia="Arial" w:hAnsi="Arial"/>
                <w:sz w:val="12"/>
                <w:szCs w:val="12"/>
                <w:color w:val="auto"/>
                <w:w w:val="89"/>
              </w:rPr>
              <w:t>32,675,553</w:t>
            </w:r>
          </w:p>
        </w:tc>
        <w:tc>
          <w:tcPr>
            <w:tcW w:w="240" w:type="dxa"/>
            <w:vAlign w:val="bottom"/>
            <w:shd w:val="clear" w:color="auto" w:fill="CCECFF"/>
          </w:tcPr>
          <w:p>
            <w:pPr>
              <w:spacing w:after="0"/>
              <w:rPr>
                <w:sz w:val="12"/>
                <w:szCs w:val="12"/>
                <w:color w:val="auto"/>
              </w:rPr>
            </w:pPr>
          </w:p>
        </w:tc>
        <w:tc>
          <w:tcPr>
            <w:tcW w:w="80" w:type="dxa"/>
            <w:vAlign w:val="bottom"/>
            <w:shd w:val="clear" w:color="auto" w:fill="CCECFF"/>
          </w:tcPr>
          <w:p>
            <w:pPr>
              <w:spacing w:after="0"/>
              <w:rPr>
                <w:sz w:val="12"/>
                <w:szCs w:val="12"/>
                <w:color w:val="auto"/>
              </w:rPr>
            </w:pPr>
          </w:p>
        </w:tc>
        <w:tc>
          <w:tcPr>
            <w:tcW w:w="620" w:type="dxa"/>
            <w:vAlign w:val="bottom"/>
            <w:shd w:val="clear" w:color="auto" w:fill="CCECFF"/>
          </w:tcPr>
          <w:p>
            <w:pPr>
              <w:jc w:val="right"/>
              <w:spacing w:after="0"/>
              <w:rPr>
                <w:sz w:val="20"/>
                <w:szCs w:val="20"/>
                <w:color w:val="auto"/>
              </w:rPr>
            </w:pPr>
            <w:r>
              <w:rPr>
                <w:rFonts w:ascii="Arial" w:cs="Arial" w:eastAsia="Arial" w:hAnsi="Arial"/>
                <w:sz w:val="12"/>
                <w:szCs w:val="12"/>
                <w:color w:val="auto"/>
                <w:w w:val="99"/>
              </w:rPr>
              <w:t>32,132,274</w:t>
            </w:r>
          </w:p>
        </w:tc>
        <w:tc>
          <w:tcPr>
            <w:tcW w:w="240" w:type="dxa"/>
            <w:vAlign w:val="bottom"/>
            <w:shd w:val="clear" w:color="auto" w:fill="CCECFF"/>
          </w:tcPr>
          <w:p>
            <w:pPr>
              <w:spacing w:after="0"/>
              <w:rPr>
                <w:sz w:val="12"/>
                <w:szCs w:val="12"/>
                <w:color w:val="auto"/>
              </w:rPr>
            </w:pPr>
          </w:p>
        </w:tc>
        <w:tc>
          <w:tcPr>
            <w:tcW w:w="80" w:type="dxa"/>
            <w:vAlign w:val="bottom"/>
            <w:shd w:val="clear" w:color="auto" w:fill="CCECFF"/>
          </w:tcPr>
          <w:p>
            <w:pPr>
              <w:spacing w:after="0"/>
              <w:rPr>
                <w:sz w:val="12"/>
                <w:szCs w:val="12"/>
                <w:color w:val="auto"/>
              </w:rPr>
            </w:pPr>
          </w:p>
        </w:tc>
        <w:tc>
          <w:tcPr>
            <w:tcW w:w="640" w:type="dxa"/>
            <w:vAlign w:val="bottom"/>
            <w:shd w:val="clear" w:color="auto" w:fill="CCECFF"/>
          </w:tcPr>
          <w:p>
            <w:pPr>
              <w:jc w:val="right"/>
              <w:spacing w:after="0"/>
              <w:rPr>
                <w:sz w:val="20"/>
                <w:szCs w:val="20"/>
                <w:color w:val="auto"/>
              </w:rPr>
            </w:pPr>
            <w:r>
              <w:rPr>
                <w:rFonts w:ascii="Arial" w:cs="Arial" w:eastAsia="Arial" w:hAnsi="Arial"/>
                <w:sz w:val="12"/>
                <w:szCs w:val="12"/>
                <w:color w:val="auto"/>
                <w:w w:val="99"/>
              </w:rPr>
              <w:t>32,430,486</w:t>
            </w:r>
          </w:p>
        </w:tc>
        <w:tc>
          <w:tcPr>
            <w:tcW w:w="100" w:type="dxa"/>
            <w:vAlign w:val="bottom"/>
            <w:shd w:val="clear" w:color="auto" w:fill="CCECFF"/>
          </w:tcPr>
          <w:p>
            <w:pPr>
              <w:spacing w:after="0"/>
              <w:rPr>
                <w:sz w:val="12"/>
                <w:szCs w:val="12"/>
                <w:color w:val="auto"/>
              </w:rPr>
            </w:pPr>
          </w:p>
        </w:tc>
      </w:tr>
      <w:tr>
        <w:trPr>
          <w:trHeight w:val="155"/>
        </w:trPr>
        <w:tc>
          <w:tcPr>
            <w:tcW w:w="3020" w:type="dxa"/>
            <w:vAlign w:val="bottom"/>
          </w:tcPr>
          <w:p>
            <w:pPr>
              <w:spacing w:after="0"/>
              <w:rPr>
                <w:sz w:val="20"/>
                <w:szCs w:val="20"/>
                <w:color w:val="auto"/>
              </w:rPr>
            </w:pPr>
            <w:r>
              <w:rPr>
                <w:rFonts w:ascii="Arial" w:cs="Arial" w:eastAsia="Arial" w:hAnsi="Arial"/>
                <w:sz w:val="12"/>
                <w:szCs w:val="12"/>
                <w:color w:val="auto"/>
              </w:rPr>
              <w:t>Credit Infonet, Inc.</w:t>
            </w:r>
          </w:p>
        </w:tc>
        <w:tc>
          <w:tcPr>
            <w:tcW w:w="900" w:type="dxa"/>
            <w:vAlign w:val="bottom"/>
          </w:tcPr>
          <w:p>
            <w:pPr>
              <w:ind w:left="120"/>
              <w:spacing w:after="0"/>
              <w:rPr>
                <w:sz w:val="20"/>
                <w:szCs w:val="20"/>
                <w:color w:val="auto"/>
              </w:rPr>
            </w:pPr>
            <w:r>
              <w:rPr>
                <w:rFonts w:ascii="Arial" w:cs="Arial" w:eastAsia="Arial" w:hAnsi="Arial"/>
                <w:sz w:val="12"/>
                <w:szCs w:val="12"/>
                <w:color w:val="auto"/>
              </w:rPr>
              <w:t>10/26/2020</w:t>
            </w:r>
          </w:p>
        </w:tc>
        <w:tc>
          <w:tcPr>
            <w:tcW w:w="2780" w:type="dxa"/>
            <w:vAlign w:val="bottom"/>
            <w:gridSpan w:val="2"/>
          </w:tcPr>
          <w:p>
            <w:pPr>
              <w:jc w:val="center"/>
              <w:ind w:right="160"/>
              <w:spacing w:after="0"/>
              <w:rPr>
                <w:sz w:val="20"/>
                <w:szCs w:val="20"/>
                <w:color w:val="auto"/>
              </w:rPr>
            </w:pPr>
            <w:r>
              <w:rPr>
                <w:rFonts w:ascii="Arial" w:cs="Arial" w:eastAsia="Arial" w:hAnsi="Arial"/>
                <w:sz w:val="12"/>
                <w:szCs w:val="12"/>
                <w:color w:val="auto"/>
                <w:w w:val="86"/>
              </w:rPr>
              <w:t>Personal, Food and Miscellaneous Services</w:t>
            </w:r>
          </w:p>
        </w:tc>
        <w:tc>
          <w:tcPr>
            <w:tcW w:w="940" w:type="dxa"/>
            <w:vAlign w:val="bottom"/>
            <w:gridSpan w:val="2"/>
          </w:tcPr>
          <w:p>
            <w:pPr>
              <w:jc w:val="right"/>
              <w:ind w:right="180"/>
              <w:spacing w:after="0"/>
              <w:rPr>
                <w:sz w:val="20"/>
                <w:szCs w:val="20"/>
                <w:color w:val="auto"/>
              </w:rPr>
            </w:pPr>
            <w:r>
              <w:rPr>
                <w:rFonts w:ascii="Arial" w:cs="Arial" w:eastAsia="Arial" w:hAnsi="Arial"/>
                <w:sz w:val="12"/>
                <w:szCs w:val="12"/>
                <w:color w:val="auto"/>
              </w:rPr>
              <w:t>13.00%</w:t>
            </w:r>
          </w:p>
        </w:tc>
        <w:tc>
          <w:tcPr>
            <w:tcW w:w="680" w:type="dxa"/>
            <w:vAlign w:val="bottom"/>
          </w:tcPr>
          <w:p>
            <w:pPr>
              <w:jc w:val="right"/>
              <w:spacing w:after="0"/>
              <w:rPr>
                <w:sz w:val="20"/>
                <w:szCs w:val="20"/>
                <w:color w:val="auto"/>
              </w:rPr>
            </w:pPr>
            <w:r>
              <w:rPr>
                <w:rFonts w:ascii="Arial" w:cs="Arial" w:eastAsia="Arial" w:hAnsi="Arial"/>
                <w:sz w:val="12"/>
                <w:szCs w:val="12"/>
                <w:color w:val="auto"/>
              </w:rPr>
              <w:t>—</w:t>
            </w:r>
          </w:p>
        </w:tc>
        <w:tc>
          <w:tcPr>
            <w:tcW w:w="2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80" w:type="dxa"/>
            <w:vAlign w:val="bottom"/>
          </w:tcPr>
          <w:p>
            <w:pPr>
              <w:jc w:val="right"/>
              <w:spacing w:after="0"/>
              <w:rPr>
                <w:sz w:val="20"/>
                <w:szCs w:val="20"/>
                <w:color w:val="auto"/>
              </w:rPr>
            </w:pPr>
            <w:r>
              <w:rPr>
                <w:rFonts w:ascii="Arial" w:cs="Arial" w:eastAsia="Arial" w:hAnsi="Arial"/>
                <w:sz w:val="12"/>
                <w:szCs w:val="12"/>
                <w:color w:val="auto"/>
                <w:w w:val="89"/>
              </w:rPr>
              <w:t>11,131,090</w:t>
            </w:r>
          </w:p>
        </w:tc>
        <w:tc>
          <w:tcPr>
            <w:tcW w:w="2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20" w:type="dxa"/>
            <w:vAlign w:val="bottom"/>
          </w:tcPr>
          <w:p>
            <w:pPr>
              <w:jc w:val="right"/>
              <w:spacing w:after="0"/>
              <w:rPr>
                <w:sz w:val="20"/>
                <w:szCs w:val="20"/>
                <w:color w:val="auto"/>
              </w:rPr>
            </w:pPr>
            <w:r>
              <w:rPr>
                <w:rFonts w:ascii="Arial" w:cs="Arial" w:eastAsia="Arial" w:hAnsi="Arial"/>
                <w:sz w:val="12"/>
                <w:szCs w:val="12"/>
                <w:color w:val="auto"/>
                <w:w w:val="99"/>
              </w:rPr>
              <w:t>10,919,090</w:t>
            </w:r>
          </w:p>
        </w:tc>
        <w:tc>
          <w:tcPr>
            <w:tcW w:w="2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40" w:type="dxa"/>
            <w:vAlign w:val="bottom"/>
          </w:tcPr>
          <w:p>
            <w:pPr>
              <w:jc w:val="right"/>
              <w:spacing w:after="0"/>
              <w:rPr>
                <w:sz w:val="20"/>
                <w:szCs w:val="20"/>
                <w:color w:val="auto"/>
              </w:rPr>
            </w:pPr>
            <w:r>
              <w:rPr>
                <w:rFonts w:ascii="Arial" w:cs="Arial" w:eastAsia="Arial" w:hAnsi="Arial"/>
                <w:sz w:val="12"/>
                <w:szCs w:val="12"/>
                <w:color w:val="auto"/>
                <w:w w:val="99"/>
              </w:rPr>
              <w:t>11,045,140</w:t>
            </w:r>
          </w:p>
        </w:tc>
        <w:tc>
          <w:tcPr>
            <w:tcW w:w="100" w:type="dxa"/>
            <w:vAlign w:val="bottom"/>
          </w:tcPr>
          <w:p>
            <w:pPr>
              <w:spacing w:after="0"/>
              <w:rPr>
                <w:sz w:val="13"/>
                <w:szCs w:val="13"/>
                <w:color w:val="auto"/>
              </w:rPr>
            </w:pPr>
          </w:p>
        </w:tc>
      </w:tr>
      <w:tr>
        <w:trPr>
          <w:trHeight w:val="141"/>
        </w:trPr>
        <w:tc>
          <w:tcPr>
            <w:tcW w:w="302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26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40" w:type="dxa"/>
            <w:vAlign w:val="bottom"/>
            <w:gridSpan w:val="2"/>
          </w:tcPr>
          <w:p>
            <w:pPr>
              <w:jc w:val="right"/>
              <w:ind w:right="140"/>
              <w:spacing w:after="0"/>
              <w:rPr>
                <w:sz w:val="20"/>
                <w:szCs w:val="20"/>
                <w:color w:val="auto"/>
              </w:rPr>
            </w:pPr>
            <w:r>
              <w:rPr>
                <w:rFonts w:ascii="Arial" w:cs="Arial" w:eastAsia="Arial" w:hAnsi="Arial"/>
                <w:sz w:val="12"/>
                <w:szCs w:val="12"/>
                <w:color w:val="auto"/>
              </w:rPr>
              <w:t>(PIK 0.75%)</w:t>
            </w:r>
          </w:p>
        </w:tc>
        <w:tc>
          <w:tcPr>
            <w:tcW w:w="6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00" w:type="dxa"/>
            <w:vAlign w:val="bottom"/>
          </w:tcPr>
          <w:p>
            <w:pPr>
              <w:spacing w:after="0"/>
              <w:rPr>
                <w:sz w:val="12"/>
                <w:szCs w:val="12"/>
                <w:color w:val="auto"/>
              </w:rPr>
            </w:pPr>
          </w:p>
        </w:tc>
      </w:tr>
      <w:tr>
        <w:trPr>
          <w:trHeight w:val="149"/>
        </w:trPr>
        <w:tc>
          <w:tcPr>
            <w:tcW w:w="3020" w:type="dxa"/>
            <w:vAlign w:val="bottom"/>
            <w:shd w:val="clear" w:color="auto" w:fill="CCECFF"/>
          </w:tcPr>
          <w:p>
            <w:pPr>
              <w:spacing w:after="0"/>
              <w:rPr>
                <w:sz w:val="20"/>
                <w:szCs w:val="20"/>
                <w:color w:val="auto"/>
              </w:rPr>
            </w:pPr>
            <w:r>
              <w:rPr>
                <w:rFonts w:ascii="Arial" w:cs="Arial" w:eastAsia="Arial" w:hAnsi="Arial"/>
                <w:sz w:val="12"/>
                <w:szCs w:val="12"/>
                <w:color w:val="auto"/>
              </w:rPr>
              <w:t xml:space="preserve">Goldsun Trading Limited </w:t>
            </w:r>
            <w:r>
              <w:rPr>
                <w:rFonts w:ascii="Arial" w:cs="Arial" w:eastAsia="Arial" w:hAnsi="Arial"/>
                <w:sz w:val="9"/>
                <w:szCs w:val="9"/>
                <w:color w:val="auto"/>
              </w:rPr>
              <w:t>(9), (11), (12)</w:t>
            </w:r>
          </w:p>
        </w:tc>
        <w:tc>
          <w:tcPr>
            <w:tcW w:w="900" w:type="dxa"/>
            <w:vAlign w:val="bottom"/>
            <w:shd w:val="clear" w:color="auto" w:fill="CCECFF"/>
          </w:tcPr>
          <w:p>
            <w:pPr>
              <w:ind w:left="120"/>
              <w:spacing w:after="0"/>
              <w:rPr>
                <w:sz w:val="20"/>
                <w:szCs w:val="20"/>
                <w:color w:val="auto"/>
              </w:rPr>
            </w:pPr>
            <w:r>
              <w:rPr>
                <w:rFonts w:ascii="Arial" w:cs="Arial" w:eastAsia="Arial" w:hAnsi="Arial"/>
                <w:sz w:val="12"/>
                <w:szCs w:val="12"/>
                <w:color w:val="auto"/>
              </w:rPr>
              <w:t>02/19/2018</w:t>
            </w:r>
          </w:p>
        </w:tc>
        <w:tc>
          <w:tcPr>
            <w:tcW w:w="2780" w:type="dxa"/>
            <w:vAlign w:val="bottom"/>
            <w:gridSpan w:val="2"/>
            <w:shd w:val="clear" w:color="auto" w:fill="CCECFF"/>
          </w:tcPr>
          <w:p>
            <w:pPr>
              <w:jc w:val="center"/>
              <w:ind w:right="140"/>
              <w:spacing w:after="0"/>
              <w:rPr>
                <w:sz w:val="20"/>
                <w:szCs w:val="20"/>
                <w:color w:val="auto"/>
              </w:rPr>
            </w:pPr>
            <w:r>
              <w:rPr>
                <w:rFonts w:ascii="Arial" w:cs="Arial" w:eastAsia="Arial" w:hAnsi="Arial"/>
                <w:sz w:val="12"/>
                <w:szCs w:val="12"/>
                <w:color w:val="auto"/>
                <w:w w:val="87"/>
              </w:rPr>
              <w:t>Healthcare, Education and Childcare</w:t>
            </w:r>
          </w:p>
        </w:tc>
        <w:tc>
          <w:tcPr>
            <w:tcW w:w="940" w:type="dxa"/>
            <w:vAlign w:val="bottom"/>
            <w:gridSpan w:val="2"/>
            <w:shd w:val="clear" w:color="auto" w:fill="CCECFF"/>
          </w:tcPr>
          <w:p>
            <w:pPr>
              <w:jc w:val="right"/>
              <w:ind w:right="180"/>
              <w:spacing w:after="0"/>
              <w:rPr>
                <w:sz w:val="20"/>
                <w:szCs w:val="20"/>
                <w:color w:val="auto"/>
              </w:rPr>
            </w:pPr>
            <w:r>
              <w:rPr>
                <w:rFonts w:ascii="Arial" w:cs="Arial" w:eastAsia="Arial" w:hAnsi="Arial"/>
                <w:sz w:val="12"/>
                <w:szCs w:val="12"/>
                <w:color w:val="auto"/>
              </w:rPr>
              <w:t>18.50%</w:t>
            </w:r>
          </w:p>
        </w:tc>
        <w:tc>
          <w:tcPr>
            <w:tcW w:w="680" w:type="dxa"/>
            <w:vAlign w:val="bottom"/>
            <w:shd w:val="clear" w:color="auto" w:fill="CCECFF"/>
          </w:tcPr>
          <w:p>
            <w:pPr>
              <w:jc w:val="right"/>
              <w:spacing w:after="0"/>
              <w:rPr>
                <w:sz w:val="20"/>
                <w:szCs w:val="20"/>
                <w:color w:val="auto"/>
              </w:rPr>
            </w:pPr>
            <w:r>
              <w:rPr>
                <w:rFonts w:ascii="Arial" w:cs="Arial" w:eastAsia="Arial" w:hAnsi="Arial"/>
                <w:sz w:val="12"/>
                <w:szCs w:val="12"/>
                <w:color w:val="auto"/>
              </w:rPr>
              <w:t>L+1,400</w:t>
            </w:r>
          </w:p>
        </w:tc>
        <w:tc>
          <w:tcPr>
            <w:tcW w:w="340" w:type="dxa"/>
            <w:vAlign w:val="bottom"/>
            <w:gridSpan w:val="2"/>
            <w:shd w:val="clear" w:color="auto" w:fill="CCECFF"/>
          </w:tcPr>
          <w:p>
            <w:pPr>
              <w:jc w:val="right"/>
              <w:spacing w:after="0"/>
              <w:rPr>
                <w:sz w:val="20"/>
                <w:szCs w:val="20"/>
                <w:color w:val="auto"/>
              </w:rPr>
            </w:pPr>
            <w:r>
              <w:rPr>
                <w:rFonts w:ascii="Arial" w:cs="Arial" w:eastAsia="Arial" w:hAnsi="Arial"/>
                <w:sz w:val="12"/>
                <w:szCs w:val="12"/>
                <w:color w:val="auto"/>
              </w:rPr>
              <w:t>£</w:t>
            </w:r>
          </w:p>
        </w:tc>
        <w:tc>
          <w:tcPr>
            <w:tcW w:w="580" w:type="dxa"/>
            <w:vAlign w:val="bottom"/>
            <w:shd w:val="clear" w:color="auto" w:fill="CCECFF"/>
          </w:tcPr>
          <w:p>
            <w:pPr>
              <w:jc w:val="right"/>
              <w:spacing w:after="0"/>
              <w:rPr>
                <w:sz w:val="20"/>
                <w:szCs w:val="20"/>
                <w:color w:val="auto"/>
              </w:rPr>
            </w:pPr>
            <w:r>
              <w:rPr>
                <w:rFonts w:ascii="Arial" w:cs="Arial" w:eastAsia="Arial" w:hAnsi="Arial"/>
                <w:sz w:val="12"/>
                <w:szCs w:val="12"/>
                <w:color w:val="auto"/>
              </w:rPr>
              <w:t>8,872,798</w:t>
            </w:r>
          </w:p>
        </w:tc>
        <w:tc>
          <w:tcPr>
            <w:tcW w:w="240" w:type="dxa"/>
            <w:vAlign w:val="bottom"/>
            <w:shd w:val="clear" w:color="auto" w:fill="CCECFF"/>
          </w:tcPr>
          <w:p>
            <w:pPr>
              <w:spacing w:after="0"/>
              <w:rPr>
                <w:sz w:val="12"/>
                <w:szCs w:val="12"/>
                <w:color w:val="auto"/>
              </w:rPr>
            </w:pPr>
          </w:p>
        </w:tc>
        <w:tc>
          <w:tcPr>
            <w:tcW w:w="80" w:type="dxa"/>
            <w:vAlign w:val="bottom"/>
            <w:shd w:val="clear" w:color="auto" w:fill="CCECFF"/>
          </w:tcPr>
          <w:p>
            <w:pPr>
              <w:spacing w:after="0"/>
              <w:rPr>
                <w:sz w:val="12"/>
                <w:szCs w:val="12"/>
                <w:color w:val="auto"/>
              </w:rPr>
            </w:pPr>
          </w:p>
        </w:tc>
        <w:tc>
          <w:tcPr>
            <w:tcW w:w="620" w:type="dxa"/>
            <w:vAlign w:val="bottom"/>
            <w:shd w:val="clear" w:color="auto" w:fill="CCECFF"/>
          </w:tcPr>
          <w:p>
            <w:pPr>
              <w:jc w:val="right"/>
              <w:spacing w:after="0"/>
              <w:rPr>
                <w:sz w:val="20"/>
                <w:szCs w:val="20"/>
                <w:color w:val="auto"/>
              </w:rPr>
            </w:pPr>
            <w:r>
              <w:rPr>
                <w:rFonts w:ascii="Arial" w:cs="Arial" w:eastAsia="Arial" w:hAnsi="Arial"/>
                <w:sz w:val="12"/>
                <w:szCs w:val="12"/>
                <w:color w:val="auto"/>
                <w:w w:val="99"/>
              </w:rPr>
              <w:t>12,959,460</w:t>
            </w:r>
          </w:p>
        </w:tc>
        <w:tc>
          <w:tcPr>
            <w:tcW w:w="240" w:type="dxa"/>
            <w:vAlign w:val="bottom"/>
            <w:shd w:val="clear" w:color="auto" w:fill="CCECFF"/>
          </w:tcPr>
          <w:p>
            <w:pPr>
              <w:spacing w:after="0"/>
              <w:rPr>
                <w:sz w:val="12"/>
                <w:szCs w:val="12"/>
                <w:color w:val="auto"/>
              </w:rPr>
            </w:pPr>
          </w:p>
        </w:tc>
        <w:tc>
          <w:tcPr>
            <w:tcW w:w="80" w:type="dxa"/>
            <w:vAlign w:val="bottom"/>
            <w:shd w:val="clear" w:color="auto" w:fill="CCECFF"/>
          </w:tcPr>
          <w:p>
            <w:pPr>
              <w:spacing w:after="0"/>
              <w:rPr>
                <w:sz w:val="12"/>
                <w:szCs w:val="12"/>
                <w:color w:val="auto"/>
              </w:rPr>
            </w:pPr>
          </w:p>
        </w:tc>
        <w:tc>
          <w:tcPr>
            <w:tcW w:w="640" w:type="dxa"/>
            <w:vAlign w:val="bottom"/>
            <w:shd w:val="clear" w:color="auto" w:fill="CCECFF"/>
          </w:tcPr>
          <w:p>
            <w:pPr>
              <w:jc w:val="right"/>
              <w:spacing w:after="0"/>
              <w:rPr>
                <w:sz w:val="20"/>
                <w:szCs w:val="20"/>
                <w:color w:val="auto"/>
              </w:rPr>
            </w:pPr>
            <w:r>
              <w:rPr>
                <w:rFonts w:ascii="Arial" w:cs="Arial" w:eastAsia="Arial" w:hAnsi="Arial"/>
                <w:sz w:val="12"/>
                <w:szCs w:val="12"/>
                <w:color w:val="auto"/>
                <w:w w:val="99"/>
              </w:rPr>
              <w:t>11,525,356</w:t>
            </w:r>
          </w:p>
        </w:tc>
        <w:tc>
          <w:tcPr>
            <w:tcW w:w="100" w:type="dxa"/>
            <w:vAlign w:val="bottom"/>
            <w:shd w:val="clear" w:color="auto" w:fill="CCECFF"/>
          </w:tcPr>
          <w:p>
            <w:pPr>
              <w:spacing w:after="0"/>
              <w:rPr>
                <w:sz w:val="12"/>
                <w:szCs w:val="12"/>
                <w:color w:val="auto"/>
              </w:rPr>
            </w:pPr>
          </w:p>
        </w:tc>
      </w:tr>
      <w:tr>
        <w:trPr>
          <w:trHeight w:val="148"/>
        </w:trPr>
        <w:tc>
          <w:tcPr>
            <w:tcW w:w="3020" w:type="dxa"/>
            <w:vAlign w:val="bottom"/>
            <w:shd w:val="clear" w:color="auto" w:fill="CCECFF"/>
          </w:tcPr>
          <w:p>
            <w:pPr>
              <w:spacing w:after="0"/>
              <w:rPr>
                <w:sz w:val="12"/>
                <w:szCs w:val="12"/>
                <w:color w:val="auto"/>
              </w:rPr>
            </w:pPr>
          </w:p>
        </w:tc>
        <w:tc>
          <w:tcPr>
            <w:tcW w:w="900" w:type="dxa"/>
            <w:vAlign w:val="bottom"/>
            <w:shd w:val="clear" w:color="auto" w:fill="CCECFF"/>
          </w:tcPr>
          <w:p>
            <w:pPr>
              <w:spacing w:after="0"/>
              <w:rPr>
                <w:sz w:val="12"/>
                <w:szCs w:val="12"/>
                <w:color w:val="auto"/>
              </w:rPr>
            </w:pPr>
          </w:p>
        </w:tc>
        <w:tc>
          <w:tcPr>
            <w:tcW w:w="2640" w:type="dxa"/>
            <w:vAlign w:val="bottom"/>
            <w:shd w:val="clear" w:color="auto" w:fill="CCECFF"/>
          </w:tcPr>
          <w:p>
            <w:pPr>
              <w:spacing w:after="0"/>
              <w:rPr>
                <w:sz w:val="12"/>
                <w:szCs w:val="12"/>
                <w:color w:val="auto"/>
              </w:rPr>
            </w:pPr>
          </w:p>
        </w:tc>
        <w:tc>
          <w:tcPr>
            <w:tcW w:w="140" w:type="dxa"/>
            <w:vAlign w:val="bottom"/>
            <w:shd w:val="clear" w:color="auto" w:fill="CCECFF"/>
          </w:tcPr>
          <w:p>
            <w:pPr>
              <w:spacing w:after="0"/>
              <w:rPr>
                <w:sz w:val="12"/>
                <w:szCs w:val="12"/>
                <w:color w:val="auto"/>
              </w:rPr>
            </w:pPr>
          </w:p>
        </w:tc>
        <w:tc>
          <w:tcPr>
            <w:tcW w:w="940" w:type="dxa"/>
            <w:vAlign w:val="bottom"/>
            <w:gridSpan w:val="2"/>
            <w:shd w:val="clear" w:color="auto" w:fill="CCECFF"/>
          </w:tcPr>
          <w:p>
            <w:pPr>
              <w:jc w:val="right"/>
              <w:ind w:right="140"/>
              <w:spacing w:after="0"/>
              <w:rPr>
                <w:sz w:val="20"/>
                <w:szCs w:val="20"/>
                <w:color w:val="auto"/>
              </w:rPr>
            </w:pPr>
            <w:r>
              <w:rPr>
                <w:rFonts w:ascii="Arial" w:cs="Arial" w:eastAsia="Arial" w:hAnsi="Arial"/>
                <w:sz w:val="12"/>
                <w:szCs w:val="12"/>
                <w:color w:val="auto"/>
              </w:rPr>
              <w:t>(PIK 10.00%)</w:t>
            </w:r>
          </w:p>
        </w:tc>
        <w:tc>
          <w:tcPr>
            <w:tcW w:w="680" w:type="dxa"/>
            <w:vAlign w:val="bottom"/>
            <w:shd w:val="clear" w:color="auto" w:fill="CCECFF"/>
          </w:tcPr>
          <w:p>
            <w:pPr>
              <w:spacing w:after="0"/>
              <w:rPr>
                <w:sz w:val="12"/>
                <w:szCs w:val="12"/>
                <w:color w:val="auto"/>
              </w:rPr>
            </w:pPr>
          </w:p>
        </w:tc>
        <w:tc>
          <w:tcPr>
            <w:tcW w:w="240" w:type="dxa"/>
            <w:vAlign w:val="bottom"/>
            <w:shd w:val="clear" w:color="auto" w:fill="CCECFF"/>
          </w:tcPr>
          <w:p>
            <w:pPr>
              <w:spacing w:after="0"/>
              <w:rPr>
                <w:sz w:val="12"/>
                <w:szCs w:val="12"/>
                <w:color w:val="auto"/>
              </w:rPr>
            </w:pPr>
          </w:p>
        </w:tc>
        <w:tc>
          <w:tcPr>
            <w:tcW w:w="100" w:type="dxa"/>
            <w:vAlign w:val="bottom"/>
            <w:shd w:val="clear" w:color="auto" w:fill="CCECFF"/>
          </w:tcPr>
          <w:p>
            <w:pPr>
              <w:spacing w:after="0"/>
              <w:rPr>
                <w:sz w:val="12"/>
                <w:szCs w:val="12"/>
                <w:color w:val="auto"/>
              </w:rPr>
            </w:pPr>
          </w:p>
        </w:tc>
        <w:tc>
          <w:tcPr>
            <w:tcW w:w="580" w:type="dxa"/>
            <w:vAlign w:val="bottom"/>
            <w:shd w:val="clear" w:color="auto" w:fill="CCECFF"/>
          </w:tcPr>
          <w:p>
            <w:pPr>
              <w:spacing w:after="0"/>
              <w:rPr>
                <w:sz w:val="12"/>
                <w:szCs w:val="12"/>
                <w:color w:val="auto"/>
              </w:rPr>
            </w:pPr>
          </w:p>
        </w:tc>
        <w:tc>
          <w:tcPr>
            <w:tcW w:w="240" w:type="dxa"/>
            <w:vAlign w:val="bottom"/>
            <w:shd w:val="clear" w:color="auto" w:fill="CCECFF"/>
          </w:tcPr>
          <w:p>
            <w:pPr>
              <w:spacing w:after="0"/>
              <w:rPr>
                <w:sz w:val="12"/>
                <w:szCs w:val="12"/>
                <w:color w:val="auto"/>
              </w:rPr>
            </w:pPr>
          </w:p>
        </w:tc>
        <w:tc>
          <w:tcPr>
            <w:tcW w:w="80" w:type="dxa"/>
            <w:vAlign w:val="bottom"/>
            <w:shd w:val="clear" w:color="auto" w:fill="CCECFF"/>
          </w:tcPr>
          <w:p>
            <w:pPr>
              <w:spacing w:after="0"/>
              <w:rPr>
                <w:sz w:val="12"/>
                <w:szCs w:val="12"/>
                <w:color w:val="auto"/>
              </w:rPr>
            </w:pPr>
          </w:p>
        </w:tc>
        <w:tc>
          <w:tcPr>
            <w:tcW w:w="620" w:type="dxa"/>
            <w:vAlign w:val="bottom"/>
            <w:shd w:val="clear" w:color="auto" w:fill="CCECFF"/>
          </w:tcPr>
          <w:p>
            <w:pPr>
              <w:spacing w:after="0"/>
              <w:rPr>
                <w:sz w:val="12"/>
                <w:szCs w:val="12"/>
                <w:color w:val="auto"/>
              </w:rPr>
            </w:pPr>
          </w:p>
        </w:tc>
        <w:tc>
          <w:tcPr>
            <w:tcW w:w="240" w:type="dxa"/>
            <w:vAlign w:val="bottom"/>
            <w:shd w:val="clear" w:color="auto" w:fill="CCECFF"/>
          </w:tcPr>
          <w:p>
            <w:pPr>
              <w:spacing w:after="0"/>
              <w:rPr>
                <w:sz w:val="12"/>
                <w:szCs w:val="12"/>
                <w:color w:val="auto"/>
              </w:rPr>
            </w:pPr>
          </w:p>
        </w:tc>
        <w:tc>
          <w:tcPr>
            <w:tcW w:w="80" w:type="dxa"/>
            <w:vAlign w:val="bottom"/>
            <w:shd w:val="clear" w:color="auto" w:fill="CCECFF"/>
          </w:tcPr>
          <w:p>
            <w:pPr>
              <w:spacing w:after="0"/>
              <w:rPr>
                <w:sz w:val="12"/>
                <w:szCs w:val="12"/>
                <w:color w:val="auto"/>
              </w:rPr>
            </w:pPr>
          </w:p>
        </w:tc>
        <w:tc>
          <w:tcPr>
            <w:tcW w:w="640" w:type="dxa"/>
            <w:vAlign w:val="bottom"/>
            <w:shd w:val="clear" w:color="auto" w:fill="CCECFF"/>
          </w:tcPr>
          <w:p>
            <w:pPr>
              <w:spacing w:after="0"/>
              <w:rPr>
                <w:sz w:val="12"/>
                <w:szCs w:val="12"/>
                <w:color w:val="auto"/>
              </w:rPr>
            </w:pPr>
          </w:p>
        </w:tc>
        <w:tc>
          <w:tcPr>
            <w:tcW w:w="100" w:type="dxa"/>
            <w:vAlign w:val="bottom"/>
            <w:shd w:val="clear" w:color="auto" w:fill="CCECFF"/>
          </w:tcPr>
          <w:p>
            <w:pPr>
              <w:spacing w:after="0"/>
              <w:rPr>
                <w:sz w:val="12"/>
                <w:szCs w:val="12"/>
                <w:color w:val="auto"/>
              </w:rPr>
            </w:pPr>
          </w:p>
        </w:tc>
      </w:tr>
      <w:tr>
        <w:trPr>
          <w:trHeight w:val="148"/>
        </w:trPr>
        <w:tc>
          <w:tcPr>
            <w:tcW w:w="3020" w:type="dxa"/>
            <w:vAlign w:val="bottom"/>
            <w:tcBorders>
              <w:bottom w:val="single" w:sz="8" w:color="CCECFF"/>
            </w:tcBorders>
          </w:tcPr>
          <w:p>
            <w:pPr>
              <w:spacing w:after="0"/>
              <w:rPr>
                <w:sz w:val="20"/>
                <w:szCs w:val="20"/>
                <w:color w:val="auto"/>
              </w:rPr>
            </w:pPr>
            <w:r>
              <w:rPr>
                <w:rFonts w:ascii="Arial" w:cs="Arial" w:eastAsia="Arial" w:hAnsi="Arial"/>
                <w:sz w:val="12"/>
                <w:szCs w:val="12"/>
                <w:color w:val="auto"/>
              </w:rPr>
              <w:t>Sonny’s Enterprises, LLC</w:t>
            </w:r>
          </w:p>
        </w:tc>
        <w:tc>
          <w:tcPr>
            <w:tcW w:w="900" w:type="dxa"/>
            <w:vAlign w:val="bottom"/>
            <w:tcBorders>
              <w:bottom w:val="single" w:sz="8" w:color="CCECFF"/>
            </w:tcBorders>
          </w:tcPr>
          <w:p>
            <w:pPr>
              <w:ind w:left="120"/>
              <w:spacing w:after="0"/>
              <w:rPr>
                <w:sz w:val="20"/>
                <w:szCs w:val="20"/>
                <w:color w:val="auto"/>
              </w:rPr>
            </w:pPr>
            <w:r>
              <w:rPr>
                <w:rFonts w:ascii="Arial" w:cs="Arial" w:eastAsia="Arial" w:hAnsi="Arial"/>
                <w:sz w:val="12"/>
                <w:szCs w:val="12"/>
                <w:color w:val="auto"/>
              </w:rPr>
              <w:t>06/01/2023</w:t>
            </w:r>
          </w:p>
        </w:tc>
        <w:tc>
          <w:tcPr>
            <w:tcW w:w="2780" w:type="dxa"/>
            <w:vAlign w:val="bottom"/>
            <w:tcBorders>
              <w:bottom w:val="single" w:sz="8" w:color="CCECFF"/>
            </w:tcBorders>
            <w:gridSpan w:val="2"/>
          </w:tcPr>
          <w:p>
            <w:pPr>
              <w:jc w:val="center"/>
              <w:ind w:right="160"/>
              <w:spacing w:after="0"/>
              <w:rPr>
                <w:sz w:val="20"/>
                <w:szCs w:val="20"/>
                <w:color w:val="auto"/>
              </w:rPr>
            </w:pPr>
            <w:r>
              <w:rPr>
                <w:rFonts w:ascii="Arial" w:cs="Arial" w:eastAsia="Arial" w:hAnsi="Arial"/>
                <w:sz w:val="12"/>
                <w:szCs w:val="12"/>
                <w:color w:val="auto"/>
                <w:w w:val="90"/>
              </w:rPr>
              <w:t>Manufacturing / Basic Industries</w:t>
            </w:r>
          </w:p>
        </w:tc>
        <w:tc>
          <w:tcPr>
            <w:tcW w:w="940" w:type="dxa"/>
            <w:vAlign w:val="bottom"/>
            <w:tcBorders>
              <w:bottom w:val="single" w:sz="8" w:color="CCECFF"/>
            </w:tcBorders>
            <w:gridSpan w:val="2"/>
          </w:tcPr>
          <w:p>
            <w:pPr>
              <w:jc w:val="right"/>
              <w:ind w:right="180"/>
              <w:spacing w:after="0"/>
              <w:rPr>
                <w:sz w:val="20"/>
                <w:szCs w:val="20"/>
                <w:color w:val="auto"/>
              </w:rPr>
            </w:pPr>
            <w:r>
              <w:rPr>
                <w:rFonts w:ascii="Arial" w:cs="Arial" w:eastAsia="Arial" w:hAnsi="Arial"/>
                <w:sz w:val="12"/>
                <w:szCs w:val="12"/>
                <w:color w:val="auto"/>
              </w:rPr>
              <w:t>11.00%</w:t>
            </w:r>
          </w:p>
        </w:tc>
        <w:tc>
          <w:tcPr>
            <w:tcW w:w="680" w:type="dxa"/>
            <w:vAlign w:val="bottom"/>
            <w:tcBorders>
              <w:bottom w:val="single" w:sz="8" w:color="CCECFF"/>
            </w:tcBorders>
          </w:tcPr>
          <w:p>
            <w:pPr>
              <w:jc w:val="right"/>
              <w:spacing w:after="0"/>
              <w:rPr>
                <w:sz w:val="20"/>
                <w:szCs w:val="20"/>
                <w:color w:val="auto"/>
              </w:rPr>
            </w:pPr>
            <w:r>
              <w:rPr>
                <w:rFonts w:ascii="Arial" w:cs="Arial" w:eastAsia="Arial" w:hAnsi="Arial"/>
                <w:sz w:val="12"/>
                <w:szCs w:val="12"/>
                <w:color w:val="auto"/>
              </w:rPr>
              <w:t>—</w:t>
            </w:r>
          </w:p>
        </w:tc>
        <w:tc>
          <w:tcPr>
            <w:tcW w:w="240" w:type="dxa"/>
            <w:vAlign w:val="bottom"/>
            <w:tcBorders>
              <w:bottom w:val="single" w:sz="8" w:color="CCECFF"/>
            </w:tcBorders>
          </w:tcPr>
          <w:p>
            <w:pPr>
              <w:spacing w:after="0"/>
              <w:rPr>
                <w:sz w:val="12"/>
                <w:szCs w:val="12"/>
                <w:color w:val="auto"/>
              </w:rPr>
            </w:pPr>
          </w:p>
        </w:tc>
        <w:tc>
          <w:tcPr>
            <w:tcW w:w="100" w:type="dxa"/>
            <w:vAlign w:val="bottom"/>
            <w:tcBorders>
              <w:bottom w:val="single" w:sz="8" w:color="CCECFF"/>
            </w:tcBorders>
          </w:tcPr>
          <w:p>
            <w:pPr>
              <w:spacing w:after="0"/>
              <w:rPr>
                <w:sz w:val="12"/>
                <w:szCs w:val="12"/>
                <w:color w:val="auto"/>
              </w:rPr>
            </w:pPr>
          </w:p>
        </w:tc>
        <w:tc>
          <w:tcPr>
            <w:tcW w:w="580" w:type="dxa"/>
            <w:vAlign w:val="bottom"/>
            <w:tcBorders>
              <w:bottom w:val="single" w:sz="8" w:color="CCECFF"/>
            </w:tcBorders>
          </w:tcPr>
          <w:p>
            <w:pPr>
              <w:jc w:val="right"/>
              <w:spacing w:after="0"/>
              <w:rPr>
                <w:sz w:val="20"/>
                <w:szCs w:val="20"/>
                <w:color w:val="auto"/>
              </w:rPr>
            </w:pPr>
            <w:r>
              <w:rPr>
                <w:rFonts w:ascii="Arial" w:cs="Arial" w:eastAsia="Arial" w:hAnsi="Arial"/>
                <w:sz w:val="12"/>
                <w:szCs w:val="12"/>
                <w:color w:val="auto"/>
                <w:w w:val="89"/>
              </w:rPr>
              <w:t>13,300,000</w:t>
            </w:r>
          </w:p>
        </w:tc>
        <w:tc>
          <w:tcPr>
            <w:tcW w:w="240" w:type="dxa"/>
            <w:vAlign w:val="bottom"/>
            <w:tcBorders>
              <w:bottom w:val="single" w:sz="8" w:color="CCECFF"/>
            </w:tcBorders>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w w:val="99"/>
              </w:rPr>
              <w:t>13,044,965</w:t>
            </w:r>
          </w:p>
        </w:tc>
        <w:tc>
          <w:tcPr>
            <w:tcW w:w="240" w:type="dxa"/>
            <w:vAlign w:val="bottom"/>
            <w:tcBorders>
              <w:bottom w:val="single" w:sz="8" w:color="CCECFF"/>
            </w:tcBorders>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w w:val="99"/>
              </w:rPr>
              <w:t>13,300,000</w:t>
            </w:r>
          </w:p>
        </w:tc>
        <w:tc>
          <w:tcPr>
            <w:tcW w:w="100" w:type="dxa"/>
            <w:vAlign w:val="bottom"/>
            <w:tcBorders>
              <w:bottom w:val="single" w:sz="8" w:color="CCECFF"/>
            </w:tcBorders>
          </w:tcPr>
          <w:p>
            <w:pPr>
              <w:spacing w:after="0"/>
              <w:rPr>
                <w:sz w:val="12"/>
                <w:szCs w:val="12"/>
                <w:color w:val="auto"/>
              </w:rPr>
            </w:pPr>
          </w:p>
        </w:tc>
      </w:tr>
      <w:tr>
        <w:trPr>
          <w:trHeight w:val="142"/>
        </w:trPr>
        <w:tc>
          <w:tcPr>
            <w:tcW w:w="3020" w:type="dxa"/>
            <w:vAlign w:val="bottom"/>
            <w:shd w:val="clear" w:color="auto" w:fill="CCECFF"/>
          </w:tcPr>
          <w:p>
            <w:pPr>
              <w:spacing w:after="0"/>
              <w:rPr>
                <w:sz w:val="20"/>
                <w:szCs w:val="20"/>
                <w:color w:val="auto"/>
              </w:rPr>
            </w:pPr>
            <w:r>
              <w:rPr>
                <w:rFonts w:ascii="Arial" w:cs="Arial" w:eastAsia="Arial" w:hAnsi="Arial"/>
                <w:sz w:val="12"/>
                <w:szCs w:val="12"/>
                <w:b w:val="1"/>
                <w:bCs w:val="1"/>
                <w:color w:val="auto"/>
              </w:rPr>
              <w:t>Total Subordinated Debt/Corporate Notes</w:t>
            </w:r>
          </w:p>
        </w:tc>
        <w:tc>
          <w:tcPr>
            <w:tcW w:w="900" w:type="dxa"/>
            <w:vAlign w:val="bottom"/>
            <w:shd w:val="clear" w:color="auto" w:fill="CCECFF"/>
          </w:tcPr>
          <w:p>
            <w:pPr>
              <w:spacing w:after="0"/>
              <w:rPr>
                <w:sz w:val="12"/>
                <w:szCs w:val="12"/>
                <w:color w:val="auto"/>
              </w:rPr>
            </w:pPr>
          </w:p>
        </w:tc>
        <w:tc>
          <w:tcPr>
            <w:tcW w:w="2640" w:type="dxa"/>
            <w:vAlign w:val="bottom"/>
            <w:shd w:val="clear" w:color="auto" w:fill="CCECFF"/>
          </w:tcPr>
          <w:p>
            <w:pPr>
              <w:spacing w:after="0"/>
              <w:rPr>
                <w:sz w:val="12"/>
                <w:szCs w:val="12"/>
                <w:color w:val="auto"/>
              </w:rPr>
            </w:pPr>
          </w:p>
        </w:tc>
        <w:tc>
          <w:tcPr>
            <w:tcW w:w="140" w:type="dxa"/>
            <w:vAlign w:val="bottom"/>
            <w:shd w:val="clear" w:color="auto" w:fill="CCECFF"/>
          </w:tcPr>
          <w:p>
            <w:pPr>
              <w:spacing w:after="0"/>
              <w:rPr>
                <w:sz w:val="12"/>
                <w:szCs w:val="12"/>
                <w:color w:val="auto"/>
              </w:rPr>
            </w:pPr>
          </w:p>
        </w:tc>
        <w:tc>
          <w:tcPr>
            <w:tcW w:w="660" w:type="dxa"/>
            <w:vAlign w:val="bottom"/>
            <w:shd w:val="clear" w:color="auto" w:fill="CCECFF"/>
          </w:tcPr>
          <w:p>
            <w:pPr>
              <w:spacing w:after="0"/>
              <w:rPr>
                <w:sz w:val="12"/>
                <w:szCs w:val="12"/>
                <w:color w:val="auto"/>
              </w:rPr>
            </w:pPr>
          </w:p>
        </w:tc>
        <w:tc>
          <w:tcPr>
            <w:tcW w:w="280" w:type="dxa"/>
            <w:vAlign w:val="bottom"/>
            <w:shd w:val="clear" w:color="auto" w:fill="CCECFF"/>
          </w:tcPr>
          <w:p>
            <w:pPr>
              <w:spacing w:after="0"/>
              <w:rPr>
                <w:sz w:val="12"/>
                <w:szCs w:val="12"/>
                <w:color w:val="auto"/>
              </w:rPr>
            </w:pPr>
          </w:p>
        </w:tc>
        <w:tc>
          <w:tcPr>
            <w:tcW w:w="680" w:type="dxa"/>
            <w:vAlign w:val="bottom"/>
            <w:shd w:val="clear" w:color="auto" w:fill="CCECFF"/>
          </w:tcPr>
          <w:p>
            <w:pPr>
              <w:spacing w:after="0"/>
              <w:rPr>
                <w:sz w:val="12"/>
                <w:szCs w:val="12"/>
                <w:color w:val="auto"/>
              </w:rPr>
            </w:pPr>
          </w:p>
        </w:tc>
        <w:tc>
          <w:tcPr>
            <w:tcW w:w="240" w:type="dxa"/>
            <w:vAlign w:val="bottom"/>
            <w:shd w:val="clear" w:color="auto" w:fill="CCECFF"/>
          </w:tcPr>
          <w:p>
            <w:pPr>
              <w:spacing w:after="0"/>
              <w:rPr>
                <w:sz w:val="12"/>
                <w:szCs w:val="12"/>
                <w:color w:val="auto"/>
              </w:rPr>
            </w:pPr>
          </w:p>
        </w:tc>
        <w:tc>
          <w:tcPr>
            <w:tcW w:w="100" w:type="dxa"/>
            <w:vAlign w:val="bottom"/>
            <w:shd w:val="clear" w:color="auto" w:fill="CCECFF"/>
          </w:tcPr>
          <w:p>
            <w:pPr>
              <w:spacing w:after="0"/>
              <w:rPr>
                <w:sz w:val="12"/>
                <w:szCs w:val="12"/>
                <w:color w:val="auto"/>
              </w:rPr>
            </w:pPr>
          </w:p>
        </w:tc>
        <w:tc>
          <w:tcPr>
            <w:tcW w:w="580" w:type="dxa"/>
            <w:vAlign w:val="bottom"/>
            <w:shd w:val="clear" w:color="auto" w:fill="CCECFF"/>
          </w:tcPr>
          <w:p>
            <w:pPr>
              <w:spacing w:after="0"/>
              <w:rPr>
                <w:sz w:val="12"/>
                <w:szCs w:val="12"/>
                <w:color w:val="auto"/>
              </w:rPr>
            </w:pPr>
          </w:p>
        </w:tc>
        <w:tc>
          <w:tcPr>
            <w:tcW w:w="240" w:type="dxa"/>
            <w:vAlign w:val="bottom"/>
            <w:shd w:val="clear" w:color="auto" w:fill="CCECFF"/>
          </w:tcPr>
          <w:p>
            <w:pPr>
              <w:spacing w:after="0"/>
              <w:rPr>
                <w:sz w:val="12"/>
                <w:szCs w:val="12"/>
                <w:color w:val="auto"/>
              </w:rPr>
            </w:pPr>
          </w:p>
        </w:tc>
        <w:tc>
          <w:tcPr>
            <w:tcW w:w="80" w:type="dxa"/>
            <w:vAlign w:val="bottom"/>
            <w:tcBorders>
              <w:bottom w:val="single" w:sz="8" w:color="auto"/>
            </w:tcBorders>
            <w:shd w:val="clear" w:color="auto" w:fill="CCECFF"/>
          </w:tcPr>
          <w:p>
            <w:pPr>
              <w:spacing w:after="0"/>
              <w:rPr>
                <w:sz w:val="12"/>
                <w:szCs w:val="12"/>
                <w:color w:val="auto"/>
              </w:rPr>
            </w:pPr>
          </w:p>
        </w:tc>
        <w:tc>
          <w:tcPr>
            <w:tcW w:w="620" w:type="dxa"/>
            <w:vAlign w:val="bottom"/>
            <w:tcBorders>
              <w:bottom w:val="single" w:sz="8" w:color="auto"/>
            </w:tcBorders>
            <w:shd w:val="clear" w:color="auto" w:fill="CCECFF"/>
          </w:tcPr>
          <w:p>
            <w:pPr>
              <w:jc w:val="right"/>
              <w:spacing w:after="0"/>
              <w:rPr>
                <w:sz w:val="20"/>
                <w:szCs w:val="20"/>
                <w:color w:val="auto"/>
              </w:rPr>
            </w:pPr>
            <w:r>
              <w:rPr>
                <w:rFonts w:ascii="Arial" w:cs="Arial" w:eastAsia="Arial" w:hAnsi="Arial"/>
                <w:sz w:val="12"/>
                <w:szCs w:val="12"/>
                <w:color w:val="auto"/>
                <w:w w:val="99"/>
              </w:rPr>
              <w:t>69,055,789</w:t>
            </w:r>
          </w:p>
        </w:tc>
        <w:tc>
          <w:tcPr>
            <w:tcW w:w="240" w:type="dxa"/>
            <w:vAlign w:val="bottom"/>
            <w:shd w:val="clear" w:color="auto" w:fill="CCECFF"/>
          </w:tcPr>
          <w:p>
            <w:pPr>
              <w:spacing w:after="0"/>
              <w:rPr>
                <w:sz w:val="12"/>
                <w:szCs w:val="12"/>
                <w:color w:val="auto"/>
              </w:rPr>
            </w:pPr>
          </w:p>
        </w:tc>
        <w:tc>
          <w:tcPr>
            <w:tcW w:w="80" w:type="dxa"/>
            <w:vAlign w:val="bottom"/>
            <w:tcBorders>
              <w:bottom w:val="single" w:sz="8" w:color="auto"/>
            </w:tcBorders>
            <w:shd w:val="clear" w:color="auto" w:fill="CCECFF"/>
          </w:tcPr>
          <w:p>
            <w:pPr>
              <w:spacing w:after="0"/>
              <w:rPr>
                <w:sz w:val="12"/>
                <w:szCs w:val="12"/>
                <w:color w:val="auto"/>
              </w:rPr>
            </w:pPr>
          </w:p>
        </w:tc>
        <w:tc>
          <w:tcPr>
            <w:tcW w:w="640" w:type="dxa"/>
            <w:vAlign w:val="bottom"/>
            <w:tcBorders>
              <w:bottom w:val="single" w:sz="8" w:color="auto"/>
            </w:tcBorders>
            <w:shd w:val="clear" w:color="auto" w:fill="CCECFF"/>
          </w:tcPr>
          <w:p>
            <w:pPr>
              <w:jc w:val="right"/>
              <w:spacing w:after="0"/>
              <w:rPr>
                <w:sz w:val="20"/>
                <w:szCs w:val="20"/>
                <w:color w:val="auto"/>
              </w:rPr>
            </w:pPr>
            <w:r>
              <w:rPr>
                <w:rFonts w:ascii="Arial" w:cs="Arial" w:eastAsia="Arial" w:hAnsi="Arial"/>
                <w:sz w:val="12"/>
                <w:szCs w:val="12"/>
                <w:color w:val="auto"/>
                <w:w w:val="99"/>
              </w:rPr>
              <w:t>68,300,982</w:t>
            </w:r>
          </w:p>
        </w:tc>
        <w:tc>
          <w:tcPr>
            <w:tcW w:w="100" w:type="dxa"/>
            <w:vAlign w:val="bottom"/>
            <w:shd w:val="clear" w:color="auto" w:fill="CCECFF"/>
          </w:tcPr>
          <w:p>
            <w:pPr>
              <w:spacing w:after="0"/>
              <w:rPr>
                <w:sz w:val="12"/>
                <w:szCs w:val="12"/>
                <w:color w:val="auto"/>
              </w:rPr>
            </w:pPr>
          </w:p>
        </w:tc>
      </w:tr>
      <w:tr>
        <w:trPr>
          <w:trHeight w:val="142"/>
        </w:trPr>
        <w:tc>
          <w:tcPr>
            <w:tcW w:w="3020" w:type="dxa"/>
            <w:vAlign w:val="bottom"/>
          </w:tcPr>
          <w:p>
            <w:pPr>
              <w:spacing w:after="0"/>
              <w:rPr>
                <w:sz w:val="20"/>
                <w:szCs w:val="20"/>
                <w:color w:val="auto"/>
              </w:rPr>
            </w:pPr>
            <w:r>
              <w:rPr>
                <w:rFonts w:ascii="Arial" w:cs="Arial" w:eastAsia="Arial" w:hAnsi="Arial"/>
                <w:sz w:val="12"/>
                <w:szCs w:val="12"/>
                <w:b w:val="1"/>
                <w:bCs w:val="1"/>
                <w:color w:val="auto"/>
              </w:rPr>
              <w:t xml:space="preserve">Preferred Equity/Partnership Interests—0.9% </w:t>
            </w:r>
            <w:r>
              <w:rPr>
                <w:rFonts w:ascii="Arial" w:cs="Arial" w:eastAsia="Arial" w:hAnsi="Arial"/>
                <w:sz w:val="9"/>
                <w:szCs w:val="9"/>
                <w:b w:val="1"/>
                <w:bCs w:val="1"/>
                <w:color w:val="auto"/>
              </w:rPr>
              <w:t>(6)</w:t>
            </w:r>
          </w:p>
        </w:tc>
        <w:tc>
          <w:tcPr>
            <w:tcW w:w="900" w:type="dxa"/>
            <w:vAlign w:val="bottom"/>
          </w:tcPr>
          <w:p>
            <w:pPr>
              <w:spacing w:after="0"/>
              <w:rPr>
                <w:sz w:val="12"/>
                <w:szCs w:val="12"/>
                <w:color w:val="auto"/>
              </w:rPr>
            </w:pPr>
          </w:p>
        </w:tc>
        <w:tc>
          <w:tcPr>
            <w:tcW w:w="26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00" w:type="dxa"/>
            <w:vAlign w:val="bottom"/>
          </w:tcPr>
          <w:p>
            <w:pPr>
              <w:spacing w:after="0"/>
              <w:rPr>
                <w:sz w:val="12"/>
                <w:szCs w:val="12"/>
                <w:color w:val="auto"/>
              </w:rPr>
            </w:pPr>
          </w:p>
        </w:tc>
      </w:tr>
      <w:tr>
        <w:trPr>
          <w:trHeight w:val="148"/>
        </w:trPr>
        <w:tc>
          <w:tcPr>
            <w:tcW w:w="3020" w:type="dxa"/>
            <w:vAlign w:val="bottom"/>
            <w:shd w:val="clear" w:color="auto" w:fill="CCECFF"/>
          </w:tcPr>
          <w:p>
            <w:pPr>
              <w:spacing w:after="0"/>
              <w:rPr>
                <w:sz w:val="20"/>
                <w:szCs w:val="20"/>
                <w:color w:val="auto"/>
              </w:rPr>
            </w:pPr>
            <w:r>
              <w:rPr>
                <w:rFonts w:ascii="Arial" w:cs="Arial" w:eastAsia="Arial" w:hAnsi="Arial"/>
                <w:sz w:val="12"/>
                <w:szCs w:val="12"/>
                <w:color w:val="auto"/>
              </w:rPr>
              <w:t>AH Holdings, Inc.</w:t>
            </w:r>
          </w:p>
        </w:tc>
        <w:tc>
          <w:tcPr>
            <w:tcW w:w="900" w:type="dxa"/>
            <w:vAlign w:val="bottom"/>
            <w:shd w:val="clear" w:color="auto" w:fill="CCECFF"/>
          </w:tcPr>
          <w:p>
            <w:pPr>
              <w:ind w:left="380"/>
              <w:spacing w:after="0"/>
              <w:rPr>
                <w:sz w:val="20"/>
                <w:szCs w:val="20"/>
                <w:color w:val="auto"/>
              </w:rPr>
            </w:pPr>
            <w:r>
              <w:rPr>
                <w:rFonts w:ascii="Arial" w:cs="Arial" w:eastAsia="Arial" w:hAnsi="Arial"/>
                <w:sz w:val="12"/>
                <w:szCs w:val="12"/>
                <w:color w:val="auto"/>
              </w:rPr>
              <w:t>—</w:t>
            </w:r>
          </w:p>
        </w:tc>
        <w:tc>
          <w:tcPr>
            <w:tcW w:w="2780" w:type="dxa"/>
            <w:vAlign w:val="bottom"/>
            <w:gridSpan w:val="2"/>
            <w:shd w:val="clear" w:color="auto" w:fill="CCECFF"/>
          </w:tcPr>
          <w:p>
            <w:pPr>
              <w:jc w:val="center"/>
              <w:ind w:right="140"/>
              <w:spacing w:after="0"/>
              <w:rPr>
                <w:sz w:val="20"/>
                <w:szCs w:val="20"/>
                <w:color w:val="auto"/>
              </w:rPr>
            </w:pPr>
            <w:r>
              <w:rPr>
                <w:rFonts w:ascii="Arial" w:cs="Arial" w:eastAsia="Arial" w:hAnsi="Arial"/>
                <w:sz w:val="12"/>
                <w:szCs w:val="12"/>
                <w:color w:val="auto"/>
                <w:w w:val="87"/>
              </w:rPr>
              <w:t>Healthcare, Education and Childcare</w:t>
            </w:r>
          </w:p>
        </w:tc>
        <w:tc>
          <w:tcPr>
            <w:tcW w:w="940" w:type="dxa"/>
            <w:vAlign w:val="bottom"/>
            <w:gridSpan w:val="2"/>
            <w:shd w:val="clear" w:color="auto" w:fill="CCECFF"/>
          </w:tcPr>
          <w:p>
            <w:pPr>
              <w:jc w:val="right"/>
              <w:ind w:right="180"/>
              <w:spacing w:after="0"/>
              <w:rPr>
                <w:sz w:val="20"/>
                <w:szCs w:val="20"/>
                <w:color w:val="auto"/>
              </w:rPr>
            </w:pPr>
            <w:r>
              <w:rPr>
                <w:rFonts w:ascii="Arial" w:cs="Arial" w:eastAsia="Arial" w:hAnsi="Arial"/>
                <w:sz w:val="12"/>
                <w:szCs w:val="12"/>
                <w:color w:val="auto"/>
              </w:rPr>
              <w:t>6.00%</w:t>
            </w:r>
          </w:p>
        </w:tc>
        <w:tc>
          <w:tcPr>
            <w:tcW w:w="680" w:type="dxa"/>
            <w:vAlign w:val="bottom"/>
            <w:shd w:val="clear" w:color="auto" w:fill="CCECFF"/>
          </w:tcPr>
          <w:p>
            <w:pPr>
              <w:jc w:val="right"/>
              <w:spacing w:after="0"/>
              <w:rPr>
                <w:sz w:val="20"/>
                <w:szCs w:val="20"/>
                <w:color w:val="auto"/>
              </w:rPr>
            </w:pPr>
            <w:r>
              <w:rPr>
                <w:rFonts w:ascii="Arial" w:cs="Arial" w:eastAsia="Arial" w:hAnsi="Arial"/>
                <w:sz w:val="12"/>
                <w:szCs w:val="12"/>
                <w:color w:val="auto"/>
              </w:rPr>
              <w:t>—</w:t>
            </w:r>
          </w:p>
        </w:tc>
        <w:tc>
          <w:tcPr>
            <w:tcW w:w="240" w:type="dxa"/>
            <w:vAlign w:val="bottom"/>
            <w:shd w:val="clear" w:color="auto" w:fill="CCECFF"/>
          </w:tcPr>
          <w:p>
            <w:pPr>
              <w:spacing w:after="0"/>
              <w:rPr>
                <w:sz w:val="12"/>
                <w:szCs w:val="12"/>
                <w:color w:val="auto"/>
              </w:rPr>
            </w:pPr>
          </w:p>
        </w:tc>
        <w:tc>
          <w:tcPr>
            <w:tcW w:w="100" w:type="dxa"/>
            <w:vAlign w:val="bottom"/>
            <w:shd w:val="clear" w:color="auto" w:fill="CCECFF"/>
          </w:tcPr>
          <w:p>
            <w:pPr>
              <w:spacing w:after="0"/>
              <w:rPr>
                <w:sz w:val="12"/>
                <w:szCs w:val="12"/>
                <w:color w:val="auto"/>
              </w:rPr>
            </w:pPr>
          </w:p>
        </w:tc>
        <w:tc>
          <w:tcPr>
            <w:tcW w:w="580" w:type="dxa"/>
            <w:vAlign w:val="bottom"/>
            <w:shd w:val="clear" w:color="auto" w:fill="CCECFF"/>
          </w:tcPr>
          <w:p>
            <w:pPr>
              <w:jc w:val="right"/>
              <w:spacing w:after="0"/>
              <w:rPr>
                <w:sz w:val="20"/>
                <w:szCs w:val="20"/>
                <w:color w:val="auto"/>
              </w:rPr>
            </w:pPr>
            <w:r>
              <w:rPr>
                <w:rFonts w:ascii="Arial" w:cs="Arial" w:eastAsia="Arial" w:hAnsi="Arial"/>
                <w:sz w:val="12"/>
                <w:szCs w:val="12"/>
                <w:color w:val="auto"/>
              </w:rPr>
              <w:t>211</w:t>
            </w:r>
          </w:p>
        </w:tc>
        <w:tc>
          <w:tcPr>
            <w:tcW w:w="240" w:type="dxa"/>
            <w:vAlign w:val="bottom"/>
            <w:shd w:val="clear" w:color="auto" w:fill="CCECFF"/>
          </w:tcPr>
          <w:p>
            <w:pPr>
              <w:spacing w:after="0"/>
              <w:rPr>
                <w:sz w:val="12"/>
                <w:szCs w:val="12"/>
                <w:color w:val="auto"/>
              </w:rPr>
            </w:pPr>
          </w:p>
        </w:tc>
        <w:tc>
          <w:tcPr>
            <w:tcW w:w="80" w:type="dxa"/>
            <w:vAlign w:val="bottom"/>
            <w:shd w:val="clear" w:color="auto" w:fill="CCECFF"/>
          </w:tcPr>
          <w:p>
            <w:pPr>
              <w:spacing w:after="0"/>
              <w:rPr>
                <w:sz w:val="12"/>
                <w:szCs w:val="12"/>
                <w:color w:val="auto"/>
              </w:rPr>
            </w:pPr>
          </w:p>
        </w:tc>
        <w:tc>
          <w:tcPr>
            <w:tcW w:w="620" w:type="dxa"/>
            <w:vAlign w:val="bottom"/>
            <w:shd w:val="clear" w:color="auto" w:fill="CCECFF"/>
          </w:tcPr>
          <w:p>
            <w:pPr>
              <w:jc w:val="right"/>
              <w:spacing w:after="0"/>
              <w:rPr>
                <w:sz w:val="20"/>
                <w:szCs w:val="20"/>
                <w:color w:val="auto"/>
              </w:rPr>
            </w:pPr>
            <w:r>
              <w:rPr>
                <w:rFonts w:ascii="Arial" w:cs="Arial" w:eastAsia="Arial" w:hAnsi="Arial"/>
                <w:sz w:val="12"/>
                <w:szCs w:val="12"/>
                <w:color w:val="auto"/>
              </w:rPr>
              <w:t>500,000</w:t>
            </w:r>
          </w:p>
        </w:tc>
        <w:tc>
          <w:tcPr>
            <w:tcW w:w="240" w:type="dxa"/>
            <w:vAlign w:val="bottom"/>
            <w:shd w:val="clear" w:color="auto" w:fill="CCECFF"/>
          </w:tcPr>
          <w:p>
            <w:pPr>
              <w:spacing w:after="0"/>
              <w:rPr>
                <w:sz w:val="12"/>
                <w:szCs w:val="12"/>
                <w:color w:val="auto"/>
              </w:rPr>
            </w:pPr>
          </w:p>
        </w:tc>
        <w:tc>
          <w:tcPr>
            <w:tcW w:w="80" w:type="dxa"/>
            <w:vAlign w:val="bottom"/>
            <w:shd w:val="clear" w:color="auto" w:fill="CCECFF"/>
          </w:tcPr>
          <w:p>
            <w:pPr>
              <w:spacing w:after="0"/>
              <w:rPr>
                <w:sz w:val="12"/>
                <w:szCs w:val="12"/>
                <w:color w:val="auto"/>
              </w:rPr>
            </w:pPr>
          </w:p>
        </w:tc>
        <w:tc>
          <w:tcPr>
            <w:tcW w:w="640" w:type="dxa"/>
            <w:vAlign w:val="bottom"/>
            <w:shd w:val="clear" w:color="auto" w:fill="CCECFF"/>
          </w:tcPr>
          <w:p>
            <w:pPr>
              <w:jc w:val="right"/>
              <w:spacing w:after="0"/>
              <w:rPr>
                <w:sz w:val="20"/>
                <w:szCs w:val="20"/>
                <w:color w:val="auto"/>
              </w:rPr>
            </w:pPr>
            <w:r>
              <w:rPr>
                <w:rFonts w:ascii="Arial" w:cs="Arial" w:eastAsia="Arial" w:hAnsi="Arial"/>
                <w:sz w:val="12"/>
                <w:szCs w:val="12"/>
                <w:color w:val="auto"/>
              </w:rPr>
              <w:t>337,664</w:t>
            </w:r>
          </w:p>
        </w:tc>
        <w:tc>
          <w:tcPr>
            <w:tcW w:w="100" w:type="dxa"/>
            <w:vAlign w:val="bottom"/>
            <w:shd w:val="clear" w:color="auto" w:fill="CCECFF"/>
          </w:tcPr>
          <w:p>
            <w:pPr>
              <w:spacing w:after="0"/>
              <w:rPr>
                <w:sz w:val="12"/>
                <w:szCs w:val="12"/>
                <w:color w:val="auto"/>
              </w:rPr>
            </w:pPr>
          </w:p>
        </w:tc>
      </w:tr>
      <w:tr>
        <w:trPr>
          <w:trHeight w:val="149"/>
        </w:trPr>
        <w:tc>
          <w:tcPr>
            <w:tcW w:w="3020" w:type="dxa"/>
            <w:vAlign w:val="bottom"/>
          </w:tcPr>
          <w:p>
            <w:pPr>
              <w:spacing w:after="0"/>
              <w:rPr>
                <w:sz w:val="20"/>
                <w:szCs w:val="20"/>
                <w:color w:val="auto"/>
              </w:rPr>
            </w:pPr>
            <w:r>
              <w:rPr>
                <w:rFonts w:ascii="Arial" w:cs="Arial" w:eastAsia="Arial" w:hAnsi="Arial"/>
                <w:sz w:val="12"/>
                <w:szCs w:val="12"/>
                <w:color w:val="auto"/>
              </w:rPr>
              <w:t>Alegeus Technologies Holdings Corp.</w:t>
            </w:r>
          </w:p>
        </w:tc>
        <w:tc>
          <w:tcPr>
            <w:tcW w:w="900" w:type="dxa"/>
            <w:vAlign w:val="bottom"/>
          </w:tcPr>
          <w:p>
            <w:pPr>
              <w:ind w:left="380"/>
              <w:spacing w:after="0"/>
              <w:rPr>
                <w:sz w:val="20"/>
                <w:szCs w:val="20"/>
                <w:color w:val="auto"/>
              </w:rPr>
            </w:pPr>
            <w:r>
              <w:rPr>
                <w:rFonts w:ascii="Arial" w:cs="Arial" w:eastAsia="Arial" w:hAnsi="Arial"/>
                <w:sz w:val="12"/>
                <w:szCs w:val="12"/>
                <w:color w:val="auto"/>
              </w:rPr>
              <w:t>—</w:t>
            </w:r>
          </w:p>
        </w:tc>
        <w:tc>
          <w:tcPr>
            <w:tcW w:w="2780" w:type="dxa"/>
            <w:vAlign w:val="bottom"/>
            <w:gridSpan w:val="2"/>
          </w:tcPr>
          <w:p>
            <w:pPr>
              <w:jc w:val="center"/>
              <w:ind w:right="160"/>
              <w:spacing w:after="0"/>
              <w:rPr>
                <w:sz w:val="20"/>
                <w:szCs w:val="20"/>
                <w:color w:val="auto"/>
              </w:rPr>
            </w:pPr>
            <w:r>
              <w:rPr>
                <w:rFonts w:ascii="Arial" w:cs="Arial" w:eastAsia="Arial" w:hAnsi="Arial"/>
                <w:sz w:val="12"/>
                <w:szCs w:val="12"/>
                <w:color w:val="auto"/>
                <w:w w:val="88"/>
              </w:rPr>
              <w:t>Financial Services</w:t>
            </w:r>
          </w:p>
        </w:tc>
        <w:tc>
          <w:tcPr>
            <w:tcW w:w="940" w:type="dxa"/>
            <w:vAlign w:val="bottom"/>
            <w:gridSpan w:val="2"/>
          </w:tcPr>
          <w:p>
            <w:pPr>
              <w:jc w:val="right"/>
              <w:ind w:right="280"/>
              <w:spacing w:after="0"/>
              <w:rPr>
                <w:sz w:val="20"/>
                <w:szCs w:val="20"/>
                <w:color w:val="auto"/>
              </w:rPr>
            </w:pPr>
            <w:r>
              <w:rPr>
                <w:rFonts w:ascii="Arial" w:cs="Arial" w:eastAsia="Arial" w:hAnsi="Arial"/>
                <w:sz w:val="12"/>
                <w:szCs w:val="12"/>
                <w:color w:val="auto"/>
              </w:rPr>
              <w:t>—</w:t>
            </w:r>
          </w:p>
        </w:tc>
        <w:tc>
          <w:tcPr>
            <w:tcW w:w="680" w:type="dxa"/>
            <w:vAlign w:val="bottom"/>
          </w:tcPr>
          <w:p>
            <w:pPr>
              <w:jc w:val="right"/>
              <w:spacing w:after="0"/>
              <w:rPr>
                <w:sz w:val="20"/>
                <w:szCs w:val="20"/>
                <w:color w:val="auto"/>
              </w:rPr>
            </w:pPr>
            <w:r>
              <w:rPr>
                <w:rFonts w:ascii="Arial" w:cs="Arial" w:eastAsia="Arial" w:hAnsi="Arial"/>
                <w:sz w:val="12"/>
                <w:szCs w:val="12"/>
                <w:color w:val="auto"/>
              </w:rPr>
              <w:t>—</w:t>
            </w:r>
          </w:p>
        </w:tc>
        <w:tc>
          <w:tcPr>
            <w:tcW w:w="2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80" w:type="dxa"/>
            <w:vAlign w:val="bottom"/>
          </w:tcPr>
          <w:p>
            <w:pPr>
              <w:jc w:val="right"/>
              <w:spacing w:after="0"/>
              <w:rPr>
                <w:sz w:val="20"/>
                <w:szCs w:val="20"/>
                <w:color w:val="auto"/>
              </w:rPr>
            </w:pPr>
            <w:r>
              <w:rPr>
                <w:rFonts w:ascii="Arial" w:cs="Arial" w:eastAsia="Arial" w:hAnsi="Arial"/>
                <w:sz w:val="12"/>
                <w:szCs w:val="12"/>
                <w:color w:val="auto"/>
              </w:rPr>
              <w:t>949</w:t>
            </w:r>
          </w:p>
        </w:tc>
        <w:tc>
          <w:tcPr>
            <w:tcW w:w="2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20" w:type="dxa"/>
            <w:vAlign w:val="bottom"/>
          </w:tcPr>
          <w:p>
            <w:pPr>
              <w:jc w:val="right"/>
              <w:spacing w:after="0"/>
              <w:rPr>
                <w:sz w:val="20"/>
                <w:szCs w:val="20"/>
                <w:color w:val="auto"/>
              </w:rPr>
            </w:pPr>
            <w:r>
              <w:rPr>
                <w:rFonts w:ascii="Arial" w:cs="Arial" w:eastAsia="Arial" w:hAnsi="Arial"/>
                <w:sz w:val="12"/>
                <w:szCs w:val="12"/>
                <w:color w:val="auto"/>
              </w:rPr>
              <w:t>949,050</w:t>
            </w:r>
          </w:p>
        </w:tc>
        <w:tc>
          <w:tcPr>
            <w:tcW w:w="2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40" w:type="dxa"/>
            <w:vAlign w:val="bottom"/>
          </w:tcPr>
          <w:p>
            <w:pPr>
              <w:jc w:val="right"/>
              <w:spacing w:after="0"/>
              <w:rPr>
                <w:sz w:val="20"/>
                <w:szCs w:val="20"/>
                <w:color w:val="auto"/>
              </w:rPr>
            </w:pPr>
            <w:r>
              <w:rPr>
                <w:rFonts w:ascii="Arial" w:cs="Arial" w:eastAsia="Arial" w:hAnsi="Arial"/>
                <w:sz w:val="12"/>
                <w:szCs w:val="12"/>
                <w:color w:val="auto"/>
              </w:rPr>
              <w:t>1,138,219</w:t>
            </w:r>
          </w:p>
        </w:tc>
        <w:tc>
          <w:tcPr>
            <w:tcW w:w="100" w:type="dxa"/>
            <w:vAlign w:val="bottom"/>
          </w:tcPr>
          <w:p>
            <w:pPr>
              <w:spacing w:after="0"/>
              <w:rPr>
                <w:sz w:val="12"/>
                <w:szCs w:val="12"/>
                <w:color w:val="auto"/>
              </w:rPr>
            </w:pPr>
          </w:p>
        </w:tc>
      </w:tr>
      <w:tr>
        <w:trPr>
          <w:trHeight w:val="148"/>
        </w:trPr>
        <w:tc>
          <w:tcPr>
            <w:tcW w:w="3020" w:type="dxa"/>
            <w:vAlign w:val="bottom"/>
            <w:shd w:val="clear" w:color="auto" w:fill="CCECFF"/>
          </w:tcPr>
          <w:p>
            <w:pPr>
              <w:spacing w:after="0"/>
              <w:rPr>
                <w:sz w:val="20"/>
                <w:szCs w:val="20"/>
                <w:color w:val="auto"/>
              </w:rPr>
            </w:pPr>
            <w:r>
              <w:rPr>
                <w:rFonts w:ascii="Arial" w:cs="Arial" w:eastAsia="Arial" w:hAnsi="Arial"/>
                <w:sz w:val="12"/>
                <w:szCs w:val="12"/>
                <w:color w:val="auto"/>
              </w:rPr>
              <w:t>Convergint Technologies Holdings, LLC</w:t>
            </w:r>
          </w:p>
        </w:tc>
        <w:tc>
          <w:tcPr>
            <w:tcW w:w="900" w:type="dxa"/>
            <w:vAlign w:val="bottom"/>
            <w:shd w:val="clear" w:color="auto" w:fill="CCECFF"/>
          </w:tcPr>
          <w:p>
            <w:pPr>
              <w:ind w:left="380"/>
              <w:spacing w:after="0"/>
              <w:rPr>
                <w:sz w:val="20"/>
                <w:szCs w:val="20"/>
                <w:color w:val="auto"/>
              </w:rPr>
            </w:pPr>
            <w:r>
              <w:rPr>
                <w:rFonts w:ascii="Arial" w:cs="Arial" w:eastAsia="Arial" w:hAnsi="Arial"/>
                <w:sz w:val="12"/>
                <w:szCs w:val="12"/>
                <w:color w:val="auto"/>
              </w:rPr>
              <w:t>—</w:t>
            </w:r>
          </w:p>
        </w:tc>
        <w:tc>
          <w:tcPr>
            <w:tcW w:w="2780" w:type="dxa"/>
            <w:vAlign w:val="bottom"/>
            <w:gridSpan w:val="2"/>
            <w:shd w:val="clear" w:color="auto" w:fill="CCECFF"/>
          </w:tcPr>
          <w:p>
            <w:pPr>
              <w:jc w:val="center"/>
              <w:ind w:right="160"/>
              <w:spacing w:after="0"/>
              <w:rPr>
                <w:sz w:val="20"/>
                <w:szCs w:val="20"/>
                <w:color w:val="auto"/>
              </w:rPr>
            </w:pPr>
            <w:r>
              <w:rPr>
                <w:rFonts w:ascii="Arial" w:cs="Arial" w:eastAsia="Arial" w:hAnsi="Arial"/>
                <w:sz w:val="12"/>
                <w:szCs w:val="12"/>
                <w:color w:val="auto"/>
                <w:w w:val="91"/>
              </w:rPr>
              <w:t>Electronics</w:t>
            </w:r>
          </w:p>
        </w:tc>
        <w:tc>
          <w:tcPr>
            <w:tcW w:w="940" w:type="dxa"/>
            <w:vAlign w:val="bottom"/>
            <w:gridSpan w:val="2"/>
            <w:shd w:val="clear" w:color="auto" w:fill="CCECFF"/>
          </w:tcPr>
          <w:p>
            <w:pPr>
              <w:jc w:val="right"/>
              <w:ind w:right="180"/>
              <w:spacing w:after="0"/>
              <w:rPr>
                <w:sz w:val="20"/>
                <w:szCs w:val="20"/>
                <w:color w:val="auto"/>
              </w:rPr>
            </w:pPr>
            <w:r>
              <w:rPr>
                <w:rFonts w:ascii="Arial" w:cs="Arial" w:eastAsia="Arial" w:hAnsi="Arial"/>
                <w:sz w:val="12"/>
                <w:szCs w:val="12"/>
                <w:color w:val="auto"/>
              </w:rPr>
              <w:t>8.00%</w:t>
            </w:r>
          </w:p>
        </w:tc>
        <w:tc>
          <w:tcPr>
            <w:tcW w:w="680" w:type="dxa"/>
            <w:vAlign w:val="bottom"/>
            <w:shd w:val="clear" w:color="auto" w:fill="CCECFF"/>
          </w:tcPr>
          <w:p>
            <w:pPr>
              <w:jc w:val="right"/>
              <w:spacing w:after="0"/>
              <w:rPr>
                <w:sz w:val="20"/>
                <w:szCs w:val="20"/>
                <w:color w:val="auto"/>
              </w:rPr>
            </w:pPr>
            <w:r>
              <w:rPr>
                <w:rFonts w:ascii="Arial" w:cs="Arial" w:eastAsia="Arial" w:hAnsi="Arial"/>
                <w:sz w:val="12"/>
                <w:szCs w:val="12"/>
                <w:color w:val="auto"/>
              </w:rPr>
              <w:t>—</w:t>
            </w:r>
          </w:p>
        </w:tc>
        <w:tc>
          <w:tcPr>
            <w:tcW w:w="240" w:type="dxa"/>
            <w:vAlign w:val="bottom"/>
            <w:shd w:val="clear" w:color="auto" w:fill="CCECFF"/>
          </w:tcPr>
          <w:p>
            <w:pPr>
              <w:spacing w:after="0"/>
              <w:rPr>
                <w:sz w:val="12"/>
                <w:szCs w:val="12"/>
                <w:color w:val="auto"/>
              </w:rPr>
            </w:pPr>
          </w:p>
        </w:tc>
        <w:tc>
          <w:tcPr>
            <w:tcW w:w="100" w:type="dxa"/>
            <w:vAlign w:val="bottom"/>
            <w:shd w:val="clear" w:color="auto" w:fill="CCECFF"/>
          </w:tcPr>
          <w:p>
            <w:pPr>
              <w:spacing w:after="0"/>
              <w:rPr>
                <w:sz w:val="12"/>
                <w:szCs w:val="12"/>
                <w:color w:val="auto"/>
              </w:rPr>
            </w:pPr>
          </w:p>
        </w:tc>
        <w:tc>
          <w:tcPr>
            <w:tcW w:w="580" w:type="dxa"/>
            <w:vAlign w:val="bottom"/>
            <w:shd w:val="clear" w:color="auto" w:fill="CCECFF"/>
          </w:tcPr>
          <w:p>
            <w:pPr>
              <w:jc w:val="right"/>
              <w:spacing w:after="0"/>
              <w:rPr>
                <w:sz w:val="20"/>
                <w:szCs w:val="20"/>
                <w:color w:val="auto"/>
              </w:rPr>
            </w:pPr>
            <w:r>
              <w:rPr>
                <w:rFonts w:ascii="Arial" w:cs="Arial" w:eastAsia="Arial" w:hAnsi="Arial"/>
                <w:sz w:val="12"/>
                <w:szCs w:val="12"/>
                <w:color w:val="auto"/>
              </w:rPr>
              <w:t>2,375</w:t>
            </w:r>
          </w:p>
        </w:tc>
        <w:tc>
          <w:tcPr>
            <w:tcW w:w="240" w:type="dxa"/>
            <w:vAlign w:val="bottom"/>
            <w:shd w:val="clear" w:color="auto" w:fill="CCECFF"/>
          </w:tcPr>
          <w:p>
            <w:pPr>
              <w:spacing w:after="0"/>
              <w:rPr>
                <w:sz w:val="12"/>
                <w:szCs w:val="12"/>
                <w:color w:val="auto"/>
              </w:rPr>
            </w:pPr>
          </w:p>
        </w:tc>
        <w:tc>
          <w:tcPr>
            <w:tcW w:w="80" w:type="dxa"/>
            <w:vAlign w:val="bottom"/>
            <w:shd w:val="clear" w:color="auto" w:fill="CCECFF"/>
          </w:tcPr>
          <w:p>
            <w:pPr>
              <w:spacing w:after="0"/>
              <w:rPr>
                <w:sz w:val="12"/>
                <w:szCs w:val="12"/>
                <w:color w:val="auto"/>
              </w:rPr>
            </w:pPr>
          </w:p>
        </w:tc>
        <w:tc>
          <w:tcPr>
            <w:tcW w:w="620" w:type="dxa"/>
            <w:vAlign w:val="bottom"/>
            <w:shd w:val="clear" w:color="auto" w:fill="CCECFF"/>
          </w:tcPr>
          <w:p>
            <w:pPr>
              <w:jc w:val="right"/>
              <w:spacing w:after="0"/>
              <w:rPr>
                <w:sz w:val="20"/>
                <w:szCs w:val="20"/>
                <w:color w:val="auto"/>
              </w:rPr>
            </w:pPr>
            <w:r>
              <w:rPr>
                <w:rFonts w:ascii="Arial" w:cs="Arial" w:eastAsia="Arial" w:hAnsi="Arial"/>
                <w:sz w:val="12"/>
                <w:szCs w:val="12"/>
                <w:color w:val="auto"/>
              </w:rPr>
              <w:t>2,088,121</w:t>
            </w:r>
          </w:p>
        </w:tc>
        <w:tc>
          <w:tcPr>
            <w:tcW w:w="240" w:type="dxa"/>
            <w:vAlign w:val="bottom"/>
            <w:shd w:val="clear" w:color="auto" w:fill="CCECFF"/>
          </w:tcPr>
          <w:p>
            <w:pPr>
              <w:spacing w:after="0"/>
              <w:rPr>
                <w:sz w:val="12"/>
                <w:szCs w:val="12"/>
                <w:color w:val="auto"/>
              </w:rPr>
            </w:pPr>
          </w:p>
        </w:tc>
        <w:tc>
          <w:tcPr>
            <w:tcW w:w="80" w:type="dxa"/>
            <w:vAlign w:val="bottom"/>
            <w:shd w:val="clear" w:color="auto" w:fill="CCECFF"/>
          </w:tcPr>
          <w:p>
            <w:pPr>
              <w:spacing w:after="0"/>
              <w:rPr>
                <w:sz w:val="12"/>
                <w:szCs w:val="12"/>
                <w:color w:val="auto"/>
              </w:rPr>
            </w:pPr>
          </w:p>
        </w:tc>
        <w:tc>
          <w:tcPr>
            <w:tcW w:w="640" w:type="dxa"/>
            <w:vAlign w:val="bottom"/>
            <w:shd w:val="clear" w:color="auto" w:fill="CCECFF"/>
          </w:tcPr>
          <w:p>
            <w:pPr>
              <w:jc w:val="right"/>
              <w:spacing w:after="0"/>
              <w:rPr>
                <w:sz w:val="20"/>
                <w:szCs w:val="20"/>
                <w:color w:val="auto"/>
              </w:rPr>
            </w:pPr>
            <w:r>
              <w:rPr>
                <w:rFonts w:ascii="Arial" w:cs="Arial" w:eastAsia="Arial" w:hAnsi="Arial"/>
                <w:sz w:val="12"/>
                <w:szCs w:val="12"/>
                <w:color w:val="auto"/>
              </w:rPr>
              <w:t>2,509,939</w:t>
            </w:r>
          </w:p>
        </w:tc>
        <w:tc>
          <w:tcPr>
            <w:tcW w:w="100" w:type="dxa"/>
            <w:vAlign w:val="bottom"/>
            <w:shd w:val="clear" w:color="auto" w:fill="CCECFF"/>
          </w:tcPr>
          <w:p>
            <w:pPr>
              <w:spacing w:after="0"/>
              <w:rPr>
                <w:sz w:val="12"/>
                <w:szCs w:val="12"/>
                <w:color w:val="auto"/>
              </w:rPr>
            </w:pPr>
          </w:p>
        </w:tc>
      </w:tr>
      <w:tr>
        <w:trPr>
          <w:trHeight w:val="148"/>
        </w:trPr>
        <w:tc>
          <w:tcPr>
            <w:tcW w:w="3020" w:type="dxa"/>
            <w:vAlign w:val="bottom"/>
          </w:tcPr>
          <w:p>
            <w:pPr>
              <w:spacing w:after="0"/>
              <w:rPr>
                <w:sz w:val="20"/>
                <w:szCs w:val="20"/>
                <w:color w:val="auto"/>
              </w:rPr>
            </w:pPr>
            <w:r>
              <w:rPr>
                <w:rFonts w:ascii="Arial" w:cs="Arial" w:eastAsia="Arial" w:hAnsi="Arial"/>
                <w:sz w:val="12"/>
                <w:szCs w:val="12"/>
                <w:color w:val="auto"/>
              </w:rPr>
              <w:t>HW Holdco, LLC</w:t>
            </w:r>
          </w:p>
        </w:tc>
        <w:tc>
          <w:tcPr>
            <w:tcW w:w="900" w:type="dxa"/>
            <w:vAlign w:val="bottom"/>
          </w:tcPr>
          <w:p>
            <w:pPr>
              <w:ind w:left="380"/>
              <w:spacing w:after="0"/>
              <w:rPr>
                <w:sz w:val="20"/>
                <w:szCs w:val="20"/>
                <w:color w:val="auto"/>
              </w:rPr>
            </w:pPr>
            <w:r>
              <w:rPr>
                <w:rFonts w:ascii="Arial" w:cs="Arial" w:eastAsia="Arial" w:hAnsi="Arial"/>
                <w:sz w:val="12"/>
                <w:szCs w:val="12"/>
                <w:color w:val="auto"/>
              </w:rPr>
              <w:t>—</w:t>
            </w:r>
          </w:p>
        </w:tc>
        <w:tc>
          <w:tcPr>
            <w:tcW w:w="2780" w:type="dxa"/>
            <w:vAlign w:val="bottom"/>
            <w:gridSpan w:val="2"/>
          </w:tcPr>
          <w:p>
            <w:pPr>
              <w:jc w:val="center"/>
              <w:ind w:right="160"/>
              <w:spacing w:after="0"/>
              <w:rPr>
                <w:sz w:val="20"/>
                <w:szCs w:val="20"/>
                <w:color w:val="auto"/>
              </w:rPr>
            </w:pPr>
            <w:r>
              <w:rPr>
                <w:rFonts w:ascii="Arial" w:cs="Arial" w:eastAsia="Arial" w:hAnsi="Arial"/>
                <w:sz w:val="12"/>
                <w:szCs w:val="12"/>
                <w:color w:val="auto"/>
                <w:w w:val="87"/>
              </w:rPr>
              <w:t>Other Media</w:t>
            </w:r>
          </w:p>
        </w:tc>
        <w:tc>
          <w:tcPr>
            <w:tcW w:w="940" w:type="dxa"/>
            <w:vAlign w:val="bottom"/>
            <w:gridSpan w:val="2"/>
          </w:tcPr>
          <w:p>
            <w:pPr>
              <w:jc w:val="right"/>
              <w:ind w:right="180"/>
              <w:spacing w:after="0"/>
              <w:rPr>
                <w:sz w:val="20"/>
                <w:szCs w:val="20"/>
                <w:color w:val="auto"/>
              </w:rPr>
            </w:pPr>
            <w:r>
              <w:rPr>
                <w:rFonts w:ascii="Arial" w:cs="Arial" w:eastAsia="Arial" w:hAnsi="Arial"/>
                <w:sz w:val="12"/>
                <w:szCs w:val="12"/>
                <w:color w:val="auto"/>
              </w:rPr>
              <w:t>8.00%</w:t>
            </w:r>
          </w:p>
        </w:tc>
        <w:tc>
          <w:tcPr>
            <w:tcW w:w="680" w:type="dxa"/>
            <w:vAlign w:val="bottom"/>
          </w:tcPr>
          <w:p>
            <w:pPr>
              <w:jc w:val="right"/>
              <w:spacing w:after="0"/>
              <w:rPr>
                <w:sz w:val="20"/>
                <w:szCs w:val="20"/>
                <w:color w:val="auto"/>
              </w:rPr>
            </w:pPr>
            <w:r>
              <w:rPr>
                <w:rFonts w:ascii="Arial" w:cs="Arial" w:eastAsia="Arial" w:hAnsi="Arial"/>
                <w:sz w:val="12"/>
                <w:szCs w:val="12"/>
                <w:color w:val="auto"/>
              </w:rPr>
              <w:t>—</w:t>
            </w:r>
          </w:p>
        </w:tc>
        <w:tc>
          <w:tcPr>
            <w:tcW w:w="2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80" w:type="dxa"/>
            <w:vAlign w:val="bottom"/>
          </w:tcPr>
          <w:p>
            <w:pPr>
              <w:jc w:val="right"/>
              <w:spacing w:after="0"/>
              <w:rPr>
                <w:sz w:val="20"/>
                <w:szCs w:val="20"/>
                <w:color w:val="auto"/>
              </w:rPr>
            </w:pPr>
            <w:r>
              <w:rPr>
                <w:rFonts w:ascii="Arial" w:cs="Arial" w:eastAsia="Arial" w:hAnsi="Arial"/>
                <w:sz w:val="12"/>
                <w:szCs w:val="12"/>
                <w:color w:val="auto"/>
              </w:rPr>
              <w:t>3,591</w:t>
            </w:r>
          </w:p>
        </w:tc>
        <w:tc>
          <w:tcPr>
            <w:tcW w:w="2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20" w:type="dxa"/>
            <w:vAlign w:val="bottom"/>
          </w:tcPr>
          <w:p>
            <w:pPr>
              <w:jc w:val="right"/>
              <w:spacing w:after="0"/>
              <w:rPr>
                <w:sz w:val="20"/>
                <w:szCs w:val="20"/>
                <w:color w:val="auto"/>
              </w:rPr>
            </w:pPr>
            <w:r>
              <w:rPr>
                <w:rFonts w:ascii="Arial" w:cs="Arial" w:eastAsia="Arial" w:hAnsi="Arial"/>
                <w:sz w:val="12"/>
                <w:szCs w:val="12"/>
                <w:color w:val="auto"/>
              </w:rPr>
              <w:t>—</w:t>
            </w:r>
          </w:p>
        </w:tc>
        <w:tc>
          <w:tcPr>
            <w:tcW w:w="2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40" w:type="dxa"/>
            <w:vAlign w:val="bottom"/>
          </w:tcPr>
          <w:p>
            <w:pPr>
              <w:jc w:val="right"/>
              <w:spacing w:after="0"/>
              <w:rPr>
                <w:sz w:val="20"/>
                <w:szCs w:val="20"/>
                <w:color w:val="auto"/>
              </w:rPr>
            </w:pPr>
            <w:r>
              <w:rPr>
                <w:rFonts w:ascii="Arial" w:cs="Arial" w:eastAsia="Arial" w:hAnsi="Arial"/>
                <w:sz w:val="12"/>
                <w:szCs w:val="12"/>
                <w:color w:val="auto"/>
              </w:rPr>
              <w:t>33,580</w:t>
            </w:r>
          </w:p>
        </w:tc>
        <w:tc>
          <w:tcPr>
            <w:tcW w:w="100" w:type="dxa"/>
            <w:vAlign w:val="bottom"/>
          </w:tcPr>
          <w:p>
            <w:pPr>
              <w:spacing w:after="0"/>
              <w:rPr>
                <w:sz w:val="12"/>
                <w:szCs w:val="12"/>
                <w:color w:val="auto"/>
              </w:rPr>
            </w:pPr>
          </w:p>
        </w:tc>
      </w:tr>
      <w:tr>
        <w:trPr>
          <w:trHeight w:val="149"/>
        </w:trPr>
        <w:tc>
          <w:tcPr>
            <w:tcW w:w="3020" w:type="dxa"/>
            <w:vAlign w:val="bottom"/>
            <w:shd w:val="clear" w:color="auto" w:fill="CCECFF"/>
          </w:tcPr>
          <w:p>
            <w:pPr>
              <w:spacing w:after="0"/>
              <w:rPr>
                <w:sz w:val="20"/>
                <w:szCs w:val="20"/>
                <w:color w:val="auto"/>
              </w:rPr>
            </w:pPr>
            <w:r>
              <w:rPr>
                <w:rFonts w:ascii="Arial" w:cs="Arial" w:eastAsia="Arial" w:hAnsi="Arial"/>
                <w:sz w:val="12"/>
                <w:szCs w:val="12"/>
                <w:color w:val="auto"/>
              </w:rPr>
              <w:t>Roto Holdings, Inc.</w:t>
            </w:r>
          </w:p>
        </w:tc>
        <w:tc>
          <w:tcPr>
            <w:tcW w:w="900" w:type="dxa"/>
            <w:vAlign w:val="bottom"/>
            <w:shd w:val="clear" w:color="auto" w:fill="CCECFF"/>
          </w:tcPr>
          <w:p>
            <w:pPr>
              <w:ind w:left="380"/>
              <w:spacing w:after="0"/>
              <w:rPr>
                <w:sz w:val="20"/>
                <w:szCs w:val="20"/>
                <w:color w:val="auto"/>
              </w:rPr>
            </w:pPr>
            <w:r>
              <w:rPr>
                <w:rFonts w:ascii="Arial" w:cs="Arial" w:eastAsia="Arial" w:hAnsi="Arial"/>
                <w:sz w:val="12"/>
                <w:szCs w:val="12"/>
                <w:color w:val="auto"/>
              </w:rPr>
              <w:t>—</w:t>
            </w:r>
          </w:p>
        </w:tc>
        <w:tc>
          <w:tcPr>
            <w:tcW w:w="2780" w:type="dxa"/>
            <w:vAlign w:val="bottom"/>
            <w:gridSpan w:val="2"/>
            <w:shd w:val="clear" w:color="auto" w:fill="CCECFF"/>
          </w:tcPr>
          <w:p>
            <w:pPr>
              <w:jc w:val="center"/>
              <w:ind w:right="160"/>
              <w:spacing w:after="0"/>
              <w:rPr>
                <w:sz w:val="20"/>
                <w:szCs w:val="20"/>
                <w:color w:val="auto"/>
              </w:rPr>
            </w:pPr>
            <w:r>
              <w:rPr>
                <w:rFonts w:ascii="Arial" w:cs="Arial" w:eastAsia="Arial" w:hAnsi="Arial"/>
                <w:sz w:val="12"/>
                <w:szCs w:val="12"/>
                <w:color w:val="auto"/>
                <w:w w:val="90"/>
              </w:rPr>
              <w:t>Manufacturing / Basic Industries</w:t>
            </w:r>
          </w:p>
        </w:tc>
        <w:tc>
          <w:tcPr>
            <w:tcW w:w="940" w:type="dxa"/>
            <w:vAlign w:val="bottom"/>
            <w:gridSpan w:val="2"/>
            <w:shd w:val="clear" w:color="auto" w:fill="CCECFF"/>
          </w:tcPr>
          <w:p>
            <w:pPr>
              <w:jc w:val="right"/>
              <w:ind w:right="180"/>
              <w:spacing w:after="0"/>
              <w:rPr>
                <w:sz w:val="20"/>
                <w:szCs w:val="20"/>
                <w:color w:val="auto"/>
              </w:rPr>
            </w:pPr>
            <w:r>
              <w:rPr>
                <w:rFonts w:ascii="Arial" w:cs="Arial" w:eastAsia="Arial" w:hAnsi="Arial"/>
                <w:sz w:val="12"/>
                <w:szCs w:val="12"/>
                <w:color w:val="auto"/>
              </w:rPr>
              <w:t>9.00%</w:t>
            </w:r>
          </w:p>
        </w:tc>
        <w:tc>
          <w:tcPr>
            <w:tcW w:w="680" w:type="dxa"/>
            <w:vAlign w:val="bottom"/>
            <w:shd w:val="clear" w:color="auto" w:fill="CCECFF"/>
          </w:tcPr>
          <w:p>
            <w:pPr>
              <w:jc w:val="right"/>
              <w:spacing w:after="0"/>
              <w:rPr>
                <w:sz w:val="20"/>
                <w:szCs w:val="20"/>
                <w:color w:val="auto"/>
              </w:rPr>
            </w:pPr>
            <w:r>
              <w:rPr>
                <w:rFonts w:ascii="Arial" w:cs="Arial" w:eastAsia="Arial" w:hAnsi="Arial"/>
                <w:sz w:val="12"/>
                <w:szCs w:val="12"/>
                <w:color w:val="auto"/>
              </w:rPr>
              <w:t>—</w:t>
            </w:r>
          </w:p>
        </w:tc>
        <w:tc>
          <w:tcPr>
            <w:tcW w:w="240" w:type="dxa"/>
            <w:vAlign w:val="bottom"/>
            <w:shd w:val="clear" w:color="auto" w:fill="CCECFF"/>
          </w:tcPr>
          <w:p>
            <w:pPr>
              <w:spacing w:after="0"/>
              <w:rPr>
                <w:sz w:val="12"/>
                <w:szCs w:val="12"/>
                <w:color w:val="auto"/>
              </w:rPr>
            </w:pPr>
          </w:p>
        </w:tc>
        <w:tc>
          <w:tcPr>
            <w:tcW w:w="100" w:type="dxa"/>
            <w:vAlign w:val="bottom"/>
            <w:shd w:val="clear" w:color="auto" w:fill="CCECFF"/>
          </w:tcPr>
          <w:p>
            <w:pPr>
              <w:spacing w:after="0"/>
              <w:rPr>
                <w:sz w:val="12"/>
                <w:szCs w:val="12"/>
                <w:color w:val="auto"/>
              </w:rPr>
            </w:pPr>
          </w:p>
        </w:tc>
        <w:tc>
          <w:tcPr>
            <w:tcW w:w="580" w:type="dxa"/>
            <w:vAlign w:val="bottom"/>
            <w:shd w:val="clear" w:color="auto" w:fill="CCECFF"/>
          </w:tcPr>
          <w:p>
            <w:pPr>
              <w:jc w:val="right"/>
              <w:spacing w:after="0"/>
              <w:rPr>
                <w:sz w:val="20"/>
                <w:szCs w:val="20"/>
                <w:color w:val="auto"/>
              </w:rPr>
            </w:pPr>
            <w:r>
              <w:rPr>
                <w:rFonts w:ascii="Arial" w:cs="Arial" w:eastAsia="Arial" w:hAnsi="Arial"/>
                <w:sz w:val="12"/>
                <w:szCs w:val="12"/>
                <w:color w:val="auto"/>
              </w:rPr>
              <w:t>1,197</w:t>
            </w:r>
          </w:p>
        </w:tc>
        <w:tc>
          <w:tcPr>
            <w:tcW w:w="240" w:type="dxa"/>
            <w:vAlign w:val="bottom"/>
            <w:shd w:val="clear" w:color="auto" w:fill="CCECFF"/>
          </w:tcPr>
          <w:p>
            <w:pPr>
              <w:spacing w:after="0"/>
              <w:rPr>
                <w:sz w:val="12"/>
                <w:szCs w:val="12"/>
                <w:color w:val="auto"/>
              </w:rPr>
            </w:pPr>
          </w:p>
        </w:tc>
        <w:tc>
          <w:tcPr>
            <w:tcW w:w="80" w:type="dxa"/>
            <w:vAlign w:val="bottom"/>
            <w:tcBorders>
              <w:bottom w:val="single" w:sz="8" w:color="auto"/>
            </w:tcBorders>
            <w:shd w:val="clear" w:color="auto" w:fill="CCECFF"/>
          </w:tcPr>
          <w:p>
            <w:pPr>
              <w:spacing w:after="0"/>
              <w:rPr>
                <w:sz w:val="12"/>
                <w:szCs w:val="12"/>
                <w:color w:val="auto"/>
              </w:rPr>
            </w:pPr>
          </w:p>
        </w:tc>
        <w:tc>
          <w:tcPr>
            <w:tcW w:w="620" w:type="dxa"/>
            <w:vAlign w:val="bottom"/>
            <w:tcBorders>
              <w:bottom w:val="single" w:sz="8" w:color="auto"/>
            </w:tcBorders>
            <w:shd w:val="clear" w:color="auto" w:fill="CCECFF"/>
          </w:tcPr>
          <w:p>
            <w:pPr>
              <w:jc w:val="right"/>
              <w:spacing w:after="0"/>
              <w:rPr>
                <w:sz w:val="20"/>
                <w:szCs w:val="20"/>
                <w:color w:val="auto"/>
              </w:rPr>
            </w:pPr>
            <w:r>
              <w:rPr>
                <w:rFonts w:ascii="Arial" w:cs="Arial" w:eastAsia="Arial" w:hAnsi="Arial"/>
                <w:sz w:val="12"/>
                <w:szCs w:val="12"/>
                <w:color w:val="auto"/>
              </w:rPr>
              <w:t>1,197,000</w:t>
            </w:r>
          </w:p>
        </w:tc>
        <w:tc>
          <w:tcPr>
            <w:tcW w:w="240" w:type="dxa"/>
            <w:vAlign w:val="bottom"/>
            <w:shd w:val="clear" w:color="auto" w:fill="CCECFF"/>
          </w:tcPr>
          <w:p>
            <w:pPr>
              <w:spacing w:after="0"/>
              <w:rPr>
                <w:sz w:val="12"/>
                <w:szCs w:val="12"/>
                <w:color w:val="auto"/>
              </w:rPr>
            </w:pPr>
          </w:p>
        </w:tc>
        <w:tc>
          <w:tcPr>
            <w:tcW w:w="80" w:type="dxa"/>
            <w:vAlign w:val="bottom"/>
            <w:tcBorders>
              <w:bottom w:val="single" w:sz="8" w:color="auto"/>
            </w:tcBorders>
            <w:shd w:val="clear" w:color="auto" w:fill="CCECFF"/>
          </w:tcPr>
          <w:p>
            <w:pPr>
              <w:spacing w:after="0"/>
              <w:rPr>
                <w:sz w:val="12"/>
                <w:szCs w:val="12"/>
                <w:color w:val="auto"/>
              </w:rPr>
            </w:pPr>
          </w:p>
        </w:tc>
        <w:tc>
          <w:tcPr>
            <w:tcW w:w="640" w:type="dxa"/>
            <w:vAlign w:val="bottom"/>
            <w:tcBorders>
              <w:bottom w:val="single" w:sz="8" w:color="auto"/>
            </w:tcBorders>
            <w:shd w:val="clear" w:color="auto" w:fill="CCECFF"/>
          </w:tcPr>
          <w:p>
            <w:pPr>
              <w:jc w:val="right"/>
              <w:spacing w:after="0"/>
              <w:rPr>
                <w:sz w:val="20"/>
                <w:szCs w:val="20"/>
                <w:color w:val="auto"/>
              </w:rPr>
            </w:pPr>
            <w:r>
              <w:rPr>
                <w:rFonts w:ascii="Arial" w:cs="Arial" w:eastAsia="Arial" w:hAnsi="Arial"/>
                <w:sz w:val="12"/>
                <w:szCs w:val="12"/>
                <w:color w:val="auto"/>
              </w:rPr>
              <w:t>1,469,970</w:t>
            </w:r>
          </w:p>
        </w:tc>
        <w:tc>
          <w:tcPr>
            <w:tcW w:w="100" w:type="dxa"/>
            <w:vAlign w:val="bottom"/>
            <w:shd w:val="clear" w:color="auto" w:fill="CCECFF"/>
          </w:tcPr>
          <w:p>
            <w:pPr>
              <w:spacing w:after="0"/>
              <w:rPr>
                <w:sz w:val="12"/>
                <w:szCs w:val="12"/>
                <w:color w:val="auto"/>
              </w:rPr>
            </w:pPr>
          </w:p>
        </w:tc>
      </w:tr>
      <w:tr>
        <w:trPr>
          <w:trHeight w:val="142"/>
        </w:trPr>
        <w:tc>
          <w:tcPr>
            <w:tcW w:w="3020" w:type="dxa"/>
            <w:vAlign w:val="bottom"/>
          </w:tcPr>
          <w:p>
            <w:pPr>
              <w:spacing w:after="0"/>
              <w:rPr>
                <w:sz w:val="20"/>
                <w:szCs w:val="20"/>
                <w:color w:val="auto"/>
              </w:rPr>
            </w:pPr>
            <w:r>
              <w:rPr>
                <w:rFonts w:ascii="Arial" w:cs="Arial" w:eastAsia="Arial" w:hAnsi="Arial"/>
                <w:sz w:val="12"/>
                <w:szCs w:val="12"/>
                <w:b w:val="1"/>
                <w:bCs w:val="1"/>
                <w:color w:val="auto"/>
              </w:rPr>
              <w:t>Total Preferred Equity/Partnership Interests</w:t>
            </w:r>
          </w:p>
        </w:tc>
        <w:tc>
          <w:tcPr>
            <w:tcW w:w="900" w:type="dxa"/>
            <w:vAlign w:val="bottom"/>
          </w:tcPr>
          <w:p>
            <w:pPr>
              <w:spacing w:after="0"/>
              <w:rPr>
                <w:sz w:val="12"/>
                <w:szCs w:val="12"/>
                <w:color w:val="auto"/>
              </w:rPr>
            </w:pPr>
          </w:p>
        </w:tc>
        <w:tc>
          <w:tcPr>
            <w:tcW w:w="26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4,734,171</w:t>
            </w:r>
          </w:p>
        </w:tc>
        <w:tc>
          <w:tcPr>
            <w:tcW w:w="240" w:type="dxa"/>
            <w:vAlign w:val="bottom"/>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5,489,372</w:t>
            </w:r>
          </w:p>
        </w:tc>
        <w:tc>
          <w:tcPr>
            <w:tcW w:w="100" w:type="dxa"/>
            <w:vAlign w:val="bottom"/>
          </w:tcPr>
          <w:p>
            <w:pPr>
              <w:spacing w:after="0"/>
              <w:rPr>
                <w:sz w:val="12"/>
                <w:szCs w:val="12"/>
                <w:color w:val="auto"/>
              </w:rPr>
            </w:pPr>
          </w:p>
        </w:tc>
      </w:tr>
    </w:tbl>
    <w:p>
      <w:pPr>
        <w:spacing w:after="0" w:line="197"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SEE NOTES TO CONSOLIDATED FINANCIAL STATEMENTS</w:t>
      </w:r>
    </w:p>
    <w:p>
      <w:pPr>
        <w:spacing w:after="0" w:line="136"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72390</wp:posOffset>
            </wp:positionV>
            <wp:extent cx="7149465" cy="171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333" w:right="339" w:bottom="1440" w:gutter="0" w:footer="0" w:header="0"/>
        </w:sectPr>
      </w:pPr>
    </w:p>
    <w:bookmarkStart w:id="8" w:name="page9"/>
    <w:bookmarkEnd w:id="8"/>
    <w:p>
      <w:pPr>
        <w:jc w:val="center"/>
        <w:spacing w:after="0"/>
        <w:rPr>
          <w:sz w:val="20"/>
          <w:szCs w:val="20"/>
          <w:color w:val="auto"/>
        </w:rPr>
      </w:pPr>
      <w:r>
        <w:rPr>
          <w:rFonts w:ascii="Arial" w:cs="Arial" w:eastAsia="Arial" w:hAnsi="Arial"/>
          <w:sz w:val="14"/>
          <w:szCs w:val="14"/>
          <w:b w:val="1"/>
          <w:bCs w:val="1"/>
          <w:color w:val="auto"/>
        </w:rPr>
        <w:t>PENNANTPARK INVESTMENT CORPORATION AND SUBSIDIARIES</w:t>
      </w:r>
    </w:p>
    <w:p>
      <w:pPr>
        <w:jc w:val="center"/>
        <w:spacing w:after="0" w:line="226" w:lineRule="auto"/>
        <w:rPr>
          <w:sz w:val="20"/>
          <w:szCs w:val="20"/>
          <w:color w:val="auto"/>
        </w:rPr>
      </w:pPr>
      <w:r>
        <w:rPr>
          <w:rFonts w:ascii="Arial" w:cs="Arial" w:eastAsia="Arial" w:hAnsi="Arial"/>
          <w:sz w:val="14"/>
          <w:szCs w:val="14"/>
          <w:b w:val="1"/>
          <w:bCs w:val="1"/>
          <w:color w:val="auto"/>
        </w:rPr>
        <w:t>CONSOLIDATED SCHEDULE OF INVESTMENTS – (Continued)</w:t>
      </w:r>
    </w:p>
    <w:p>
      <w:pPr>
        <w:jc w:val="center"/>
        <w:spacing w:after="0" w:line="221" w:lineRule="auto"/>
        <w:rPr>
          <w:sz w:val="20"/>
          <w:szCs w:val="20"/>
          <w:color w:val="auto"/>
        </w:rPr>
      </w:pPr>
      <w:r>
        <w:rPr>
          <w:rFonts w:ascii="Arial" w:cs="Arial" w:eastAsia="Arial" w:hAnsi="Arial"/>
          <w:sz w:val="14"/>
          <w:szCs w:val="14"/>
          <w:b w:val="1"/>
          <w:bCs w:val="1"/>
          <w:color w:val="auto"/>
        </w:rPr>
        <w:t>JUNE 30, 2017</w:t>
      </w:r>
    </w:p>
    <w:p>
      <w:pPr>
        <w:spacing w:after="0" w:line="1"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(Unaudited)</w:t>
      </w:r>
    </w:p>
    <w:p>
      <w:pPr>
        <w:spacing w:after="0" w:line="307" w:lineRule="exact"/>
        <w:rPr>
          <w:sz w:val="20"/>
          <w:szCs w:val="20"/>
          <w:color w:val="auto"/>
        </w:rPr>
      </w:pPr>
    </w:p>
    <w:tbl>
      <w:tblPr>
        <w:tblLayout w:type="fixed"/>
        <w:tblInd w:w="0" w:type="dxa"/>
        <w:tblCellMar>
          <w:top w:w="0" w:type="dxa"/>
          <w:left w:w="0" w:type="dxa"/>
          <w:bottom w:w="0" w:type="dxa"/>
          <w:right w:w="0" w:type="dxa"/>
        </w:tblCellMar>
      </w:tblPr>
      <w:tr>
        <w:trPr>
          <w:trHeight w:val="138"/>
        </w:trPr>
        <w:tc>
          <w:tcPr>
            <w:tcW w:w="300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25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900" w:type="dxa"/>
            <w:vAlign w:val="bottom"/>
            <w:gridSpan w:val="2"/>
          </w:tcPr>
          <w:p>
            <w:pPr>
              <w:jc w:val="center"/>
              <w:ind w:right="260"/>
              <w:spacing w:after="0"/>
              <w:rPr>
                <w:sz w:val="20"/>
                <w:szCs w:val="20"/>
                <w:color w:val="auto"/>
              </w:rPr>
            </w:pPr>
            <w:r>
              <w:rPr>
                <w:rFonts w:ascii="Arial" w:cs="Arial" w:eastAsia="Arial" w:hAnsi="Arial"/>
                <w:sz w:val="12"/>
                <w:szCs w:val="12"/>
                <w:b w:val="1"/>
                <w:bCs w:val="1"/>
                <w:color w:val="auto"/>
                <w:w w:val="85"/>
              </w:rPr>
              <w:t>Basis Point</w:t>
            </w:r>
          </w:p>
        </w:tc>
        <w:tc>
          <w:tcPr>
            <w:tcW w:w="68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00" w:type="dxa"/>
            <w:vAlign w:val="bottom"/>
          </w:tcPr>
          <w:p>
            <w:pPr>
              <w:spacing w:after="0"/>
              <w:rPr>
                <w:sz w:val="12"/>
                <w:szCs w:val="12"/>
                <w:color w:val="auto"/>
              </w:rPr>
            </w:pPr>
          </w:p>
        </w:tc>
      </w:tr>
      <w:tr>
        <w:trPr>
          <w:trHeight w:val="135"/>
        </w:trPr>
        <w:tc>
          <w:tcPr>
            <w:tcW w:w="300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25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900" w:type="dxa"/>
            <w:vAlign w:val="bottom"/>
            <w:gridSpan w:val="2"/>
          </w:tcPr>
          <w:p>
            <w:pPr>
              <w:jc w:val="center"/>
              <w:ind w:right="260"/>
              <w:spacing w:after="0" w:line="135" w:lineRule="exact"/>
              <w:rPr>
                <w:sz w:val="20"/>
                <w:szCs w:val="20"/>
                <w:color w:val="auto"/>
              </w:rPr>
            </w:pPr>
            <w:r>
              <w:rPr>
                <w:rFonts w:ascii="Arial" w:cs="Arial" w:eastAsia="Arial" w:hAnsi="Arial"/>
                <w:sz w:val="12"/>
                <w:szCs w:val="12"/>
                <w:b w:val="1"/>
                <w:bCs w:val="1"/>
                <w:color w:val="auto"/>
                <w:w w:val="88"/>
              </w:rPr>
              <w:t>Spread</w:t>
            </w:r>
          </w:p>
        </w:tc>
        <w:tc>
          <w:tcPr>
            <w:tcW w:w="6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00" w:type="dxa"/>
            <w:vAlign w:val="bottom"/>
          </w:tcPr>
          <w:p>
            <w:pPr>
              <w:spacing w:after="0"/>
              <w:rPr>
                <w:sz w:val="11"/>
                <w:szCs w:val="11"/>
                <w:color w:val="auto"/>
              </w:rPr>
            </w:pPr>
          </w:p>
        </w:tc>
      </w:tr>
      <w:tr>
        <w:trPr>
          <w:trHeight w:val="135"/>
        </w:trPr>
        <w:tc>
          <w:tcPr>
            <w:tcW w:w="3000" w:type="dxa"/>
            <w:vAlign w:val="bottom"/>
          </w:tcPr>
          <w:p>
            <w:pPr>
              <w:spacing w:after="0"/>
              <w:rPr>
                <w:sz w:val="11"/>
                <w:szCs w:val="11"/>
                <w:color w:val="auto"/>
              </w:rPr>
            </w:pPr>
          </w:p>
        </w:tc>
        <w:tc>
          <w:tcPr>
            <w:tcW w:w="940" w:type="dxa"/>
            <w:vAlign w:val="bottom"/>
          </w:tcPr>
          <w:p>
            <w:pPr>
              <w:ind w:left="120"/>
              <w:spacing w:after="0" w:line="135" w:lineRule="exact"/>
              <w:rPr>
                <w:sz w:val="20"/>
                <w:szCs w:val="20"/>
                <w:color w:val="auto"/>
              </w:rPr>
            </w:pPr>
            <w:r>
              <w:rPr>
                <w:rFonts w:ascii="Arial" w:cs="Arial" w:eastAsia="Arial" w:hAnsi="Arial"/>
                <w:sz w:val="12"/>
                <w:szCs w:val="12"/>
                <w:b w:val="1"/>
                <w:bCs w:val="1"/>
                <w:color w:val="auto"/>
              </w:rPr>
              <w:t>Maturity /</w:t>
            </w:r>
          </w:p>
        </w:tc>
        <w:tc>
          <w:tcPr>
            <w:tcW w:w="25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960" w:type="dxa"/>
            <w:vAlign w:val="bottom"/>
            <w:gridSpan w:val="2"/>
          </w:tcPr>
          <w:p>
            <w:pPr>
              <w:jc w:val="right"/>
              <w:ind w:right="420"/>
              <w:spacing w:after="0" w:line="135" w:lineRule="exact"/>
              <w:rPr>
                <w:sz w:val="20"/>
                <w:szCs w:val="20"/>
                <w:color w:val="auto"/>
              </w:rPr>
            </w:pPr>
            <w:r>
              <w:rPr>
                <w:rFonts w:ascii="Arial" w:cs="Arial" w:eastAsia="Arial" w:hAnsi="Arial"/>
                <w:sz w:val="12"/>
                <w:szCs w:val="12"/>
                <w:b w:val="1"/>
                <w:bCs w:val="1"/>
                <w:color w:val="auto"/>
              </w:rPr>
              <w:t>Current</w:t>
            </w:r>
          </w:p>
        </w:tc>
        <w:tc>
          <w:tcPr>
            <w:tcW w:w="900" w:type="dxa"/>
            <w:vAlign w:val="bottom"/>
            <w:gridSpan w:val="2"/>
          </w:tcPr>
          <w:p>
            <w:pPr>
              <w:jc w:val="center"/>
              <w:ind w:right="260"/>
              <w:spacing w:after="0" w:line="135" w:lineRule="exact"/>
              <w:rPr>
                <w:sz w:val="20"/>
                <w:szCs w:val="20"/>
                <w:color w:val="auto"/>
              </w:rPr>
            </w:pPr>
            <w:r>
              <w:rPr>
                <w:rFonts w:ascii="Arial" w:cs="Arial" w:eastAsia="Arial" w:hAnsi="Arial"/>
                <w:sz w:val="12"/>
                <w:szCs w:val="12"/>
                <w:b w:val="1"/>
                <w:bCs w:val="1"/>
                <w:color w:val="auto"/>
                <w:w w:val="87"/>
              </w:rPr>
              <w:t>Above</w:t>
            </w:r>
          </w:p>
        </w:tc>
        <w:tc>
          <w:tcPr>
            <w:tcW w:w="680" w:type="dxa"/>
            <w:vAlign w:val="bottom"/>
          </w:tcPr>
          <w:p>
            <w:pPr>
              <w:jc w:val="right"/>
              <w:ind w:right="162"/>
              <w:spacing w:after="0" w:line="135" w:lineRule="exact"/>
              <w:rPr>
                <w:sz w:val="20"/>
                <w:szCs w:val="20"/>
                <w:color w:val="auto"/>
              </w:rPr>
            </w:pPr>
            <w:r>
              <w:rPr>
                <w:rFonts w:ascii="Arial" w:cs="Arial" w:eastAsia="Arial" w:hAnsi="Arial"/>
                <w:sz w:val="12"/>
                <w:szCs w:val="12"/>
                <w:b w:val="1"/>
                <w:bCs w:val="1"/>
                <w:color w:val="auto"/>
              </w:rPr>
              <w:t>Par /</w:t>
            </w:r>
          </w:p>
        </w:tc>
        <w:tc>
          <w:tcPr>
            <w:tcW w:w="3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00" w:type="dxa"/>
            <w:vAlign w:val="bottom"/>
          </w:tcPr>
          <w:p>
            <w:pPr>
              <w:spacing w:after="0"/>
              <w:rPr>
                <w:sz w:val="11"/>
                <w:szCs w:val="11"/>
                <w:color w:val="auto"/>
              </w:rPr>
            </w:pPr>
          </w:p>
        </w:tc>
      </w:tr>
      <w:tr>
        <w:trPr>
          <w:trHeight w:val="143"/>
        </w:trPr>
        <w:tc>
          <w:tcPr>
            <w:tcW w:w="3000" w:type="dxa"/>
            <w:vAlign w:val="bottom"/>
          </w:tcPr>
          <w:p>
            <w:pPr>
              <w:spacing w:after="0"/>
              <w:rPr>
                <w:sz w:val="20"/>
                <w:szCs w:val="20"/>
                <w:color w:val="auto"/>
              </w:rPr>
            </w:pPr>
            <w:r>
              <w:rPr>
                <w:rFonts w:ascii="Arial" w:cs="Arial" w:eastAsia="Arial" w:hAnsi="Arial"/>
                <w:sz w:val="12"/>
                <w:szCs w:val="12"/>
                <w:b w:val="1"/>
                <w:bCs w:val="1"/>
                <w:color w:val="auto"/>
              </w:rPr>
              <w:t>Issuer Name</w:t>
            </w:r>
          </w:p>
        </w:tc>
        <w:tc>
          <w:tcPr>
            <w:tcW w:w="940" w:type="dxa"/>
            <w:vAlign w:val="bottom"/>
          </w:tcPr>
          <w:p>
            <w:pPr>
              <w:ind w:left="120"/>
              <w:spacing w:after="0"/>
              <w:rPr>
                <w:sz w:val="20"/>
                <w:szCs w:val="20"/>
                <w:color w:val="auto"/>
              </w:rPr>
            </w:pPr>
            <w:r>
              <w:rPr>
                <w:rFonts w:ascii="Arial" w:cs="Arial" w:eastAsia="Arial" w:hAnsi="Arial"/>
                <w:sz w:val="12"/>
                <w:szCs w:val="12"/>
                <w:b w:val="1"/>
                <w:bCs w:val="1"/>
                <w:color w:val="auto"/>
              </w:rPr>
              <w:t>Expiration</w:t>
            </w:r>
          </w:p>
        </w:tc>
        <w:tc>
          <w:tcPr>
            <w:tcW w:w="2700" w:type="dxa"/>
            <w:vAlign w:val="bottom"/>
            <w:gridSpan w:val="2"/>
          </w:tcPr>
          <w:p>
            <w:pPr>
              <w:jc w:val="center"/>
              <w:ind w:right="200"/>
              <w:spacing w:after="0"/>
              <w:rPr>
                <w:sz w:val="20"/>
                <w:szCs w:val="20"/>
                <w:color w:val="auto"/>
              </w:rPr>
            </w:pPr>
            <w:r>
              <w:rPr>
                <w:rFonts w:ascii="Arial" w:cs="Arial" w:eastAsia="Arial" w:hAnsi="Arial"/>
                <w:sz w:val="12"/>
                <w:szCs w:val="12"/>
                <w:b w:val="1"/>
                <w:bCs w:val="1"/>
                <w:color w:val="auto"/>
                <w:w w:val="88"/>
              </w:rPr>
              <w:t>Industry</w:t>
            </w:r>
          </w:p>
        </w:tc>
        <w:tc>
          <w:tcPr>
            <w:tcW w:w="960" w:type="dxa"/>
            <w:vAlign w:val="bottom"/>
            <w:gridSpan w:val="2"/>
          </w:tcPr>
          <w:p>
            <w:pPr>
              <w:jc w:val="right"/>
              <w:ind w:right="440"/>
              <w:spacing w:after="0"/>
              <w:rPr>
                <w:sz w:val="20"/>
                <w:szCs w:val="20"/>
                <w:color w:val="auto"/>
              </w:rPr>
            </w:pPr>
            <w:r>
              <w:rPr>
                <w:rFonts w:ascii="Arial" w:cs="Arial" w:eastAsia="Arial" w:hAnsi="Arial"/>
                <w:sz w:val="12"/>
                <w:szCs w:val="12"/>
                <w:b w:val="1"/>
                <w:bCs w:val="1"/>
                <w:color w:val="auto"/>
              </w:rPr>
              <w:t>Coupon</w:t>
            </w:r>
          </w:p>
        </w:tc>
        <w:tc>
          <w:tcPr>
            <w:tcW w:w="900" w:type="dxa"/>
            <w:vAlign w:val="bottom"/>
            <w:gridSpan w:val="2"/>
          </w:tcPr>
          <w:p>
            <w:pPr>
              <w:jc w:val="center"/>
              <w:ind w:right="240"/>
              <w:spacing w:after="0"/>
              <w:rPr>
                <w:sz w:val="20"/>
                <w:szCs w:val="20"/>
                <w:color w:val="auto"/>
              </w:rPr>
            </w:pPr>
            <w:r>
              <w:rPr>
                <w:rFonts w:ascii="Arial" w:cs="Arial" w:eastAsia="Arial" w:hAnsi="Arial"/>
                <w:sz w:val="12"/>
                <w:szCs w:val="12"/>
                <w:b w:val="1"/>
                <w:bCs w:val="1"/>
                <w:color w:val="auto"/>
                <w:w w:val="91"/>
              </w:rPr>
              <w:t xml:space="preserve">Index </w:t>
            </w:r>
            <w:r>
              <w:rPr>
                <w:rFonts w:ascii="Arial" w:cs="Arial" w:eastAsia="Arial" w:hAnsi="Arial"/>
                <w:sz w:val="9"/>
                <w:szCs w:val="9"/>
                <w:b w:val="1"/>
                <w:bCs w:val="1"/>
                <w:color w:val="auto"/>
                <w:w w:val="91"/>
              </w:rPr>
              <w:t>(4)</w:t>
            </w:r>
          </w:p>
        </w:tc>
        <w:tc>
          <w:tcPr>
            <w:tcW w:w="680" w:type="dxa"/>
            <w:vAlign w:val="bottom"/>
          </w:tcPr>
          <w:p>
            <w:pPr>
              <w:jc w:val="right"/>
              <w:ind w:right="122"/>
              <w:spacing w:after="0"/>
              <w:rPr>
                <w:sz w:val="20"/>
                <w:szCs w:val="20"/>
                <w:color w:val="auto"/>
              </w:rPr>
            </w:pPr>
            <w:r>
              <w:rPr>
                <w:rFonts w:ascii="Arial" w:cs="Arial" w:eastAsia="Arial" w:hAnsi="Arial"/>
                <w:sz w:val="12"/>
                <w:szCs w:val="12"/>
                <w:b w:val="1"/>
                <w:bCs w:val="1"/>
                <w:color w:val="auto"/>
              </w:rPr>
              <w:t>Shares</w:t>
            </w:r>
          </w:p>
        </w:tc>
        <w:tc>
          <w:tcPr>
            <w:tcW w:w="3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20" w:type="dxa"/>
            <w:vAlign w:val="bottom"/>
          </w:tcPr>
          <w:p>
            <w:pPr>
              <w:jc w:val="right"/>
              <w:ind w:right="182"/>
              <w:spacing w:after="0"/>
              <w:rPr>
                <w:sz w:val="20"/>
                <w:szCs w:val="20"/>
                <w:color w:val="auto"/>
              </w:rPr>
            </w:pPr>
            <w:r>
              <w:rPr>
                <w:rFonts w:ascii="Arial" w:cs="Arial" w:eastAsia="Arial" w:hAnsi="Arial"/>
                <w:sz w:val="12"/>
                <w:szCs w:val="12"/>
                <w:b w:val="1"/>
                <w:bCs w:val="1"/>
                <w:color w:val="auto"/>
              </w:rPr>
              <w:t>Cost</w:t>
            </w:r>
          </w:p>
        </w:tc>
        <w:tc>
          <w:tcPr>
            <w:tcW w:w="240" w:type="dxa"/>
            <w:vAlign w:val="bottom"/>
          </w:tcPr>
          <w:p>
            <w:pPr>
              <w:spacing w:after="0"/>
              <w:rPr>
                <w:sz w:val="12"/>
                <w:szCs w:val="12"/>
                <w:color w:val="auto"/>
              </w:rPr>
            </w:pPr>
          </w:p>
        </w:tc>
        <w:tc>
          <w:tcPr>
            <w:tcW w:w="820" w:type="dxa"/>
            <w:vAlign w:val="bottom"/>
            <w:gridSpan w:val="3"/>
          </w:tcPr>
          <w:p>
            <w:pPr>
              <w:ind w:left="20"/>
              <w:spacing w:after="0"/>
              <w:rPr>
                <w:sz w:val="20"/>
                <w:szCs w:val="20"/>
                <w:color w:val="auto"/>
              </w:rPr>
            </w:pPr>
            <w:r>
              <w:rPr>
                <w:rFonts w:ascii="Arial" w:cs="Arial" w:eastAsia="Arial" w:hAnsi="Arial"/>
                <w:sz w:val="12"/>
                <w:szCs w:val="12"/>
                <w:b w:val="1"/>
                <w:bCs w:val="1"/>
                <w:color w:val="auto"/>
              </w:rPr>
              <w:t xml:space="preserve">Fair Value </w:t>
            </w:r>
            <w:r>
              <w:rPr>
                <w:rFonts w:ascii="Arial" w:cs="Arial" w:eastAsia="Arial" w:hAnsi="Arial"/>
                <w:sz w:val="9"/>
                <w:szCs w:val="9"/>
                <w:b w:val="1"/>
                <w:bCs w:val="1"/>
                <w:color w:val="auto"/>
              </w:rPr>
              <w:t>(3)</w:t>
            </w:r>
          </w:p>
        </w:tc>
      </w:tr>
      <w:tr>
        <w:trPr>
          <w:trHeight w:val="142"/>
        </w:trPr>
        <w:tc>
          <w:tcPr>
            <w:tcW w:w="3000" w:type="dxa"/>
            <w:vAlign w:val="bottom"/>
            <w:tcBorders>
              <w:top w:val="single" w:sz="8" w:color="auto"/>
            </w:tcBorders>
            <w:shd w:val="clear" w:color="auto" w:fill="CCECFF"/>
          </w:tcPr>
          <w:p>
            <w:pPr>
              <w:spacing w:after="0"/>
              <w:rPr>
                <w:sz w:val="20"/>
                <w:szCs w:val="20"/>
                <w:color w:val="auto"/>
              </w:rPr>
            </w:pPr>
            <w:r>
              <w:rPr>
                <w:rFonts w:ascii="Arial" w:cs="Arial" w:eastAsia="Arial" w:hAnsi="Arial"/>
                <w:sz w:val="12"/>
                <w:szCs w:val="12"/>
                <w:b w:val="1"/>
                <w:bCs w:val="1"/>
                <w:color w:val="auto"/>
                <w:w w:val="91"/>
              </w:rPr>
              <w:t xml:space="preserve">Common Equity/Partnership Interests/Warrants—5.8% </w:t>
            </w:r>
            <w:r>
              <w:rPr>
                <w:rFonts w:ascii="Arial" w:cs="Arial" w:eastAsia="Arial" w:hAnsi="Arial"/>
                <w:sz w:val="9"/>
                <w:szCs w:val="9"/>
                <w:b w:val="1"/>
                <w:bCs w:val="1"/>
                <w:color w:val="auto"/>
                <w:w w:val="91"/>
              </w:rPr>
              <w:t>(6)</w:t>
            </w:r>
          </w:p>
        </w:tc>
        <w:tc>
          <w:tcPr>
            <w:tcW w:w="940" w:type="dxa"/>
            <w:vAlign w:val="bottom"/>
            <w:tcBorders>
              <w:top w:val="single" w:sz="8" w:color="auto"/>
            </w:tcBorders>
            <w:shd w:val="clear" w:color="auto" w:fill="CCECFF"/>
          </w:tcPr>
          <w:p>
            <w:pPr>
              <w:spacing w:after="0"/>
              <w:rPr>
                <w:sz w:val="12"/>
                <w:szCs w:val="12"/>
                <w:color w:val="auto"/>
              </w:rPr>
            </w:pPr>
          </w:p>
        </w:tc>
        <w:tc>
          <w:tcPr>
            <w:tcW w:w="2580" w:type="dxa"/>
            <w:vAlign w:val="bottom"/>
            <w:tcBorders>
              <w:top w:val="single" w:sz="8" w:color="auto"/>
            </w:tcBorders>
            <w:shd w:val="clear" w:color="auto" w:fill="CCECFF"/>
          </w:tcPr>
          <w:p>
            <w:pPr>
              <w:spacing w:after="0"/>
              <w:rPr>
                <w:sz w:val="12"/>
                <w:szCs w:val="12"/>
                <w:color w:val="auto"/>
              </w:rPr>
            </w:pPr>
          </w:p>
        </w:tc>
        <w:tc>
          <w:tcPr>
            <w:tcW w:w="120" w:type="dxa"/>
            <w:vAlign w:val="bottom"/>
            <w:tcBorders>
              <w:top w:val="single" w:sz="8" w:color="CCECFF"/>
            </w:tcBorders>
            <w:shd w:val="clear" w:color="auto" w:fill="CCECFF"/>
          </w:tcPr>
          <w:p>
            <w:pPr>
              <w:spacing w:after="0"/>
              <w:rPr>
                <w:sz w:val="12"/>
                <w:szCs w:val="12"/>
                <w:color w:val="auto"/>
              </w:rPr>
            </w:pPr>
          </w:p>
        </w:tc>
        <w:tc>
          <w:tcPr>
            <w:tcW w:w="680" w:type="dxa"/>
            <w:vAlign w:val="bottom"/>
            <w:tcBorders>
              <w:top w:val="single" w:sz="8" w:color="auto"/>
            </w:tcBorders>
            <w:shd w:val="clear" w:color="auto" w:fill="CCECFF"/>
          </w:tcPr>
          <w:p>
            <w:pPr>
              <w:spacing w:after="0"/>
              <w:rPr>
                <w:sz w:val="12"/>
                <w:szCs w:val="12"/>
                <w:color w:val="auto"/>
              </w:rPr>
            </w:pPr>
          </w:p>
        </w:tc>
        <w:tc>
          <w:tcPr>
            <w:tcW w:w="280" w:type="dxa"/>
            <w:vAlign w:val="bottom"/>
            <w:tcBorders>
              <w:top w:val="single" w:sz="8" w:color="CCECFF"/>
            </w:tcBorders>
            <w:shd w:val="clear" w:color="auto" w:fill="CCECFF"/>
          </w:tcPr>
          <w:p>
            <w:pPr>
              <w:spacing w:after="0"/>
              <w:rPr>
                <w:sz w:val="12"/>
                <w:szCs w:val="12"/>
                <w:color w:val="auto"/>
              </w:rPr>
            </w:pPr>
          </w:p>
        </w:tc>
        <w:tc>
          <w:tcPr>
            <w:tcW w:w="660" w:type="dxa"/>
            <w:vAlign w:val="bottom"/>
            <w:tcBorders>
              <w:top w:val="single" w:sz="8" w:color="auto"/>
            </w:tcBorders>
            <w:shd w:val="clear" w:color="auto" w:fill="CCECFF"/>
          </w:tcPr>
          <w:p>
            <w:pPr>
              <w:spacing w:after="0"/>
              <w:rPr>
                <w:sz w:val="12"/>
                <w:szCs w:val="12"/>
                <w:color w:val="auto"/>
              </w:rPr>
            </w:pPr>
          </w:p>
        </w:tc>
        <w:tc>
          <w:tcPr>
            <w:tcW w:w="240" w:type="dxa"/>
            <w:vAlign w:val="bottom"/>
            <w:tcBorders>
              <w:top w:val="single" w:sz="8" w:color="CCECFF"/>
            </w:tcBorders>
            <w:shd w:val="clear" w:color="auto" w:fill="CCECFF"/>
          </w:tcPr>
          <w:p>
            <w:pPr>
              <w:spacing w:after="0"/>
              <w:rPr>
                <w:sz w:val="12"/>
                <w:szCs w:val="12"/>
                <w:color w:val="auto"/>
              </w:rPr>
            </w:pPr>
          </w:p>
        </w:tc>
        <w:tc>
          <w:tcPr>
            <w:tcW w:w="680" w:type="dxa"/>
            <w:vAlign w:val="bottom"/>
            <w:tcBorders>
              <w:top w:val="single" w:sz="8" w:color="auto"/>
            </w:tcBorders>
            <w:shd w:val="clear" w:color="auto" w:fill="CCECFF"/>
          </w:tcPr>
          <w:p>
            <w:pPr>
              <w:spacing w:after="0"/>
              <w:rPr>
                <w:sz w:val="12"/>
                <w:szCs w:val="12"/>
                <w:color w:val="auto"/>
              </w:rPr>
            </w:pPr>
          </w:p>
        </w:tc>
        <w:tc>
          <w:tcPr>
            <w:tcW w:w="300" w:type="dxa"/>
            <w:vAlign w:val="bottom"/>
            <w:tcBorders>
              <w:top w:val="single" w:sz="8" w:color="CCECFF"/>
            </w:tcBorders>
            <w:shd w:val="clear" w:color="auto" w:fill="CCECFF"/>
          </w:tcPr>
          <w:p>
            <w:pPr>
              <w:spacing w:after="0"/>
              <w:rPr>
                <w:sz w:val="12"/>
                <w:szCs w:val="12"/>
                <w:color w:val="auto"/>
              </w:rPr>
            </w:pPr>
          </w:p>
        </w:tc>
        <w:tc>
          <w:tcPr>
            <w:tcW w:w="80" w:type="dxa"/>
            <w:vAlign w:val="bottom"/>
            <w:tcBorders>
              <w:top w:val="single" w:sz="8" w:color="auto"/>
            </w:tcBorders>
            <w:shd w:val="clear" w:color="auto" w:fill="CCECFF"/>
          </w:tcPr>
          <w:p>
            <w:pPr>
              <w:spacing w:after="0"/>
              <w:rPr>
                <w:sz w:val="12"/>
                <w:szCs w:val="12"/>
                <w:color w:val="auto"/>
              </w:rPr>
            </w:pPr>
          </w:p>
        </w:tc>
        <w:tc>
          <w:tcPr>
            <w:tcW w:w="620" w:type="dxa"/>
            <w:vAlign w:val="bottom"/>
            <w:tcBorders>
              <w:top w:val="single" w:sz="8" w:color="auto"/>
            </w:tcBorders>
            <w:shd w:val="clear" w:color="auto" w:fill="CCECFF"/>
          </w:tcPr>
          <w:p>
            <w:pPr>
              <w:spacing w:after="0"/>
              <w:rPr>
                <w:sz w:val="12"/>
                <w:szCs w:val="12"/>
                <w:color w:val="auto"/>
              </w:rPr>
            </w:pPr>
          </w:p>
        </w:tc>
        <w:tc>
          <w:tcPr>
            <w:tcW w:w="240" w:type="dxa"/>
            <w:vAlign w:val="bottom"/>
            <w:tcBorders>
              <w:top w:val="single" w:sz="8" w:color="CCECFF"/>
            </w:tcBorders>
            <w:shd w:val="clear" w:color="auto" w:fill="CCECFF"/>
          </w:tcPr>
          <w:p>
            <w:pPr>
              <w:spacing w:after="0"/>
              <w:rPr>
                <w:sz w:val="12"/>
                <w:szCs w:val="12"/>
                <w:color w:val="auto"/>
              </w:rPr>
            </w:pPr>
          </w:p>
        </w:tc>
        <w:tc>
          <w:tcPr>
            <w:tcW w:w="80" w:type="dxa"/>
            <w:vAlign w:val="bottom"/>
            <w:tcBorders>
              <w:top w:val="single" w:sz="8" w:color="auto"/>
            </w:tcBorders>
            <w:shd w:val="clear" w:color="auto" w:fill="CCECFF"/>
          </w:tcPr>
          <w:p>
            <w:pPr>
              <w:spacing w:after="0"/>
              <w:rPr>
                <w:sz w:val="12"/>
                <w:szCs w:val="12"/>
                <w:color w:val="auto"/>
              </w:rPr>
            </w:pPr>
          </w:p>
        </w:tc>
        <w:tc>
          <w:tcPr>
            <w:tcW w:w="640" w:type="dxa"/>
            <w:vAlign w:val="bottom"/>
            <w:tcBorders>
              <w:top w:val="single" w:sz="8" w:color="auto"/>
            </w:tcBorders>
            <w:shd w:val="clear" w:color="auto" w:fill="CCECFF"/>
          </w:tcPr>
          <w:p>
            <w:pPr>
              <w:spacing w:after="0"/>
              <w:rPr>
                <w:sz w:val="12"/>
                <w:szCs w:val="12"/>
                <w:color w:val="auto"/>
              </w:rPr>
            </w:pPr>
          </w:p>
        </w:tc>
        <w:tc>
          <w:tcPr>
            <w:tcW w:w="100" w:type="dxa"/>
            <w:vAlign w:val="bottom"/>
            <w:tcBorders>
              <w:top w:val="single" w:sz="8" w:color="CCECFF"/>
            </w:tcBorders>
            <w:shd w:val="clear" w:color="auto" w:fill="CCECFF"/>
          </w:tcPr>
          <w:p>
            <w:pPr>
              <w:spacing w:after="0"/>
              <w:rPr>
                <w:sz w:val="12"/>
                <w:szCs w:val="12"/>
                <w:color w:val="auto"/>
              </w:rPr>
            </w:pPr>
          </w:p>
        </w:tc>
      </w:tr>
      <w:tr>
        <w:trPr>
          <w:trHeight w:val="148"/>
        </w:trPr>
        <w:tc>
          <w:tcPr>
            <w:tcW w:w="3000" w:type="dxa"/>
            <w:vAlign w:val="bottom"/>
          </w:tcPr>
          <w:p>
            <w:pPr>
              <w:spacing w:after="0"/>
              <w:rPr>
                <w:sz w:val="20"/>
                <w:szCs w:val="20"/>
                <w:color w:val="auto"/>
              </w:rPr>
            </w:pPr>
            <w:r>
              <w:rPr>
                <w:rFonts w:ascii="Arial" w:cs="Arial" w:eastAsia="Arial" w:hAnsi="Arial"/>
                <w:sz w:val="12"/>
                <w:szCs w:val="12"/>
                <w:color w:val="auto"/>
              </w:rPr>
              <w:t>AH Holdings, Inc. (Warrants)</w:t>
            </w:r>
          </w:p>
        </w:tc>
        <w:tc>
          <w:tcPr>
            <w:tcW w:w="940" w:type="dxa"/>
            <w:vAlign w:val="bottom"/>
          </w:tcPr>
          <w:p>
            <w:pPr>
              <w:ind w:left="120"/>
              <w:spacing w:after="0"/>
              <w:rPr>
                <w:sz w:val="20"/>
                <w:szCs w:val="20"/>
                <w:color w:val="auto"/>
              </w:rPr>
            </w:pPr>
            <w:r>
              <w:rPr>
                <w:rFonts w:ascii="Arial" w:cs="Arial" w:eastAsia="Arial" w:hAnsi="Arial"/>
                <w:sz w:val="12"/>
                <w:szCs w:val="12"/>
                <w:color w:val="auto"/>
              </w:rPr>
              <w:t>03/23/2021</w:t>
            </w:r>
          </w:p>
        </w:tc>
        <w:tc>
          <w:tcPr>
            <w:tcW w:w="2700" w:type="dxa"/>
            <w:vAlign w:val="bottom"/>
            <w:gridSpan w:val="2"/>
          </w:tcPr>
          <w:p>
            <w:pPr>
              <w:jc w:val="center"/>
              <w:ind w:right="180"/>
              <w:spacing w:after="0"/>
              <w:rPr>
                <w:sz w:val="20"/>
                <w:szCs w:val="20"/>
                <w:color w:val="auto"/>
              </w:rPr>
            </w:pPr>
            <w:r>
              <w:rPr>
                <w:rFonts w:ascii="Arial" w:cs="Arial" w:eastAsia="Arial" w:hAnsi="Arial"/>
                <w:sz w:val="12"/>
                <w:szCs w:val="12"/>
                <w:color w:val="auto"/>
                <w:w w:val="87"/>
              </w:rPr>
              <w:t>Healthcare, Education and Childcare</w:t>
            </w:r>
          </w:p>
        </w:tc>
        <w:tc>
          <w:tcPr>
            <w:tcW w:w="960" w:type="dxa"/>
            <w:vAlign w:val="bottom"/>
            <w:gridSpan w:val="2"/>
          </w:tcPr>
          <w:p>
            <w:pPr>
              <w:jc w:val="right"/>
              <w:ind w:right="300"/>
              <w:spacing w:after="0"/>
              <w:rPr>
                <w:sz w:val="20"/>
                <w:szCs w:val="20"/>
                <w:color w:val="auto"/>
              </w:rPr>
            </w:pPr>
            <w:r>
              <w:rPr>
                <w:rFonts w:ascii="Arial" w:cs="Arial" w:eastAsia="Arial" w:hAnsi="Arial"/>
                <w:sz w:val="12"/>
                <w:szCs w:val="12"/>
                <w:color w:val="auto"/>
              </w:rPr>
              <w:t>—</w:t>
            </w:r>
          </w:p>
        </w:tc>
        <w:tc>
          <w:tcPr>
            <w:tcW w:w="900" w:type="dxa"/>
            <w:vAlign w:val="bottom"/>
            <w:gridSpan w:val="2"/>
          </w:tcPr>
          <w:p>
            <w:pPr>
              <w:jc w:val="right"/>
              <w:ind w:right="240"/>
              <w:spacing w:after="0"/>
              <w:rPr>
                <w:sz w:val="20"/>
                <w:szCs w:val="20"/>
                <w:color w:val="auto"/>
              </w:rPr>
            </w:pPr>
            <w:r>
              <w:rPr>
                <w:rFonts w:ascii="Arial" w:cs="Arial" w:eastAsia="Arial" w:hAnsi="Arial"/>
                <w:sz w:val="12"/>
                <w:szCs w:val="12"/>
                <w:color w:val="auto"/>
              </w:rPr>
              <w:t>—</w:t>
            </w:r>
          </w:p>
        </w:tc>
        <w:tc>
          <w:tcPr>
            <w:tcW w:w="680" w:type="dxa"/>
            <w:vAlign w:val="bottom"/>
          </w:tcPr>
          <w:p>
            <w:pPr>
              <w:jc w:val="right"/>
              <w:spacing w:after="0"/>
              <w:rPr>
                <w:sz w:val="20"/>
                <w:szCs w:val="20"/>
                <w:color w:val="auto"/>
              </w:rPr>
            </w:pPr>
            <w:r>
              <w:rPr>
                <w:rFonts w:ascii="Arial" w:cs="Arial" w:eastAsia="Arial" w:hAnsi="Arial"/>
                <w:sz w:val="12"/>
                <w:szCs w:val="12"/>
                <w:color w:val="auto"/>
              </w:rPr>
              <w:t>753</w:t>
            </w:r>
          </w:p>
        </w:tc>
        <w:tc>
          <w:tcPr>
            <w:tcW w:w="380" w:type="dxa"/>
            <w:vAlign w:val="bottom"/>
            <w:gridSpan w:val="2"/>
          </w:tcPr>
          <w:p>
            <w:pPr>
              <w:jc w:val="right"/>
              <w:ind w:right="20"/>
              <w:spacing w:after="0"/>
              <w:rPr>
                <w:sz w:val="20"/>
                <w:szCs w:val="20"/>
                <w:color w:val="auto"/>
              </w:rPr>
            </w:pPr>
            <w:r>
              <w:rPr>
                <w:rFonts w:ascii="Arial" w:cs="Arial" w:eastAsia="Arial" w:hAnsi="Arial"/>
                <w:sz w:val="12"/>
                <w:szCs w:val="12"/>
                <w:color w:val="auto"/>
              </w:rPr>
              <w:t>$</w:t>
            </w:r>
          </w:p>
        </w:tc>
        <w:tc>
          <w:tcPr>
            <w:tcW w:w="620" w:type="dxa"/>
            <w:vAlign w:val="bottom"/>
          </w:tcPr>
          <w:p>
            <w:pPr>
              <w:jc w:val="right"/>
              <w:spacing w:after="0"/>
              <w:rPr>
                <w:sz w:val="20"/>
                <w:szCs w:val="20"/>
                <w:color w:val="auto"/>
              </w:rPr>
            </w:pPr>
            <w:r>
              <w:rPr>
                <w:rFonts w:ascii="Arial" w:cs="Arial" w:eastAsia="Arial" w:hAnsi="Arial"/>
                <w:sz w:val="12"/>
                <w:szCs w:val="12"/>
                <w:color w:val="auto"/>
              </w:rPr>
              <w:t>—</w:t>
            </w:r>
          </w:p>
        </w:tc>
        <w:tc>
          <w:tcPr>
            <w:tcW w:w="320" w:type="dxa"/>
            <w:vAlign w:val="bottom"/>
            <w:gridSpan w:val="2"/>
          </w:tcPr>
          <w:p>
            <w:pPr>
              <w:jc w:val="right"/>
              <w:spacing w:after="0"/>
              <w:rPr>
                <w:sz w:val="20"/>
                <w:szCs w:val="20"/>
                <w:color w:val="auto"/>
              </w:rPr>
            </w:pPr>
            <w:r>
              <w:rPr>
                <w:rFonts w:ascii="Arial" w:cs="Arial" w:eastAsia="Arial" w:hAnsi="Arial"/>
                <w:sz w:val="12"/>
                <w:szCs w:val="12"/>
                <w:color w:val="auto"/>
              </w:rPr>
              <w:t>$</w:t>
            </w:r>
          </w:p>
        </w:tc>
        <w:tc>
          <w:tcPr>
            <w:tcW w:w="740" w:type="dxa"/>
            <w:vAlign w:val="bottom"/>
            <w:gridSpan w:val="2"/>
          </w:tcPr>
          <w:p>
            <w:pPr>
              <w:jc w:val="right"/>
              <w:ind w:right="120"/>
              <w:spacing w:after="0"/>
              <w:rPr>
                <w:sz w:val="20"/>
                <w:szCs w:val="20"/>
                <w:color w:val="auto"/>
              </w:rPr>
            </w:pPr>
            <w:r>
              <w:rPr>
                <w:rFonts w:ascii="Arial" w:cs="Arial" w:eastAsia="Arial" w:hAnsi="Arial"/>
                <w:sz w:val="12"/>
                <w:szCs w:val="12"/>
                <w:color w:val="auto"/>
              </w:rPr>
              <w:t>—</w:t>
            </w:r>
          </w:p>
        </w:tc>
      </w:tr>
      <w:tr>
        <w:trPr>
          <w:trHeight w:val="148"/>
        </w:trPr>
        <w:tc>
          <w:tcPr>
            <w:tcW w:w="3000" w:type="dxa"/>
            <w:vAlign w:val="bottom"/>
            <w:shd w:val="clear" w:color="auto" w:fill="CCECFF"/>
          </w:tcPr>
          <w:p>
            <w:pPr>
              <w:spacing w:after="0"/>
              <w:rPr>
                <w:sz w:val="20"/>
                <w:szCs w:val="20"/>
                <w:color w:val="auto"/>
              </w:rPr>
            </w:pPr>
            <w:r>
              <w:rPr>
                <w:rFonts w:ascii="Arial" w:cs="Arial" w:eastAsia="Arial" w:hAnsi="Arial"/>
                <w:sz w:val="12"/>
                <w:szCs w:val="12"/>
                <w:color w:val="auto"/>
              </w:rPr>
              <w:t>Alegeus Technologies Holdings Corp.</w:t>
            </w:r>
          </w:p>
        </w:tc>
        <w:tc>
          <w:tcPr>
            <w:tcW w:w="940" w:type="dxa"/>
            <w:vAlign w:val="bottom"/>
            <w:shd w:val="clear" w:color="auto" w:fill="CCECFF"/>
          </w:tcPr>
          <w:p>
            <w:pPr>
              <w:ind w:left="380"/>
              <w:spacing w:after="0"/>
              <w:rPr>
                <w:sz w:val="20"/>
                <w:szCs w:val="20"/>
                <w:color w:val="auto"/>
              </w:rPr>
            </w:pPr>
            <w:r>
              <w:rPr>
                <w:rFonts w:ascii="Arial" w:cs="Arial" w:eastAsia="Arial" w:hAnsi="Arial"/>
                <w:sz w:val="12"/>
                <w:szCs w:val="12"/>
                <w:color w:val="auto"/>
              </w:rPr>
              <w:t>—</w:t>
            </w:r>
          </w:p>
        </w:tc>
        <w:tc>
          <w:tcPr>
            <w:tcW w:w="2700" w:type="dxa"/>
            <w:vAlign w:val="bottom"/>
            <w:gridSpan w:val="2"/>
            <w:shd w:val="clear" w:color="auto" w:fill="CCECFF"/>
          </w:tcPr>
          <w:p>
            <w:pPr>
              <w:jc w:val="center"/>
              <w:ind w:right="200"/>
              <w:spacing w:after="0"/>
              <w:rPr>
                <w:sz w:val="20"/>
                <w:szCs w:val="20"/>
                <w:color w:val="auto"/>
              </w:rPr>
            </w:pPr>
            <w:r>
              <w:rPr>
                <w:rFonts w:ascii="Arial" w:cs="Arial" w:eastAsia="Arial" w:hAnsi="Arial"/>
                <w:sz w:val="12"/>
                <w:szCs w:val="12"/>
                <w:color w:val="auto"/>
                <w:w w:val="88"/>
              </w:rPr>
              <w:t>Financial Services</w:t>
            </w:r>
          </w:p>
        </w:tc>
        <w:tc>
          <w:tcPr>
            <w:tcW w:w="960" w:type="dxa"/>
            <w:vAlign w:val="bottom"/>
            <w:gridSpan w:val="2"/>
            <w:shd w:val="clear" w:color="auto" w:fill="CCECFF"/>
          </w:tcPr>
          <w:p>
            <w:pPr>
              <w:jc w:val="right"/>
              <w:ind w:right="300"/>
              <w:spacing w:after="0"/>
              <w:rPr>
                <w:sz w:val="20"/>
                <w:szCs w:val="20"/>
                <w:color w:val="auto"/>
              </w:rPr>
            </w:pPr>
            <w:r>
              <w:rPr>
                <w:rFonts w:ascii="Arial" w:cs="Arial" w:eastAsia="Arial" w:hAnsi="Arial"/>
                <w:sz w:val="12"/>
                <w:szCs w:val="12"/>
                <w:color w:val="auto"/>
              </w:rPr>
              <w:t>—</w:t>
            </w:r>
          </w:p>
        </w:tc>
        <w:tc>
          <w:tcPr>
            <w:tcW w:w="900" w:type="dxa"/>
            <w:vAlign w:val="bottom"/>
            <w:gridSpan w:val="2"/>
            <w:shd w:val="clear" w:color="auto" w:fill="CCECFF"/>
          </w:tcPr>
          <w:p>
            <w:pPr>
              <w:jc w:val="right"/>
              <w:ind w:right="240"/>
              <w:spacing w:after="0"/>
              <w:rPr>
                <w:sz w:val="20"/>
                <w:szCs w:val="20"/>
                <w:color w:val="auto"/>
              </w:rPr>
            </w:pPr>
            <w:r>
              <w:rPr>
                <w:rFonts w:ascii="Arial" w:cs="Arial" w:eastAsia="Arial" w:hAnsi="Arial"/>
                <w:sz w:val="12"/>
                <w:szCs w:val="12"/>
                <w:color w:val="auto"/>
              </w:rPr>
              <w:t>—</w:t>
            </w:r>
          </w:p>
        </w:tc>
        <w:tc>
          <w:tcPr>
            <w:tcW w:w="680" w:type="dxa"/>
            <w:vAlign w:val="bottom"/>
            <w:shd w:val="clear" w:color="auto" w:fill="CCECFF"/>
          </w:tcPr>
          <w:p>
            <w:pPr>
              <w:jc w:val="right"/>
              <w:spacing w:after="0"/>
              <w:rPr>
                <w:sz w:val="20"/>
                <w:szCs w:val="20"/>
                <w:color w:val="auto"/>
              </w:rPr>
            </w:pPr>
            <w:r>
              <w:rPr>
                <w:rFonts w:ascii="Arial" w:cs="Arial" w:eastAsia="Arial" w:hAnsi="Arial"/>
                <w:sz w:val="12"/>
                <w:szCs w:val="12"/>
                <w:color w:val="auto"/>
              </w:rPr>
              <w:t>1</w:t>
            </w:r>
          </w:p>
        </w:tc>
        <w:tc>
          <w:tcPr>
            <w:tcW w:w="300" w:type="dxa"/>
            <w:vAlign w:val="bottom"/>
            <w:shd w:val="clear" w:color="auto" w:fill="CCECFF"/>
          </w:tcPr>
          <w:p>
            <w:pPr>
              <w:spacing w:after="0"/>
              <w:rPr>
                <w:sz w:val="12"/>
                <w:szCs w:val="12"/>
                <w:color w:val="auto"/>
              </w:rPr>
            </w:pPr>
          </w:p>
        </w:tc>
        <w:tc>
          <w:tcPr>
            <w:tcW w:w="80" w:type="dxa"/>
            <w:vAlign w:val="bottom"/>
            <w:shd w:val="clear" w:color="auto" w:fill="CCECFF"/>
          </w:tcPr>
          <w:p>
            <w:pPr>
              <w:spacing w:after="0"/>
              <w:rPr>
                <w:sz w:val="12"/>
                <w:szCs w:val="12"/>
                <w:color w:val="auto"/>
              </w:rPr>
            </w:pPr>
          </w:p>
        </w:tc>
        <w:tc>
          <w:tcPr>
            <w:tcW w:w="620" w:type="dxa"/>
            <w:vAlign w:val="bottom"/>
            <w:shd w:val="clear" w:color="auto" w:fill="CCECFF"/>
          </w:tcPr>
          <w:p>
            <w:pPr>
              <w:jc w:val="right"/>
              <w:spacing w:after="0"/>
              <w:rPr>
                <w:sz w:val="20"/>
                <w:szCs w:val="20"/>
                <w:color w:val="auto"/>
              </w:rPr>
            </w:pPr>
            <w:r>
              <w:rPr>
                <w:rFonts w:ascii="Arial" w:cs="Arial" w:eastAsia="Arial" w:hAnsi="Arial"/>
                <w:sz w:val="12"/>
                <w:szCs w:val="12"/>
                <w:color w:val="auto"/>
              </w:rPr>
              <w:t>950</w:t>
            </w:r>
          </w:p>
        </w:tc>
        <w:tc>
          <w:tcPr>
            <w:tcW w:w="240" w:type="dxa"/>
            <w:vAlign w:val="bottom"/>
            <w:shd w:val="clear" w:color="auto" w:fill="CCECFF"/>
          </w:tcPr>
          <w:p>
            <w:pPr>
              <w:spacing w:after="0"/>
              <w:rPr>
                <w:sz w:val="12"/>
                <w:szCs w:val="12"/>
                <w:color w:val="auto"/>
              </w:rPr>
            </w:pPr>
          </w:p>
        </w:tc>
        <w:tc>
          <w:tcPr>
            <w:tcW w:w="80" w:type="dxa"/>
            <w:vAlign w:val="bottom"/>
            <w:shd w:val="clear" w:color="auto" w:fill="CCECFF"/>
          </w:tcPr>
          <w:p>
            <w:pPr>
              <w:spacing w:after="0"/>
              <w:rPr>
                <w:sz w:val="12"/>
                <w:szCs w:val="12"/>
                <w:color w:val="auto"/>
              </w:rPr>
            </w:pPr>
          </w:p>
        </w:tc>
        <w:tc>
          <w:tcPr>
            <w:tcW w:w="640" w:type="dxa"/>
            <w:vAlign w:val="bottom"/>
            <w:shd w:val="clear" w:color="auto" w:fill="CCECFF"/>
          </w:tcPr>
          <w:p>
            <w:pPr>
              <w:jc w:val="right"/>
              <w:spacing w:after="0"/>
              <w:rPr>
                <w:sz w:val="20"/>
                <w:szCs w:val="20"/>
                <w:color w:val="auto"/>
              </w:rPr>
            </w:pPr>
            <w:r>
              <w:rPr>
                <w:rFonts w:ascii="Arial" w:cs="Arial" w:eastAsia="Arial" w:hAnsi="Arial"/>
                <w:sz w:val="12"/>
                <w:szCs w:val="12"/>
                <w:color w:val="auto"/>
              </w:rPr>
              <w:t>1,139</w:t>
            </w:r>
          </w:p>
        </w:tc>
        <w:tc>
          <w:tcPr>
            <w:tcW w:w="100" w:type="dxa"/>
            <w:vAlign w:val="bottom"/>
            <w:shd w:val="clear" w:color="auto" w:fill="CCECFF"/>
          </w:tcPr>
          <w:p>
            <w:pPr>
              <w:spacing w:after="0"/>
              <w:rPr>
                <w:sz w:val="12"/>
                <w:szCs w:val="12"/>
                <w:color w:val="auto"/>
              </w:rPr>
            </w:pPr>
          </w:p>
        </w:tc>
      </w:tr>
      <w:tr>
        <w:trPr>
          <w:trHeight w:val="148"/>
        </w:trPr>
        <w:tc>
          <w:tcPr>
            <w:tcW w:w="3000" w:type="dxa"/>
            <w:vAlign w:val="bottom"/>
          </w:tcPr>
          <w:p>
            <w:pPr>
              <w:spacing w:after="0"/>
              <w:rPr>
                <w:sz w:val="20"/>
                <w:szCs w:val="20"/>
                <w:color w:val="auto"/>
              </w:rPr>
            </w:pPr>
            <w:r>
              <w:rPr>
                <w:rFonts w:ascii="Arial" w:cs="Arial" w:eastAsia="Arial" w:hAnsi="Arial"/>
                <w:sz w:val="12"/>
                <w:szCs w:val="12"/>
                <w:color w:val="auto"/>
              </w:rPr>
              <w:t>ASP LCG Holdings, Inc. (Warrants)</w:t>
            </w:r>
          </w:p>
        </w:tc>
        <w:tc>
          <w:tcPr>
            <w:tcW w:w="940" w:type="dxa"/>
            <w:vAlign w:val="bottom"/>
          </w:tcPr>
          <w:p>
            <w:pPr>
              <w:ind w:left="120"/>
              <w:spacing w:after="0"/>
              <w:rPr>
                <w:sz w:val="20"/>
                <w:szCs w:val="20"/>
                <w:color w:val="auto"/>
              </w:rPr>
            </w:pPr>
            <w:r>
              <w:rPr>
                <w:rFonts w:ascii="Arial" w:cs="Arial" w:eastAsia="Arial" w:hAnsi="Arial"/>
                <w:sz w:val="12"/>
                <w:szCs w:val="12"/>
                <w:color w:val="auto"/>
              </w:rPr>
              <w:t>05/05/2026</w:t>
            </w:r>
          </w:p>
        </w:tc>
        <w:tc>
          <w:tcPr>
            <w:tcW w:w="2700" w:type="dxa"/>
            <w:vAlign w:val="bottom"/>
            <w:gridSpan w:val="2"/>
          </w:tcPr>
          <w:p>
            <w:pPr>
              <w:jc w:val="center"/>
              <w:ind w:right="200"/>
              <w:spacing w:after="0"/>
              <w:rPr>
                <w:sz w:val="20"/>
                <w:szCs w:val="20"/>
                <w:color w:val="auto"/>
              </w:rPr>
            </w:pPr>
            <w:r>
              <w:rPr>
                <w:rFonts w:ascii="Arial" w:cs="Arial" w:eastAsia="Arial" w:hAnsi="Arial"/>
                <w:sz w:val="12"/>
                <w:szCs w:val="12"/>
                <w:color w:val="auto"/>
                <w:w w:val="86"/>
              </w:rPr>
              <w:t>Education</w:t>
            </w:r>
          </w:p>
        </w:tc>
        <w:tc>
          <w:tcPr>
            <w:tcW w:w="960" w:type="dxa"/>
            <w:vAlign w:val="bottom"/>
            <w:gridSpan w:val="2"/>
          </w:tcPr>
          <w:p>
            <w:pPr>
              <w:jc w:val="right"/>
              <w:ind w:right="300"/>
              <w:spacing w:after="0"/>
              <w:rPr>
                <w:sz w:val="20"/>
                <w:szCs w:val="20"/>
                <w:color w:val="auto"/>
              </w:rPr>
            </w:pPr>
            <w:r>
              <w:rPr>
                <w:rFonts w:ascii="Arial" w:cs="Arial" w:eastAsia="Arial" w:hAnsi="Arial"/>
                <w:sz w:val="12"/>
                <w:szCs w:val="12"/>
                <w:color w:val="auto"/>
              </w:rPr>
              <w:t>—</w:t>
            </w:r>
          </w:p>
        </w:tc>
        <w:tc>
          <w:tcPr>
            <w:tcW w:w="900" w:type="dxa"/>
            <w:vAlign w:val="bottom"/>
            <w:gridSpan w:val="2"/>
          </w:tcPr>
          <w:p>
            <w:pPr>
              <w:jc w:val="right"/>
              <w:ind w:right="240"/>
              <w:spacing w:after="0"/>
              <w:rPr>
                <w:sz w:val="20"/>
                <w:szCs w:val="20"/>
                <w:color w:val="auto"/>
              </w:rPr>
            </w:pPr>
            <w:r>
              <w:rPr>
                <w:rFonts w:ascii="Arial" w:cs="Arial" w:eastAsia="Arial" w:hAnsi="Arial"/>
                <w:sz w:val="12"/>
                <w:szCs w:val="12"/>
                <w:color w:val="auto"/>
              </w:rPr>
              <w:t>—</w:t>
            </w:r>
          </w:p>
        </w:tc>
        <w:tc>
          <w:tcPr>
            <w:tcW w:w="680" w:type="dxa"/>
            <w:vAlign w:val="bottom"/>
          </w:tcPr>
          <w:p>
            <w:pPr>
              <w:jc w:val="right"/>
              <w:spacing w:after="0"/>
              <w:rPr>
                <w:sz w:val="20"/>
                <w:szCs w:val="20"/>
                <w:color w:val="auto"/>
              </w:rPr>
            </w:pPr>
            <w:r>
              <w:rPr>
                <w:rFonts w:ascii="Arial" w:cs="Arial" w:eastAsia="Arial" w:hAnsi="Arial"/>
                <w:sz w:val="12"/>
                <w:szCs w:val="12"/>
                <w:color w:val="auto"/>
              </w:rPr>
              <w:t>933</w:t>
            </w:r>
          </w:p>
        </w:tc>
        <w:tc>
          <w:tcPr>
            <w:tcW w:w="3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20" w:type="dxa"/>
            <w:vAlign w:val="bottom"/>
          </w:tcPr>
          <w:p>
            <w:pPr>
              <w:jc w:val="right"/>
              <w:spacing w:after="0"/>
              <w:rPr>
                <w:sz w:val="20"/>
                <w:szCs w:val="20"/>
                <w:color w:val="auto"/>
              </w:rPr>
            </w:pPr>
            <w:r>
              <w:rPr>
                <w:rFonts w:ascii="Arial" w:cs="Arial" w:eastAsia="Arial" w:hAnsi="Arial"/>
                <w:sz w:val="12"/>
                <w:szCs w:val="12"/>
                <w:color w:val="auto"/>
              </w:rPr>
              <w:t>586,975</w:t>
            </w:r>
          </w:p>
        </w:tc>
        <w:tc>
          <w:tcPr>
            <w:tcW w:w="2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40" w:type="dxa"/>
            <w:vAlign w:val="bottom"/>
          </w:tcPr>
          <w:p>
            <w:pPr>
              <w:jc w:val="right"/>
              <w:spacing w:after="0"/>
              <w:rPr>
                <w:sz w:val="20"/>
                <w:szCs w:val="20"/>
                <w:color w:val="auto"/>
              </w:rPr>
            </w:pPr>
            <w:r>
              <w:rPr>
                <w:rFonts w:ascii="Arial" w:cs="Arial" w:eastAsia="Arial" w:hAnsi="Arial"/>
                <w:sz w:val="12"/>
                <w:szCs w:val="12"/>
                <w:color w:val="auto"/>
              </w:rPr>
              <w:t>1,661,384</w:t>
            </w:r>
          </w:p>
        </w:tc>
        <w:tc>
          <w:tcPr>
            <w:tcW w:w="100" w:type="dxa"/>
            <w:vAlign w:val="bottom"/>
          </w:tcPr>
          <w:p>
            <w:pPr>
              <w:spacing w:after="0"/>
              <w:rPr>
                <w:sz w:val="12"/>
                <w:szCs w:val="12"/>
                <w:color w:val="auto"/>
              </w:rPr>
            </w:pPr>
          </w:p>
        </w:tc>
      </w:tr>
      <w:tr>
        <w:trPr>
          <w:trHeight w:val="148"/>
        </w:trPr>
        <w:tc>
          <w:tcPr>
            <w:tcW w:w="3000" w:type="dxa"/>
            <w:vAlign w:val="bottom"/>
            <w:shd w:val="clear" w:color="auto" w:fill="CCECFF"/>
          </w:tcPr>
          <w:p>
            <w:pPr>
              <w:spacing w:after="0"/>
              <w:rPr>
                <w:sz w:val="20"/>
                <w:szCs w:val="20"/>
                <w:color w:val="auto"/>
              </w:rPr>
            </w:pPr>
            <w:r>
              <w:rPr>
                <w:rFonts w:ascii="Arial" w:cs="Arial" w:eastAsia="Arial" w:hAnsi="Arial"/>
                <w:sz w:val="12"/>
                <w:szCs w:val="12"/>
                <w:color w:val="auto"/>
              </w:rPr>
              <w:t>Autumn Games, LLC</w:t>
            </w:r>
          </w:p>
        </w:tc>
        <w:tc>
          <w:tcPr>
            <w:tcW w:w="940" w:type="dxa"/>
            <w:vAlign w:val="bottom"/>
            <w:shd w:val="clear" w:color="auto" w:fill="CCECFF"/>
          </w:tcPr>
          <w:p>
            <w:pPr>
              <w:ind w:left="380"/>
              <w:spacing w:after="0"/>
              <w:rPr>
                <w:sz w:val="20"/>
                <w:szCs w:val="20"/>
                <w:color w:val="auto"/>
              </w:rPr>
            </w:pPr>
            <w:r>
              <w:rPr>
                <w:rFonts w:ascii="Arial" w:cs="Arial" w:eastAsia="Arial" w:hAnsi="Arial"/>
                <w:sz w:val="12"/>
                <w:szCs w:val="12"/>
                <w:color w:val="auto"/>
              </w:rPr>
              <w:t>—</w:t>
            </w:r>
          </w:p>
        </w:tc>
        <w:tc>
          <w:tcPr>
            <w:tcW w:w="2700" w:type="dxa"/>
            <w:vAlign w:val="bottom"/>
            <w:gridSpan w:val="2"/>
            <w:shd w:val="clear" w:color="auto" w:fill="CCECFF"/>
          </w:tcPr>
          <w:p>
            <w:pPr>
              <w:jc w:val="center"/>
              <w:ind w:right="200"/>
              <w:spacing w:after="0"/>
              <w:rPr>
                <w:sz w:val="20"/>
                <w:szCs w:val="20"/>
                <w:color w:val="auto"/>
              </w:rPr>
            </w:pPr>
            <w:r>
              <w:rPr>
                <w:rFonts w:ascii="Arial" w:cs="Arial" w:eastAsia="Arial" w:hAnsi="Arial"/>
                <w:sz w:val="12"/>
                <w:szCs w:val="12"/>
                <w:color w:val="auto"/>
                <w:w w:val="87"/>
              </w:rPr>
              <w:t>Broadcasting and Entertainment</w:t>
            </w:r>
          </w:p>
        </w:tc>
        <w:tc>
          <w:tcPr>
            <w:tcW w:w="960" w:type="dxa"/>
            <w:vAlign w:val="bottom"/>
            <w:gridSpan w:val="2"/>
            <w:shd w:val="clear" w:color="auto" w:fill="CCECFF"/>
          </w:tcPr>
          <w:p>
            <w:pPr>
              <w:jc w:val="right"/>
              <w:ind w:right="300"/>
              <w:spacing w:after="0"/>
              <w:rPr>
                <w:sz w:val="20"/>
                <w:szCs w:val="20"/>
                <w:color w:val="auto"/>
              </w:rPr>
            </w:pPr>
            <w:r>
              <w:rPr>
                <w:rFonts w:ascii="Arial" w:cs="Arial" w:eastAsia="Arial" w:hAnsi="Arial"/>
                <w:sz w:val="12"/>
                <w:szCs w:val="12"/>
                <w:color w:val="auto"/>
              </w:rPr>
              <w:t>—</w:t>
            </w:r>
          </w:p>
        </w:tc>
        <w:tc>
          <w:tcPr>
            <w:tcW w:w="900" w:type="dxa"/>
            <w:vAlign w:val="bottom"/>
            <w:gridSpan w:val="2"/>
            <w:shd w:val="clear" w:color="auto" w:fill="CCECFF"/>
          </w:tcPr>
          <w:p>
            <w:pPr>
              <w:jc w:val="right"/>
              <w:ind w:right="240"/>
              <w:spacing w:after="0"/>
              <w:rPr>
                <w:sz w:val="20"/>
                <w:szCs w:val="20"/>
                <w:color w:val="auto"/>
              </w:rPr>
            </w:pPr>
            <w:r>
              <w:rPr>
                <w:rFonts w:ascii="Arial" w:cs="Arial" w:eastAsia="Arial" w:hAnsi="Arial"/>
                <w:sz w:val="12"/>
                <w:szCs w:val="12"/>
                <w:color w:val="auto"/>
              </w:rPr>
              <w:t>—</w:t>
            </w:r>
          </w:p>
        </w:tc>
        <w:tc>
          <w:tcPr>
            <w:tcW w:w="680" w:type="dxa"/>
            <w:vAlign w:val="bottom"/>
            <w:shd w:val="clear" w:color="auto" w:fill="CCECFF"/>
          </w:tcPr>
          <w:p>
            <w:pPr>
              <w:jc w:val="right"/>
              <w:spacing w:after="0"/>
              <w:rPr>
                <w:sz w:val="20"/>
                <w:szCs w:val="20"/>
                <w:color w:val="auto"/>
              </w:rPr>
            </w:pPr>
            <w:r>
              <w:rPr>
                <w:rFonts w:ascii="Arial" w:cs="Arial" w:eastAsia="Arial" w:hAnsi="Arial"/>
                <w:sz w:val="12"/>
                <w:szCs w:val="12"/>
                <w:color w:val="auto"/>
              </w:rPr>
              <w:t>1,333,330</w:t>
            </w:r>
          </w:p>
        </w:tc>
        <w:tc>
          <w:tcPr>
            <w:tcW w:w="300" w:type="dxa"/>
            <w:vAlign w:val="bottom"/>
            <w:shd w:val="clear" w:color="auto" w:fill="CCECFF"/>
          </w:tcPr>
          <w:p>
            <w:pPr>
              <w:spacing w:after="0"/>
              <w:rPr>
                <w:sz w:val="12"/>
                <w:szCs w:val="12"/>
                <w:color w:val="auto"/>
              </w:rPr>
            </w:pPr>
          </w:p>
        </w:tc>
        <w:tc>
          <w:tcPr>
            <w:tcW w:w="80" w:type="dxa"/>
            <w:vAlign w:val="bottom"/>
            <w:shd w:val="clear" w:color="auto" w:fill="CCECFF"/>
          </w:tcPr>
          <w:p>
            <w:pPr>
              <w:spacing w:after="0"/>
              <w:rPr>
                <w:sz w:val="12"/>
                <w:szCs w:val="12"/>
                <w:color w:val="auto"/>
              </w:rPr>
            </w:pPr>
          </w:p>
        </w:tc>
        <w:tc>
          <w:tcPr>
            <w:tcW w:w="620" w:type="dxa"/>
            <w:vAlign w:val="bottom"/>
            <w:shd w:val="clear" w:color="auto" w:fill="CCECFF"/>
          </w:tcPr>
          <w:p>
            <w:pPr>
              <w:jc w:val="right"/>
              <w:spacing w:after="0"/>
              <w:rPr>
                <w:sz w:val="20"/>
                <w:szCs w:val="20"/>
                <w:color w:val="auto"/>
              </w:rPr>
            </w:pPr>
            <w:r>
              <w:rPr>
                <w:rFonts w:ascii="Arial" w:cs="Arial" w:eastAsia="Arial" w:hAnsi="Arial"/>
                <w:sz w:val="12"/>
                <w:szCs w:val="12"/>
                <w:color w:val="auto"/>
              </w:rPr>
              <w:t>3,000,000</w:t>
            </w:r>
          </w:p>
        </w:tc>
        <w:tc>
          <w:tcPr>
            <w:tcW w:w="240" w:type="dxa"/>
            <w:vAlign w:val="bottom"/>
            <w:shd w:val="clear" w:color="auto" w:fill="CCECFF"/>
          </w:tcPr>
          <w:p>
            <w:pPr>
              <w:spacing w:after="0"/>
              <w:rPr>
                <w:sz w:val="12"/>
                <w:szCs w:val="12"/>
                <w:color w:val="auto"/>
              </w:rPr>
            </w:pPr>
          </w:p>
        </w:tc>
        <w:tc>
          <w:tcPr>
            <w:tcW w:w="80" w:type="dxa"/>
            <w:vAlign w:val="bottom"/>
            <w:shd w:val="clear" w:color="auto" w:fill="CCECFF"/>
          </w:tcPr>
          <w:p>
            <w:pPr>
              <w:spacing w:after="0"/>
              <w:rPr>
                <w:sz w:val="12"/>
                <w:szCs w:val="12"/>
                <w:color w:val="auto"/>
              </w:rPr>
            </w:pPr>
          </w:p>
        </w:tc>
        <w:tc>
          <w:tcPr>
            <w:tcW w:w="740" w:type="dxa"/>
            <w:vAlign w:val="bottom"/>
            <w:gridSpan w:val="2"/>
            <w:shd w:val="clear" w:color="auto" w:fill="CCECFF"/>
          </w:tcPr>
          <w:p>
            <w:pPr>
              <w:jc w:val="right"/>
              <w:ind w:right="120"/>
              <w:spacing w:after="0"/>
              <w:rPr>
                <w:sz w:val="20"/>
                <w:szCs w:val="20"/>
                <w:color w:val="auto"/>
              </w:rPr>
            </w:pPr>
            <w:r>
              <w:rPr>
                <w:rFonts w:ascii="Arial" w:cs="Arial" w:eastAsia="Arial" w:hAnsi="Arial"/>
                <w:sz w:val="12"/>
                <w:szCs w:val="12"/>
                <w:color w:val="auto"/>
              </w:rPr>
              <w:t>—</w:t>
            </w:r>
          </w:p>
        </w:tc>
      </w:tr>
      <w:tr>
        <w:trPr>
          <w:trHeight w:val="142"/>
        </w:trPr>
        <w:tc>
          <w:tcPr>
            <w:tcW w:w="3000" w:type="dxa"/>
            <w:vAlign w:val="bottom"/>
          </w:tcPr>
          <w:p>
            <w:pPr>
              <w:spacing w:after="0"/>
              <w:rPr>
                <w:sz w:val="20"/>
                <w:szCs w:val="20"/>
                <w:color w:val="auto"/>
              </w:rPr>
            </w:pPr>
            <w:r>
              <w:rPr>
                <w:rFonts w:ascii="Arial" w:cs="Arial" w:eastAsia="Arial" w:hAnsi="Arial"/>
                <w:sz w:val="12"/>
                <w:szCs w:val="12"/>
                <w:color w:val="auto"/>
              </w:rPr>
              <w:t xml:space="preserve">Cardinal Logistics Holdings LLC </w:t>
            </w:r>
            <w:r>
              <w:rPr>
                <w:rFonts w:ascii="Arial" w:cs="Arial" w:eastAsia="Arial" w:hAnsi="Arial"/>
                <w:sz w:val="9"/>
                <w:szCs w:val="9"/>
                <w:color w:val="auto"/>
              </w:rPr>
              <w:t>(10)</w:t>
            </w:r>
          </w:p>
        </w:tc>
        <w:tc>
          <w:tcPr>
            <w:tcW w:w="940" w:type="dxa"/>
            <w:vAlign w:val="bottom"/>
          </w:tcPr>
          <w:p>
            <w:pPr>
              <w:ind w:left="380"/>
              <w:spacing w:after="0"/>
              <w:rPr>
                <w:sz w:val="20"/>
                <w:szCs w:val="20"/>
                <w:color w:val="auto"/>
              </w:rPr>
            </w:pPr>
            <w:r>
              <w:rPr>
                <w:rFonts w:ascii="Arial" w:cs="Arial" w:eastAsia="Arial" w:hAnsi="Arial"/>
                <w:sz w:val="12"/>
                <w:szCs w:val="12"/>
                <w:color w:val="auto"/>
              </w:rPr>
              <w:t>—</w:t>
            </w:r>
          </w:p>
        </w:tc>
        <w:tc>
          <w:tcPr>
            <w:tcW w:w="2700" w:type="dxa"/>
            <w:vAlign w:val="bottom"/>
            <w:gridSpan w:val="2"/>
          </w:tcPr>
          <w:p>
            <w:pPr>
              <w:jc w:val="center"/>
              <w:ind w:right="180"/>
              <w:spacing w:after="0"/>
              <w:rPr>
                <w:sz w:val="20"/>
                <w:szCs w:val="20"/>
                <w:color w:val="auto"/>
              </w:rPr>
            </w:pPr>
            <w:r>
              <w:rPr>
                <w:rFonts w:ascii="Arial" w:cs="Arial" w:eastAsia="Arial" w:hAnsi="Arial"/>
                <w:sz w:val="12"/>
                <w:szCs w:val="12"/>
                <w:color w:val="auto"/>
                <w:w w:val="86"/>
              </w:rPr>
              <w:t>Cargo Transport</w:t>
            </w:r>
          </w:p>
        </w:tc>
        <w:tc>
          <w:tcPr>
            <w:tcW w:w="960" w:type="dxa"/>
            <w:vAlign w:val="bottom"/>
            <w:gridSpan w:val="2"/>
          </w:tcPr>
          <w:p>
            <w:pPr>
              <w:jc w:val="right"/>
              <w:ind w:right="300"/>
              <w:spacing w:after="0"/>
              <w:rPr>
                <w:sz w:val="20"/>
                <w:szCs w:val="20"/>
                <w:color w:val="auto"/>
              </w:rPr>
            </w:pPr>
            <w:r>
              <w:rPr>
                <w:rFonts w:ascii="Arial" w:cs="Arial" w:eastAsia="Arial" w:hAnsi="Arial"/>
                <w:sz w:val="12"/>
                <w:szCs w:val="12"/>
                <w:color w:val="auto"/>
              </w:rPr>
              <w:t>—</w:t>
            </w:r>
          </w:p>
        </w:tc>
        <w:tc>
          <w:tcPr>
            <w:tcW w:w="900" w:type="dxa"/>
            <w:vAlign w:val="bottom"/>
            <w:gridSpan w:val="2"/>
          </w:tcPr>
          <w:p>
            <w:pPr>
              <w:jc w:val="right"/>
              <w:ind w:right="240"/>
              <w:spacing w:after="0"/>
              <w:rPr>
                <w:sz w:val="20"/>
                <w:szCs w:val="20"/>
                <w:color w:val="auto"/>
              </w:rPr>
            </w:pPr>
            <w:r>
              <w:rPr>
                <w:rFonts w:ascii="Arial" w:cs="Arial" w:eastAsia="Arial" w:hAnsi="Arial"/>
                <w:sz w:val="12"/>
                <w:szCs w:val="12"/>
                <w:color w:val="auto"/>
              </w:rPr>
              <w:t>—</w:t>
            </w:r>
          </w:p>
        </w:tc>
        <w:tc>
          <w:tcPr>
            <w:tcW w:w="680" w:type="dxa"/>
            <w:vAlign w:val="bottom"/>
          </w:tcPr>
          <w:p>
            <w:pPr>
              <w:jc w:val="right"/>
              <w:spacing w:after="0"/>
              <w:rPr>
                <w:sz w:val="20"/>
                <w:szCs w:val="20"/>
                <w:color w:val="auto"/>
              </w:rPr>
            </w:pPr>
            <w:r>
              <w:rPr>
                <w:rFonts w:ascii="Arial" w:cs="Arial" w:eastAsia="Arial" w:hAnsi="Arial"/>
                <w:sz w:val="12"/>
                <w:szCs w:val="12"/>
                <w:color w:val="auto"/>
              </w:rPr>
              <w:t>—</w:t>
            </w:r>
          </w:p>
        </w:tc>
        <w:tc>
          <w:tcPr>
            <w:tcW w:w="300" w:type="dxa"/>
            <w:vAlign w:val="bottom"/>
          </w:tcPr>
          <w:p>
            <w:pPr>
              <w:jc w:val="right"/>
              <w:spacing w:after="0"/>
              <w:rPr>
                <w:sz w:val="20"/>
                <w:szCs w:val="20"/>
                <w:color w:val="auto"/>
              </w:rPr>
            </w:pPr>
            <w:r>
              <w:rPr>
                <w:rFonts w:ascii="Arial" w:cs="Arial" w:eastAsia="Arial" w:hAnsi="Arial"/>
                <w:sz w:val="10"/>
                <w:szCs w:val="10"/>
                <w:color w:val="auto"/>
              </w:rPr>
              <w:t>(13)</w:t>
            </w:r>
          </w:p>
        </w:tc>
        <w:tc>
          <w:tcPr>
            <w:tcW w:w="80" w:type="dxa"/>
            <w:vAlign w:val="bottom"/>
          </w:tcPr>
          <w:p>
            <w:pPr>
              <w:spacing w:after="0"/>
              <w:rPr>
                <w:sz w:val="12"/>
                <w:szCs w:val="12"/>
                <w:color w:val="auto"/>
              </w:rPr>
            </w:pPr>
          </w:p>
        </w:tc>
        <w:tc>
          <w:tcPr>
            <w:tcW w:w="620" w:type="dxa"/>
            <w:vAlign w:val="bottom"/>
          </w:tcPr>
          <w:p>
            <w:pPr>
              <w:jc w:val="right"/>
              <w:spacing w:after="0"/>
              <w:rPr>
                <w:sz w:val="20"/>
                <w:szCs w:val="20"/>
                <w:color w:val="auto"/>
              </w:rPr>
            </w:pPr>
            <w:r>
              <w:rPr>
                <w:rFonts w:ascii="Arial" w:cs="Arial" w:eastAsia="Arial" w:hAnsi="Arial"/>
                <w:sz w:val="12"/>
                <w:szCs w:val="12"/>
                <w:color w:val="auto"/>
              </w:rPr>
              <w:t>5,411,024</w:t>
            </w:r>
          </w:p>
        </w:tc>
        <w:tc>
          <w:tcPr>
            <w:tcW w:w="2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40" w:type="dxa"/>
            <w:vAlign w:val="bottom"/>
          </w:tcPr>
          <w:p>
            <w:pPr>
              <w:jc w:val="right"/>
              <w:spacing w:after="0"/>
              <w:rPr>
                <w:sz w:val="20"/>
                <w:szCs w:val="20"/>
                <w:color w:val="auto"/>
              </w:rPr>
            </w:pPr>
            <w:r>
              <w:rPr>
                <w:rFonts w:ascii="Arial" w:cs="Arial" w:eastAsia="Arial" w:hAnsi="Arial"/>
                <w:sz w:val="12"/>
                <w:szCs w:val="12"/>
                <w:color w:val="auto"/>
              </w:rPr>
              <w:t>3,299,444</w:t>
            </w:r>
          </w:p>
        </w:tc>
        <w:tc>
          <w:tcPr>
            <w:tcW w:w="100" w:type="dxa"/>
            <w:vAlign w:val="bottom"/>
          </w:tcPr>
          <w:p>
            <w:pPr>
              <w:spacing w:after="0"/>
              <w:rPr>
                <w:sz w:val="12"/>
                <w:szCs w:val="12"/>
                <w:color w:val="auto"/>
              </w:rPr>
            </w:pPr>
          </w:p>
        </w:tc>
      </w:tr>
      <w:tr>
        <w:trPr>
          <w:trHeight w:val="141"/>
        </w:trPr>
        <w:tc>
          <w:tcPr>
            <w:tcW w:w="3000" w:type="dxa"/>
            <w:vAlign w:val="bottom"/>
          </w:tcPr>
          <w:p>
            <w:pPr>
              <w:ind w:left="100"/>
              <w:spacing w:after="0"/>
              <w:rPr>
                <w:sz w:val="20"/>
                <w:szCs w:val="20"/>
                <w:color w:val="auto"/>
              </w:rPr>
            </w:pPr>
            <w:r>
              <w:rPr>
                <w:rFonts w:ascii="Arial" w:cs="Arial" w:eastAsia="Arial" w:hAnsi="Arial"/>
                <w:sz w:val="12"/>
                <w:szCs w:val="12"/>
                <w:color w:val="auto"/>
              </w:rPr>
              <w:t>(Intermediate Transportation 100, LLC)</w:t>
            </w:r>
          </w:p>
        </w:tc>
        <w:tc>
          <w:tcPr>
            <w:tcW w:w="940" w:type="dxa"/>
            <w:vAlign w:val="bottom"/>
          </w:tcPr>
          <w:p>
            <w:pPr>
              <w:spacing w:after="0"/>
              <w:rPr>
                <w:sz w:val="12"/>
                <w:szCs w:val="12"/>
                <w:color w:val="auto"/>
              </w:rPr>
            </w:pPr>
          </w:p>
        </w:tc>
        <w:tc>
          <w:tcPr>
            <w:tcW w:w="25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00" w:type="dxa"/>
            <w:vAlign w:val="bottom"/>
          </w:tcPr>
          <w:p>
            <w:pPr>
              <w:spacing w:after="0"/>
              <w:rPr>
                <w:sz w:val="12"/>
                <w:szCs w:val="12"/>
                <w:color w:val="auto"/>
              </w:rPr>
            </w:pPr>
          </w:p>
        </w:tc>
      </w:tr>
      <w:tr>
        <w:trPr>
          <w:trHeight w:val="148"/>
        </w:trPr>
        <w:tc>
          <w:tcPr>
            <w:tcW w:w="3000" w:type="dxa"/>
            <w:vAlign w:val="bottom"/>
            <w:shd w:val="clear" w:color="auto" w:fill="CCECFF"/>
          </w:tcPr>
          <w:p>
            <w:pPr>
              <w:spacing w:after="0"/>
              <w:rPr>
                <w:sz w:val="20"/>
                <w:szCs w:val="20"/>
                <w:color w:val="auto"/>
              </w:rPr>
            </w:pPr>
            <w:r>
              <w:rPr>
                <w:rFonts w:ascii="Arial" w:cs="Arial" w:eastAsia="Arial" w:hAnsi="Arial"/>
                <w:sz w:val="12"/>
                <w:szCs w:val="12"/>
                <w:color w:val="auto"/>
              </w:rPr>
              <w:t xml:space="preserve">Cascade Environmental LLC </w:t>
            </w:r>
            <w:r>
              <w:rPr>
                <w:rFonts w:ascii="Arial" w:cs="Arial" w:eastAsia="Arial" w:hAnsi="Arial"/>
                <w:sz w:val="9"/>
                <w:szCs w:val="9"/>
                <w:color w:val="auto"/>
              </w:rPr>
              <w:t>(10)</w:t>
            </w:r>
          </w:p>
        </w:tc>
        <w:tc>
          <w:tcPr>
            <w:tcW w:w="940" w:type="dxa"/>
            <w:vAlign w:val="bottom"/>
            <w:shd w:val="clear" w:color="auto" w:fill="CCECFF"/>
          </w:tcPr>
          <w:p>
            <w:pPr>
              <w:ind w:left="380"/>
              <w:spacing w:after="0"/>
              <w:rPr>
                <w:sz w:val="20"/>
                <w:szCs w:val="20"/>
                <w:color w:val="auto"/>
              </w:rPr>
            </w:pPr>
            <w:r>
              <w:rPr>
                <w:rFonts w:ascii="Arial" w:cs="Arial" w:eastAsia="Arial" w:hAnsi="Arial"/>
                <w:sz w:val="12"/>
                <w:szCs w:val="12"/>
                <w:color w:val="auto"/>
              </w:rPr>
              <w:t>—</w:t>
            </w:r>
          </w:p>
        </w:tc>
        <w:tc>
          <w:tcPr>
            <w:tcW w:w="2700" w:type="dxa"/>
            <w:vAlign w:val="bottom"/>
            <w:gridSpan w:val="2"/>
            <w:shd w:val="clear" w:color="auto" w:fill="CCECFF"/>
          </w:tcPr>
          <w:p>
            <w:pPr>
              <w:jc w:val="center"/>
              <w:ind w:right="180"/>
              <w:spacing w:after="0"/>
              <w:rPr>
                <w:sz w:val="20"/>
                <w:szCs w:val="20"/>
                <w:color w:val="auto"/>
              </w:rPr>
            </w:pPr>
            <w:r>
              <w:rPr>
                <w:rFonts w:ascii="Arial" w:cs="Arial" w:eastAsia="Arial" w:hAnsi="Arial"/>
                <w:sz w:val="12"/>
                <w:szCs w:val="12"/>
                <w:color w:val="auto"/>
                <w:w w:val="88"/>
              </w:rPr>
              <w:t>Environmental Services</w:t>
            </w:r>
          </w:p>
        </w:tc>
        <w:tc>
          <w:tcPr>
            <w:tcW w:w="960" w:type="dxa"/>
            <w:vAlign w:val="bottom"/>
            <w:gridSpan w:val="2"/>
            <w:shd w:val="clear" w:color="auto" w:fill="CCECFF"/>
          </w:tcPr>
          <w:p>
            <w:pPr>
              <w:jc w:val="right"/>
              <w:ind w:right="300"/>
              <w:spacing w:after="0"/>
              <w:rPr>
                <w:sz w:val="20"/>
                <w:szCs w:val="20"/>
                <w:color w:val="auto"/>
              </w:rPr>
            </w:pPr>
            <w:r>
              <w:rPr>
                <w:rFonts w:ascii="Arial" w:cs="Arial" w:eastAsia="Arial" w:hAnsi="Arial"/>
                <w:sz w:val="12"/>
                <w:szCs w:val="12"/>
                <w:color w:val="auto"/>
              </w:rPr>
              <w:t>—</w:t>
            </w:r>
          </w:p>
        </w:tc>
        <w:tc>
          <w:tcPr>
            <w:tcW w:w="900" w:type="dxa"/>
            <w:vAlign w:val="bottom"/>
            <w:gridSpan w:val="2"/>
            <w:shd w:val="clear" w:color="auto" w:fill="CCECFF"/>
          </w:tcPr>
          <w:p>
            <w:pPr>
              <w:jc w:val="right"/>
              <w:ind w:right="240"/>
              <w:spacing w:after="0"/>
              <w:rPr>
                <w:sz w:val="20"/>
                <w:szCs w:val="20"/>
                <w:color w:val="auto"/>
              </w:rPr>
            </w:pPr>
            <w:r>
              <w:rPr>
                <w:rFonts w:ascii="Arial" w:cs="Arial" w:eastAsia="Arial" w:hAnsi="Arial"/>
                <w:sz w:val="12"/>
                <w:szCs w:val="12"/>
                <w:color w:val="auto"/>
              </w:rPr>
              <w:t>—</w:t>
            </w:r>
          </w:p>
        </w:tc>
        <w:tc>
          <w:tcPr>
            <w:tcW w:w="680" w:type="dxa"/>
            <w:vAlign w:val="bottom"/>
            <w:shd w:val="clear" w:color="auto" w:fill="CCECFF"/>
          </w:tcPr>
          <w:p>
            <w:pPr>
              <w:jc w:val="right"/>
              <w:spacing w:after="0"/>
              <w:rPr>
                <w:sz w:val="20"/>
                <w:szCs w:val="20"/>
                <w:color w:val="auto"/>
              </w:rPr>
            </w:pPr>
            <w:r>
              <w:rPr>
                <w:rFonts w:ascii="Arial" w:cs="Arial" w:eastAsia="Arial" w:hAnsi="Arial"/>
                <w:sz w:val="12"/>
                <w:szCs w:val="12"/>
                <w:color w:val="auto"/>
              </w:rPr>
              <w:t>24,382</w:t>
            </w:r>
          </w:p>
        </w:tc>
        <w:tc>
          <w:tcPr>
            <w:tcW w:w="300" w:type="dxa"/>
            <w:vAlign w:val="bottom"/>
            <w:shd w:val="clear" w:color="auto" w:fill="CCECFF"/>
          </w:tcPr>
          <w:p>
            <w:pPr>
              <w:spacing w:after="0"/>
              <w:rPr>
                <w:sz w:val="12"/>
                <w:szCs w:val="12"/>
                <w:color w:val="auto"/>
              </w:rPr>
            </w:pPr>
          </w:p>
        </w:tc>
        <w:tc>
          <w:tcPr>
            <w:tcW w:w="80" w:type="dxa"/>
            <w:vAlign w:val="bottom"/>
            <w:shd w:val="clear" w:color="auto" w:fill="CCECFF"/>
          </w:tcPr>
          <w:p>
            <w:pPr>
              <w:spacing w:after="0"/>
              <w:rPr>
                <w:sz w:val="12"/>
                <w:szCs w:val="12"/>
                <w:color w:val="auto"/>
              </w:rPr>
            </w:pPr>
          </w:p>
        </w:tc>
        <w:tc>
          <w:tcPr>
            <w:tcW w:w="620" w:type="dxa"/>
            <w:vAlign w:val="bottom"/>
            <w:shd w:val="clear" w:color="auto" w:fill="CCECFF"/>
          </w:tcPr>
          <w:p>
            <w:pPr>
              <w:jc w:val="right"/>
              <w:spacing w:after="0"/>
              <w:rPr>
                <w:sz w:val="20"/>
                <w:szCs w:val="20"/>
                <w:color w:val="auto"/>
              </w:rPr>
            </w:pPr>
            <w:r>
              <w:rPr>
                <w:rFonts w:ascii="Arial" w:cs="Arial" w:eastAsia="Arial" w:hAnsi="Arial"/>
                <w:sz w:val="12"/>
                <w:szCs w:val="12"/>
                <w:color w:val="auto"/>
              </w:rPr>
              <w:t>2,518,909</w:t>
            </w:r>
          </w:p>
        </w:tc>
        <w:tc>
          <w:tcPr>
            <w:tcW w:w="240" w:type="dxa"/>
            <w:vAlign w:val="bottom"/>
            <w:shd w:val="clear" w:color="auto" w:fill="CCECFF"/>
          </w:tcPr>
          <w:p>
            <w:pPr>
              <w:spacing w:after="0"/>
              <w:rPr>
                <w:sz w:val="12"/>
                <w:szCs w:val="12"/>
                <w:color w:val="auto"/>
              </w:rPr>
            </w:pPr>
          </w:p>
        </w:tc>
        <w:tc>
          <w:tcPr>
            <w:tcW w:w="80" w:type="dxa"/>
            <w:vAlign w:val="bottom"/>
            <w:shd w:val="clear" w:color="auto" w:fill="CCECFF"/>
          </w:tcPr>
          <w:p>
            <w:pPr>
              <w:spacing w:after="0"/>
              <w:rPr>
                <w:sz w:val="12"/>
                <w:szCs w:val="12"/>
                <w:color w:val="auto"/>
              </w:rPr>
            </w:pPr>
          </w:p>
        </w:tc>
        <w:tc>
          <w:tcPr>
            <w:tcW w:w="640" w:type="dxa"/>
            <w:vAlign w:val="bottom"/>
            <w:shd w:val="clear" w:color="auto" w:fill="CCECFF"/>
          </w:tcPr>
          <w:p>
            <w:pPr>
              <w:jc w:val="right"/>
              <w:spacing w:after="0"/>
              <w:rPr>
                <w:sz w:val="20"/>
                <w:szCs w:val="20"/>
                <w:color w:val="auto"/>
              </w:rPr>
            </w:pPr>
            <w:r>
              <w:rPr>
                <w:rFonts w:ascii="Arial" w:cs="Arial" w:eastAsia="Arial" w:hAnsi="Arial"/>
                <w:sz w:val="12"/>
                <w:szCs w:val="12"/>
                <w:color w:val="auto"/>
              </w:rPr>
              <w:t>3,790,035</w:t>
            </w:r>
          </w:p>
        </w:tc>
        <w:tc>
          <w:tcPr>
            <w:tcW w:w="100" w:type="dxa"/>
            <w:vAlign w:val="bottom"/>
            <w:shd w:val="clear" w:color="auto" w:fill="CCECFF"/>
          </w:tcPr>
          <w:p>
            <w:pPr>
              <w:spacing w:after="0"/>
              <w:rPr>
                <w:sz w:val="12"/>
                <w:szCs w:val="12"/>
                <w:color w:val="auto"/>
              </w:rPr>
            </w:pPr>
          </w:p>
        </w:tc>
      </w:tr>
      <w:tr>
        <w:trPr>
          <w:trHeight w:val="148"/>
        </w:trPr>
        <w:tc>
          <w:tcPr>
            <w:tcW w:w="3000" w:type="dxa"/>
            <w:vAlign w:val="bottom"/>
          </w:tcPr>
          <w:p>
            <w:pPr>
              <w:spacing w:after="0"/>
              <w:rPr>
                <w:sz w:val="20"/>
                <w:szCs w:val="20"/>
                <w:color w:val="auto"/>
              </w:rPr>
            </w:pPr>
            <w:r>
              <w:rPr>
                <w:rFonts w:ascii="Arial" w:cs="Arial" w:eastAsia="Arial" w:hAnsi="Arial"/>
                <w:sz w:val="12"/>
                <w:szCs w:val="12"/>
                <w:color w:val="auto"/>
              </w:rPr>
              <w:t xml:space="preserve">CI (Galls) Prime Investment Holdings, LLC </w:t>
            </w:r>
            <w:r>
              <w:rPr>
                <w:rFonts w:ascii="Arial" w:cs="Arial" w:eastAsia="Arial" w:hAnsi="Arial"/>
                <w:sz w:val="9"/>
                <w:szCs w:val="9"/>
                <w:color w:val="auto"/>
              </w:rPr>
              <w:t>(10)</w:t>
            </w:r>
          </w:p>
        </w:tc>
        <w:tc>
          <w:tcPr>
            <w:tcW w:w="940" w:type="dxa"/>
            <w:vAlign w:val="bottom"/>
          </w:tcPr>
          <w:p>
            <w:pPr>
              <w:ind w:left="380"/>
              <w:spacing w:after="0"/>
              <w:rPr>
                <w:sz w:val="20"/>
                <w:szCs w:val="20"/>
                <w:color w:val="auto"/>
              </w:rPr>
            </w:pPr>
            <w:r>
              <w:rPr>
                <w:rFonts w:ascii="Arial" w:cs="Arial" w:eastAsia="Arial" w:hAnsi="Arial"/>
                <w:sz w:val="12"/>
                <w:szCs w:val="12"/>
                <w:color w:val="auto"/>
              </w:rPr>
              <w:t>—</w:t>
            </w:r>
          </w:p>
        </w:tc>
        <w:tc>
          <w:tcPr>
            <w:tcW w:w="2700" w:type="dxa"/>
            <w:vAlign w:val="bottom"/>
            <w:gridSpan w:val="2"/>
          </w:tcPr>
          <w:p>
            <w:pPr>
              <w:jc w:val="center"/>
              <w:ind w:right="200"/>
              <w:spacing w:after="0"/>
              <w:rPr>
                <w:sz w:val="20"/>
                <w:szCs w:val="20"/>
                <w:color w:val="auto"/>
              </w:rPr>
            </w:pPr>
            <w:r>
              <w:rPr>
                <w:rFonts w:ascii="Arial" w:cs="Arial" w:eastAsia="Arial" w:hAnsi="Arial"/>
                <w:sz w:val="12"/>
                <w:szCs w:val="12"/>
                <w:color w:val="auto"/>
                <w:w w:val="96"/>
              </w:rPr>
              <w:t>Distribution</w:t>
            </w:r>
          </w:p>
        </w:tc>
        <w:tc>
          <w:tcPr>
            <w:tcW w:w="960" w:type="dxa"/>
            <w:vAlign w:val="bottom"/>
            <w:gridSpan w:val="2"/>
          </w:tcPr>
          <w:p>
            <w:pPr>
              <w:jc w:val="right"/>
              <w:ind w:right="300"/>
              <w:spacing w:after="0"/>
              <w:rPr>
                <w:sz w:val="20"/>
                <w:szCs w:val="20"/>
                <w:color w:val="auto"/>
              </w:rPr>
            </w:pPr>
            <w:r>
              <w:rPr>
                <w:rFonts w:ascii="Arial" w:cs="Arial" w:eastAsia="Arial" w:hAnsi="Arial"/>
                <w:sz w:val="12"/>
                <w:szCs w:val="12"/>
                <w:color w:val="auto"/>
              </w:rPr>
              <w:t>—</w:t>
            </w:r>
          </w:p>
        </w:tc>
        <w:tc>
          <w:tcPr>
            <w:tcW w:w="900" w:type="dxa"/>
            <w:vAlign w:val="bottom"/>
            <w:gridSpan w:val="2"/>
          </w:tcPr>
          <w:p>
            <w:pPr>
              <w:jc w:val="right"/>
              <w:ind w:right="240"/>
              <w:spacing w:after="0"/>
              <w:rPr>
                <w:sz w:val="20"/>
                <w:szCs w:val="20"/>
                <w:color w:val="auto"/>
              </w:rPr>
            </w:pPr>
            <w:r>
              <w:rPr>
                <w:rFonts w:ascii="Arial" w:cs="Arial" w:eastAsia="Arial" w:hAnsi="Arial"/>
                <w:sz w:val="12"/>
                <w:szCs w:val="12"/>
                <w:color w:val="auto"/>
              </w:rPr>
              <w:t>—</w:t>
            </w:r>
          </w:p>
        </w:tc>
        <w:tc>
          <w:tcPr>
            <w:tcW w:w="680" w:type="dxa"/>
            <w:vAlign w:val="bottom"/>
          </w:tcPr>
          <w:p>
            <w:pPr>
              <w:jc w:val="right"/>
              <w:spacing w:after="0"/>
              <w:rPr>
                <w:sz w:val="20"/>
                <w:szCs w:val="20"/>
                <w:color w:val="auto"/>
              </w:rPr>
            </w:pPr>
            <w:r>
              <w:rPr>
                <w:rFonts w:ascii="Arial" w:cs="Arial" w:eastAsia="Arial" w:hAnsi="Arial"/>
                <w:sz w:val="12"/>
                <w:szCs w:val="12"/>
                <w:color w:val="auto"/>
              </w:rPr>
              <w:t>1,745,639</w:t>
            </w:r>
          </w:p>
        </w:tc>
        <w:tc>
          <w:tcPr>
            <w:tcW w:w="3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20" w:type="dxa"/>
            <w:vAlign w:val="bottom"/>
          </w:tcPr>
          <w:p>
            <w:pPr>
              <w:jc w:val="right"/>
              <w:spacing w:after="0"/>
              <w:rPr>
                <w:sz w:val="20"/>
                <w:szCs w:val="20"/>
                <w:color w:val="auto"/>
              </w:rPr>
            </w:pPr>
            <w:r>
              <w:rPr>
                <w:rFonts w:ascii="Arial" w:cs="Arial" w:eastAsia="Arial" w:hAnsi="Arial"/>
                <w:sz w:val="12"/>
                <w:szCs w:val="12"/>
                <w:color w:val="auto"/>
              </w:rPr>
              <w:t>1,745,639</w:t>
            </w:r>
          </w:p>
        </w:tc>
        <w:tc>
          <w:tcPr>
            <w:tcW w:w="2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40" w:type="dxa"/>
            <w:vAlign w:val="bottom"/>
          </w:tcPr>
          <w:p>
            <w:pPr>
              <w:jc w:val="right"/>
              <w:spacing w:after="0"/>
              <w:rPr>
                <w:sz w:val="20"/>
                <w:szCs w:val="20"/>
                <w:color w:val="auto"/>
              </w:rPr>
            </w:pPr>
            <w:r>
              <w:rPr>
                <w:rFonts w:ascii="Arial" w:cs="Arial" w:eastAsia="Arial" w:hAnsi="Arial"/>
                <w:sz w:val="12"/>
                <w:szCs w:val="12"/>
                <w:color w:val="auto"/>
              </w:rPr>
              <w:t>3,938,004</w:t>
            </w:r>
          </w:p>
        </w:tc>
        <w:tc>
          <w:tcPr>
            <w:tcW w:w="100" w:type="dxa"/>
            <w:vAlign w:val="bottom"/>
          </w:tcPr>
          <w:p>
            <w:pPr>
              <w:spacing w:after="0"/>
              <w:rPr>
                <w:sz w:val="12"/>
                <w:szCs w:val="12"/>
                <w:color w:val="auto"/>
              </w:rPr>
            </w:pPr>
          </w:p>
        </w:tc>
      </w:tr>
      <w:tr>
        <w:trPr>
          <w:trHeight w:val="148"/>
        </w:trPr>
        <w:tc>
          <w:tcPr>
            <w:tcW w:w="3000" w:type="dxa"/>
            <w:vAlign w:val="bottom"/>
            <w:shd w:val="clear" w:color="auto" w:fill="CCECFF"/>
          </w:tcPr>
          <w:p>
            <w:pPr>
              <w:spacing w:after="0"/>
              <w:rPr>
                <w:sz w:val="20"/>
                <w:szCs w:val="20"/>
                <w:color w:val="auto"/>
              </w:rPr>
            </w:pPr>
            <w:r>
              <w:rPr>
                <w:rFonts w:ascii="Arial" w:cs="Arial" w:eastAsia="Arial" w:hAnsi="Arial"/>
                <w:sz w:val="12"/>
                <w:szCs w:val="12"/>
                <w:color w:val="auto"/>
              </w:rPr>
              <w:t>Convergint Technologies Holdings, LLC</w:t>
            </w:r>
          </w:p>
        </w:tc>
        <w:tc>
          <w:tcPr>
            <w:tcW w:w="940" w:type="dxa"/>
            <w:vAlign w:val="bottom"/>
            <w:shd w:val="clear" w:color="auto" w:fill="CCECFF"/>
          </w:tcPr>
          <w:p>
            <w:pPr>
              <w:ind w:left="380"/>
              <w:spacing w:after="0"/>
              <w:rPr>
                <w:sz w:val="20"/>
                <w:szCs w:val="20"/>
                <w:color w:val="auto"/>
              </w:rPr>
            </w:pPr>
            <w:r>
              <w:rPr>
                <w:rFonts w:ascii="Arial" w:cs="Arial" w:eastAsia="Arial" w:hAnsi="Arial"/>
                <w:sz w:val="12"/>
                <w:szCs w:val="12"/>
                <w:color w:val="auto"/>
              </w:rPr>
              <w:t>—</w:t>
            </w:r>
          </w:p>
        </w:tc>
        <w:tc>
          <w:tcPr>
            <w:tcW w:w="2700" w:type="dxa"/>
            <w:vAlign w:val="bottom"/>
            <w:gridSpan w:val="2"/>
            <w:shd w:val="clear" w:color="auto" w:fill="CCECFF"/>
          </w:tcPr>
          <w:p>
            <w:pPr>
              <w:jc w:val="center"/>
              <w:ind w:right="200"/>
              <w:spacing w:after="0"/>
              <w:rPr>
                <w:sz w:val="20"/>
                <w:szCs w:val="20"/>
                <w:color w:val="auto"/>
              </w:rPr>
            </w:pPr>
            <w:r>
              <w:rPr>
                <w:rFonts w:ascii="Arial" w:cs="Arial" w:eastAsia="Arial" w:hAnsi="Arial"/>
                <w:sz w:val="12"/>
                <w:szCs w:val="12"/>
                <w:color w:val="auto"/>
                <w:w w:val="91"/>
              </w:rPr>
              <w:t>Electronics</w:t>
            </w:r>
          </w:p>
        </w:tc>
        <w:tc>
          <w:tcPr>
            <w:tcW w:w="960" w:type="dxa"/>
            <w:vAlign w:val="bottom"/>
            <w:gridSpan w:val="2"/>
            <w:shd w:val="clear" w:color="auto" w:fill="CCECFF"/>
          </w:tcPr>
          <w:p>
            <w:pPr>
              <w:jc w:val="right"/>
              <w:ind w:right="300"/>
              <w:spacing w:after="0"/>
              <w:rPr>
                <w:sz w:val="20"/>
                <w:szCs w:val="20"/>
                <w:color w:val="auto"/>
              </w:rPr>
            </w:pPr>
            <w:r>
              <w:rPr>
                <w:rFonts w:ascii="Arial" w:cs="Arial" w:eastAsia="Arial" w:hAnsi="Arial"/>
                <w:sz w:val="12"/>
                <w:szCs w:val="12"/>
                <w:color w:val="auto"/>
              </w:rPr>
              <w:t>—</w:t>
            </w:r>
          </w:p>
        </w:tc>
        <w:tc>
          <w:tcPr>
            <w:tcW w:w="900" w:type="dxa"/>
            <w:vAlign w:val="bottom"/>
            <w:gridSpan w:val="2"/>
            <w:shd w:val="clear" w:color="auto" w:fill="CCECFF"/>
          </w:tcPr>
          <w:p>
            <w:pPr>
              <w:jc w:val="right"/>
              <w:ind w:right="240"/>
              <w:spacing w:after="0"/>
              <w:rPr>
                <w:sz w:val="20"/>
                <w:szCs w:val="20"/>
                <w:color w:val="auto"/>
              </w:rPr>
            </w:pPr>
            <w:r>
              <w:rPr>
                <w:rFonts w:ascii="Arial" w:cs="Arial" w:eastAsia="Arial" w:hAnsi="Arial"/>
                <w:sz w:val="12"/>
                <w:szCs w:val="12"/>
                <w:color w:val="auto"/>
              </w:rPr>
              <w:t>—</w:t>
            </w:r>
          </w:p>
        </w:tc>
        <w:tc>
          <w:tcPr>
            <w:tcW w:w="680" w:type="dxa"/>
            <w:vAlign w:val="bottom"/>
            <w:shd w:val="clear" w:color="auto" w:fill="CCECFF"/>
          </w:tcPr>
          <w:p>
            <w:pPr>
              <w:jc w:val="right"/>
              <w:spacing w:after="0"/>
              <w:rPr>
                <w:sz w:val="20"/>
                <w:szCs w:val="20"/>
                <w:color w:val="auto"/>
              </w:rPr>
            </w:pPr>
            <w:r>
              <w:rPr>
                <w:rFonts w:ascii="Arial" w:cs="Arial" w:eastAsia="Arial" w:hAnsi="Arial"/>
                <w:sz w:val="12"/>
                <w:szCs w:val="12"/>
                <w:color w:val="auto"/>
              </w:rPr>
              <w:t>2,375</w:t>
            </w:r>
          </w:p>
        </w:tc>
        <w:tc>
          <w:tcPr>
            <w:tcW w:w="300" w:type="dxa"/>
            <w:vAlign w:val="bottom"/>
            <w:shd w:val="clear" w:color="auto" w:fill="CCECFF"/>
          </w:tcPr>
          <w:p>
            <w:pPr>
              <w:spacing w:after="0"/>
              <w:rPr>
                <w:sz w:val="12"/>
                <w:szCs w:val="12"/>
                <w:color w:val="auto"/>
              </w:rPr>
            </w:pPr>
          </w:p>
        </w:tc>
        <w:tc>
          <w:tcPr>
            <w:tcW w:w="80" w:type="dxa"/>
            <w:vAlign w:val="bottom"/>
            <w:shd w:val="clear" w:color="auto" w:fill="CCECFF"/>
          </w:tcPr>
          <w:p>
            <w:pPr>
              <w:spacing w:after="0"/>
              <w:rPr>
                <w:sz w:val="12"/>
                <w:szCs w:val="12"/>
                <w:color w:val="auto"/>
              </w:rPr>
            </w:pPr>
          </w:p>
        </w:tc>
        <w:tc>
          <w:tcPr>
            <w:tcW w:w="620" w:type="dxa"/>
            <w:vAlign w:val="bottom"/>
            <w:shd w:val="clear" w:color="auto" w:fill="CCECFF"/>
          </w:tcPr>
          <w:p>
            <w:pPr>
              <w:jc w:val="right"/>
              <w:spacing w:after="0"/>
              <w:rPr>
                <w:sz w:val="20"/>
                <w:szCs w:val="20"/>
                <w:color w:val="auto"/>
              </w:rPr>
            </w:pPr>
            <w:r>
              <w:rPr>
                <w:rFonts w:ascii="Arial" w:cs="Arial" w:eastAsia="Arial" w:hAnsi="Arial"/>
                <w:sz w:val="12"/>
                <w:szCs w:val="12"/>
                <w:color w:val="auto"/>
              </w:rPr>
              <w:t>—</w:t>
            </w:r>
          </w:p>
        </w:tc>
        <w:tc>
          <w:tcPr>
            <w:tcW w:w="240" w:type="dxa"/>
            <w:vAlign w:val="bottom"/>
            <w:shd w:val="clear" w:color="auto" w:fill="CCECFF"/>
          </w:tcPr>
          <w:p>
            <w:pPr>
              <w:spacing w:after="0"/>
              <w:rPr>
                <w:sz w:val="12"/>
                <w:szCs w:val="12"/>
                <w:color w:val="auto"/>
              </w:rPr>
            </w:pPr>
          </w:p>
        </w:tc>
        <w:tc>
          <w:tcPr>
            <w:tcW w:w="80" w:type="dxa"/>
            <w:vAlign w:val="bottom"/>
            <w:shd w:val="clear" w:color="auto" w:fill="CCECFF"/>
          </w:tcPr>
          <w:p>
            <w:pPr>
              <w:spacing w:after="0"/>
              <w:rPr>
                <w:sz w:val="12"/>
                <w:szCs w:val="12"/>
                <w:color w:val="auto"/>
              </w:rPr>
            </w:pPr>
          </w:p>
        </w:tc>
        <w:tc>
          <w:tcPr>
            <w:tcW w:w="640" w:type="dxa"/>
            <w:vAlign w:val="bottom"/>
            <w:shd w:val="clear" w:color="auto" w:fill="CCECFF"/>
          </w:tcPr>
          <w:p>
            <w:pPr>
              <w:jc w:val="right"/>
              <w:spacing w:after="0"/>
              <w:rPr>
                <w:sz w:val="20"/>
                <w:szCs w:val="20"/>
                <w:color w:val="auto"/>
              </w:rPr>
            </w:pPr>
            <w:r>
              <w:rPr>
                <w:rFonts w:ascii="Arial" w:cs="Arial" w:eastAsia="Arial" w:hAnsi="Arial"/>
                <w:sz w:val="12"/>
                <w:szCs w:val="12"/>
                <w:color w:val="auto"/>
              </w:rPr>
              <w:t>3,845,311</w:t>
            </w:r>
          </w:p>
        </w:tc>
        <w:tc>
          <w:tcPr>
            <w:tcW w:w="100" w:type="dxa"/>
            <w:vAlign w:val="bottom"/>
            <w:shd w:val="clear" w:color="auto" w:fill="CCECFF"/>
          </w:tcPr>
          <w:p>
            <w:pPr>
              <w:spacing w:after="0"/>
              <w:rPr>
                <w:sz w:val="12"/>
                <w:szCs w:val="12"/>
                <w:color w:val="auto"/>
              </w:rPr>
            </w:pPr>
          </w:p>
        </w:tc>
      </w:tr>
      <w:tr>
        <w:trPr>
          <w:trHeight w:val="148"/>
        </w:trPr>
        <w:tc>
          <w:tcPr>
            <w:tcW w:w="3000" w:type="dxa"/>
            <w:vAlign w:val="bottom"/>
          </w:tcPr>
          <w:p>
            <w:pPr>
              <w:spacing w:after="0"/>
              <w:rPr>
                <w:sz w:val="20"/>
                <w:szCs w:val="20"/>
                <w:color w:val="auto"/>
              </w:rPr>
            </w:pPr>
            <w:r>
              <w:rPr>
                <w:rFonts w:ascii="Arial" w:cs="Arial" w:eastAsia="Arial" w:hAnsi="Arial"/>
                <w:sz w:val="12"/>
                <w:szCs w:val="12"/>
                <w:color w:val="auto"/>
              </w:rPr>
              <w:t>Faraday Holdings, LLC (Interior Specialists, Inc.)</w:t>
            </w:r>
          </w:p>
        </w:tc>
        <w:tc>
          <w:tcPr>
            <w:tcW w:w="940" w:type="dxa"/>
            <w:vAlign w:val="bottom"/>
          </w:tcPr>
          <w:p>
            <w:pPr>
              <w:ind w:left="380"/>
              <w:spacing w:after="0"/>
              <w:rPr>
                <w:sz w:val="20"/>
                <w:szCs w:val="20"/>
                <w:color w:val="auto"/>
              </w:rPr>
            </w:pPr>
            <w:r>
              <w:rPr>
                <w:rFonts w:ascii="Arial" w:cs="Arial" w:eastAsia="Arial" w:hAnsi="Arial"/>
                <w:sz w:val="12"/>
                <w:szCs w:val="12"/>
                <w:color w:val="auto"/>
              </w:rPr>
              <w:t>—</w:t>
            </w:r>
          </w:p>
        </w:tc>
        <w:tc>
          <w:tcPr>
            <w:tcW w:w="2700" w:type="dxa"/>
            <w:vAlign w:val="bottom"/>
            <w:gridSpan w:val="2"/>
          </w:tcPr>
          <w:p>
            <w:pPr>
              <w:jc w:val="center"/>
              <w:ind w:right="180"/>
              <w:spacing w:after="0"/>
              <w:rPr>
                <w:sz w:val="20"/>
                <w:szCs w:val="20"/>
                <w:color w:val="auto"/>
              </w:rPr>
            </w:pPr>
            <w:r>
              <w:rPr>
                <w:rFonts w:ascii="Arial" w:cs="Arial" w:eastAsia="Arial" w:hAnsi="Arial"/>
                <w:sz w:val="12"/>
                <w:szCs w:val="12"/>
                <w:color w:val="auto"/>
                <w:w w:val="92"/>
              </w:rPr>
              <w:t>Building Materials</w:t>
            </w:r>
          </w:p>
        </w:tc>
        <w:tc>
          <w:tcPr>
            <w:tcW w:w="960" w:type="dxa"/>
            <w:vAlign w:val="bottom"/>
            <w:gridSpan w:val="2"/>
          </w:tcPr>
          <w:p>
            <w:pPr>
              <w:jc w:val="right"/>
              <w:ind w:right="300"/>
              <w:spacing w:after="0"/>
              <w:rPr>
                <w:sz w:val="20"/>
                <w:szCs w:val="20"/>
                <w:color w:val="auto"/>
              </w:rPr>
            </w:pPr>
            <w:r>
              <w:rPr>
                <w:rFonts w:ascii="Arial" w:cs="Arial" w:eastAsia="Arial" w:hAnsi="Arial"/>
                <w:sz w:val="12"/>
                <w:szCs w:val="12"/>
                <w:color w:val="auto"/>
              </w:rPr>
              <w:t>—</w:t>
            </w:r>
          </w:p>
        </w:tc>
        <w:tc>
          <w:tcPr>
            <w:tcW w:w="900" w:type="dxa"/>
            <w:vAlign w:val="bottom"/>
            <w:gridSpan w:val="2"/>
          </w:tcPr>
          <w:p>
            <w:pPr>
              <w:jc w:val="right"/>
              <w:ind w:right="240"/>
              <w:spacing w:after="0"/>
              <w:rPr>
                <w:sz w:val="20"/>
                <w:szCs w:val="20"/>
                <w:color w:val="auto"/>
              </w:rPr>
            </w:pPr>
            <w:r>
              <w:rPr>
                <w:rFonts w:ascii="Arial" w:cs="Arial" w:eastAsia="Arial" w:hAnsi="Arial"/>
                <w:sz w:val="12"/>
                <w:szCs w:val="12"/>
                <w:color w:val="auto"/>
              </w:rPr>
              <w:t>—</w:t>
            </w:r>
          </w:p>
        </w:tc>
        <w:tc>
          <w:tcPr>
            <w:tcW w:w="680" w:type="dxa"/>
            <w:vAlign w:val="bottom"/>
          </w:tcPr>
          <w:p>
            <w:pPr>
              <w:jc w:val="right"/>
              <w:spacing w:after="0"/>
              <w:rPr>
                <w:sz w:val="20"/>
                <w:szCs w:val="20"/>
                <w:color w:val="auto"/>
              </w:rPr>
            </w:pPr>
            <w:r>
              <w:rPr>
                <w:rFonts w:ascii="Arial" w:cs="Arial" w:eastAsia="Arial" w:hAnsi="Arial"/>
                <w:sz w:val="12"/>
                <w:szCs w:val="12"/>
                <w:color w:val="auto"/>
              </w:rPr>
              <w:t>4,277</w:t>
            </w:r>
          </w:p>
        </w:tc>
        <w:tc>
          <w:tcPr>
            <w:tcW w:w="3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20" w:type="dxa"/>
            <w:vAlign w:val="bottom"/>
          </w:tcPr>
          <w:p>
            <w:pPr>
              <w:jc w:val="right"/>
              <w:spacing w:after="0"/>
              <w:rPr>
                <w:sz w:val="20"/>
                <w:szCs w:val="20"/>
                <w:color w:val="auto"/>
              </w:rPr>
            </w:pPr>
            <w:r>
              <w:rPr>
                <w:rFonts w:ascii="Arial" w:cs="Arial" w:eastAsia="Arial" w:hAnsi="Arial"/>
                <w:sz w:val="12"/>
                <w:szCs w:val="12"/>
                <w:color w:val="auto"/>
              </w:rPr>
              <w:t>217,635</w:t>
            </w:r>
          </w:p>
        </w:tc>
        <w:tc>
          <w:tcPr>
            <w:tcW w:w="2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40" w:type="dxa"/>
            <w:vAlign w:val="bottom"/>
          </w:tcPr>
          <w:p>
            <w:pPr>
              <w:jc w:val="right"/>
              <w:spacing w:after="0"/>
              <w:rPr>
                <w:sz w:val="20"/>
                <w:szCs w:val="20"/>
                <w:color w:val="auto"/>
              </w:rPr>
            </w:pPr>
            <w:r>
              <w:rPr>
                <w:rFonts w:ascii="Arial" w:cs="Arial" w:eastAsia="Arial" w:hAnsi="Arial"/>
                <w:sz w:val="12"/>
                <w:szCs w:val="12"/>
                <w:color w:val="auto"/>
              </w:rPr>
              <w:t>718,665</w:t>
            </w:r>
          </w:p>
        </w:tc>
        <w:tc>
          <w:tcPr>
            <w:tcW w:w="100" w:type="dxa"/>
            <w:vAlign w:val="bottom"/>
          </w:tcPr>
          <w:p>
            <w:pPr>
              <w:spacing w:after="0"/>
              <w:rPr>
                <w:sz w:val="12"/>
                <w:szCs w:val="12"/>
                <w:color w:val="auto"/>
              </w:rPr>
            </w:pPr>
          </w:p>
        </w:tc>
      </w:tr>
      <w:tr>
        <w:trPr>
          <w:trHeight w:val="148"/>
        </w:trPr>
        <w:tc>
          <w:tcPr>
            <w:tcW w:w="3000" w:type="dxa"/>
            <w:vAlign w:val="bottom"/>
            <w:shd w:val="clear" w:color="auto" w:fill="CCECFF"/>
          </w:tcPr>
          <w:p>
            <w:pPr>
              <w:spacing w:after="0"/>
              <w:rPr>
                <w:sz w:val="20"/>
                <w:szCs w:val="20"/>
                <w:color w:val="auto"/>
              </w:rPr>
            </w:pPr>
            <w:r>
              <w:rPr>
                <w:rFonts w:ascii="Arial" w:cs="Arial" w:eastAsia="Arial" w:hAnsi="Arial"/>
                <w:sz w:val="12"/>
                <w:szCs w:val="12"/>
                <w:color w:val="auto"/>
              </w:rPr>
              <w:t>HW Holdco, LLC</w:t>
            </w:r>
          </w:p>
        </w:tc>
        <w:tc>
          <w:tcPr>
            <w:tcW w:w="940" w:type="dxa"/>
            <w:vAlign w:val="bottom"/>
            <w:shd w:val="clear" w:color="auto" w:fill="CCECFF"/>
          </w:tcPr>
          <w:p>
            <w:pPr>
              <w:ind w:left="380"/>
              <w:spacing w:after="0"/>
              <w:rPr>
                <w:sz w:val="20"/>
                <w:szCs w:val="20"/>
                <w:color w:val="auto"/>
              </w:rPr>
            </w:pPr>
            <w:r>
              <w:rPr>
                <w:rFonts w:ascii="Arial" w:cs="Arial" w:eastAsia="Arial" w:hAnsi="Arial"/>
                <w:sz w:val="12"/>
                <w:szCs w:val="12"/>
                <w:color w:val="auto"/>
              </w:rPr>
              <w:t>—</w:t>
            </w:r>
          </w:p>
        </w:tc>
        <w:tc>
          <w:tcPr>
            <w:tcW w:w="2700" w:type="dxa"/>
            <w:vAlign w:val="bottom"/>
            <w:gridSpan w:val="2"/>
            <w:shd w:val="clear" w:color="auto" w:fill="CCECFF"/>
          </w:tcPr>
          <w:p>
            <w:pPr>
              <w:jc w:val="center"/>
              <w:ind w:right="200"/>
              <w:spacing w:after="0"/>
              <w:rPr>
                <w:sz w:val="20"/>
                <w:szCs w:val="20"/>
                <w:color w:val="auto"/>
              </w:rPr>
            </w:pPr>
            <w:r>
              <w:rPr>
                <w:rFonts w:ascii="Arial" w:cs="Arial" w:eastAsia="Arial" w:hAnsi="Arial"/>
                <w:sz w:val="12"/>
                <w:szCs w:val="12"/>
                <w:color w:val="auto"/>
                <w:w w:val="87"/>
              </w:rPr>
              <w:t>Other Media</w:t>
            </w:r>
          </w:p>
        </w:tc>
        <w:tc>
          <w:tcPr>
            <w:tcW w:w="960" w:type="dxa"/>
            <w:vAlign w:val="bottom"/>
            <w:gridSpan w:val="2"/>
            <w:shd w:val="clear" w:color="auto" w:fill="CCECFF"/>
          </w:tcPr>
          <w:p>
            <w:pPr>
              <w:jc w:val="right"/>
              <w:ind w:right="300"/>
              <w:spacing w:after="0"/>
              <w:rPr>
                <w:sz w:val="20"/>
                <w:szCs w:val="20"/>
                <w:color w:val="auto"/>
              </w:rPr>
            </w:pPr>
            <w:r>
              <w:rPr>
                <w:rFonts w:ascii="Arial" w:cs="Arial" w:eastAsia="Arial" w:hAnsi="Arial"/>
                <w:sz w:val="12"/>
                <w:szCs w:val="12"/>
                <w:color w:val="auto"/>
              </w:rPr>
              <w:t>—</w:t>
            </w:r>
          </w:p>
        </w:tc>
        <w:tc>
          <w:tcPr>
            <w:tcW w:w="900" w:type="dxa"/>
            <w:vAlign w:val="bottom"/>
            <w:gridSpan w:val="2"/>
            <w:shd w:val="clear" w:color="auto" w:fill="CCECFF"/>
          </w:tcPr>
          <w:p>
            <w:pPr>
              <w:jc w:val="right"/>
              <w:ind w:right="240"/>
              <w:spacing w:after="0"/>
              <w:rPr>
                <w:sz w:val="20"/>
                <w:szCs w:val="20"/>
                <w:color w:val="auto"/>
              </w:rPr>
            </w:pPr>
            <w:r>
              <w:rPr>
                <w:rFonts w:ascii="Arial" w:cs="Arial" w:eastAsia="Arial" w:hAnsi="Arial"/>
                <w:sz w:val="12"/>
                <w:szCs w:val="12"/>
                <w:color w:val="auto"/>
              </w:rPr>
              <w:t>—</w:t>
            </w:r>
          </w:p>
        </w:tc>
        <w:tc>
          <w:tcPr>
            <w:tcW w:w="680" w:type="dxa"/>
            <w:vAlign w:val="bottom"/>
            <w:shd w:val="clear" w:color="auto" w:fill="CCECFF"/>
          </w:tcPr>
          <w:p>
            <w:pPr>
              <w:jc w:val="right"/>
              <w:spacing w:after="0"/>
              <w:rPr>
                <w:sz w:val="20"/>
                <w:szCs w:val="20"/>
                <w:color w:val="auto"/>
              </w:rPr>
            </w:pPr>
            <w:r>
              <w:rPr>
                <w:rFonts w:ascii="Arial" w:cs="Arial" w:eastAsia="Arial" w:hAnsi="Arial"/>
                <w:sz w:val="12"/>
                <w:szCs w:val="12"/>
                <w:color w:val="auto"/>
              </w:rPr>
              <w:t>388,378</w:t>
            </w:r>
          </w:p>
        </w:tc>
        <w:tc>
          <w:tcPr>
            <w:tcW w:w="300" w:type="dxa"/>
            <w:vAlign w:val="bottom"/>
            <w:shd w:val="clear" w:color="auto" w:fill="CCECFF"/>
          </w:tcPr>
          <w:p>
            <w:pPr>
              <w:spacing w:after="0"/>
              <w:rPr>
                <w:sz w:val="12"/>
                <w:szCs w:val="12"/>
                <w:color w:val="auto"/>
              </w:rPr>
            </w:pPr>
          </w:p>
        </w:tc>
        <w:tc>
          <w:tcPr>
            <w:tcW w:w="80" w:type="dxa"/>
            <w:vAlign w:val="bottom"/>
            <w:shd w:val="clear" w:color="auto" w:fill="CCECFF"/>
          </w:tcPr>
          <w:p>
            <w:pPr>
              <w:spacing w:after="0"/>
              <w:rPr>
                <w:sz w:val="12"/>
                <w:szCs w:val="12"/>
                <w:color w:val="auto"/>
              </w:rPr>
            </w:pPr>
          </w:p>
        </w:tc>
        <w:tc>
          <w:tcPr>
            <w:tcW w:w="620" w:type="dxa"/>
            <w:vAlign w:val="bottom"/>
            <w:shd w:val="clear" w:color="auto" w:fill="CCECFF"/>
          </w:tcPr>
          <w:p>
            <w:pPr>
              <w:jc w:val="right"/>
              <w:spacing w:after="0"/>
              <w:rPr>
                <w:sz w:val="20"/>
                <w:szCs w:val="20"/>
                <w:color w:val="auto"/>
              </w:rPr>
            </w:pPr>
            <w:r>
              <w:rPr>
                <w:rFonts w:ascii="Arial" w:cs="Arial" w:eastAsia="Arial" w:hAnsi="Arial"/>
                <w:sz w:val="12"/>
                <w:szCs w:val="12"/>
                <w:color w:val="auto"/>
              </w:rPr>
              <w:t>—</w:t>
            </w:r>
          </w:p>
        </w:tc>
        <w:tc>
          <w:tcPr>
            <w:tcW w:w="240" w:type="dxa"/>
            <w:vAlign w:val="bottom"/>
            <w:shd w:val="clear" w:color="auto" w:fill="CCECFF"/>
          </w:tcPr>
          <w:p>
            <w:pPr>
              <w:spacing w:after="0"/>
              <w:rPr>
                <w:sz w:val="12"/>
                <w:szCs w:val="12"/>
                <w:color w:val="auto"/>
              </w:rPr>
            </w:pPr>
          </w:p>
        </w:tc>
        <w:tc>
          <w:tcPr>
            <w:tcW w:w="80" w:type="dxa"/>
            <w:vAlign w:val="bottom"/>
            <w:shd w:val="clear" w:color="auto" w:fill="CCECFF"/>
          </w:tcPr>
          <w:p>
            <w:pPr>
              <w:spacing w:after="0"/>
              <w:rPr>
                <w:sz w:val="12"/>
                <w:szCs w:val="12"/>
                <w:color w:val="auto"/>
              </w:rPr>
            </w:pPr>
          </w:p>
        </w:tc>
        <w:tc>
          <w:tcPr>
            <w:tcW w:w="640" w:type="dxa"/>
            <w:vAlign w:val="bottom"/>
            <w:shd w:val="clear" w:color="auto" w:fill="CCECFF"/>
          </w:tcPr>
          <w:p>
            <w:pPr>
              <w:jc w:val="right"/>
              <w:spacing w:after="0"/>
              <w:rPr>
                <w:sz w:val="20"/>
                <w:szCs w:val="20"/>
                <w:color w:val="auto"/>
              </w:rPr>
            </w:pPr>
            <w:r>
              <w:rPr>
                <w:rFonts w:ascii="Arial" w:cs="Arial" w:eastAsia="Arial" w:hAnsi="Arial"/>
                <w:sz w:val="12"/>
                <w:szCs w:val="12"/>
                <w:color w:val="auto"/>
              </w:rPr>
              <w:t>3,631,765</w:t>
            </w:r>
          </w:p>
        </w:tc>
        <w:tc>
          <w:tcPr>
            <w:tcW w:w="100" w:type="dxa"/>
            <w:vAlign w:val="bottom"/>
            <w:shd w:val="clear" w:color="auto" w:fill="CCECFF"/>
          </w:tcPr>
          <w:p>
            <w:pPr>
              <w:spacing w:after="0"/>
              <w:rPr>
                <w:sz w:val="12"/>
                <w:szCs w:val="12"/>
                <w:color w:val="auto"/>
              </w:rPr>
            </w:pPr>
          </w:p>
        </w:tc>
      </w:tr>
      <w:tr>
        <w:trPr>
          <w:trHeight w:val="149"/>
        </w:trPr>
        <w:tc>
          <w:tcPr>
            <w:tcW w:w="3000" w:type="dxa"/>
            <w:vAlign w:val="bottom"/>
          </w:tcPr>
          <w:p>
            <w:pPr>
              <w:spacing w:after="0"/>
              <w:rPr>
                <w:sz w:val="20"/>
                <w:szCs w:val="20"/>
                <w:color w:val="auto"/>
              </w:rPr>
            </w:pPr>
            <w:r>
              <w:rPr>
                <w:rFonts w:ascii="Arial" w:cs="Arial" w:eastAsia="Arial" w:hAnsi="Arial"/>
                <w:sz w:val="12"/>
                <w:szCs w:val="12"/>
                <w:color w:val="auto"/>
              </w:rPr>
              <w:t>Infogroup Parent Holdings, Inc.</w:t>
            </w:r>
          </w:p>
        </w:tc>
        <w:tc>
          <w:tcPr>
            <w:tcW w:w="940" w:type="dxa"/>
            <w:vAlign w:val="bottom"/>
          </w:tcPr>
          <w:p>
            <w:pPr>
              <w:ind w:left="380"/>
              <w:spacing w:after="0"/>
              <w:rPr>
                <w:sz w:val="20"/>
                <w:szCs w:val="20"/>
                <w:color w:val="auto"/>
              </w:rPr>
            </w:pPr>
            <w:r>
              <w:rPr>
                <w:rFonts w:ascii="Arial" w:cs="Arial" w:eastAsia="Arial" w:hAnsi="Arial"/>
                <w:sz w:val="12"/>
                <w:szCs w:val="12"/>
                <w:color w:val="auto"/>
              </w:rPr>
              <w:t>—</w:t>
            </w:r>
          </w:p>
        </w:tc>
        <w:tc>
          <w:tcPr>
            <w:tcW w:w="2700" w:type="dxa"/>
            <w:vAlign w:val="bottom"/>
            <w:gridSpan w:val="2"/>
          </w:tcPr>
          <w:p>
            <w:pPr>
              <w:jc w:val="center"/>
              <w:ind w:right="200"/>
              <w:spacing w:after="0"/>
              <w:rPr>
                <w:sz w:val="20"/>
                <w:szCs w:val="20"/>
                <w:color w:val="auto"/>
              </w:rPr>
            </w:pPr>
            <w:r>
              <w:rPr>
                <w:rFonts w:ascii="Arial" w:cs="Arial" w:eastAsia="Arial" w:hAnsi="Arial"/>
                <w:sz w:val="12"/>
                <w:szCs w:val="12"/>
                <w:color w:val="auto"/>
                <w:w w:val="87"/>
              </w:rPr>
              <w:t>Other Media</w:t>
            </w:r>
          </w:p>
        </w:tc>
        <w:tc>
          <w:tcPr>
            <w:tcW w:w="960" w:type="dxa"/>
            <w:vAlign w:val="bottom"/>
            <w:gridSpan w:val="2"/>
          </w:tcPr>
          <w:p>
            <w:pPr>
              <w:jc w:val="right"/>
              <w:ind w:right="300"/>
              <w:spacing w:after="0"/>
              <w:rPr>
                <w:sz w:val="20"/>
                <w:szCs w:val="20"/>
                <w:color w:val="auto"/>
              </w:rPr>
            </w:pPr>
            <w:r>
              <w:rPr>
                <w:rFonts w:ascii="Arial" w:cs="Arial" w:eastAsia="Arial" w:hAnsi="Arial"/>
                <w:sz w:val="12"/>
                <w:szCs w:val="12"/>
                <w:color w:val="auto"/>
              </w:rPr>
              <w:t>—</w:t>
            </w:r>
          </w:p>
        </w:tc>
        <w:tc>
          <w:tcPr>
            <w:tcW w:w="900" w:type="dxa"/>
            <w:vAlign w:val="bottom"/>
            <w:gridSpan w:val="2"/>
          </w:tcPr>
          <w:p>
            <w:pPr>
              <w:jc w:val="right"/>
              <w:ind w:right="240"/>
              <w:spacing w:after="0"/>
              <w:rPr>
                <w:sz w:val="20"/>
                <w:szCs w:val="20"/>
                <w:color w:val="auto"/>
              </w:rPr>
            </w:pPr>
            <w:r>
              <w:rPr>
                <w:rFonts w:ascii="Arial" w:cs="Arial" w:eastAsia="Arial" w:hAnsi="Arial"/>
                <w:sz w:val="12"/>
                <w:szCs w:val="12"/>
                <w:color w:val="auto"/>
              </w:rPr>
              <w:t>—</w:t>
            </w:r>
          </w:p>
        </w:tc>
        <w:tc>
          <w:tcPr>
            <w:tcW w:w="680" w:type="dxa"/>
            <w:vAlign w:val="bottom"/>
          </w:tcPr>
          <w:p>
            <w:pPr>
              <w:jc w:val="right"/>
              <w:spacing w:after="0"/>
              <w:rPr>
                <w:sz w:val="20"/>
                <w:szCs w:val="20"/>
                <w:color w:val="auto"/>
              </w:rPr>
            </w:pPr>
            <w:r>
              <w:rPr>
                <w:rFonts w:ascii="Arial" w:cs="Arial" w:eastAsia="Arial" w:hAnsi="Arial"/>
                <w:sz w:val="12"/>
                <w:szCs w:val="12"/>
                <w:color w:val="auto"/>
              </w:rPr>
              <w:t>181,495</w:t>
            </w:r>
          </w:p>
        </w:tc>
        <w:tc>
          <w:tcPr>
            <w:tcW w:w="3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20" w:type="dxa"/>
            <w:vAlign w:val="bottom"/>
          </w:tcPr>
          <w:p>
            <w:pPr>
              <w:jc w:val="right"/>
              <w:spacing w:after="0"/>
              <w:rPr>
                <w:sz w:val="20"/>
                <w:szCs w:val="20"/>
                <w:color w:val="auto"/>
              </w:rPr>
            </w:pPr>
            <w:r>
              <w:rPr>
                <w:rFonts w:ascii="Arial" w:cs="Arial" w:eastAsia="Arial" w:hAnsi="Arial"/>
                <w:sz w:val="12"/>
                <w:szCs w:val="12"/>
                <w:color w:val="auto"/>
              </w:rPr>
              <w:t>2,040,000</w:t>
            </w:r>
          </w:p>
        </w:tc>
        <w:tc>
          <w:tcPr>
            <w:tcW w:w="2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40" w:type="dxa"/>
            <w:vAlign w:val="bottom"/>
          </w:tcPr>
          <w:p>
            <w:pPr>
              <w:jc w:val="right"/>
              <w:spacing w:after="0"/>
              <w:rPr>
                <w:sz w:val="20"/>
                <w:szCs w:val="20"/>
                <w:color w:val="auto"/>
              </w:rPr>
            </w:pPr>
            <w:r>
              <w:rPr>
                <w:rFonts w:ascii="Arial" w:cs="Arial" w:eastAsia="Arial" w:hAnsi="Arial"/>
                <w:sz w:val="12"/>
                <w:szCs w:val="12"/>
                <w:color w:val="auto"/>
              </w:rPr>
              <w:t>2,040,000</w:t>
            </w:r>
          </w:p>
        </w:tc>
        <w:tc>
          <w:tcPr>
            <w:tcW w:w="100" w:type="dxa"/>
            <w:vAlign w:val="bottom"/>
          </w:tcPr>
          <w:p>
            <w:pPr>
              <w:spacing w:after="0"/>
              <w:rPr>
                <w:sz w:val="12"/>
                <w:szCs w:val="12"/>
                <w:color w:val="auto"/>
              </w:rPr>
            </w:pPr>
          </w:p>
        </w:tc>
      </w:tr>
      <w:tr>
        <w:trPr>
          <w:trHeight w:val="148"/>
        </w:trPr>
        <w:tc>
          <w:tcPr>
            <w:tcW w:w="3000" w:type="dxa"/>
            <w:vAlign w:val="bottom"/>
            <w:shd w:val="clear" w:color="auto" w:fill="CCECFF"/>
          </w:tcPr>
          <w:p>
            <w:pPr>
              <w:spacing w:after="0"/>
              <w:rPr>
                <w:sz w:val="20"/>
                <w:szCs w:val="20"/>
                <w:color w:val="auto"/>
              </w:rPr>
            </w:pPr>
            <w:r>
              <w:rPr>
                <w:rFonts w:ascii="Arial" w:cs="Arial" w:eastAsia="Arial" w:hAnsi="Arial"/>
                <w:sz w:val="12"/>
                <w:szCs w:val="12"/>
                <w:color w:val="auto"/>
              </w:rPr>
              <w:t xml:space="preserve">ITC Rumba, LLC (Cano Health, LLC) </w:t>
            </w:r>
            <w:r>
              <w:rPr>
                <w:rFonts w:ascii="Arial" w:cs="Arial" w:eastAsia="Arial" w:hAnsi="Arial"/>
                <w:sz w:val="9"/>
                <w:szCs w:val="9"/>
                <w:color w:val="auto"/>
              </w:rPr>
              <w:t>(10)</w:t>
            </w:r>
          </w:p>
        </w:tc>
        <w:tc>
          <w:tcPr>
            <w:tcW w:w="940" w:type="dxa"/>
            <w:vAlign w:val="bottom"/>
            <w:shd w:val="clear" w:color="auto" w:fill="CCECFF"/>
          </w:tcPr>
          <w:p>
            <w:pPr>
              <w:ind w:left="380"/>
              <w:spacing w:after="0"/>
              <w:rPr>
                <w:sz w:val="20"/>
                <w:szCs w:val="20"/>
                <w:color w:val="auto"/>
              </w:rPr>
            </w:pPr>
            <w:r>
              <w:rPr>
                <w:rFonts w:ascii="Arial" w:cs="Arial" w:eastAsia="Arial" w:hAnsi="Arial"/>
                <w:sz w:val="12"/>
                <w:szCs w:val="12"/>
                <w:color w:val="auto"/>
              </w:rPr>
              <w:t>—</w:t>
            </w:r>
          </w:p>
        </w:tc>
        <w:tc>
          <w:tcPr>
            <w:tcW w:w="2700" w:type="dxa"/>
            <w:vAlign w:val="bottom"/>
            <w:gridSpan w:val="2"/>
            <w:shd w:val="clear" w:color="auto" w:fill="CCECFF"/>
          </w:tcPr>
          <w:p>
            <w:pPr>
              <w:jc w:val="center"/>
              <w:ind w:right="180"/>
              <w:spacing w:after="0"/>
              <w:rPr>
                <w:sz w:val="20"/>
                <w:szCs w:val="20"/>
                <w:color w:val="auto"/>
              </w:rPr>
            </w:pPr>
            <w:r>
              <w:rPr>
                <w:rFonts w:ascii="Arial" w:cs="Arial" w:eastAsia="Arial" w:hAnsi="Arial"/>
                <w:sz w:val="12"/>
                <w:szCs w:val="12"/>
                <w:color w:val="auto"/>
                <w:w w:val="87"/>
              </w:rPr>
              <w:t>Healthcare, Education and Childcare</w:t>
            </w:r>
          </w:p>
        </w:tc>
        <w:tc>
          <w:tcPr>
            <w:tcW w:w="960" w:type="dxa"/>
            <w:vAlign w:val="bottom"/>
            <w:gridSpan w:val="2"/>
            <w:shd w:val="clear" w:color="auto" w:fill="CCECFF"/>
          </w:tcPr>
          <w:p>
            <w:pPr>
              <w:jc w:val="right"/>
              <w:ind w:right="300"/>
              <w:spacing w:after="0"/>
              <w:rPr>
                <w:sz w:val="20"/>
                <w:szCs w:val="20"/>
                <w:color w:val="auto"/>
              </w:rPr>
            </w:pPr>
            <w:r>
              <w:rPr>
                <w:rFonts w:ascii="Arial" w:cs="Arial" w:eastAsia="Arial" w:hAnsi="Arial"/>
                <w:sz w:val="12"/>
                <w:szCs w:val="12"/>
                <w:color w:val="auto"/>
              </w:rPr>
              <w:t>—</w:t>
            </w:r>
          </w:p>
        </w:tc>
        <w:tc>
          <w:tcPr>
            <w:tcW w:w="900" w:type="dxa"/>
            <w:vAlign w:val="bottom"/>
            <w:gridSpan w:val="2"/>
            <w:shd w:val="clear" w:color="auto" w:fill="CCECFF"/>
          </w:tcPr>
          <w:p>
            <w:pPr>
              <w:jc w:val="right"/>
              <w:ind w:right="240"/>
              <w:spacing w:after="0"/>
              <w:rPr>
                <w:sz w:val="20"/>
                <w:szCs w:val="20"/>
                <w:color w:val="auto"/>
              </w:rPr>
            </w:pPr>
            <w:r>
              <w:rPr>
                <w:rFonts w:ascii="Arial" w:cs="Arial" w:eastAsia="Arial" w:hAnsi="Arial"/>
                <w:sz w:val="12"/>
                <w:szCs w:val="12"/>
                <w:color w:val="auto"/>
              </w:rPr>
              <w:t>—</w:t>
            </w:r>
          </w:p>
        </w:tc>
        <w:tc>
          <w:tcPr>
            <w:tcW w:w="680" w:type="dxa"/>
            <w:vAlign w:val="bottom"/>
            <w:shd w:val="clear" w:color="auto" w:fill="CCECFF"/>
          </w:tcPr>
          <w:p>
            <w:pPr>
              <w:jc w:val="right"/>
              <w:spacing w:after="0"/>
              <w:rPr>
                <w:sz w:val="20"/>
                <w:szCs w:val="20"/>
                <w:color w:val="auto"/>
              </w:rPr>
            </w:pPr>
            <w:r>
              <w:rPr>
                <w:rFonts w:ascii="Arial" w:cs="Arial" w:eastAsia="Arial" w:hAnsi="Arial"/>
                <w:sz w:val="12"/>
                <w:szCs w:val="12"/>
                <w:color w:val="auto"/>
              </w:rPr>
              <w:t>180,000</w:t>
            </w:r>
          </w:p>
        </w:tc>
        <w:tc>
          <w:tcPr>
            <w:tcW w:w="300" w:type="dxa"/>
            <w:vAlign w:val="bottom"/>
            <w:shd w:val="clear" w:color="auto" w:fill="CCECFF"/>
          </w:tcPr>
          <w:p>
            <w:pPr>
              <w:spacing w:after="0"/>
              <w:rPr>
                <w:sz w:val="12"/>
                <w:szCs w:val="12"/>
                <w:color w:val="auto"/>
              </w:rPr>
            </w:pPr>
          </w:p>
        </w:tc>
        <w:tc>
          <w:tcPr>
            <w:tcW w:w="80" w:type="dxa"/>
            <w:vAlign w:val="bottom"/>
            <w:shd w:val="clear" w:color="auto" w:fill="CCECFF"/>
          </w:tcPr>
          <w:p>
            <w:pPr>
              <w:spacing w:after="0"/>
              <w:rPr>
                <w:sz w:val="12"/>
                <w:szCs w:val="12"/>
                <w:color w:val="auto"/>
              </w:rPr>
            </w:pPr>
          </w:p>
        </w:tc>
        <w:tc>
          <w:tcPr>
            <w:tcW w:w="620" w:type="dxa"/>
            <w:vAlign w:val="bottom"/>
            <w:shd w:val="clear" w:color="auto" w:fill="CCECFF"/>
          </w:tcPr>
          <w:p>
            <w:pPr>
              <w:jc w:val="right"/>
              <w:spacing w:after="0"/>
              <w:rPr>
                <w:sz w:val="20"/>
                <w:szCs w:val="20"/>
                <w:color w:val="auto"/>
              </w:rPr>
            </w:pPr>
            <w:r>
              <w:rPr>
                <w:rFonts w:ascii="Arial" w:cs="Arial" w:eastAsia="Arial" w:hAnsi="Arial"/>
                <w:sz w:val="12"/>
                <w:szCs w:val="12"/>
                <w:color w:val="auto"/>
              </w:rPr>
              <w:t>1,800,000</w:t>
            </w:r>
          </w:p>
        </w:tc>
        <w:tc>
          <w:tcPr>
            <w:tcW w:w="240" w:type="dxa"/>
            <w:vAlign w:val="bottom"/>
            <w:shd w:val="clear" w:color="auto" w:fill="CCECFF"/>
          </w:tcPr>
          <w:p>
            <w:pPr>
              <w:spacing w:after="0"/>
              <w:rPr>
                <w:sz w:val="12"/>
                <w:szCs w:val="12"/>
                <w:color w:val="auto"/>
              </w:rPr>
            </w:pPr>
          </w:p>
        </w:tc>
        <w:tc>
          <w:tcPr>
            <w:tcW w:w="80" w:type="dxa"/>
            <w:vAlign w:val="bottom"/>
            <w:shd w:val="clear" w:color="auto" w:fill="CCECFF"/>
          </w:tcPr>
          <w:p>
            <w:pPr>
              <w:spacing w:after="0"/>
              <w:rPr>
                <w:sz w:val="12"/>
                <w:szCs w:val="12"/>
                <w:color w:val="auto"/>
              </w:rPr>
            </w:pPr>
          </w:p>
        </w:tc>
        <w:tc>
          <w:tcPr>
            <w:tcW w:w="640" w:type="dxa"/>
            <w:vAlign w:val="bottom"/>
            <w:shd w:val="clear" w:color="auto" w:fill="CCECFF"/>
          </w:tcPr>
          <w:p>
            <w:pPr>
              <w:jc w:val="right"/>
              <w:spacing w:after="0"/>
              <w:rPr>
                <w:sz w:val="20"/>
                <w:szCs w:val="20"/>
                <w:color w:val="auto"/>
              </w:rPr>
            </w:pPr>
            <w:r>
              <w:rPr>
                <w:rFonts w:ascii="Arial" w:cs="Arial" w:eastAsia="Arial" w:hAnsi="Arial"/>
                <w:sz w:val="12"/>
                <w:szCs w:val="12"/>
                <w:color w:val="auto"/>
              </w:rPr>
              <w:t>1,967,092</w:t>
            </w:r>
          </w:p>
        </w:tc>
        <w:tc>
          <w:tcPr>
            <w:tcW w:w="100" w:type="dxa"/>
            <w:vAlign w:val="bottom"/>
            <w:shd w:val="clear" w:color="auto" w:fill="CCECFF"/>
          </w:tcPr>
          <w:p>
            <w:pPr>
              <w:spacing w:after="0"/>
              <w:rPr>
                <w:sz w:val="12"/>
                <w:szCs w:val="12"/>
                <w:color w:val="auto"/>
              </w:rPr>
            </w:pPr>
          </w:p>
        </w:tc>
      </w:tr>
      <w:tr>
        <w:trPr>
          <w:trHeight w:val="148"/>
        </w:trPr>
        <w:tc>
          <w:tcPr>
            <w:tcW w:w="3000" w:type="dxa"/>
            <w:vAlign w:val="bottom"/>
          </w:tcPr>
          <w:p>
            <w:pPr>
              <w:spacing w:after="0"/>
              <w:rPr>
                <w:sz w:val="20"/>
                <w:szCs w:val="20"/>
                <w:color w:val="auto"/>
              </w:rPr>
            </w:pPr>
            <w:r>
              <w:rPr>
                <w:rFonts w:ascii="Arial" w:cs="Arial" w:eastAsia="Arial" w:hAnsi="Arial"/>
                <w:sz w:val="12"/>
                <w:szCs w:val="12"/>
                <w:color w:val="auto"/>
              </w:rPr>
              <w:t>Kadmon Holdings, Inc.</w:t>
            </w:r>
          </w:p>
        </w:tc>
        <w:tc>
          <w:tcPr>
            <w:tcW w:w="940" w:type="dxa"/>
            <w:vAlign w:val="bottom"/>
          </w:tcPr>
          <w:p>
            <w:pPr>
              <w:ind w:left="380"/>
              <w:spacing w:after="0"/>
              <w:rPr>
                <w:sz w:val="20"/>
                <w:szCs w:val="20"/>
                <w:color w:val="auto"/>
              </w:rPr>
            </w:pPr>
            <w:r>
              <w:rPr>
                <w:rFonts w:ascii="Arial" w:cs="Arial" w:eastAsia="Arial" w:hAnsi="Arial"/>
                <w:sz w:val="12"/>
                <w:szCs w:val="12"/>
                <w:color w:val="auto"/>
              </w:rPr>
              <w:t>—</w:t>
            </w:r>
          </w:p>
        </w:tc>
        <w:tc>
          <w:tcPr>
            <w:tcW w:w="2700" w:type="dxa"/>
            <w:vAlign w:val="bottom"/>
            <w:gridSpan w:val="2"/>
          </w:tcPr>
          <w:p>
            <w:pPr>
              <w:jc w:val="center"/>
              <w:ind w:right="180"/>
              <w:spacing w:after="0"/>
              <w:rPr>
                <w:sz w:val="20"/>
                <w:szCs w:val="20"/>
                <w:color w:val="auto"/>
              </w:rPr>
            </w:pPr>
            <w:r>
              <w:rPr>
                <w:rFonts w:ascii="Arial" w:cs="Arial" w:eastAsia="Arial" w:hAnsi="Arial"/>
                <w:sz w:val="12"/>
                <w:szCs w:val="12"/>
                <w:color w:val="auto"/>
                <w:w w:val="87"/>
              </w:rPr>
              <w:t>Healthcare, Education and Childcare</w:t>
            </w:r>
          </w:p>
        </w:tc>
        <w:tc>
          <w:tcPr>
            <w:tcW w:w="960" w:type="dxa"/>
            <w:vAlign w:val="bottom"/>
            <w:gridSpan w:val="2"/>
          </w:tcPr>
          <w:p>
            <w:pPr>
              <w:jc w:val="right"/>
              <w:ind w:right="300"/>
              <w:spacing w:after="0"/>
              <w:rPr>
                <w:sz w:val="20"/>
                <w:szCs w:val="20"/>
                <w:color w:val="auto"/>
              </w:rPr>
            </w:pPr>
            <w:r>
              <w:rPr>
                <w:rFonts w:ascii="Arial" w:cs="Arial" w:eastAsia="Arial" w:hAnsi="Arial"/>
                <w:sz w:val="12"/>
                <w:szCs w:val="12"/>
                <w:color w:val="auto"/>
              </w:rPr>
              <w:t>—</w:t>
            </w:r>
          </w:p>
        </w:tc>
        <w:tc>
          <w:tcPr>
            <w:tcW w:w="900" w:type="dxa"/>
            <w:vAlign w:val="bottom"/>
            <w:gridSpan w:val="2"/>
          </w:tcPr>
          <w:p>
            <w:pPr>
              <w:jc w:val="right"/>
              <w:ind w:right="240"/>
              <w:spacing w:after="0"/>
              <w:rPr>
                <w:sz w:val="20"/>
                <w:szCs w:val="20"/>
                <w:color w:val="auto"/>
              </w:rPr>
            </w:pPr>
            <w:r>
              <w:rPr>
                <w:rFonts w:ascii="Arial" w:cs="Arial" w:eastAsia="Arial" w:hAnsi="Arial"/>
                <w:sz w:val="12"/>
                <w:szCs w:val="12"/>
                <w:color w:val="auto"/>
              </w:rPr>
              <w:t>—</w:t>
            </w:r>
          </w:p>
        </w:tc>
        <w:tc>
          <w:tcPr>
            <w:tcW w:w="680" w:type="dxa"/>
            <w:vAlign w:val="bottom"/>
          </w:tcPr>
          <w:p>
            <w:pPr>
              <w:jc w:val="right"/>
              <w:spacing w:after="0"/>
              <w:rPr>
                <w:sz w:val="20"/>
                <w:szCs w:val="20"/>
                <w:color w:val="auto"/>
              </w:rPr>
            </w:pPr>
            <w:r>
              <w:rPr>
                <w:rFonts w:ascii="Arial" w:cs="Arial" w:eastAsia="Arial" w:hAnsi="Arial"/>
                <w:sz w:val="12"/>
                <w:szCs w:val="12"/>
                <w:color w:val="auto"/>
              </w:rPr>
              <w:t>252,014</w:t>
            </w:r>
          </w:p>
        </w:tc>
        <w:tc>
          <w:tcPr>
            <w:tcW w:w="3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20" w:type="dxa"/>
            <w:vAlign w:val="bottom"/>
          </w:tcPr>
          <w:p>
            <w:pPr>
              <w:jc w:val="right"/>
              <w:spacing w:after="0"/>
              <w:rPr>
                <w:sz w:val="20"/>
                <w:szCs w:val="20"/>
                <w:color w:val="auto"/>
              </w:rPr>
            </w:pPr>
            <w:r>
              <w:rPr>
                <w:rFonts w:ascii="Arial" w:cs="Arial" w:eastAsia="Arial" w:hAnsi="Arial"/>
                <w:sz w:val="12"/>
                <w:szCs w:val="12"/>
                <w:color w:val="auto"/>
              </w:rPr>
              <w:t>2,265,639</w:t>
            </w:r>
          </w:p>
        </w:tc>
        <w:tc>
          <w:tcPr>
            <w:tcW w:w="2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40" w:type="dxa"/>
            <w:vAlign w:val="bottom"/>
          </w:tcPr>
          <w:p>
            <w:pPr>
              <w:jc w:val="right"/>
              <w:spacing w:after="0"/>
              <w:rPr>
                <w:sz w:val="20"/>
                <w:szCs w:val="20"/>
                <w:color w:val="auto"/>
              </w:rPr>
            </w:pPr>
            <w:r>
              <w:rPr>
                <w:rFonts w:ascii="Arial" w:cs="Arial" w:eastAsia="Arial" w:hAnsi="Arial"/>
                <w:sz w:val="12"/>
                <w:szCs w:val="12"/>
                <w:color w:val="auto"/>
              </w:rPr>
              <w:t>980,334</w:t>
            </w:r>
          </w:p>
        </w:tc>
        <w:tc>
          <w:tcPr>
            <w:tcW w:w="100" w:type="dxa"/>
            <w:vAlign w:val="bottom"/>
          </w:tcPr>
          <w:p>
            <w:pPr>
              <w:spacing w:after="0"/>
              <w:rPr>
                <w:sz w:val="12"/>
                <w:szCs w:val="12"/>
                <w:color w:val="auto"/>
              </w:rPr>
            </w:pPr>
          </w:p>
        </w:tc>
      </w:tr>
      <w:tr>
        <w:trPr>
          <w:trHeight w:val="148"/>
        </w:trPr>
        <w:tc>
          <w:tcPr>
            <w:tcW w:w="3000" w:type="dxa"/>
            <w:vAlign w:val="bottom"/>
            <w:shd w:val="clear" w:color="auto" w:fill="CCECFF"/>
          </w:tcPr>
          <w:p>
            <w:pPr>
              <w:spacing w:after="0"/>
              <w:rPr>
                <w:sz w:val="20"/>
                <w:szCs w:val="20"/>
                <w:color w:val="auto"/>
              </w:rPr>
            </w:pPr>
            <w:r>
              <w:rPr>
                <w:rFonts w:ascii="Arial" w:cs="Arial" w:eastAsia="Arial" w:hAnsi="Arial"/>
                <w:sz w:val="12"/>
                <w:szCs w:val="12"/>
                <w:color w:val="auto"/>
              </w:rPr>
              <w:t xml:space="preserve">LaMi Acquisition, LLC </w:t>
            </w:r>
            <w:r>
              <w:rPr>
                <w:rFonts w:ascii="Arial" w:cs="Arial" w:eastAsia="Arial" w:hAnsi="Arial"/>
                <w:sz w:val="9"/>
                <w:szCs w:val="9"/>
                <w:color w:val="auto"/>
              </w:rPr>
              <w:t>(10)</w:t>
            </w:r>
          </w:p>
        </w:tc>
        <w:tc>
          <w:tcPr>
            <w:tcW w:w="940" w:type="dxa"/>
            <w:vAlign w:val="bottom"/>
            <w:shd w:val="clear" w:color="auto" w:fill="CCECFF"/>
          </w:tcPr>
          <w:p>
            <w:pPr>
              <w:ind w:left="380"/>
              <w:spacing w:after="0"/>
              <w:rPr>
                <w:sz w:val="20"/>
                <w:szCs w:val="20"/>
                <w:color w:val="auto"/>
              </w:rPr>
            </w:pPr>
            <w:r>
              <w:rPr>
                <w:rFonts w:ascii="Arial" w:cs="Arial" w:eastAsia="Arial" w:hAnsi="Arial"/>
                <w:sz w:val="12"/>
                <w:szCs w:val="12"/>
                <w:color w:val="auto"/>
              </w:rPr>
              <w:t>—</w:t>
            </w:r>
          </w:p>
        </w:tc>
        <w:tc>
          <w:tcPr>
            <w:tcW w:w="2700" w:type="dxa"/>
            <w:vAlign w:val="bottom"/>
            <w:gridSpan w:val="2"/>
            <w:shd w:val="clear" w:color="auto" w:fill="CCECFF"/>
          </w:tcPr>
          <w:p>
            <w:pPr>
              <w:jc w:val="center"/>
              <w:ind w:right="200"/>
              <w:spacing w:after="0"/>
              <w:rPr>
                <w:sz w:val="20"/>
                <w:szCs w:val="20"/>
                <w:color w:val="auto"/>
              </w:rPr>
            </w:pPr>
            <w:r>
              <w:rPr>
                <w:rFonts w:ascii="Arial" w:cs="Arial" w:eastAsia="Arial" w:hAnsi="Arial"/>
                <w:sz w:val="12"/>
                <w:szCs w:val="12"/>
                <w:color w:val="auto"/>
                <w:w w:val="96"/>
              </w:rPr>
              <w:t>Distribution</w:t>
            </w:r>
          </w:p>
        </w:tc>
        <w:tc>
          <w:tcPr>
            <w:tcW w:w="960" w:type="dxa"/>
            <w:vAlign w:val="bottom"/>
            <w:gridSpan w:val="2"/>
            <w:shd w:val="clear" w:color="auto" w:fill="CCECFF"/>
          </w:tcPr>
          <w:p>
            <w:pPr>
              <w:jc w:val="right"/>
              <w:ind w:right="300"/>
              <w:spacing w:after="0"/>
              <w:rPr>
                <w:sz w:val="20"/>
                <w:szCs w:val="20"/>
                <w:color w:val="auto"/>
              </w:rPr>
            </w:pPr>
            <w:r>
              <w:rPr>
                <w:rFonts w:ascii="Arial" w:cs="Arial" w:eastAsia="Arial" w:hAnsi="Arial"/>
                <w:sz w:val="12"/>
                <w:szCs w:val="12"/>
                <w:color w:val="auto"/>
              </w:rPr>
              <w:t>—</w:t>
            </w:r>
          </w:p>
        </w:tc>
        <w:tc>
          <w:tcPr>
            <w:tcW w:w="900" w:type="dxa"/>
            <w:vAlign w:val="bottom"/>
            <w:gridSpan w:val="2"/>
            <w:shd w:val="clear" w:color="auto" w:fill="CCECFF"/>
          </w:tcPr>
          <w:p>
            <w:pPr>
              <w:jc w:val="right"/>
              <w:ind w:right="240"/>
              <w:spacing w:after="0"/>
              <w:rPr>
                <w:sz w:val="20"/>
                <w:szCs w:val="20"/>
                <w:color w:val="auto"/>
              </w:rPr>
            </w:pPr>
            <w:r>
              <w:rPr>
                <w:rFonts w:ascii="Arial" w:cs="Arial" w:eastAsia="Arial" w:hAnsi="Arial"/>
                <w:sz w:val="12"/>
                <w:szCs w:val="12"/>
                <w:color w:val="auto"/>
              </w:rPr>
              <w:t>—</w:t>
            </w:r>
          </w:p>
        </w:tc>
        <w:tc>
          <w:tcPr>
            <w:tcW w:w="680" w:type="dxa"/>
            <w:vAlign w:val="bottom"/>
            <w:shd w:val="clear" w:color="auto" w:fill="CCECFF"/>
          </w:tcPr>
          <w:p>
            <w:pPr>
              <w:jc w:val="right"/>
              <w:spacing w:after="0"/>
              <w:rPr>
                <w:sz w:val="20"/>
                <w:szCs w:val="20"/>
                <w:color w:val="auto"/>
              </w:rPr>
            </w:pPr>
            <w:r>
              <w:rPr>
                <w:rFonts w:ascii="Arial" w:cs="Arial" w:eastAsia="Arial" w:hAnsi="Arial"/>
                <w:sz w:val="12"/>
                <w:szCs w:val="12"/>
                <w:color w:val="auto"/>
              </w:rPr>
              <w:t>19</w:t>
            </w:r>
          </w:p>
        </w:tc>
        <w:tc>
          <w:tcPr>
            <w:tcW w:w="300" w:type="dxa"/>
            <w:vAlign w:val="bottom"/>
            <w:shd w:val="clear" w:color="auto" w:fill="CCECFF"/>
          </w:tcPr>
          <w:p>
            <w:pPr>
              <w:spacing w:after="0"/>
              <w:rPr>
                <w:sz w:val="12"/>
                <w:szCs w:val="12"/>
                <w:color w:val="auto"/>
              </w:rPr>
            </w:pPr>
          </w:p>
        </w:tc>
        <w:tc>
          <w:tcPr>
            <w:tcW w:w="80" w:type="dxa"/>
            <w:vAlign w:val="bottom"/>
            <w:shd w:val="clear" w:color="auto" w:fill="CCECFF"/>
          </w:tcPr>
          <w:p>
            <w:pPr>
              <w:spacing w:after="0"/>
              <w:rPr>
                <w:sz w:val="12"/>
                <w:szCs w:val="12"/>
                <w:color w:val="auto"/>
              </w:rPr>
            </w:pPr>
          </w:p>
        </w:tc>
        <w:tc>
          <w:tcPr>
            <w:tcW w:w="620" w:type="dxa"/>
            <w:vAlign w:val="bottom"/>
            <w:shd w:val="clear" w:color="auto" w:fill="CCECFF"/>
          </w:tcPr>
          <w:p>
            <w:pPr>
              <w:jc w:val="right"/>
              <w:spacing w:after="0"/>
              <w:rPr>
                <w:sz w:val="20"/>
                <w:szCs w:val="20"/>
                <w:color w:val="auto"/>
              </w:rPr>
            </w:pPr>
            <w:r>
              <w:rPr>
                <w:rFonts w:ascii="Arial" w:cs="Arial" w:eastAsia="Arial" w:hAnsi="Arial"/>
                <w:sz w:val="12"/>
                <w:szCs w:val="12"/>
                <w:color w:val="auto"/>
              </w:rPr>
              <w:t>493,280</w:t>
            </w:r>
          </w:p>
        </w:tc>
        <w:tc>
          <w:tcPr>
            <w:tcW w:w="240" w:type="dxa"/>
            <w:vAlign w:val="bottom"/>
            <w:shd w:val="clear" w:color="auto" w:fill="CCECFF"/>
          </w:tcPr>
          <w:p>
            <w:pPr>
              <w:spacing w:after="0"/>
              <w:rPr>
                <w:sz w:val="12"/>
                <w:szCs w:val="12"/>
                <w:color w:val="auto"/>
              </w:rPr>
            </w:pPr>
          </w:p>
        </w:tc>
        <w:tc>
          <w:tcPr>
            <w:tcW w:w="80" w:type="dxa"/>
            <w:vAlign w:val="bottom"/>
            <w:shd w:val="clear" w:color="auto" w:fill="CCECFF"/>
          </w:tcPr>
          <w:p>
            <w:pPr>
              <w:spacing w:after="0"/>
              <w:rPr>
                <w:sz w:val="12"/>
                <w:szCs w:val="12"/>
                <w:color w:val="auto"/>
              </w:rPr>
            </w:pPr>
          </w:p>
        </w:tc>
        <w:tc>
          <w:tcPr>
            <w:tcW w:w="640" w:type="dxa"/>
            <w:vAlign w:val="bottom"/>
            <w:shd w:val="clear" w:color="auto" w:fill="CCECFF"/>
          </w:tcPr>
          <w:p>
            <w:pPr>
              <w:jc w:val="right"/>
              <w:spacing w:after="0"/>
              <w:rPr>
                <w:sz w:val="20"/>
                <w:szCs w:val="20"/>
                <w:color w:val="auto"/>
              </w:rPr>
            </w:pPr>
            <w:r>
              <w:rPr>
                <w:rFonts w:ascii="Arial" w:cs="Arial" w:eastAsia="Arial" w:hAnsi="Arial"/>
                <w:sz w:val="12"/>
                <w:szCs w:val="12"/>
                <w:color w:val="auto"/>
              </w:rPr>
              <w:t>817,441</w:t>
            </w:r>
          </w:p>
        </w:tc>
        <w:tc>
          <w:tcPr>
            <w:tcW w:w="100" w:type="dxa"/>
            <w:vAlign w:val="bottom"/>
            <w:shd w:val="clear" w:color="auto" w:fill="CCECFF"/>
          </w:tcPr>
          <w:p>
            <w:pPr>
              <w:spacing w:after="0"/>
              <w:rPr>
                <w:sz w:val="12"/>
                <w:szCs w:val="12"/>
                <w:color w:val="auto"/>
              </w:rPr>
            </w:pPr>
          </w:p>
        </w:tc>
      </w:tr>
      <w:tr>
        <w:trPr>
          <w:trHeight w:val="148"/>
        </w:trPr>
        <w:tc>
          <w:tcPr>
            <w:tcW w:w="3000" w:type="dxa"/>
            <w:vAlign w:val="bottom"/>
          </w:tcPr>
          <w:p>
            <w:pPr>
              <w:spacing w:after="0"/>
              <w:rPr>
                <w:sz w:val="20"/>
                <w:szCs w:val="20"/>
                <w:color w:val="auto"/>
              </w:rPr>
            </w:pPr>
            <w:r>
              <w:rPr>
                <w:rFonts w:ascii="Arial" w:cs="Arial" w:eastAsia="Arial" w:hAnsi="Arial"/>
                <w:sz w:val="12"/>
                <w:szCs w:val="12"/>
                <w:color w:val="auto"/>
              </w:rPr>
              <w:t xml:space="preserve">Lariat ecoserv Co-Invest Holdings, LLC </w:t>
            </w:r>
            <w:r>
              <w:rPr>
                <w:rFonts w:ascii="Arial" w:cs="Arial" w:eastAsia="Arial" w:hAnsi="Arial"/>
                <w:sz w:val="9"/>
                <w:szCs w:val="9"/>
                <w:color w:val="auto"/>
              </w:rPr>
              <w:t>(10)</w:t>
            </w:r>
          </w:p>
        </w:tc>
        <w:tc>
          <w:tcPr>
            <w:tcW w:w="940" w:type="dxa"/>
            <w:vAlign w:val="bottom"/>
          </w:tcPr>
          <w:p>
            <w:pPr>
              <w:ind w:left="380"/>
              <w:spacing w:after="0"/>
              <w:rPr>
                <w:sz w:val="20"/>
                <w:szCs w:val="20"/>
                <w:color w:val="auto"/>
              </w:rPr>
            </w:pPr>
            <w:r>
              <w:rPr>
                <w:rFonts w:ascii="Arial" w:cs="Arial" w:eastAsia="Arial" w:hAnsi="Arial"/>
                <w:sz w:val="12"/>
                <w:szCs w:val="12"/>
                <w:color w:val="auto"/>
              </w:rPr>
              <w:t>—</w:t>
            </w:r>
          </w:p>
        </w:tc>
        <w:tc>
          <w:tcPr>
            <w:tcW w:w="2700" w:type="dxa"/>
            <w:vAlign w:val="bottom"/>
            <w:gridSpan w:val="2"/>
          </w:tcPr>
          <w:p>
            <w:pPr>
              <w:jc w:val="center"/>
              <w:ind w:right="180"/>
              <w:spacing w:after="0"/>
              <w:rPr>
                <w:sz w:val="20"/>
                <w:szCs w:val="20"/>
                <w:color w:val="auto"/>
              </w:rPr>
            </w:pPr>
            <w:r>
              <w:rPr>
                <w:rFonts w:ascii="Arial" w:cs="Arial" w:eastAsia="Arial" w:hAnsi="Arial"/>
                <w:sz w:val="12"/>
                <w:szCs w:val="12"/>
                <w:color w:val="auto"/>
                <w:w w:val="88"/>
              </w:rPr>
              <w:t>Environmental Services</w:t>
            </w:r>
          </w:p>
        </w:tc>
        <w:tc>
          <w:tcPr>
            <w:tcW w:w="960" w:type="dxa"/>
            <w:vAlign w:val="bottom"/>
            <w:gridSpan w:val="2"/>
          </w:tcPr>
          <w:p>
            <w:pPr>
              <w:jc w:val="right"/>
              <w:ind w:right="300"/>
              <w:spacing w:after="0"/>
              <w:rPr>
                <w:sz w:val="20"/>
                <w:szCs w:val="20"/>
                <w:color w:val="auto"/>
              </w:rPr>
            </w:pPr>
            <w:r>
              <w:rPr>
                <w:rFonts w:ascii="Arial" w:cs="Arial" w:eastAsia="Arial" w:hAnsi="Arial"/>
                <w:sz w:val="12"/>
                <w:szCs w:val="12"/>
                <w:color w:val="auto"/>
              </w:rPr>
              <w:t>—</w:t>
            </w:r>
          </w:p>
        </w:tc>
        <w:tc>
          <w:tcPr>
            <w:tcW w:w="900" w:type="dxa"/>
            <w:vAlign w:val="bottom"/>
            <w:gridSpan w:val="2"/>
          </w:tcPr>
          <w:p>
            <w:pPr>
              <w:jc w:val="right"/>
              <w:ind w:right="240"/>
              <w:spacing w:after="0"/>
              <w:rPr>
                <w:sz w:val="20"/>
                <w:szCs w:val="20"/>
                <w:color w:val="auto"/>
              </w:rPr>
            </w:pPr>
            <w:r>
              <w:rPr>
                <w:rFonts w:ascii="Arial" w:cs="Arial" w:eastAsia="Arial" w:hAnsi="Arial"/>
                <w:sz w:val="12"/>
                <w:szCs w:val="12"/>
                <w:color w:val="auto"/>
              </w:rPr>
              <w:t>—</w:t>
            </w:r>
          </w:p>
        </w:tc>
        <w:tc>
          <w:tcPr>
            <w:tcW w:w="680" w:type="dxa"/>
            <w:vAlign w:val="bottom"/>
          </w:tcPr>
          <w:p>
            <w:pPr>
              <w:jc w:val="right"/>
              <w:spacing w:after="0"/>
              <w:rPr>
                <w:sz w:val="20"/>
                <w:szCs w:val="20"/>
                <w:color w:val="auto"/>
              </w:rPr>
            </w:pPr>
            <w:r>
              <w:rPr>
                <w:rFonts w:ascii="Arial" w:cs="Arial" w:eastAsia="Arial" w:hAnsi="Arial"/>
                <w:sz w:val="12"/>
                <w:szCs w:val="12"/>
                <w:color w:val="auto"/>
              </w:rPr>
              <w:t>1,000,000</w:t>
            </w:r>
          </w:p>
        </w:tc>
        <w:tc>
          <w:tcPr>
            <w:tcW w:w="3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20" w:type="dxa"/>
            <w:vAlign w:val="bottom"/>
          </w:tcPr>
          <w:p>
            <w:pPr>
              <w:jc w:val="right"/>
              <w:spacing w:after="0"/>
              <w:rPr>
                <w:sz w:val="20"/>
                <w:szCs w:val="20"/>
                <w:color w:val="auto"/>
              </w:rPr>
            </w:pPr>
            <w:r>
              <w:rPr>
                <w:rFonts w:ascii="Arial" w:cs="Arial" w:eastAsia="Arial" w:hAnsi="Arial"/>
                <w:sz w:val="12"/>
                <w:szCs w:val="12"/>
                <w:color w:val="auto"/>
              </w:rPr>
              <w:t>1,000,000</w:t>
            </w:r>
          </w:p>
        </w:tc>
        <w:tc>
          <w:tcPr>
            <w:tcW w:w="2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40" w:type="dxa"/>
            <w:vAlign w:val="bottom"/>
            <w:gridSpan w:val="2"/>
          </w:tcPr>
          <w:p>
            <w:pPr>
              <w:jc w:val="right"/>
              <w:ind w:right="120"/>
              <w:spacing w:after="0"/>
              <w:rPr>
                <w:sz w:val="20"/>
                <w:szCs w:val="20"/>
                <w:color w:val="auto"/>
              </w:rPr>
            </w:pPr>
            <w:r>
              <w:rPr>
                <w:rFonts w:ascii="Arial" w:cs="Arial" w:eastAsia="Arial" w:hAnsi="Arial"/>
                <w:sz w:val="12"/>
                <w:szCs w:val="12"/>
                <w:color w:val="auto"/>
              </w:rPr>
              <w:t>—</w:t>
            </w:r>
          </w:p>
        </w:tc>
      </w:tr>
      <w:tr>
        <w:trPr>
          <w:trHeight w:val="142"/>
        </w:trPr>
        <w:tc>
          <w:tcPr>
            <w:tcW w:w="3000" w:type="dxa"/>
            <w:vAlign w:val="bottom"/>
            <w:shd w:val="clear" w:color="auto" w:fill="CCECFF"/>
          </w:tcPr>
          <w:p>
            <w:pPr>
              <w:spacing w:after="0"/>
              <w:rPr>
                <w:sz w:val="20"/>
                <w:szCs w:val="20"/>
                <w:color w:val="auto"/>
              </w:rPr>
            </w:pPr>
            <w:r>
              <w:rPr>
                <w:rFonts w:ascii="Arial" w:cs="Arial" w:eastAsia="Arial" w:hAnsi="Arial"/>
                <w:sz w:val="12"/>
                <w:szCs w:val="12"/>
                <w:color w:val="auto"/>
              </w:rPr>
              <w:t>MidOcean PPL Holdings, Corp.</w:t>
            </w:r>
          </w:p>
        </w:tc>
        <w:tc>
          <w:tcPr>
            <w:tcW w:w="940" w:type="dxa"/>
            <w:vAlign w:val="bottom"/>
            <w:shd w:val="clear" w:color="auto" w:fill="CCECFF"/>
          </w:tcPr>
          <w:p>
            <w:pPr>
              <w:ind w:left="380"/>
              <w:spacing w:after="0"/>
              <w:rPr>
                <w:sz w:val="20"/>
                <w:szCs w:val="20"/>
                <w:color w:val="auto"/>
              </w:rPr>
            </w:pPr>
            <w:r>
              <w:rPr>
                <w:rFonts w:ascii="Arial" w:cs="Arial" w:eastAsia="Arial" w:hAnsi="Arial"/>
                <w:sz w:val="12"/>
                <w:szCs w:val="12"/>
                <w:color w:val="auto"/>
              </w:rPr>
              <w:t>—</w:t>
            </w:r>
          </w:p>
        </w:tc>
        <w:tc>
          <w:tcPr>
            <w:tcW w:w="2700" w:type="dxa"/>
            <w:vAlign w:val="bottom"/>
            <w:gridSpan w:val="2"/>
            <w:shd w:val="clear" w:color="auto" w:fill="CCECFF"/>
          </w:tcPr>
          <w:p>
            <w:pPr>
              <w:jc w:val="center"/>
              <w:ind w:right="200"/>
              <w:spacing w:after="0"/>
              <w:rPr>
                <w:sz w:val="20"/>
                <w:szCs w:val="20"/>
                <w:color w:val="auto"/>
              </w:rPr>
            </w:pPr>
            <w:r>
              <w:rPr>
                <w:rFonts w:ascii="Arial" w:cs="Arial" w:eastAsia="Arial" w:hAnsi="Arial"/>
                <w:sz w:val="12"/>
                <w:szCs w:val="12"/>
                <w:color w:val="auto"/>
                <w:w w:val="86"/>
              </w:rPr>
              <w:t>Personal, Food and Miscellaneous Services</w:t>
            </w:r>
          </w:p>
        </w:tc>
        <w:tc>
          <w:tcPr>
            <w:tcW w:w="960" w:type="dxa"/>
            <w:vAlign w:val="bottom"/>
            <w:gridSpan w:val="2"/>
            <w:shd w:val="clear" w:color="auto" w:fill="CCECFF"/>
          </w:tcPr>
          <w:p>
            <w:pPr>
              <w:jc w:val="right"/>
              <w:ind w:right="300"/>
              <w:spacing w:after="0"/>
              <w:rPr>
                <w:sz w:val="20"/>
                <w:szCs w:val="20"/>
                <w:color w:val="auto"/>
              </w:rPr>
            </w:pPr>
            <w:r>
              <w:rPr>
                <w:rFonts w:ascii="Arial" w:cs="Arial" w:eastAsia="Arial" w:hAnsi="Arial"/>
                <w:sz w:val="12"/>
                <w:szCs w:val="12"/>
                <w:color w:val="auto"/>
              </w:rPr>
              <w:t>—</w:t>
            </w:r>
          </w:p>
        </w:tc>
        <w:tc>
          <w:tcPr>
            <w:tcW w:w="900" w:type="dxa"/>
            <w:vAlign w:val="bottom"/>
            <w:gridSpan w:val="2"/>
            <w:shd w:val="clear" w:color="auto" w:fill="CCECFF"/>
          </w:tcPr>
          <w:p>
            <w:pPr>
              <w:jc w:val="right"/>
              <w:ind w:right="240"/>
              <w:spacing w:after="0"/>
              <w:rPr>
                <w:sz w:val="20"/>
                <w:szCs w:val="20"/>
                <w:color w:val="auto"/>
              </w:rPr>
            </w:pPr>
            <w:r>
              <w:rPr>
                <w:rFonts w:ascii="Arial" w:cs="Arial" w:eastAsia="Arial" w:hAnsi="Arial"/>
                <w:sz w:val="12"/>
                <w:szCs w:val="12"/>
                <w:color w:val="auto"/>
              </w:rPr>
              <w:t>—</w:t>
            </w:r>
          </w:p>
        </w:tc>
        <w:tc>
          <w:tcPr>
            <w:tcW w:w="680" w:type="dxa"/>
            <w:vAlign w:val="bottom"/>
            <w:shd w:val="clear" w:color="auto" w:fill="CCECFF"/>
          </w:tcPr>
          <w:p>
            <w:pPr>
              <w:jc w:val="right"/>
              <w:spacing w:after="0"/>
              <w:rPr>
                <w:sz w:val="20"/>
                <w:szCs w:val="20"/>
                <w:color w:val="auto"/>
              </w:rPr>
            </w:pPr>
            <w:r>
              <w:rPr>
                <w:rFonts w:ascii="Arial" w:cs="Arial" w:eastAsia="Arial" w:hAnsi="Arial"/>
                <w:sz w:val="12"/>
                <w:szCs w:val="12"/>
                <w:color w:val="auto"/>
              </w:rPr>
              <w:t>3,000</w:t>
            </w:r>
          </w:p>
        </w:tc>
        <w:tc>
          <w:tcPr>
            <w:tcW w:w="300" w:type="dxa"/>
            <w:vAlign w:val="bottom"/>
            <w:shd w:val="clear" w:color="auto" w:fill="CCECFF"/>
          </w:tcPr>
          <w:p>
            <w:pPr>
              <w:spacing w:after="0"/>
              <w:rPr>
                <w:sz w:val="12"/>
                <w:szCs w:val="12"/>
                <w:color w:val="auto"/>
              </w:rPr>
            </w:pPr>
          </w:p>
        </w:tc>
        <w:tc>
          <w:tcPr>
            <w:tcW w:w="80" w:type="dxa"/>
            <w:vAlign w:val="bottom"/>
            <w:shd w:val="clear" w:color="auto" w:fill="CCECFF"/>
          </w:tcPr>
          <w:p>
            <w:pPr>
              <w:spacing w:after="0"/>
              <w:rPr>
                <w:sz w:val="12"/>
                <w:szCs w:val="12"/>
                <w:color w:val="auto"/>
              </w:rPr>
            </w:pPr>
          </w:p>
        </w:tc>
        <w:tc>
          <w:tcPr>
            <w:tcW w:w="620" w:type="dxa"/>
            <w:vAlign w:val="bottom"/>
            <w:shd w:val="clear" w:color="auto" w:fill="CCECFF"/>
          </w:tcPr>
          <w:p>
            <w:pPr>
              <w:jc w:val="right"/>
              <w:spacing w:after="0"/>
              <w:rPr>
                <w:sz w:val="20"/>
                <w:szCs w:val="20"/>
                <w:color w:val="auto"/>
              </w:rPr>
            </w:pPr>
            <w:r>
              <w:rPr>
                <w:rFonts w:ascii="Arial" w:cs="Arial" w:eastAsia="Arial" w:hAnsi="Arial"/>
                <w:sz w:val="12"/>
                <w:szCs w:val="12"/>
                <w:color w:val="auto"/>
              </w:rPr>
              <w:t>3,000,000</w:t>
            </w:r>
          </w:p>
        </w:tc>
        <w:tc>
          <w:tcPr>
            <w:tcW w:w="240" w:type="dxa"/>
            <w:vAlign w:val="bottom"/>
            <w:shd w:val="clear" w:color="auto" w:fill="CCECFF"/>
          </w:tcPr>
          <w:p>
            <w:pPr>
              <w:spacing w:after="0"/>
              <w:rPr>
                <w:sz w:val="12"/>
                <w:szCs w:val="12"/>
                <w:color w:val="auto"/>
              </w:rPr>
            </w:pPr>
          </w:p>
        </w:tc>
        <w:tc>
          <w:tcPr>
            <w:tcW w:w="80" w:type="dxa"/>
            <w:vAlign w:val="bottom"/>
            <w:shd w:val="clear" w:color="auto" w:fill="CCECFF"/>
          </w:tcPr>
          <w:p>
            <w:pPr>
              <w:spacing w:after="0"/>
              <w:rPr>
                <w:sz w:val="12"/>
                <w:szCs w:val="12"/>
                <w:color w:val="auto"/>
              </w:rPr>
            </w:pPr>
          </w:p>
        </w:tc>
        <w:tc>
          <w:tcPr>
            <w:tcW w:w="640" w:type="dxa"/>
            <w:vAlign w:val="bottom"/>
            <w:shd w:val="clear" w:color="auto" w:fill="CCECFF"/>
          </w:tcPr>
          <w:p>
            <w:pPr>
              <w:jc w:val="right"/>
              <w:spacing w:after="0"/>
              <w:rPr>
                <w:sz w:val="20"/>
                <w:szCs w:val="20"/>
                <w:color w:val="auto"/>
              </w:rPr>
            </w:pPr>
            <w:r>
              <w:rPr>
                <w:rFonts w:ascii="Arial" w:cs="Arial" w:eastAsia="Arial" w:hAnsi="Arial"/>
                <w:sz w:val="12"/>
                <w:szCs w:val="12"/>
                <w:color w:val="auto"/>
              </w:rPr>
              <w:t>8,449,091</w:t>
            </w:r>
          </w:p>
        </w:tc>
        <w:tc>
          <w:tcPr>
            <w:tcW w:w="100" w:type="dxa"/>
            <w:vAlign w:val="bottom"/>
            <w:shd w:val="clear" w:color="auto" w:fill="CCECFF"/>
          </w:tcPr>
          <w:p>
            <w:pPr>
              <w:spacing w:after="0"/>
              <w:rPr>
                <w:sz w:val="12"/>
                <w:szCs w:val="12"/>
                <w:color w:val="auto"/>
              </w:rPr>
            </w:pPr>
          </w:p>
        </w:tc>
      </w:tr>
      <w:tr>
        <w:trPr>
          <w:trHeight w:val="141"/>
        </w:trPr>
        <w:tc>
          <w:tcPr>
            <w:tcW w:w="3000" w:type="dxa"/>
            <w:vAlign w:val="bottom"/>
            <w:shd w:val="clear" w:color="auto" w:fill="CCECFF"/>
          </w:tcPr>
          <w:p>
            <w:pPr>
              <w:ind w:left="100"/>
              <w:spacing w:after="0"/>
              <w:rPr>
                <w:sz w:val="20"/>
                <w:szCs w:val="20"/>
                <w:color w:val="auto"/>
              </w:rPr>
            </w:pPr>
            <w:r>
              <w:rPr>
                <w:rFonts w:ascii="Arial" w:cs="Arial" w:eastAsia="Arial" w:hAnsi="Arial"/>
                <w:sz w:val="12"/>
                <w:szCs w:val="12"/>
                <w:color w:val="auto"/>
              </w:rPr>
              <w:t>(Pre-Paid Legal Services, Inc.)</w:t>
            </w:r>
          </w:p>
        </w:tc>
        <w:tc>
          <w:tcPr>
            <w:tcW w:w="940" w:type="dxa"/>
            <w:vAlign w:val="bottom"/>
            <w:shd w:val="clear" w:color="auto" w:fill="CCECFF"/>
          </w:tcPr>
          <w:p>
            <w:pPr>
              <w:spacing w:after="0"/>
              <w:rPr>
                <w:sz w:val="12"/>
                <w:szCs w:val="12"/>
                <w:color w:val="auto"/>
              </w:rPr>
            </w:pPr>
          </w:p>
        </w:tc>
        <w:tc>
          <w:tcPr>
            <w:tcW w:w="2580" w:type="dxa"/>
            <w:vAlign w:val="bottom"/>
            <w:shd w:val="clear" w:color="auto" w:fill="CCECFF"/>
          </w:tcPr>
          <w:p>
            <w:pPr>
              <w:spacing w:after="0"/>
              <w:rPr>
                <w:sz w:val="12"/>
                <w:szCs w:val="12"/>
                <w:color w:val="auto"/>
              </w:rPr>
            </w:pPr>
          </w:p>
        </w:tc>
        <w:tc>
          <w:tcPr>
            <w:tcW w:w="120" w:type="dxa"/>
            <w:vAlign w:val="bottom"/>
            <w:shd w:val="clear" w:color="auto" w:fill="CCECFF"/>
          </w:tcPr>
          <w:p>
            <w:pPr>
              <w:spacing w:after="0"/>
              <w:rPr>
                <w:sz w:val="12"/>
                <w:szCs w:val="12"/>
                <w:color w:val="auto"/>
              </w:rPr>
            </w:pPr>
          </w:p>
        </w:tc>
        <w:tc>
          <w:tcPr>
            <w:tcW w:w="680" w:type="dxa"/>
            <w:vAlign w:val="bottom"/>
            <w:shd w:val="clear" w:color="auto" w:fill="CCECFF"/>
          </w:tcPr>
          <w:p>
            <w:pPr>
              <w:spacing w:after="0"/>
              <w:rPr>
                <w:sz w:val="12"/>
                <w:szCs w:val="12"/>
                <w:color w:val="auto"/>
              </w:rPr>
            </w:pPr>
          </w:p>
        </w:tc>
        <w:tc>
          <w:tcPr>
            <w:tcW w:w="280" w:type="dxa"/>
            <w:vAlign w:val="bottom"/>
            <w:shd w:val="clear" w:color="auto" w:fill="CCECFF"/>
          </w:tcPr>
          <w:p>
            <w:pPr>
              <w:spacing w:after="0"/>
              <w:rPr>
                <w:sz w:val="12"/>
                <w:szCs w:val="12"/>
                <w:color w:val="auto"/>
              </w:rPr>
            </w:pPr>
          </w:p>
        </w:tc>
        <w:tc>
          <w:tcPr>
            <w:tcW w:w="660" w:type="dxa"/>
            <w:vAlign w:val="bottom"/>
            <w:shd w:val="clear" w:color="auto" w:fill="CCECFF"/>
          </w:tcPr>
          <w:p>
            <w:pPr>
              <w:spacing w:after="0"/>
              <w:rPr>
                <w:sz w:val="12"/>
                <w:szCs w:val="12"/>
                <w:color w:val="auto"/>
              </w:rPr>
            </w:pPr>
          </w:p>
        </w:tc>
        <w:tc>
          <w:tcPr>
            <w:tcW w:w="240" w:type="dxa"/>
            <w:vAlign w:val="bottom"/>
            <w:shd w:val="clear" w:color="auto" w:fill="CCECFF"/>
          </w:tcPr>
          <w:p>
            <w:pPr>
              <w:spacing w:after="0"/>
              <w:rPr>
                <w:sz w:val="12"/>
                <w:szCs w:val="12"/>
                <w:color w:val="auto"/>
              </w:rPr>
            </w:pPr>
          </w:p>
        </w:tc>
        <w:tc>
          <w:tcPr>
            <w:tcW w:w="680" w:type="dxa"/>
            <w:vAlign w:val="bottom"/>
            <w:shd w:val="clear" w:color="auto" w:fill="CCECFF"/>
          </w:tcPr>
          <w:p>
            <w:pPr>
              <w:spacing w:after="0"/>
              <w:rPr>
                <w:sz w:val="12"/>
                <w:szCs w:val="12"/>
                <w:color w:val="auto"/>
              </w:rPr>
            </w:pPr>
          </w:p>
        </w:tc>
        <w:tc>
          <w:tcPr>
            <w:tcW w:w="300" w:type="dxa"/>
            <w:vAlign w:val="bottom"/>
            <w:shd w:val="clear" w:color="auto" w:fill="CCECFF"/>
          </w:tcPr>
          <w:p>
            <w:pPr>
              <w:spacing w:after="0"/>
              <w:rPr>
                <w:sz w:val="12"/>
                <w:szCs w:val="12"/>
                <w:color w:val="auto"/>
              </w:rPr>
            </w:pPr>
          </w:p>
        </w:tc>
        <w:tc>
          <w:tcPr>
            <w:tcW w:w="80" w:type="dxa"/>
            <w:vAlign w:val="bottom"/>
            <w:shd w:val="clear" w:color="auto" w:fill="CCECFF"/>
          </w:tcPr>
          <w:p>
            <w:pPr>
              <w:spacing w:after="0"/>
              <w:rPr>
                <w:sz w:val="12"/>
                <w:szCs w:val="12"/>
                <w:color w:val="auto"/>
              </w:rPr>
            </w:pPr>
          </w:p>
        </w:tc>
        <w:tc>
          <w:tcPr>
            <w:tcW w:w="620" w:type="dxa"/>
            <w:vAlign w:val="bottom"/>
            <w:shd w:val="clear" w:color="auto" w:fill="CCECFF"/>
          </w:tcPr>
          <w:p>
            <w:pPr>
              <w:spacing w:after="0"/>
              <w:rPr>
                <w:sz w:val="12"/>
                <w:szCs w:val="12"/>
                <w:color w:val="auto"/>
              </w:rPr>
            </w:pPr>
          </w:p>
        </w:tc>
        <w:tc>
          <w:tcPr>
            <w:tcW w:w="240" w:type="dxa"/>
            <w:vAlign w:val="bottom"/>
            <w:shd w:val="clear" w:color="auto" w:fill="CCECFF"/>
          </w:tcPr>
          <w:p>
            <w:pPr>
              <w:spacing w:after="0"/>
              <w:rPr>
                <w:sz w:val="12"/>
                <w:szCs w:val="12"/>
                <w:color w:val="auto"/>
              </w:rPr>
            </w:pPr>
          </w:p>
        </w:tc>
        <w:tc>
          <w:tcPr>
            <w:tcW w:w="80" w:type="dxa"/>
            <w:vAlign w:val="bottom"/>
            <w:shd w:val="clear" w:color="auto" w:fill="CCECFF"/>
          </w:tcPr>
          <w:p>
            <w:pPr>
              <w:spacing w:after="0"/>
              <w:rPr>
                <w:sz w:val="12"/>
                <w:szCs w:val="12"/>
                <w:color w:val="auto"/>
              </w:rPr>
            </w:pPr>
          </w:p>
        </w:tc>
        <w:tc>
          <w:tcPr>
            <w:tcW w:w="640" w:type="dxa"/>
            <w:vAlign w:val="bottom"/>
            <w:shd w:val="clear" w:color="auto" w:fill="CCECFF"/>
          </w:tcPr>
          <w:p>
            <w:pPr>
              <w:spacing w:after="0"/>
              <w:rPr>
                <w:sz w:val="12"/>
                <w:szCs w:val="12"/>
                <w:color w:val="auto"/>
              </w:rPr>
            </w:pPr>
          </w:p>
        </w:tc>
        <w:tc>
          <w:tcPr>
            <w:tcW w:w="100" w:type="dxa"/>
            <w:vAlign w:val="bottom"/>
            <w:shd w:val="clear" w:color="auto" w:fill="CCECFF"/>
          </w:tcPr>
          <w:p>
            <w:pPr>
              <w:spacing w:after="0"/>
              <w:rPr>
                <w:sz w:val="12"/>
                <w:szCs w:val="12"/>
                <w:color w:val="auto"/>
              </w:rPr>
            </w:pPr>
          </w:p>
        </w:tc>
      </w:tr>
      <w:tr>
        <w:trPr>
          <w:trHeight w:val="148"/>
        </w:trPr>
        <w:tc>
          <w:tcPr>
            <w:tcW w:w="3000" w:type="dxa"/>
            <w:vAlign w:val="bottom"/>
          </w:tcPr>
          <w:p>
            <w:pPr>
              <w:spacing w:after="0"/>
              <w:rPr>
                <w:sz w:val="20"/>
                <w:szCs w:val="20"/>
                <w:color w:val="auto"/>
              </w:rPr>
            </w:pPr>
            <w:r>
              <w:rPr>
                <w:rFonts w:ascii="Arial" w:cs="Arial" w:eastAsia="Arial" w:hAnsi="Arial"/>
                <w:sz w:val="12"/>
                <w:szCs w:val="12"/>
                <w:color w:val="auto"/>
              </w:rPr>
              <w:t>Patriot National, Inc.</w:t>
            </w:r>
          </w:p>
        </w:tc>
        <w:tc>
          <w:tcPr>
            <w:tcW w:w="940" w:type="dxa"/>
            <w:vAlign w:val="bottom"/>
          </w:tcPr>
          <w:p>
            <w:pPr>
              <w:ind w:left="380"/>
              <w:spacing w:after="0"/>
              <w:rPr>
                <w:sz w:val="20"/>
                <w:szCs w:val="20"/>
                <w:color w:val="auto"/>
              </w:rPr>
            </w:pPr>
            <w:r>
              <w:rPr>
                <w:rFonts w:ascii="Arial" w:cs="Arial" w:eastAsia="Arial" w:hAnsi="Arial"/>
                <w:sz w:val="12"/>
                <w:szCs w:val="12"/>
                <w:color w:val="auto"/>
              </w:rPr>
              <w:t>—</w:t>
            </w:r>
          </w:p>
        </w:tc>
        <w:tc>
          <w:tcPr>
            <w:tcW w:w="2700" w:type="dxa"/>
            <w:vAlign w:val="bottom"/>
            <w:gridSpan w:val="2"/>
          </w:tcPr>
          <w:p>
            <w:pPr>
              <w:jc w:val="center"/>
              <w:ind w:right="200"/>
              <w:spacing w:after="0"/>
              <w:rPr>
                <w:sz w:val="20"/>
                <w:szCs w:val="20"/>
                <w:color w:val="auto"/>
              </w:rPr>
            </w:pPr>
            <w:r>
              <w:rPr>
                <w:rFonts w:ascii="Arial" w:cs="Arial" w:eastAsia="Arial" w:hAnsi="Arial"/>
                <w:sz w:val="12"/>
                <w:szCs w:val="12"/>
                <w:color w:val="auto"/>
                <w:w w:val="87"/>
              </w:rPr>
              <w:t>Insurance</w:t>
            </w:r>
          </w:p>
        </w:tc>
        <w:tc>
          <w:tcPr>
            <w:tcW w:w="960" w:type="dxa"/>
            <w:vAlign w:val="bottom"/>
            <w:gridSpan w:val="2"/>
          </w:tcPr>
          <w:p>
            <w:pPr>
              <w:jc w:val="right"/>
              <w:ind w:right="300"/>
              <w:spacing w:after="0"/>
              <w:rPr>
                <w:sz w:val="20"/>
                <w:szCs w:val="20"/>
                <w:color w:val="auto"/>
              </w:rPr>
            </w:pPr>
            <w:r>
              <w:rPr>
                <w:rFonts w:ascii="Arial" w:cs="Arial" w:eastAsia="Arial" w:hAnsi="Arial"/>
                <w:sz w:val="12"/>
                <w:szCs w:val="12"/>
                <w:color w:val="auto"/>
              </w:rPr>
              <w:t>—</w:t>
            </w:r>
          </w:p>
        </w:tc>
        <w:tc>
          <w:tcPr>
            <w:tcW w:w="900" w:type="dxa"/>
            <w:vAlign w:val="bottom"/>
            <w:gridSpan w:val="2"/>
          </w:tcPr>
          <w:p>
            <w:pPr>
              <w:jc w:val="right"/>
              <w:ind w:right="240"/>
              <w:spacing w:after="0"/>
              <w:rPr>
                <w:sz w:val="20"/>
                <w:szCs w:val="20"/>
                <w:color w:val="auto"/>
              </w:rPr>
            </w:pPr>
            <w:r>
              <w:rPr>
                <w:rFonts w:ascii="Arial" w:cs="Arial" w:eastAsia="Arial" w:hAnsi="Arial"/>
                <w:sz w:val="12"/>
                <w:szCs w:val="12"/>
                <w:color w:val="auto"/>
              </w:rPr>
              <w:t>—</w:t>
            </w:r>
          </w:p>
        </w:tc>
        <w:tc>
          <w:tcPr>
            <w:tcW w:w="680" w:type="dxa"/>
            <w:vAlign w:val="bottom"/>
          </w:tcPr>
          <w:p>
            <w:pPr>
              <w:jc w:val="right"/>
              <w:spacing w:after="0"/>
              <w:rPr>
                <w:sz w:val="20"/>
                <w:szCs w:val="20"/>
                <w:color w:val="auto"/>
              </w:rPr>
            </w:pPr>
            <w:r>
              <w:rPr>
                <w:rFonts w:ascii="Arial" w:cs="Arial" w:eastAsia="Arial" w:hAnsi="Arial"/>
                <w:sz w:val="12"/>
                <w:szCs w:val="12"/>
                <w:color w:val="auto"/>
              </w:rPr>
              <w:t>100,885</w:t>
            </w:r>
          </w:p>
        </w:tc>
        <w:tc>
          <w:tcPr>
            <w:tcW w:w="3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20" w:type="dxa"/>
            <w:vAlign w:val="bottom"/>
          </w:tcPr>
          <w:p>
            <w:pPr>
              <w:jc w:val="right"/>
              <w:spacing w:after="0"/>
              <w:rPr>
                <w:sz w:val="20"/>
                <w:szCs w:val="20"/>
                <w:color w:val="auto"/>
              </w:rPr>
            </w:pPr>
            <w:r>
              <w:rPr>
                <w:rFonts w:ascii="Arial" w:cs="Arial" w:eastAsia="Arial" w:hAnsi="Arial"/>
                <w:sz w:val="12"/>
                <w:szCs w:val="12"/>
                <w:color w:val="auto"/>
              </w:rPr>
              <w:t>238,038</w:t>
            </w:r>
          </w:p>
        </w:tc>
        <w:tc>
          <w:tcPr>
            <w:tcW w:w="2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40" w:type="dxa"/>
            <w:vAlign w:val="bottom"/>
          </w:tcPr>
          <w:p>
            <w:pPr>
              <w:jc w:val="right"/>
              <w:spacing w:after="0"/>
              <w:rPr>
                <w:sz w:val="20"/>
                <w:szCs w:val="20"/>
                <w:color w:val="auto"/>
              </w:rPr>
            </w:pPr>
            <w:r>
              <w:rPr>
                <w:rFonts w:ascii="Arial" w:cs="Arial" w:eastAsia="Arial" w:hAnsi="Arial"/>
                <w:sz w:val="12"/>
                <w:szCs w:val="12"/>
                <w:color w:val="auto"/>
              </w:rPr>
              <w:t>213,876</w:t>
            </w:r>
          </w:p>
        </w:tc>
        <w:tc>
          <w:tcPr>
            <w:tcW w:w="100" w:type="dxa"/>
            <w:vAlign w:val="bottom"/>
          </w:tcPr>
          <w:p>
            <w:pPr>
              <w:spacing w:after="0"/>
              <w:rPr>
                <w:sz w:val="12"/>
                <w:szCs w:val="12"/>
                <w:color w:val="auto"/>
              </w:rPr>
            </w:pPr>
          </w:p>
        </w:tc>
      </w:tr>
      <w:tr>
        <w:trPr>
          <w:trHeight w:val="148"/>
        </w:trPr>
        <w:tc>
          <w:tcPr>
            <w:tcW w:w="3000" w:type="dxa"/>
            <w:vAlign w:val="bottom"/>
            <w:shd w:val="clear" w:color="auto" w:fill="CCECFF"/>
          </w:tcPr>
          <w:p>
            <w:pPr>
              <w:spacing w:after="0"/>
              <w:rPr>
                <w:sz w:val="20"/>
                <w:szCs w:val="20"/>
                <w:color w:val="auto"/>
              </w:rPr>
            </w:pPr>
            <w:r>
              <w:rPr>
                <w:rFonts w:ascii="Arial" w:cs="Arial" w:eastAsia="Arial" w:hAnsi="Arial"/>
                <w:sz w:val="12"/>
                <w:szCs w:val="12"/>
                <w:color w:val="auto"/>
              </w:rPr>
              <w:t>Roto Holdings, Inc.</w:t>
            </w:r>
          </w:p>
        </w:tc>
        <w:tc>
          <w:tcPr>
            <w:tcW w:w="940" w:type="dxa"/>
            <w:vAlign w:val="bottom"/>
            <w:shd w:val="clear" w:color="auto" w:fill="CCECFF"/>
          </w:tcPr>
          <w:p>
            <w:pPr>
              <w:ind w:left="380"/>
              <w:spacing w:after="0"/>
              <w:rPr>
                <w:sz w:val="20"/>
                <w:szCs w:val="20"/>
                <w:color w:val="auto"/>
              </w:rPr>
            </w:pPr>
            <w:r>
              <w:rPr>
                <w:rFonts w:ascii="Arial" w:cs="Arial" w:eastAsia="Arial" w:hAnsi="Arial"/>
                <w:sz w:val="12"/>
                <w:szCs w:val="12"/>
                <w:color w:val="auto"/>
              </w:rPr>
              <w:t>—</w:t>
            </w:r>
          </w:p>
        </w:tc>
        <w:tc>
          <w:tcPr>
            <w:tcW w:w="2700" w:type="dxa"/>
            <w:vAlign w:val="bottom"/>
            <w:gridSpan w:val="2"/>
            <w:shd w:val="clear" w:color="auto" w:fill="CCECFF"/>
          </w:tcPr>
          <w:p>
            <w:pPr>
              <w:jc w:val="center"/>
              <w:ind w:right="200"/>
              <w:spacing w:after="0"/>
              <w:rPr>
                <w:sz w:val="20"/>
                <w:szCs w:val="20"/>
                <w:color w:val="auto"/>
              </w:rPr>
            </w:pPr>
            <w:r>
              <w:rPr>
                <w:rFonts w:ascii="Arial" w:cs="Arial" w:eastAsia="Arial" w:hAnsi="Arial"/>
                <w:sz w:val="12"/>
                <w:szCs w:val="12"/>
                <w:color w:val="auto"/>
                <w:w w:val="90"/>
              </w:rPr>
              <w:t>Manufacturing / Basic Industries</w:t>
            </w:r>
          </w:p>
        </w:tc>
        <w:tc>
          <w:tcPr>
            <w:tcW w:w="960" w:type="dxa"/>
            <w:vAlign w:val="bottom"/>
            <w:gridSpan w:val="2"/>
            <w:shd w:val="clear" w:color="auto" w:fill="CCECFF"/>
          </w:tcPr>
          <w:p>
            <w:pPr>
              <w:jc w:val="right"/>
              <w:ind w:right="300"/>
              <w:spacing w:after="0"/>
              <w:rPr>
                <w:sz w:val="20"/>
                <w:szCs w:val="20"/>
                <w:color w:val="auto"/>
              </w:rPr>
            </w:pPr>
            <w:r>
              <w:rPr>
                <w:rFonts w:ascii="Arial" w:cs="Arial" w:eastAsia="Arial" w:hAnsi="Arial"/>
                <w:sz w:val="12"/>
                <w:szCs w:val="12"/>
                <w:color w:val="auto"/>
              </w:rPr>
              <w:t>—</w:t>
            </w:r>
          </w:p>
        </w:tc>
        <w:tc>
          <w:tcPr>
            <w:tcW w:w="900" w:type="dxa"/>
            <w:vAlign w:val="bottom"/>
            <w:gridSpan w:val="2"/>
            <w:shd w:val="clear" w:color="auto" w:fill="CCECFF"/>
          </w:tcPr>
          <w:p>
            <w:pPr>
              <w:jc w:val="right"/>
              <w:ind w:right="240"/>
              <w:spacing w:after="0"/>
              <w:rPr>
                <w:sz w:val="20"/>
                <w:szCs w:val="20"/>
                <w:color w:val="auto"/>
              </w:rPr>
            </w:pPr>
            <w:r>
              <w:rPr>
                <w:rFonts w:ascii="Arial" w:cs="Arial" w:eastAsia="Arial" w:hAnsi="Arial"/>
                <w:sz w:val="12"/>
                <w:szCs w:val="12"/>
                <w:color w:val="auto"/>
              </w:rPr>
              <w:t>—</w:t>
            </w:r>
          </w:p>
        </w:tc>
        <w:tc>
          <w:tcPr>
            <w:tcW w:w="680" w:type="dxa"/>
            <w:vAlign w:val="bottom"/>
            <w:shd w:val="clear" w:color="auto" w:fill="CCECFF"/>
          </w:tcPr>
          <w:p>
            <w:pPr>
              <w:jc w:val="right"/>
              <w:spacing w:after="0"/>
              <w:rPr>
                <w:sz w:val="20"/>
                <w:szCs w:val="20"/>
                <w:color w:val="auto"/>
              </w:rPr>
            </w:pPr>
            <w:r>
              <w:rPr>
                <w:rFonts w:ascii="Arial" w:cs="Arial" w:eastAsia="Arial" w:hAnsi="Arial"/>
                <w:sz w:val="12"/>
                <w:szCs w:val="12"/>
                <w:color w:val="auto"/>
              </w:rPr>
              <w:t>1,330</w:t>
            </w:r>
          </w:p>
        </w:tc>
        <w:tc>
          <w:tcPr>
            <w:tcW w:w="300" w:type="dxa"/>
            <w:vAlign w:val="bottom"/>
            <w:shd w:val="clear" w:color="auto" w:fill="CCECFF"/>
          </w:tcPr>
          <w:p>
            <w:pPr>
              <w:spacing w:after="0"/>
              <w:rPr>
                <w:sz w:val="12"/>
                <w:szCs w:val="12"/>
                <w:color w:val="auto"/>
              </w:rPr>
            </w:pPr>
          </w:p>
        </w:tc>
        <w:tc>
          <w:tcPr>
            <w:tcW w:w="80" w:type="dxa"/>
            <w:vAlign w:val="bottom"/>
            <w:shd w:val="clear" w:color="auto" w:fill="CCECFF"/>
          </w:tcPr>
          <w:p>
            <w:pPr>
              <w:spacing w:after="0"/>
              <w:rPr>
                <w:sz w:val="12"/>
                <w:szCs w:val="12"/>
                <w:color w:val="auto"/>
              </w:rPr>
            </w:pPr>
          </w:p>
        </w:tc>
        <w:tc>
          <w:tcPr>
            <w:tcW w:w="620" w:type="dxa"/>
            <w:vAlign w:val="bottom"/>
            <w:shd w:val="clear" w:color="auto" w:fill="CCECFF"/>
          </w:tcPr>
          <w:p>
            <w:pPr>
              <w:jc w:val="right"/>
              <w:spacing w:after="0"/>
              <w:rPr>
                <w:sz w:val="20"/>
                <w:szCs w:val="20"/>
                <w:color w:val="auto"/>
              </w:rPr>
            </w:pPr>
            <w:r>
              <w:rPr>
                <w:rFonts w:ascii="Arial" w:cs="Arial" w:eastAsia="Arial" w:hAnsi="Arial"/>
                <w:sz w:val="12"/>
                <w:szCs w:val="12"/>
                <w:color w:val="auto"/>
              </w:rPr>
              <w:t>133,000</w:t>
            </w:r>
          </w:p>
        </w:tc>
        <w:tc>
          <w:tcPr>
            <w:tcW w:w="240" w:type="dxa"/>
            <w:vAlign w:val="bottom"/>
            <w:shd w:val="clear" w:color="auto" w:fill="CCECFF"/>
          </w:tcPr>
          <w:p>
            <w:pPr>
              <w:spacing w:after="0"/>
              <w:rPr>
                <w:sz w:val="12"/>
                <w:szCs w:val="12"/>
                <w:color w:val="auto"/>
              </w:rPr>
            </w:pPr>
          </w:p>
        </w:tc>
        <w:tc>
          <w:tcPr>
            <w:tcW w:w="80" w:type="dxa"/>
            <w:vAlign w:val="bottom"/>
            <w:shd w:val="clear" w:color="auto" w:fill="CCECFF"/>
          </w:tcPr>
          <w:p>
            <w:pPr>
              <w:spacing w:after="0"/>
              <w:rPr>
                <w:sz w:val="12"/>
                <w:szCs w:val="12"/>
                <w:color w:val="auto"/>
              </w:rPr>
            </w:pPr>
          </w:p>
        </w:tc>
        <w:tc>
          <w:tcPr>
            <w:tcW w:w="640" w:type="dxa"/>
            <w:vAlign w:val="bottom"/>
            <w:shd w:val="clear" w:color="auto" w:fill="CCECFF"/>
          </w:tcPr>
          <w:p>
            <w:pPr>
              <w:jc w:val="right"/>
              <w:spacing w:after="0"/>
              <w:rPr>
                <w:sz w:val="20"/>
                <w:szCs w:val="20"/>
                <w:color w:val="auto"/>
              </w:rPr>
            </w:pPr>
            <w:r>
              <w:rPr>
                <w:rFonts w:ascii="Arial" w:cs="Arial" w:eastAsia="Arial" w:hAnsi="Arial"/>
                <w:sz w:val="12"/>
                <w:szCs w:val="12"/>
                <w:color w:val="auto"/>
              </w:rPr>
              <w:t>1,969,930</w:t>
            </w:r>
          </w:p>
        </w:tc>
        <w:tc>
          <w:tcPr>
            <w:tcW w:w="100" w:type="dxa"/>
            <w:vAlign w:val="bottom"/>
            <w:shd w:val="clear" w:color="auto" w:fill="CCECFF"/>
          </w:tcPr>
          <w:p>
            <w:pPr>
              <w:spacing w:after="0"/>
              <w:rPr>
                <w:sz w:val="12"/>
                <w:szCs w:val="12"/>
                <w:color w:val="auto"/>
              </w:rPr>
            </w:pPr>
          </w:p>
        </w:tc>
      </w:tr>
      <w:tr>
        <w:trPr>
          <w:trHeight w:val="142"/>
        </w:trPr>
        <w:tc>
          <w:tcPr>
            <w:tcW w:w="3000" w:type="dxa"/>
            <w:vAlign w:val="bottom"/>
          </w:tcPr>
          <w:p>
            <w:pPr>
              <w:spacing w:after="0"/>
              <w:rPr>
                <w:sz w:val="20"/>
                <w:szCs w:val="20"/>
                <w:color w:val="auto"/>
              </w:rPr>
            </w:pPr>
            <w:r>
              <w:rPr>
                <w:rFonts w:ascii="Arial" w:cs="Arial" w:eastAsia="Arial" w:hAnsi="Arial"/>
                <w:sz w:val="12"/>
                <w:szCs w:val="12"/>
                <w:color w:val="auto"/>
              </w:rPr>
              <w:t>ZS Juniper L.P.</w:t>
            </w:r>
          </w:p>
        </w:tc>
        <w:tc>
          <w:tcPr>
            <w:tcW w:w="940" w:type="dxa"/>
            <w:vAlign w:val="bottom"/>
          </w:tcPr>
          <w:p>
            <w:pPr>
              <w:ind w:left="380"/>
              <w:spacing w:after="0"/>
              <w:rPr>
                <w:sz w:val="20"/>
                <w:szCs w:val="20"/>
                <w:color w:val="auto"/>
              </w:rPr>
            </w:pPr>
            <w:r>
              <w:rPr>
                <w:rFonts w:ascii="Arial" w:cs="Arial" w:eastAsia="Arial" w:hAnsi="Arial"/>
                <w:sz w:val="12"/>
                <w:szCs w:val="12"/>
                <w:color w:val="auto"/>
              </w:rPr>
              <w:t>—</w:t>
            </w:r>
          </w:p>
        </w:tc>
        <w:tc>
          <w:tcPr>
            <w:tcW w:w="2700" w:type="dxa"/>
            <w:vAlign w:val="bottom"/>
            <w:gridSpan w:val="2"/>
          </w:tcPr>
          <w:p>
            <w:pPr>
              <w:jc w:val="center"/>
              <w:ind w:right="200"/>
              <w:spacing w:after="0"/>
              <w:rPr>
                <w:sz w:val="20"/>
                <w:szCs w:val="20"/>
                <w:color w:val="auto"/>
              </w:rPr>
            </w:pPr>
            <w:r>
              <w:rPr>
                <w:rFonts w:ascii="Arial" w:cs="Arial" w:eastAsia="Arial" w:hAnsi="Arial"/>
                <w:sz w:val="12"/>
                <w:szCs w:val="12"/>
                <w:color w:val="auto"/>
                <w:w w:val="86"/>
              </w:rPr>
              <w:t>Personal, Food and Miscellaneous Services</w:t>
            </w:r>
          </w:p>
        </w:tc>
        <w:tc>
          <w:tcPr>
            <w:tcW w:w="960" w:type="dxa"/>
            <w:vAlign w:val="bottom"/>
            <w:gridSpan w:val="2"/>
          </w:tcPr>
          <w:p>
            <w:pPr>
              <w:jc w:val="right"/>
              <w:ind w:right="300"/>
              <w:spacing w:after="0"/>
              <w:rPr>
                <w:sz w:val="20"/>
                <w:szCs w:val="20"/>
                <w:color w:val="auto"/>
              </w:rPr>
            </w:pPr>
            <w:r>
              <w:rPr>
                <w:rFonts w:ascii="Arial" w:cs="Arial" w:eastAsia="Arial" w:hAnsi="Arial"/>
                <w:sz w:val="12"/>
                <w:szCs w:val="12"/>
                <w:color w:val="auto"/>
              </w:rPr>
              <w:t>—</w:t>
            </w:r>
          </w:p>
        </w:tc>
        <w:tc>
          <w:tcPr>
            <w:tcW w:w="900" w:type="dxa"/>
            <w:vAlign w:val="bottom"/>
            <w:gridSpan w:val="2"/>
          </w:tcPr>
          <w:p>
            <w:pPr>
              <w:jc w:val="right"/>
              <w:ind w:right="240"/>
              <w:spacing w:after="0"/>
              <w:rPr>
                <w:sz w:val="20"/>
                <w:szCs w:val="20"/>
                <w:color w:val="auto"/>
              </w:rPr>
            </w:pPr>
            <w:r>
              <w:rPr>
                <w:rFonts w:ascii="Arial" w:cs="Arial" w:eastAsia="Arial" w:hAnsi="Arial"/>
                <w:sz w:val="12"/>
                <w:szCs w:val="12"/>
                <w:color w:val="auto"/>
              </w:rPr>
              <w:t>—</w:t>
            </w:r>
          </w:p>
        </w:tc>
        <w:tc>
          <w:tcPr>
            <w:tcW w:w="680" w:type="dxa"/>
            <w:vAlign w:val="bottom"/>
          </w:tcPr>
          <w:p>
            <w:pPr>
              <w:jc w:val="right"/>
              <w:spacing w:after="0"/>
              <w:rPr>
                <w:sz w:val="20"/>
                <w:szCs w:val="20"/>
                <w:color w:val="auto"/>
              </w:rPr>
            </w:pPr>
            <w:r>
              <w:rPr>
                <w:rFonts w:ascii="Arial" w:cs="Arial" w:eastAsia="Arial" w:hAnsi="Arial"/>
                <w:sz w:val="12"/>
                <w:szCs w:val="12"/>
                <w:color w:val="auto"/>
              </w:rPr>
              <w:t>754</w:t>
            </w:r>
          </w:p>
        </w:tc>
        <w:tc>
          <w:tcPr>
            <w:tcW w:w="3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20" w:type="dxa"/>
            <w:vAlign w:val="bottom"/>
          </w:tcPr>
          <w:p>
            <w:pPr>
              <w:jc w:val="right"/>
              <w:spacing w:after="0"/>
              <w:rPr>
                <w:sz w:val="20"/>
                <w:szCs w:val="20"/>
                <w:color w:val="auto"/>
              </w:rPr>
            </w:pPr>
            <w:r>
              <w:rPr>
                <w:rFonts w:ascii="Arial" w:cs="Arial" w:eastAsia="Arial" w:hAnsi="Arial"/>
                <w:sz w:val="12"/>
                <w:szCs w:val="12"/>
                <w:color w:val="auto"/>
              </w:rPr>
              <w:t>754,264</w:t>
            </w:r>
          </w:p>
        </w:tc>
        <w:tc>
          <w:tcPr>
            <w:tcW w:w="2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40" w:type="dxa"/>
            <w:vAlign w:val="bottom"/>
          </w:tcPr>
          <w:p>
            <w:pPr>
              <w:jc w:val="right"/>
              <w:spacing w:after="0"/>
              <w:rPr>
                <w:sz w:val="20"/>
                <w:szCs w:val="20"/>
                <w:color w:val="auto"/>
              </w:rPr>
            </w:pPr>
            <w:r>
              <w:rPr>
                <w:rFonts w:ascii="Arial" w:cs="Arial" w:eastAsia="Arial" w:hAnsi="Arial"/>
                <w:sz w:val="12"/>
                <w:szCs w:val="12"/>
                <w:color w:val="auto"/>
              </w:rPr>
              <w:t>743,594</w:t>
            </w:r>
          </w:p>
        </w:tc>
        <w:tc>
          <w:tcPr>
            <w:tcW w:w="100" w:type="dxa"/>
            <w:vAlign w:val="bottom"/>
          </w:tcPr>
          <w:p>
            <w:pPr>
              <w:spacing w:after="0"/>
              <w:rPr>
                <w:sz w:val="12"/>
                <w:szCs w:val="12"/>
                <w:color w:val="auto"/>
              </w:rPr>
            </w:pPr>
          </w:p>
        </w:tc>
      </w:tr>
      <w:tr>
        <w:trPr>
          <w:trHeight w:val="141"/>
        </w:trPr>
        <w:tc>
          <w:tcPr>
            <w:tcW w:w="3000" w:type="dxa"/>
            <w:vAlign w:val="bottom"/>
            <w:tcBorders>
              <w:bottom w:val="single" w:sz="8" w:color="CCECFF"/>
            </w:tcBorders>
          </w:tcPr>
          <w:p>
            <w:pPr>
              <w:ind w:left="100"/>
              <w:spacing w:after="0"/>
              <w:rPr>
                <w:sz w:val="20"/>
                <w:szCs w:val="20"/>
                <w:color w:val="auto"/>
              </w:rPr>
            </w:pPr>
            <w:r>
              <w:rPr>
                <w:rFonts w:ascii="Arial" w:cs="Arial" w:eastAsia="Arial" w:hAnsi="Arial"/>
                <w:sz w:val="12"/>
                <w:szCs w:val="12"/>
                <w:color w:val="auto"/>
              </w:rPr>
              <w:t xml:space="preserve">(Juniper Landscaping of Florida, LLC) </w:t>
            </w:r>
            <w:r>
              <w:rPr>
                <w:rFonts w:ascii="Arial" w:cs="Arial" w:eastAsia="Arial" w:hAnsi="Arial"/>
                <w:sz w:val="9"/>
                <w:szCs w:val="9"/>
                <w:color w:val="auto"/>
              </w:rPr>
              <w:t>(10)</w:t>
            </w:r>
          </w:p>
        </w:tc>
        <w:tc>
          <w:tcPr>
            <w:tcW w:w="940" w:type="dxa"/>
            <w:vAlign w:val="bottom"/>
            <w:tcBorders>
              <w:bottom w:val="single" w:sz="8" w:color="CCECFF"/>
            </w:tcBorders>
          </w:tcPr>
          <w:p>
            <w:pPr>
              <w:spacing w:after="0"/>
              <w:rPr>
                <w:sz w:val="12"/>
                <w:szCs w:val="12"/>
                <w:color w:val="auto"/>
              </w:rPr>
            </w:pPr>
          </w:p>
        </w:tc>
        <w:tc>
          <w:tcPr>
            <w:tcW w:w="2580" w:type="dxa"/>
            <w:vAlign w:val="bottom"/>
            <w:tcBorders>
              <w:bottom w:val="single" w:sz="8" w:color="CCECFF"/>
            </w:tcBorders>
          </w:tcPr>
          <w:p>
            <w:pPr>
              <w:spacing w:after="0"/>
              <w:rPr>
                <w:sz w:val="12"/>
                <w:szCs w:val="12"/>
                <w:color w:val="auto"/>
              </w:rPr>
            </w:pPr>
          </w:p>
        </w:tc>
        <w:tc>
          <w:tcPr>
            <w:tcW w:w="120" w:type="dxa"/>
            <w:vAlign w:val="bottom"/>
            <w:tcBorders>
              <w:bottom w:val="single" w:sz="8" w:color="CCECFF"/>
            </w:tcBorders>
          </w:tcPr>
          <w:p>
            <w:pPr>
              <w:spacing w:after="0"/>
              <w:rPr>
                <w:sz w:val="12"/>
                <w:szCs w:val="12"/>
                <w:color w:val="auto"/>
              </w:rPr>
            </w:pPr>
          </w:p>
        </w:tc>
        <w:tc>
          <w:tcPr>
            <w:tcW w:w="680" w:type="dxa"/>
            <w:vAlign w:val="bottom"/>
            <w:tcBorders>
              <w:bottom w:val="single" w:sz="8" w:color="CCECFF"/>
            </w:tcBorders>
          </w:tcPr>
          <w:p>
            <w:pPr>
              <w:spacing w:after="0"/>
              <w:rPr>
                <w:sz w:val="12"/>
                <w:szCs w:val="12"/>
                <w:color w:val="auto"/>
              </w:rPr>
            </w:pPr>
          </w:p>
        </w:tc>
        <w:tc>
          <w:tcPr>
            <w:tcW w:w="280" w:type="dxa"/>
            <w:vAlign w:val="bottom"/>
            <w:tcBorders>
              <w:bottom w:val="single" w:sz="8" w:color="CCECFF"/>
            </w:tcBorders>
          </w:tcPr>
          <w:p>
            <w:pPr>
              <w:spacing w:after="0"/>
              <w:rPr>
                <w:sz w:val="12"/>
                <w:szCs w:val="12"/>
                <w:color w:val="auto"/>
              </w:rPr>
            </w:pPr>
          </w:p>
        </w:tc>
        <w:tc>
          <w:tcPr>
            <w:tcW w:w="660" w:type="dxa"/>
            <w:vAlign w:val="bottom"/>
            <w:tcBorders>
              <w:bottom w:val="single" w:sz="8" w:color="CCECFF"/>
            </w:tcBorders>
          </w:tcPr>
          <w:p>
            <w:pPr>
              <w:spacing w:after="0"/>
              <w:rPr>
                <w:sz w:val="12"/>
                <w:szCs w:val="12"/>
                <w:color w:val="auto"/>
              </w:rPr>
            </w:pPr>
          </w:p>
        </w:tc>
        <w:tc>
          <w:tcPr>
            <w:tcW w:w="240" w:type="dxa"/>
            <w:vAlign w:val="bottom"/>
            <w:tcBorders>
              <w:bottom w:val="single" w:sz="8" w:color="CCECFF"/>
            </w:tcBorders>
          </w:tcPr>
          <w:p>
            <w:pPr>
              <w:spacing w:after="0"/>
              <w:rPr>
                <w:sz w:val="12"/>
                <w:szCs w:val="12"/>
                <w:color w:val="auto"/>
              </w:rPr>
            </w:pPr>
          </w:p>
        </w:tc>
        <w:tc>
          <w:tcPr>
            <w:tcW w:w="680" w:type="dxa"/>
            <w:vAlign w:val="bottom"/>
            <w:tcBorders>
              <w:bottom w:val="single" w:sz="8" w:color="CCECFF"/>
            </w:tcBorders>
          </w:tcPr>
          <w:p>
            <w:pPr>
              <w:spacing w:after="0"/>
              <w:rPr>
                <w:sz w:val="12"/>
                <w:szCs w:val="12"/>
                <w:color w:val="auto"/>
              </w:rPr>
            </w:pPr>
          </w:p>
        </w:tc>
        <w:tc>
          <w:tcPr>
            <w:tcW w:w="300" w:type="dxa"/>
            <w:vAlign w:val="bottom"/>
            <w:tcBorders>
              <w:bottom w:val="single" w:sz="8" w:color="CCECFF"/>
            </w:tcBorders>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620" w:type="dxa"/>
            <w:vAlign w:val="bottom"/>
            <w:tcBorders>
              <w:bottom w:val="single" w:sz="8" w:color="auto"/>
            </w:tcBorders>
          </w:tcPr>
          <w:p>
            <w:pPr>
              <w:spacing w:after="0"/>
              <w:rPr>
                <w:sz w:val="12"/>
                <w:szCs w:val="12"/>
                <w:color w:val="auto"/>
              </w:rPr>
            </w:pPr>
          </w:p>
        </w:tc>
        <w:tc>
          <w:tcPr>
            <w:tcW w:w="240" w:type="dxa"/>
            <w:vAlign w:val="bottom"/>
            <w:tcBorders>
              <w:bottom w:val="single" w:sz="8" w:color="CCECFF"/>
            </w:tcBorders>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640" w:type="dxa"/>
            <w:vAlign w:val="bottom"/>
            <w:tcBorders>
              <w:bottom w:val="single" w:sz="8" w:color="auto"/>
            </w:tcBorders>
          </w:tcPr>
          <w:p>
            <w:pPr>
              <w:spacing w:after="0"/>
              <w:rPr>
                <w:sz w:val="12"/>
                <w:szCs w:val="12"/>
                <w:color w:val="auto"/>
              </w:rPr>
            </w:pPr>
          </w:p>
        </w:tc>
        <w:tc>
          <w:tcPr>
            <w:tcW w:w="100" w:type="dxa"/>
            <w:vAlign w:val="bottom"/>
            <w:tcBorders>
              <w:bottom w:val="single" w:sz="8" w:color="CCECFF"/>
            </w:tcBorders>
          </w:tcPr>
          <w:p>
            <w:pPr>
              <w:spacing w:after="0"/>
              <w:rPr>
                <w:sz w:val="12"/>
                <w:szCs w:val="12"/>
                <w:color w:val="auto"/>
              </w:rPr>
            </w:pPr>
          </w:p>
        </w:tc>
      </w:tr>
      <w:tr>
        <w:trPr>
          <w:trHeight w:val="142"/>
        </w:trPr>
        <w:tc>
          <w:tcPr>
            <w:tcW w:w="3000" w:type="dxa"/>
            <w:vAlign w:val="bottom"/>
            <w:shd w:val="clear" w:color="auto" w:fill="CCECFF"/>
          </w:tcPr>
          <w:p>
            <w:pPr>
              <w:spacing w:after="0"/>
              <w:rPr>
                <w:sz w:val="20"/>
                <w:szCs w:val="20"/>
                <w:color w:val="auto"/>
              </w:rPr>
            </w:pPr>
            <w:r>
              <w:rPr>
                <w:rFonts w:ascii="Arial" w:cs="Arial" w:eastAsia="Arial" w:hAnsi="Arial"/>
                <w:sz w:val="12"/>
                <w:szCs w:val="12"/>
                <w:b w:val="1"/>
                <w:bCs w:val="1"/>
                <w:color w:val="auto"/>
                <w:w w:val="98"/>
              </w:rPr>
              <w:t>Total Common Equity/Partnership Interests/Warrants</w:t>
            </w:r>
          </w:p>
        </w:tc>
        <w:tc>
          <w:tcPr>
            <w:tcW w:w="940" w:type="dxa"/>
            <w:vAlign w:val="bottom"/>
            <w:shd w:val="clear" w:color="auto" w:fill="CCECFF"/>
          </w:tcPr>
          <w:p>
            <w:pPr>
              <w:spacing w:after="0"/>
              <w:rPr>
                <w:sz w:val="12"/>
                <w:szCs w:val="12"/>
                <w:color w:val="auto"/>
              </w:rPr>
            </w:pPr>
          </w:p>
        </w:tc>
        <w:tc>
          <w:tcPr>
            <w:tcW w:w="2580" w:type="dxa"/>
            <w:vAlign w:val="bottom"/>
            <w:shd w:val="clear" w:color="auto" w:fill="CCECFF"/>
          </w:tcPr>
          <w:p>
            <w:pPr>
              <w:spacing w:after="0"/>
              <w:rPr>
                <w:sz w:val="12"/>
                <w:szCs w:val="12"/>
                <w:color w:val="auto"/>
              </w:rPr>
            </w:pPr>
          </w:p>
        </w:tc>
        <w:tc>
          <w:tcPr>
            <w:tcW w:w="120" w:type="dxa"/>
            <w:vAlign w:val="bottom"/>
            <w:shd w:val="clear" w:color="auto" w:fill="CCECFF"/>
          </w:tcPr>
          <w:p>
            <w:pPr>
              <w:spacing w:after="0"/>
              <w:rPr>
                <w:sz w:val="12"/>
                <w:szCs w:val="12"/>
                <w:color w:val="auto"/>
              </w:rPr>
            </w:pPr>
          </w:p>
        </w:tc>
        <w:tc>
          <w:tcPr>
            <w:tcW w:w="680" w:type="dxa"/>
            <w:vAlign w:val="bottom"/>
            <w:shd w:val="clear" w:color="auto" w:fill="CCECFF"/>
          </w:tcPr>
          <w:p>
            <w:pPr>
              <w:spacing w:after="0"/>
              <w:rPr>
                <w:sz w:val="12"/>
                <w:szCs w:val="12"/>
                <w:color w:val="auto"/>
              </w:rPr>
            </w:pPr>
          </w:p>
        </w:tc>
        <w:tc>
          <w:tcPr>
            <w:tcW w:w="280" w:type="dxa"/>
            <w:vAlign w:val="bottom"/>
            <w:shd w:val="clear" w:color="auto" w:fill="CCECFF"/>
          </w:tcPr>
          <w:p>
            <w:pPr>
              <w:spacing w:after="0"/>
              <w:rPr>
                <w:sz w:val="12"/>
                <w:szCs w:val="12"/>
                <w:color w:val="auto"/>
              </w:rPr>
            </w:pPr>
          </w:p>
        </w:tc>
        <w:tc>
          <w:tcPr>
            <w:tcW w:w="660" w:type="dxa"/>
            <w:vAlign w:val="bottom"/>
            <w:shd w:val="clear" w:color="auto" w:fill="CCECFF"/>
          </w:tcPr>
          <w:p>
            <w:pPr>
              <w:spacing w:after="0"/>
              <w:rPr>
                <w:sz w:val="12"/>
                <w:szCs w:val="12"/>
                <w:color w:val="auto"/>
              </w:rPr>
            </w:pPr>
          </w:p>
        </w:tc>
        <w:tc>
          <w:tcPr>
            <w:tcW w:w="240" w:type="dxa"/>
            <w:vAlign w:val="bottom"/>
            <w:shd w:val="clear" w:color="auto" w:fill="CCECFF"/>
          </w:tcPr>
          <w:p>
            <w:pPr>
              <w:spacing w:after="0"/>
              <w:rPr>
                <w:sz w:val="12"/>
                <w:szCs w:val="12"/>
                <w:color w:val="auto"/>
              </w:rPr>
            </w:pPr>
          </w:p>
        </w:tc>
        <w:tc>
          <w:tcPr>
            <w:tcW w:w="680" w:type="dxa"/>
            <w:vAlign w:val="bottom"/>
            <w:shd w:val="clear" w:color="auto" w:fill="CCECFF"/>
          </w:tcPr>
          <w:p>
            <w:pPr>
              <w:spacing w:after="0"/>
              <w:rPr>
                <w:sz w:val="12"/>
                <w:szCs w:val="12"/>
                <w:color w:val="auto"/>
              </w:rPr>
            </w:pPr>
          </w:p>
        </w:tc>
        <w:tc>
          <w:tcPr>
            <w:tcW w:w="300" w:type="dxa"/>
            <w:vAlign w:val="bottom"/>
            <w:shd w:val="clear" w:color="auto" w:fill="CCECFF"/>
          </w:tcPr>
          <w:p>
            <w:pPr>
              <w:spacing w:after="0"/>
              <w:rPr>
                <w:sz w:val="12"/>
                <w:szCs w:val="12"/>
                <w:color w:val="auto"/>
              </w:rPr>
            </w:pPr>
          </w:p>
        </w:tc>
        <w:tc>
          <w:tcPr>
            <w:tcW w:w="80" w:type="dxa"/>
            <w:vAlign w:val="bottom"/>
            <w:tcBorders>
              <w:bottom w:val="single" w:sz="8" w:color="auto"/>
            </w:tcBorders>
            <w:shd w:val="clear" w:color="auto" w:fill="CCECFF"/>
          </w:tcPr>
          <w:p>
            <w:pPr>
              <w:spacing w:after="0"/>
              <w:rPr>
                <w:sz w:val="12"/>
                <w:szCs w:val="12"/>
                <w:color w:val="auto"/>
              </w:rPr>
            </w:pPr>
          </w:p>
        </w:tc>
        <w:tc>
          <w:tcPr>
            <w:tcW w:w="620" w:type="dxa"/>
            <w:vAlign w:val="bottom"/>
            <w:tcBorders>
              <w:bottom w:val="single" w:sz="8" w:color="auto"/>
            </w:tcBorders>
            <w:shd w:val="clear" w:color="auto" w:fill="CCECFF"/>
          </w:tcPr>
          <w:p>
            <w:pPr>
              <w:jc w:val="right"/>
              <w:spacing w:after="0"/>
              <w:rPr>
                <w:sz w:val="20"/>
                <w:szCs w:val="20"/>
                <w:color w:val="auto"/>
              </w:rPr>
            </w:pPr>
            <w:r>
              <w:rPr>
                <w:rFonts w:ascii="Arial" w:cs="Arial" w:eastAsia="Arial" w:hAnsi="Arial"/>
                <w:sz w:val="12"/>
                <w:szCs w:val="12"/>
                <w:color w:val="auto"/>
                <w:w w:val="99"/>
              </w:rPr>
              <w:t>25,205,353</w:t>
            </w:r>
          </w:p>
        </w:tc>
        <w:tc>
          <w:tcPr>
            <w:tcW w:w="240" w:type="dxa"/>
            <w:vAlign w:val="bottom"/>
            <w:shd w:val="clear" w:color="auto" w:fill="CCECFF"/>
          </w:tcPr>
          <w:p>
            <w:pPr>
              <w:spacing w:after="0"/>
              <w:rPr>
                <w:sz w:val="12"/>
                <w:szCs w:val="12"/>
                <w:color w:val="auto"/>
              </w:rPr>
            </w:pPr>
          </w:p>
        </w:tc>
        <w:tc>
          <w:tcPr>
            <w:tcW w:w="80" w:type="dxa"/>
            <w:vAlign w:val="bottom"/>
            <w:tcBorders>
              <w:bottom w:val="single" w:sz="8" w:color="auto"/>
            </w:tcBorders>
            <w:shd w:val="clear" w:color="auto" w:fill="CCECFF"/>
          </w:tcPr>
          <w:p>
            <w:pPr>
              <w:spacing w:after="0"/>
              <w:rPr>
                <w:sz w:val="12"/>
                <w:szCs w:val="12"/>
                <w:color w:val="auto"/>
              </w:rPr>
            </w:pPr>
          </w:p>
        </w:tc>
        <w:tc>
          <w:tcPr>
            <w:tcW w:w="640" w:type="dxa"/>
            <w:vAlign w:val="bottom"/>
            <w:tcBorders>
              <w:bottom w:val="single" w:sz="8" w:color="auto"/>
            </w:tcBorders>
            <w:shd w:val="clear" w:color="auto" w:fill="CCECFF"/>
          </w:tcPr>
          <w:p>
            <w:pPr>
              <w:jc w:val="right"/>
              <w:spacing w:after="0"/>
              <w:rPr>
                <w:sz w:val="20"/>
                <w:szCs w:val="20"/>
                <w:color w:val="auto"/>
              </w:rPr>
            </w:pPr>
            <w:r>
              <w:rPr>
                <w:rFonts w:ascii="Arial" w:cs="Arial" w:eastAsia="Arial" w:hAnsi="Arial"/>
                <w:sz w:val="12"/>
                <w:szCs w:val="12"/>
                <w:color w:val="auto"/>
                <w:w w:val="99"/>
              </w:rPr>
              <w:t>38,067,105</w:t>
            </w:r>
          </w:p>
        </w:tc>
        <w:tc>
          <w:tcPr>
            <w:tcW w:w="100" w:type="dxa"/>
            <w:vAlign w:val="bottom"/>
            <w:shd w:val="clear" w:color="auto" w:fill="CCECFF"/>
          </w:tcPr>
          <w:p>
            <w:pPr>
              <w:spacing w:after="0"/>
              <w:rPr>
                <w:sz w:val="12"/>
                <w:szCs w:val="12"/>
                <w:color w:val="auto"/>
              </w:rPr>
            </w:pPr>
          </w:p>
        </w:tc>
      </w:tr>
      <w:tr>
        <w:trPr>
          <w:trHeight w:val="142"/>
        </w:trPr>
        <w:tc>
          <w:tcPr>
            <w:tcW w:w="3940" w:type="dxa"/>
            <w:vAlign w:val="bottom"/>
            <w:tcBorders>
              <w:bottom w:val="single" w:sz="8" w:color="CCECFF"/>
            </w:tcBorders>
            <w:gridSpan w:val="2"/>
          </w:tcPr>
          <w:p>
            <w:pPr>
              <w:spacing w:after="0"/>
              <w:rPr>
                <w:sz w:val="20"/>
                <w:szCs w:val="20"/>
                <w:color w:val="auto"/>
              </w:rPr>
            </w:pPr>
            <w:r>
              <w:rPr>
                <w:rFonts w:ascii="Arial" w:cs="Arial" w:eastAsia="Arial" w:hAnsi="Arial"/>
                <w:sz w:val="12"/>
                <w:szCs w:val="12"/>
                <w:b w:val="1"/>
                <w:bCs w:val="1"/>
                <w:color w:val="auto"/>
                <w:w w:val="94"/>
              </w:rPr>
              <w:t>Total Investments in Non-Controlled, Non-Affiliated Portfolio Companies</w:t>
            </w:r>
          </w:p>
        </w:tc>
        <w:tc>
          <w:tcPr>
            <w:tcW w:w="2580" w:type="dxa"/>
            <w:vAlign w:val="bottom"/>
            <w:tcBorders>
              <w:bottom w:val="single" w:sz="8" w:color="CCECFF"/>
            </w:tcBorders>
          </w:tcPr>
          <w:p>
            <w:pPr>
              <w:spacing w:after="0"/>
              <w:rPr>
                <w:sz w:val="12"/>
                <w:szCs w:val="12"/>
                <w:color w:val="auto"/>
              </w:rPr>
            </w:pPr>
          </w:p>
        </w:tc>
        <w:tc>
          <w:tcPr>
            <w:tcW w:w="120" w:type="dxa"/>
            <w:vAlign w:val="bottom"/>
            <w:tcBorders>
              <w:bottom w:val="single" w:sz="8" w:color="CCECFF"/>
            </w:tcBorders>
          </w:tcPr>
          <w:p>
            <w:pPr>
              <w:spacing w:after="0"/>
              <w:rPr>
                <w:sz w:val="12"/>
                <w:szCs w:val="12"/>
                <w:color w:val="auto"/>
              </w:rPr>
            </w:pPr>
          </w:p>
        </w:tc>
        <w:tc>
          <w:tcPr>
            <w:tcW w:w="680" w:type="dxa"/>
            <w:vAlign w:val="bottom"/>
            <w:tcBorders>
              <w:bottom w:val="single" w:sz="8" w:color="CCECFF"/>
            </w:tcBorders>
          </w:tcPr>
          <w:p>
            <w:pPr>
              <w:spacing w:after="0"/>
              <w:rPr>
                <w:sz w:val="12"/>
                <w:szCs w:val="12"/>
                <w:color w:val="auto"/>
              </w:rPr>
            </w:pPr>
          </w:p>
        </w:tc>
        <w:tc>
          <w:tcPr>
            <w:tcW w:w="280" w:type="dxa"/>
            <w:vAlign w:val="bottom"/>
            <w:tcBorders>
              <w:bottom w:val="single" w:sz="8" w:color="CCECFF"/>
            </w:tcBorders>
          </w:tcPr>
          <w:p>
            <w:pPr>
              <w:spacing w:after="0"/>
              <w:rPr>
                <w:sz w:val="12"/>
                <w:szCs w:val="12"/>
                <w:color w:val="auto"/>
              </w:rPr>
            </w:pPr>
          </w:p>
        </w:tc>
        <w:tc>
          <w:tcPr>
            <w:tcW w:w="660" w:type="dxa"/>
            <w:vAlign w:val="bottom"/>
            <w:tcBorders>
              <w:bottom w:val="single" w:sz="8" w:color="CCECFF"/>
            </w:tcBorders>
          </w:tcPr>
          <w:p>
            <w:pPr>
              <w:spacing w:after="0"/>
              <w:rPr>
                <w:sz w:val="12"/>
                <w:szCs w:val="12"/>
                <w:color w:val="auto"/>
              </w:rPr>
            </w:pPr>
          </w:p>
        </w:tc>
        <w:tc>
          <w:tcPr>
            <w:tcW w:w="240" w:type="dxa"/>
            <w:vAlign w:val="bottom"/>
            <w:tcBorders>
              <w:bottom w:val="single" w:sz="8" w:color="CCECFF"/>
            </w:tcBorders>
          </w:tcPr>
          <w:p>
            <w:pPr>
              <w:spacing w:after="0"/>
              <w:rPr>
                <w:sz w:val="12"/>
                <w:szCs w:val="12"/>
                <w:color w:val="auto"/>
              </w:rPr>
            </w:pPr>
          </w:p>
        </w:tc>
        <w:tc>
          <w:tcPr>
            <w:tcW w:w="680" w:type="dxa"/>
            <w:vAlign w:val="bottom"/>
            <w:tcBorders>
              <w:bottom w:val="single" w:sz="8" w:color="CCECFF"/>
            </w:tcBorders>
          </w:tcPr>
          <w:p>
            <w:pPr>
              <w:spacing w:after="0"/>
              <w:rPr>
                <w:sz w:val="12"/>
                <w:szCs w:val="12"/>
                <w:color w:val="auto"/>
              </w:rPr>
            </w:pPr>
          </w:p>
        </w:tc>
        <w:tc>
          <w:tcPr>
            <w:tcW w:w="300" w:type="dxa"/>
            <w:vAlign w:val="bottom"/>
            <w:tcBorders>
              <w:bottom w:val="single" w:sz="8" w:color="CCECFF"/>
            </w:tcBorders>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w w:val="89"/>
              </w:rPr>
              <w:t>772,411,106</w:t>
            </w:r>
          </w:p>
        </w:tc>
        <w:tc>
          <w:tcPr>
            <w:tcW w:w="240" w:type="dxa"/>
            <w:vAlign w:val="bottom"/>
            <w:tcBorders>
              <w:bottom w:val="single" w:sz="8" w:color="CCECFF"/>
            </w:tcBorders>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w w:val="89"/>
              </w:rPr>
              <w:t>788,252,925</w:t>
            </w:r>
          </w:p>
        </w:tc>
        <w:tc>
          <w:tcPr>
            <w:tcW w:w="100" w:type="dxa"/>
            <w:vAlign w:val="bottom"/>
            <w:tcBorders>
              <w:bottom w:val="single" w:sz="8" w:color="CCECFF"/>
            </w:tcBorders>
          </w:tcPr>
          <w:p>
            <w:pPr>
              <w:spacing w:after="0"/>
              <w:rPr>
                <w:sz w:val="12"/>
                <w:szCs w:val="12"/>
                <w:color w:val="auto"/>
              </w:rPr>
            </w:pPr>
          </w:p>
        </w:tc>
      </w:tr>
      <w:tr>
        <w:trPr>
          <w:trHeight w:val="142"/>
        </w:trPr>
        <w:tc>
          <w:tcPr>
            <w:tcW w:w="3940" w:type="dxa"/>
            <w:vAlign w:val="bottom"/>
            <w:gridSpan w:val="2"/>
            <w:shd w:val="clear" w:color="auto" w:fill="CCECFF"/>
          </w:tcPr>
          <w:p>
            <w:pPr>
              <w:spacing w:after="0"/>
              <w:rPr>
                <w:sz w:val="20"/>
                <w:szCs w:val="20"/>
                <w:color w:val="auto"/>
              </w:rPr>
            </w:pPr>
            <w:r>
              <w:rPr>
                <w:rFonts w:ascii="Arial" w:cs="Arial" w:eastAsia="Arial" w:hAnsi="Arial"/>
                <w:sz w:val="12"/>
                <w:szCs w:val="12"/>
                <w:b w:val="1"/>
                <w:bCs w:val="1"/>
                <w:color w:val="auto"/>
                <w:w w:val="91"/>
              </w:rPr>
              <w:t xml:space="preserve">Investments in Non-Controlled, Affiliated Portfolio Companies—28.4% </w:t>
            </w:r>
            <w:r>
              <w:rPr>
                <w:rFonts w:ascii="Arial" w:cs="Arial" w:eastAsia="Arial" w:hAnsi="Arial"/>
                <w:sz w:val="9"/>
                <w:szCs w:val="9"/>
                <w:b w:val="1"/>
                <w:bCs w:val="1"/>
                <w:color w:val="auto"/>
                <w:w w:val="91"/>
              </w:rPr>
              <w:t>(1), (2)</w:t>
            </w:r>
          </w:p>
        </w:tc>
        <w:tc>
          <w:tcPr>
            <w:tcW w:w="2580" w:type="dxa"/>
            <w:vAlign w:val="bottom"/>
            <w:shd w:val="clear" w:color="auto" w:fill="CCECFF"/>
          </w:tcPr>
          <w:p>
            <w:pPr>
              <w:spacing w:after="0"/>
              <w:rPr>
                <w:sz w:val="12"/>
                <w:szCs w:val="12"/>
                <w:color w:val="auto"/>
              </w:rPr>
            </w:pPr>
          </w:p>
        </w:tc>
        <w:tc>
          <w:tcPr>
            <w:tcW w:w="120" w:type="dxa"/>
            <w:vAlign w:val="bottom"/>
            <w:shd w:val="clear" w:color="auto" w:fill="CCECFF"/>
          </w:tcPr>
          <w:p>
            <w:pPr>
              <w:spacing w:after="0"/>
              <w:rPr>
                <w:sz w:val="12"/>
                <w:szCs w:val="12"/>
                <w:color w:val="auto"/>
              </w:rPr>
            </w:pPr>
          </w:p>
        </w:tc>
        <w:tc>
          <w:tcPr>
            <w:tcW w:w="680" w:type="dxa"/>
            <w:vAlign w:val="bottom"/>
            <w:shd w:val="clear" w:color="auto" w:fill="CCECFF"/>
          </w:tcPr>
          <w:p>
            <w:pPr>
              <w:spacing w:after="0"/>
              <w:rPr>
                <w:sz w:val="12"/>
                <w:szCs w:val="12"/>
                <w:color w:val="auto"/>
              </w:rPr>
            </w:pPr>
          </w:p>
        </w:tc>
        <w:tc>
          <w:tcPr>
            <w:tcW w:w="280" w:type="dxa"/>
            <w:vAlign w:val="bottom"/>
            <w:shd w:val="clear" w:color="auto" w:fill="CCECFF"/>
          </w:tcPr>
          <w:p>
            <w:pPr>
              <w:spacing w:after="0"/>
              <w:rPr>
                <w:sz w:val="12"/>
                <w:szCs w:val="12"/>
                <w:color w:val="auto"/>
              </w:rPr>
            </w:pPr>
          </w:p>
        </w:tc>
        <w:tc>
          <w:tcPr>
            <w:tcW w:w="660" w:type="dxa"/>
            <w:vAlign w:val="bottom"/>
            <w:shd w:val="clear" w:color="auto" w:fill="CCECFF"/>
          </w:tcPr>
          <w:p>
            <w:pPr>
              <w:spacing w:after="0"/>
              <w:rPr>
                <w:sz w:val="12"/>
                <w:szCs w:val="12"/>
                <w:color w:val="auto"/>
              </w:rPr>
            </w:pPr>
          </w:p>
        </w:tc>
        <w:tc>
          <w:tcPr>
            <w:tcW w:w="240" w:type="dxa"/>
            <w:vAlign w:val="bottom"/>
            <w:shd w:val="clear" w:color="auto" w:fill="CCECFF"/>
          </w:tcPr>
          <w:p>
            <w:pPr>
              <w:spacing w:after="0"/>
              <w:rPr>
                <w:sz w:val="12"/>
                <w:szCs w:val="12"/>
                <w:color w:val="auto"/>
              </w:rPr>
            </w:pPr>
          </w:p>
        </w:tc>
        <w:tc>
          <w:tcPr>
            <w:tcW w:w="680" w:type="dxa"/>
            <w:vAlign w:val="bottom"/>
            <w:shd w:val="clear" w:color="auto" w:fill="CCECFF"/>
          </w:tcPr>
          <w:p>
            <w:pPr>
              <w:spacing w:after="0"/>
              <w:rPr>
                <w:sz w:val="12"/>
                <w:szCs w:val="12"/>
                <w:color w:val="auto"/>
              </w:rPr>
            </w:pPr>
          </w:p>
        </w:tc>
        <w:tc>
          <w:tcPr>
            <w:tcW w:w="300" w:type="dxa"/>
            <w:vAlign w:val="bottom"/>
            <w:shd w:val="clear" w:color="auto" w:fill="CCECFF"/>
          </w:tcPr>
          <w:p>
            <w:pPr>
              <w:spacing w:after="0"/>
              <w:rPr>
                <w:sz w:val="12"/>
                <w:szCs w:val="12"/>
                <w:color w:val="auto"/>
              </w:rPr>
            </w:pPr>
          </w:p>
        </w:tc>
        <w:tc>
          <w:tcPr>
            <w:tcW w:w="80" w:type="dxa"/>
            <w:vAlign w:val="bottom"/>
            <w:shd w:val="clear" w:color="auto" w:fill="CCECFF"/>
          </w:tcPr>
          <w:p>
            <w:pPr>
              <w:spacing w:after="0"/>
              <w:rPr>
                <w:sz w:val="12"/>
                <w:szCs w:val="12"/>
                <w:color w:val="auto"/>
              </w:rPr>
            </w:pPr>
          </w:p>
        </w:tc>
        <w:tc>
          <w:tcPr>
            <w:tcW w:w="620" w:type="dxa"/>
            <w:vAlign w:val="bottom"/>
            <w:shd w:val="clear" w:color="auto" w:fill="CCECFF"/>
          </w:tcPr>
          <w:p>
            <w:pPr>
              <w:spacing w:after="0"/>
              <w:rPr>
                <w:sz w:val="12"/>
                <w:szCs w:val="12"/>
                <w:color w:val="auto"/>
              </w:rPr>
            </w:pPr>
          </w:p>
        </w:tc>
        <w:tc>
          <w:tcPr>
            <w:tcW w:w="240" w:type="dxa"/>
            <w:vAlign w:val="bottom"/>
            <w:shd w:val="clear" w:color="auto" w:fill="CCECFF"/>
          </w:tcPr>
          <w:p>
            <w:pPr>
              <w:spacing w:after="0"/>
              <w:rPr>
                <w:sz w:val="12"/>
                <w:szCs w:val="12"/>
                <w:color w:val="auto"/>
              </w:rPr>
            </w:pPr>
          </w:p>
        </w:tc>
        <w:tc>
          <w:tcPr>
            <w:tcW w:w="80" w:type="dxa"/>
            <w:vAlign w:val="bottom"/>
            <w:shd w:val="clear" w:color="auto" w:fill="CCECFF"/>
          </w:tcPr>
          <w:p>
            <w:pPr>
              <w:spacing w:after="0"/>
              <w:rPr>
                <w:sz w:val="12"/>
                <w:szCs w:val="12"/>
                <w:color w:val="auto"/>
              </w:rPr>
            </w:pPr>
          </w:p>
        </w:tc>
        <w:tc>
          <w:tcPr>
            <w:tcW w:w="640" w:type="dxa"/>
            <w:vAlign w:val="bottom"/>
            <w:shd w:val="clear" w:color="auto" w:fill="CCECFF"/>
          </w:tcPr>
          <w:p>
            <w:pPr>
              <w:spacing w:after="0"/>
              <w:rPr>
                <w:sz w:val="12"/>
                <w:szCs w:val="12"/>
                <w:color w:val="auto"/>
              </w:rPr>
            </w:pPr>
          </w:p>
        </w:tc>
        <w:tc>
          <w:tcPr>
            <w:tcW w:w="100" w:type="dxa"/>
            <w:vAlign w:val="bottom"/>
            <w:shd w:val="clear" w:color="auto" w:fill="CCECFF"/>
          </w:tcPr>
          <w:p>
            <w:pPr>
              <w:spacing w:after="0"/>
              <w:rPr>
                <w:sz w:val="12"/>
                <w:szCs w:val="12"/>
                <w:color w:val="auto"/>
              </w:rPr>
            </w:pPr>
          </w:p>
        </w:tc>
      </w:tr>
      <w:tr>
        <w:trPr>
          <w:trHeight w:val="148"/>
        </w:trPr>
        <w:tc>
          <w:tcPr>
            <w:tcW w:w="3000" w:type="dxa"/>
            <w:vAlign w:val="bottom"/>
          </w:tcPr>
          <w:p>
            <w:pPr>
              <w:spacing w:after="0"/>
              <w:rPr>
                <w:sz w:val="20"/>
                <w:szCs w:val="20"/>
                <w:color w:val="auto"/>
              </w:rPr>
            </w:pPr>
            <w:r>
              <w:rPr>
                <w:rFonts w:ascii="Arial" w:cs="Arial" w:eastAsia="Arial" w:hAnsi="Arial"/>
                <w:sz w:val="12"/>
                <w:szCs w:val="12"/>
                <w:b w:val="1"/>
                <w:bCs w:val="1"/>
                <w:color w:val="auto"/>
              </w:rPr>
              <w:t>First Lien Secured Debt—9.4%</w:t>
            </w:r>
          </w:p>
        </w:tc>
        <w:tc>
          <w:tcPr>
            <w:tcW w:w="940" w:type="dxa"/>
            <w:vAlign w:val="bottom"/>
          </w:tcPr>
          <w:p>
            <w:pPr>
              <w:spacing w:after="0"/>
              <w:rPr>
                <w:sz w:val="12"/>
                <w:szCs w:val="12"/>
                <w:color w:val="auto"/>
              </w:rPr>
            </w:pPr>
          </w:p>
        </w:tc>
        <w:tc>
          <w:tcPr>
            <w:tcW w:w="25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00" w:type="dxa"/>
            <w:vAlign w:val="bottom"/>
          </w:tcPr>
          <w:p>
            <w:pPr>
              <w:spacing w:after="0"/>
              <w:rPr>
                <w:sz w:val="12"/>
                <w:szCs w:val="12"/>
                <w:color w:val="auto"/>
              </w:rPr>
            </w:pPr>
          </w:p>
        </w:tc>
      </w:tr>
      <w:tr>
        <w:trPr>
          <w:trHeight w:val="149"/>
        </w:trPr>
        <w:tc>
          <w:tcPr>
            <w:tcW w:w="3000" w:type="dxa"/>
            <w:vAlign w:val="bottom"/>
            <w:shd w:val="clear" w:color="auto" w:fill="CCECFF"/>
          </w:tcPr>
          <w:p>
            <w:pPr>
              <w:spacing w:after="0"/>
              <w:rPr>
                <w:sz w:val="20"/>
                <w:szCs w:val="20"/>
                <w:color w:val="auto"/>
              </w:rPr>
            </w:pPr>
            <w:r>
              <w:rPr>
                <w:rFonts w:ascii="Arial" w:cs="Arial" w:eastAsia="Arial" w:hAnsi="Arial"/>
                <w:sz w:val="12"/>
                <w:szCs w:val="12"/>
                <w:color w:val="auto"/>
              </w:rPr>
              <w:t>American Gilsonite Company</w:t>
            </w:r>
          </w:p>
        </w:tc>
        <w:tc>
          <w:tcPr>
            <w:tcW w:w="940" w:type="dxa"/>
            <w:vAlign w:val="bottom"/>
            <w:shd w:val="clear" w:color="auto" w:fill="CCECFF"/>
          </w:tcPr>
          <w:p>
            <w:pPr>
              <w:ind w:left="120"/>
              <w:spacing w:after="0"/>
              <w:rPr>
                <w:sz w:val="20"/>
                <w:szCs w:val="20"/>
                <w:color w:val="auto"/>
              </w:rPr>
            </w:pPr>
            <w:r>
              <w:rPr>
                <w:rFonts w:ascii="Arial" w:cs="Arial" w:eastAsia="Arial" w:hAnsi="Arial"/>
                <w:sz w:val="12"/>
                <w:szCs w:val="12"/>
                <w:color w:val="auto"/>
              </w:rPr>
              <w:t>12/31/2021</w:t>
            </w:r>
          </w:p>
        </w:tc>
        <w:tc>
          <w:tcPr>
            <w:tcW w:w="2700" w:type="dxa"/>
            <w:vAlign w:val="bottom"/>
            <w:gridSpan w:val="2"/>
            <w:shd w:val="clear" w:color="auto" w:fill="CCECFF"/>
          </w:tcPr>
          <w:p>
            <w:pPr>
              <w:jc w:val="center"/>
              <w:ind w:right="180"/>
              <w:spacing w:after="0"/>
              <w:rPr>
                <w:sz w:val="20"/>
                <w:szCs w:val="20"/>
                <w:color w:val="auto"/>
              </w:rPr>
            </w:pPr>
            <w:r>
              <w:rPr>
                <w:rFonts w:ascii="Arial" w:cs="Arial" w:eastAsia="Arial" w:hAnsi="Arial"/>
                <w:sz w:val="12"/>
                <w:szCs w:val="12"/>
                <w:color w:val="auto"/>
                <w:w w:val="88"/>
              </w:rPr>
              <w:t>Diversified Natural Resources,</w:t>
            </w:r>
          </w:p>
        </w:tc>
        <w:tc>
          <w:tcPr>
            <w:tcW w:w="960" w:type="dxa"/>
            <w:vAlign w:val="bottom"/>
            <w:gridSpan w:val="2"/>
            <w:shd w:val="clear" w:color="auto" w:fill="CCECFF"/>
          </w:tcPr>
          <w:p>
            <w:pPr>
              <w:jc w:val="right"/>
              <w:ind w:right="200"/>
              <w:spacing w:after="0"/>
              <w:rPr>
                <w:sz w:val="20"/>
                <w:szCs w:val="20"/>
                <w:color w:val="auto"/>
              </w:rPr>
            </w:pPr>
            <w:r>
              <w:rPr>
                <w:rFonts w:ascii="Arial" w:cs="Arial" w:eastAsia="Arial" w:hAnsi="Arial"/>
                <w:sz w:val="12"/>
                <w:szCs w:val="12"/>
                <w:color w:val="auto"/>
              </w:rPr>
              <w:t>15.00%</w:t>
            </w:r>
          </w:p>
        </w:tc>
        <w:tc>
          <w:tcPr>
            <w:tcW w:w="900" w:type="dxa"/>
            <w:vAlign w:val="bottom"/>
            <w:gridSpan w:val="2"/>
            <w:shd w:val="clear" w:color="auto" w:fill="CCECFF"/>
          </w:tcPr>
          <w:p>
            <w:pPr>
              <w:jc w:val="right"/>
              <w:ind w:right="240"/>
              <w:spacing w:after="0"/>
              <w:rPr>
                <w:sz w:val="20"/>
                <w:szCs w:val="20"/>
                <w:color w:val="auto"/>
              </w:rPr>
            </w:pPr>
            <w:r>
              <w:rPr>
                <w:rFonts w:ascii="Arial" w:cs="Arial" w:eastAsia="Arial" w:hAnsi="Arial"/>
                <w:sz w:val="12"/>
                <w:szCs w:val="12"/>
                <w:color w:val="auto"/>
              </w:rPr>
              <w:t>—</w:t>
            </w:r>
          </w:p>
        </w:tc>
        <w:tc>
          <w:tcPr>
            <w:tcW w:w="680" w:type="dxa"/>
            <w:vAlign w:val="bottom"/>
            <w:shd w:val="clear" w:color="auto" w:fill="CCECFF"/>
          </w:tcPr>
          <w:p>
            <w:pPr>
              <w:jc w:val="right"/>
              <w:spacing w:after="0"/>
              <w:rPr>
                <w:sz w:val="20"/>
                <w:szCs w:val="20"/>
                <w:color w:val="auto"/>
              </w:rPr>
            </w:pPr>
            <w:r>
              <w:rPr>
                <w:rFonts w:ascii="Arial" w:cs="Arial" w:eastAsia="Arial" w:hAnsi="Arial"/>
                <w:sz w:val="12"/>
                <w:szCs w:val="12"/>
                <w:color w:val="auto"/>
              </w:rPr>
              <w:t>3,339,401</w:t>
            </w:r>
          </w:p>
        </w:tc>
        <w:tc>
          <w:tcPr>
            <w:tcW w:w="300" w:type="dxa"/>
            <w:vAlign w:val="bottom"/>
            <w:shd w:val="clear" w:color="auto" w:fill="CCECFF"/>
          </w:tcPr>
          <w:p>
            <w:pPr>
              <w:spacing w:after="0"/>
              <w:rPr>
                <w:sz w:val="12"/>
                <w:szCs w:val="12"/>
                <w:color w:val="auto"/>
              </w:rPr>
            </w:pPr>
          </w:p>
        </w:tc>
        <w:tc>
          <w:tcPr>
            <w:tcW w:w="80" w:type="dxa"/>
            <w:vAlign w:val="bottom"/>
            <w:shd w:val="clear" w:color="auto" w:fill="CCECFF"/>
          </w:tcPr>
          <w:p>
            <w:pPr>
              <w:spacing w:after="0"/>
              <w:rPr>
                <w:sz w:val="12"/>
                <w:szCs w:val="12"/>
                <w:color w:val="auto"/>
              </w:rPr>
            </w:pPr>
          </w:p>
        </w:tc>
        <w:tc>
          <w:tcPr>
            <w:tcW w:w="620" w:type="dxa"/>
            <w:vAlign w:val="bottom"/>
            <w:shd w:val="clear" w:color="auto" w:fill="CCECFF"/>
          </w:tcPr>
          <w:p>
            <w:pPr>
              <w:jc w:val="right"/>
              <w:spacing w:after="0"/>
              <w:rPr>
                <w:sz w:val="20"/>
                <w:szCs w:val="20"/>
                <w:color w:val="auto"/>
              </w:rPr>
            </w:pPr>
            <w:r>
              <w:rPr>
                <w:rFonts w:ascii="Arial" w:cs="Arial" w:eastAsia="Arial" w:hAnsi="Arial"/>
                <w:sz w:val="12"/>
                <w:szCs w:val="12"/>
                <w:color w:val="auto"/>
              </w:rPr>
              <w:t>3,245,185</w:t>
            </w:r>
          </w:p>
        </w:tc>
        <w:tc>
          <w:tcPr>
            <w:tcW w:w="240" w:type="dxa"/>
            <w:vAlign w:val="bottom"/>
            <w:shd w:val="clear" w:color="auto" w:fill="CCECFF"/>
          </w:tcPr>
          <w:p>
            <w:pPr>
              <w:spacing w:after="0"/>
              <w:rPr>
                <w:sz w:val="12"/>
                <w:szCs w:val="12"/>
                <w:color w:val="auto"/>
              </w:rPr>
            </w:pPr>
          </w:p>
        </w:tc>
        <w:tc>
          <w:tcPr>
            <w:tcW w:w="80" w:type="dxa"/>
            <w:vAlign w:val="bottom"/>
            <w:shd w:val="clear" w:color="auto" w:fill="CCECFF"/>
          </w:tcPr>
          <w:p>
            <w:pPr>
              <w:spacing w:after="0"/>
              <w:rPr>
                <w:sz w:val="12"/>
                <w:szCs w:val="12"/>
                <w:color w:val="auto"/>
              </w:rPr>
            </w:pPr>
          </w:p>
        </w:tc>
        <w:tc>
          <w:tcPr>
            <w:tcW w:w="640" w:type="dxa"/>
            <w:vAlign w:val="bottom"/>
            <w:shd w:val="clear" w:color="auto" w:fill="CCECFF"/>
          </w:tcPr>
          <w:p>
            <w:pPr>
              <w:jc w:val="right"/>
              <w:spacing w:after="0"/>
              <w:rPr>
                <w:sz w:val="20"/>
                <w:szCs w:val="20"/>
                <w:color w:val="auto"/>
              </w:rPr>
            </w:pPr>
            <w:r>
              <w:rPr>
                <w:rFonts w:ascii="Arial" w:cs="Arial" w:eastAsia="Arial" w:hAnsi="Arial"/>
                <w:sz w:val="12"/>
                <w:szCs w:val="12"/>
                <w:color w:val="auto"/>
              </w:rPr>
              <w:t>3,506,372</w:t>
            </w:r>
          </w:p>
        </w:tc>
        <w:tc>
          <w:tcPr>
            <w:tcW w:w="100" w:type="dxa"/>
            <w:vAlign w:val="bottom"/>
            <w:shd w:val="clear" w:color="auto" w:fill="CCECFF"/>
          </w:tcPr>
          <w:p>
            <w:pPr>
              <w:spacing w:after="0"/>
              <w:rPr>
                <w:sz w:val="12"/>
                <w:szCs w:val="12"/>
                <w:color w:val="auto"/>
              </w:rPr>
            </w:pPr>
          </w:p>
        </w:tc>
      </w:tr>
      <w:tr>
        <w:trPr>
          <w:trHeight w:val="148"/>
        </w:trPr>
        <w:tc>
          <w:tcPr>
            <w:tcW w:w="3000" w:type="dxa"/>
            <w:vAlign w:val="bottom"/>
            <w:shd w:val="clear" w:color="auto" w:fill="CCECFF"/>
          </w:tcPr>
          <w:p>
            <w:pPr>
              <w:spacing w:after="0"/>
              <w:rPr>
                <w:sz w:val="12"/>
                <w:szCs w:val="12"/>
                <w:color w:val="auto"/>
              </w:rPr>
            </w:pPr>
          </w:p>
        </w:tc>
        <w:tc>
          <w:tcPr>
            <w:tcW w:w="940" w:type="dxa"/>
            <w:vAlign w:val="bottom"/>
            <w:shd w:val="clear" w:color="auto" w:fill="CCECFF"/>
          </w:tcPr>
          <w:p>
            <w:pPr>
              <w:spacing w:after="0"/>
              <w:rPr>
                <w:sz w:val="12"/>
                <w:szCs w:val="12"/>
                <w:color w:val="auto"/>
              </w:rPr>
            </w:pPr>
          </w:p>
        </w:tc>
        <w:tc>
          <w:tcPr>
            <w:tcW w:w="2700" w:type="dxa"/>
            <w:vAlign w:val="bottom"/>
            <w:gridSpan w:val="2"/>
            <w:shd w:val="clear" w:color="auto" w:fill="CCECFF"/>
          </w:tcPr>
          <w:p>
            <w:pPr>
              <w:jc w:val="center"/>
              <w:ind w:right="200"/>
              <w:spacing w:after="0"/>
              <w:rPr>
                <w:sz w:val="20"/>
                <w:szCs w:val="20"/>
                <w:color w:val="auto"/>
              </w:rPr>
            </w:pPr>
            <w:r>
              <w:rPr>
                <w:rFonts w:ascii="Arial" w:cs="Arial" w:eastAsia="Arial" w:hAnsi="Arial"/>
                <w:sz w:val="12"/>
                <w:szCs w:val="12"/>
                <w:color w:val="auto"/>
                <w:w w:val="87"/>
              </w:rPr>
              <w:t>Precious Metals and Minerals</w:t>
            </w:r>
          </w:p>
        </w:tc>
        <w:tc>
          <w:tcPr>
            <w:tcW w:w="960" w:type="dxa"/>
            <w:vAlign w:val="bottom"/>
            <w:gridSpan w:val="2"/>
            <w:shd w:val="clear" w:color="auto" w:fill="CCECFF"/>
          </w:tcPr>
          <w:p>
            <w:pPr>
              <w:jc w:val="right"/>
              <w:ind w:right="160"/>
              <w:spacing w:after="0"/>
              <w:rPr>
                <w:sz w:val="20"/>
                <w:szCs w:val="20"/>
                <w:color w:val="auto"/>
              </w:rPr>
            </w:pPr>
            <w:r>
              <w:rPr>
                <w:rFonts w:ascii="Arial" w:cs="Arial" w:eastAsia="Arial" w:hAnsi="Arial"/>
                <w:sz w:val="12"/>
                <w:szCs w:val="12"/>
                <w:color w:val="auto"/>
              </w:rPr>
              <w:t>(PIK 5.00%)</w:t>
            </w:r>
          </w:p>
        </w:tc>
        <w:tc>
          <w:tcPr>
            <w:tcW w:w="660" w:type="dxa"/>
            <w:vAlign w:val="bottom"/>
            <w:shd w:val="clear" w:color="auto" w:fill="CCECFF"/>
          </w:tcPr>
          <w:p>
            <w:pPr>
              <w:spacing w:after="0"/>
              <w:rPr>
                <w:sz w:val="12"/>
                <w:szCs w:val="12"/>
                <w:color w:val="auto"/>
              </w:rPr>
            </w:pPr>
          </w:p>
        </w:tc>
        <w:tc>
          <w:tcPr>
            <w:tcW w:w="240" w:type="dxa"/>
            <w:vAlign w:val="bottom"/>
            <w:shd w:val="clear" w:color="auto" w:fill="CCECFF"/>
          </w:tcPr>
          <w:p>
            <w:pPr>
              <w:spacing w:after="0"/>
              <w:rPr>
                <w:sz w:val="12"/>
                <w:szCs w:val="12"/>
                <w:color w:val="auto"/>
              </w:rPr>
            </w:pPr>
          </w:p>
        </w:tc>
        <w:tc>
          <w:tcPr>
            <w:tcW w:w="680" w:type="dxa"/>
            <w:vAlign w:val="bottom"/>
            <w:shd w:val="clear" w:color="auto" w:fill="CCECFF"/>
          </w:tcPr>
          <w:p>
            <w:pPr>
              <w:spacing w:after="0"/>
              <w:rPr>
                <w:sz w:val="12"/>
                <w:szCs w:val="12"/>
                <w:color w:val="auto"/>
              </w:rPr>
            </w:pPr>
          </w:p>
        </w:tc>
        <w:tc>
          <w:tcPr>
            <w:tcW w:w="300" w:type="dxa"/>
            <w:vAlign w:val="bottom"/>
            <w:shd w:val="clear" w:color="auto" w:fill="CCECFF"/>
          </w:tcPr>
          <w:p>
            <w:pPr>
              <w:spacing w:after="0"/>
              <w:rPr>
                <w:sz w:val="12"/>
                <w:szCs w:val="12"/>
                <w:color w:val="auto"/>
              </w:rPr>
            </w:pPr>
          </w:p>
        </w:tc>
        <w:tc>
          <w:tcPr>
            <w:tcW w:w="80" w:type="dxa"/>
            <w:vAlign w:val="bottom"/>
            <w:shd w:val="clear" w:color="auto" w:fill="CCECFF"/>
          </w:tcPr>
          <w:p>
            <w:pPr>
              <w:spacing w:after="0"/>
              <w:rPr>
                <w:sz w:val="12"/>
                <w:szCs w:val="12"/>
                <w:color w:val="auto"/>
              </w:rPr>
            </w:pPr>
          </w:p>
        </w:tc>
        <w:tc>
          <w:tcPr>
            <w:tcW w:w="620" w:type="dxa"/>
            <w:vAlign w:val="bottom"/>
            <w:shd w:val="clear" w:color="auto" w:fill="CCECFF"/>
          </w:tcPr>
          <w:p>
            <w:pPr>
              <w:spacing w:after="0"/>
              <w:rPr>
                <w:sz w:val="12"/>
                <w:szCs w:val="12"/>
                <w:color w:val="auto"/>
              </w:rPr>
            </w:pPr>
          </w:p>
        </w:tc>
        <w:tc>
          <w:tcPr>
            <w:tcW w:w="240" w:type="dxa"/>
            <w:vAlign w:val="bottom"/>
            <w:shd w:val="clear" w:color="auto" w:fill="CCECFF"/>
          </w:tcPr>
          <w:p>
            <w:pPr>
              <w:spacing w:after="0"/>
              <w:rPr>
                <w:sz w:val="12"/>
                <w:szCs w:val="12"/>
                <w:color w:val="auto"/>
              </w:rPr>
            </w:pPr>
          </w:p>
        </w:tc>
        <w:tc>
          <w:tcPr>
            <w:tcW w:w="80" w:type="dxa"/>
            <w:vAlign w:val="bottom"/>
            <w:shd w:val="clear" w:color="auto" w:fill="CCECFF"/>
          </w:tcPr>
          <w:p>
            <w:pPr>
              <w:spacing w:after="0"/>
              <w:rPr>
                <w:sz w:val="12"/>
                <w:szCs w:val="12"/>
                <w:color w:val="auto"/>
              </w:rPr>
            </w:pPr>
          </w:p>
        </w:tc>
        <w:tc>
          <w:tcPr>
            <w:tcW w:w="640" w:type="dxa"/>
            <w:vAlign w:val="bottom"/>
            <w:shd w:val="clear" w:color="auto" w:fill="CCECFF"/>
          </w:tcPr>
          <w:p>
            <w:pPr>
              <w:spacing w:after="0"/>
              <w:rPr>
                <w:sz w:val="12"/>
                <w:szCs w:val="12"/>
                <w:color w:val="auto"/>
              </w:rPr>
            </w:pPr>
          </w:p>
        </w:tc>
        <w:tc>
          <w:tcPr>
            <w:tcW w:w="100" w:type="dxa"/>
            <w:vAlign w:val="bottom"/>
            <w:shd w:val="clear" w:color="auto" w:fill="CCECFF"/>
          </w:tcPr>
          <w:p>
            <w:pPr>
              <w:spacing w:after="0"/>
              <w:rPr>
                <w:sz w:val="12"/>
                <w:szCs w:val="12"/>
                <w:color w:val="auto"/>
              </w:rPr>
            </w:pPr>
          </w:p>
        </w:tc>
      </w:tr>
      <w:tr>
        <w:trPr>
          <w:trHeight w:val="148"/>
        </w:trPr>
        <w:tc>
          <w:tcPr>
            <w:tcW w:w="3000" w:type="dxa"/>
            <w:vAlign w:val="bottom"/>
          </w:tcPr>
          <w:p>
            <w:pPr>
              <w:spacing w:after="0"/>
              <w:rPr>
                <w:sz w:val="20"/>
                <w:szCs w:val="20"/>
                <w:color w:val="auto"/>
              </w:rPr>
            </w:pPr>
            <w:r>
              <w:rPr>
                <w:rFonts w:ascii="Arial" w:cs="Arial" w:eastAsia="Arial" w:hAnsi="Arial"/>
                <w:sz w:val="12"/>
                <w:szCs w:val="12"/>
                <w:color w:val="auto"/>
              </w:rPr>
              <w:t>Corfin Industries LLC</w:t>
            </w:r>
          </w:p>
        </w:tc>
        <w:tc>
          <w:tcPr>
            <w:tcW w:w="940" w:type="dxa"/>
            <w:vAlign w:val="bottom"/>
          </w:tcPr>
          <w:p>
            <w:pPr>
              <w:ind w:left="120"/>
              <w:spacing w:after="0"/>
              <w:rPr>
                <w:sz w:val="20"/>
                <w:szCs w:val="20"/>
                <w:color w:val="auto"/>
              </w:rPr>
            </w:pPr>
            <w:r>
              <w:rPr>
                <w:rFonts w:ascii="Arial" w:cs="Arial" w:eastAsia="Arial" w:hAnsi="Arial"/>
                <w:sz w:val="12"/>
                <w:szCs w:val="12"/>
                <w:color w:val="auto"/>
              </w:rPr>
              <w:t>11/25/2020</w:t>
            </w:r>
          </w:p>
        </w:tc>
        <w:tc>
          <w:tcPr>
            <w:tcW w:w="2700" w:type="dxa"/>
            <w:vAlign w:val="bottom"/>
            <w:gridSpan w:val="2"/>
          </w:tcPr>
          <w:p>
            <w:pPr>
              <w:jc w:val="center"/>
              <w:ind w:right="200"/>
              <w:spacing w:after="0"/>
              <w:rPr>
                <w:sz w:val="20"/>
                <w:szCs w:val="20"/>
                <w:color w:val="auto"/>
              </w:rPr>
            </w:pPr>
            <w:r>
              <w:rPr>
                <w:rFonts w:ascii="Arial" w:cs="Arial" w:eastAsia="Arial" w:hAnsi="Arial"/>
                <w:sz w:val="12"/>
                <w:szCs w:val="12"/>
                <w:color w:val="auto"/>
                <w:w w:val="85"/>
              </w:rPr>
              <w:t>Aerospace and Defense</w:t>
            </w:r>
          </w:p>
        </w:tc>
        <w:tc>
          <w:tcPr>
            <w:tcW w:w="960" w:type="dxa"/>
            <w:vAlign w:val="bottom"/>
            <w:gridSpan w:val="2"/>
          </w:tcPr>
          <w:p>
            <w:pPr>
              <w:jc w:val="right"/>
              <w:ind w:right="200"/>
              <w:spacing w:after="0"/>
              <w:rPr>
                <w:sz w:val="20"/>
                <w:szCs w:val="20"/>
                <w:color w:val="auto"/>
              </w:rPr>
            </w:pPr>
            <w:r>
              <w:rPr>
                <w:rFonts w:ascii="Arial" w:cs="Arial" w:eastAsia="Arial" w:hAnsi="Arial"/>
                <w:sz w:val="12"/>
                <w:szCs w:val="12"/>
                <w:color w:val="auto"/>
              </w:rPr>
              <w:t>10.80%</w:t>
            </w:r>
          </w:p>
        </w:tc>
        <w:tc>
          <w:tcPr>
            <w:tcW w:w="900" w:type="dxa"/>
            <w:vAlign w:val="bottom"/>
            <w:gridSpan w:val="2"/>
          </w:tcPr>
          <w:p>
            <w:pPr>
              <w:jc w:val="right"/>
              <w:ind w:right="240"/>
              <w:spacing w:after="0"/>
              <w:rPr>
                <w:sz w:val="20"/>
                <w:szCs w:val="20"/>
                <w:color w:val="auto"/>
              </w:rPr>
            </w:pPr>
            <w:r>
              <w:rPr>
                <w:rFonts w:ascii="Arial" w:cs="Arial" w:eastAsia="Arial" w:hAnsi="Arial"/>
                <w:sz w:val="12"/>
                <w:szCs w:val="12"/>
                <w:color w:val="auto"/>
              </w:rPr>
              <w:t>L+975</w:t>
            </w:r>
          </w:p>
        </w:tc>
        <w:tc>
          <w:tcPr>
            <w:tcW w:w="680" w:type="dxa"/>
            <w:vAlign w:val="bottom"/>
          </w:tcPr>
          <w:p>
            <w:pPr>
              <w:jc w:val="right"/>
              <w:spacing w:after="0"/>
              <w:rPr>
                <w:sz w:val="20"/>
                <w:szCs w:val="20"/>
                <w:color w:val="auto"/>
              </w:rPr>
            </w:pPr>
            <w:r>
              <w:rPr>
                <w:rFonts w:ascii="Arial" w:cs="Arial" w:eastAsia="Arial" w:hAnsi="Arial"/>
                <w:sz w:val="12"/>
                <w:szCs w:val="12"/>
                <w:color w:val="auto"/>
              </w:rPr>
              <w:t>22,593,352</w:t>
            </w:r>
          </w:p>
        </w:tc>
        <w:tc>
          <w:tcPr>
            <w:tcW w:w="3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20" w:type="dxa"/>
            <w:vAlign w:val="bottom"/>
          </w:tcPr>
          <w:p>
            <w:pPr>
              <w:jc w:val="right"/>
              <w:spacing w:after="0"/>
              <w:rPr>
                <w:sz w:val="20"/>
                <w:szCs w:val="20"/>
                <w:color w:val="auto"/>
              </w:rPr>
            </w:pPr>
            <w:r>
              <w:rPr>
                <w:rFonts w:ascii="Arial" w:cs="Arial" w:eastAsia="Arial" w:hAnsi="Arial"/>
                <w:sz w:val="12"/>
                <w:szCs w:val="12"/>
                <w:color w:val="auto"/>
                <w:w w:val="99"/>
              </w:rPr>
              <w:t>22,260,014</w:t>
            </w:r>
          </w:p>
        </w:tc>
        <w:tc>
          <w:tcPr>
            <w:tcW w:w="2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40" w:type="dxa"/>
            <w:vAlign w:val="bottom"/>
          </w:tcPr>
          <w:p>
            <w:pPr>
              <w:jc w:val="right"/>
              <w:spacing w:after="0"/>
              <w:rPr>
                <w:sz w:val="20"/>
                <w:szCs w:val="20"/>
                <w:color w:val="auto"/>
              </w:rPr>
            </w:pPr>
            <w:r>
              <w:rPr>
                <w:rFonts w:ascii="Arial" w:cs="Arial" w:eastAsia="Arial" w:hAnsi="Arial"/>
                <w:sz w:val="12"/>
                <w:szCs w:val="12"/>
                <w:color w:val="auto"/>
                <w:w w:val="99"/>
              </w:rPr>
              <w:t>22,310,936</w:t>
            </w:r>
          </w:p>
        </w:tc>
        <w:tc>
          <w:tcPr>
            <w:tcW w:w="100" w:type="dxa"/>
            <w:vAlign w:val="bottom"/>
          </w:tcPr>
          <w:p>
            <w:pPr>
              <w:spacing w:after="0"/>
              <w:rPr>
                <w:sz w:val="12"/>
                <w:szCs w:val="12"/>
                <w:color w:val="auto"/>
              </w:rPr>
            </w:pPr>
          </w:p>
        </w:tc>
      </w:tr>
      <w:tr>
        <w:trPr>
          <w:trHeight w:val="148"/>
        </w:trPr>
        <w:tc>
          <w:tcPr>
            <w:tcW w:w="3000" w:type="dxa"/>
            <w:vAlign w:val="bottom"/>
            <w:shd w:val="clear" w:color="auto" w:fill="CCECFF"/>
          </w:tcPr>
          <w:p>
            <w:pPr>
              <w:spacing w:after="0"/>
              <w:rPr>
                <w:sz w:val="20"/>
                <w:szCs w:val="20"/>
                <w:color w:val="auto"/>
              </w:rPr>
            </w:pPr>
            <w:r>
              <w:rPr>
                <w:rFonts w:ascii="Arial" w:cs="Arial" w:eastAsia="Arial" w:hAnsi="Arial"/>
                <w:sz w:val="12"/>
                <w:szCs w:val="12"/>
                <w:color w:val="auto"/>
              </w:rPr>
              <w:t xml:space="preserve">Corfin Industries LLC (Revolver) </w:t>
            </w:r>
            <w:r>
              <w:rPr>
                <w:rFonts w:ascii="Arial" w:cs="Arial" w:eastAsia="Arial" w:hAnsi="Arial"/>
                <w:sz w:val="9"/>
                <w:szCs w:val="9"/>
                <w:color w:val="auto"/>
              </w:rPr>
              <w:t>(8)</w:t>
            </w:r>
          </w:p>
        </w:tc>
        <w:tc>
          <w:tcPr>
            <w:tcW w:w="940" w:type="dxa"/>
            <w:vAlign w:val="bottom"/>
            <w:shd w:val="clear" w:color="auto" w:fill="CCECFF"/>
          </w:tcPr>
          <w:p>
            <w:pPr>
              <w:ind w:left="120"/>
              <w:spacing w:after="0"/>
              <w:rPr>
                <w:sz w:val="20"/>
                <w:szCs w:val="20"/>
                <w:color w:val="auto"/>
              </w:rPr>
            </w:pPr>
            <w:r>
              <w:rPr>
                <w:rFonts w:ascii="Arial" w:cs="Arial" w:eastAsia="Arial" w:hAnsi="Arial"/>
                <w:sz w:val="12"/>
                <w:szCs w:val="12"/>
                <w:color w:val="auto"/>
              </w:rPr>
              <w:t>11/25/2020</w:t>
            </w:r>
          </w:p>
        </w:tc>
        <w:tc>
          <w:tcPr>
            <w:tcW w:w="2700" w:type="dxa"/>
            <w:vAlign w:val="bottom"/>
            <w:gridSpan w:val="2"/>
            <w:shd w:val="clear" w:color="auto" w:fill="CCECFF"/>
          </w:tcPr>
          <w:p>
            <w:pPr>
              <w:jc w:val="center"/>
              <w:ind w:right="200"/>
              <w:spacing w:after="0"/>
              <w:rPr>
                <w:sz w:val="20"/>
                <w:szCs w:val="20"/>
                <w:color w:val="auto"/>
              </w:rPr>
            </w:pPr>
            <w:r>
              <w:rPr>
                <w:rFonts w:ascii="Arial" w:cs="Arial" w:eastAsia="Arial" w:hAnsi="Arial"/>
                <w:sz w:val="12"/>
                <w:szCs w:val="12"/>
                <w:color w:val="auto"/>
                <w:w w:val="85"/>
              </w:rPr>
              <w:t>Aerospace and Defense</w:t>
            </w:r>
          </w:p>
        </w:tc>
        <w:tc>
          <w:tcPr>
            <w:tcW w:w="960" w:type="dxa"/>
            <w:vAlign w:val="bottom"/>
            <w:gridSpan w:val="2"/>
            <w:shd w:val="clear" w:color="auto" w:fill="CCECFF"/>
          </w:tcPr>
          <w:p>
            <w:pPr>
              <w:jc w:val="right"/>
              <w:ind w:right="300"/>
              <w:spacing w:after="0"/>
              <w:rPr>
                <w:sz w:val="20"/>
                <w:szCs w:val="20"/>
                <w:color w:val="auto"/>
              </w:rPr>
            </w:pPr>
            <w:r>
              <w:rPr>
                <w:rFonts w:ascii="Arial" w:cs="Arial" w:eastAsia="Arial" w:hAnsi="Arial"/>
                <w:sz w:val="12"/>
                <w:szCs w:val="12"/>
                <w:color w:val="auto"/>
              </w:rPr>
              <w:t>—</w:t>
            </w:r>
          </w:p>
        </w:tc>
        <w:tc>
          <w:tcPr>
            <w:tcW w:w="900" w:type="dxa"/>
            <w:vAlign w:val="bottom"/>
            <w:gridSpan w:val="2"/>
            <w:shd w:val="clear" w:color="auto" w:fill="CCECFF"/>
          </w:tcPr>
          <w:p>
            <w:pPr>
              <w:jc w:val="right"/>
              <w:ind w:right="240"/>
              <w:spacing w:after="0"/>
              <w:rPr>
                <w:sz w:val="20"/>
                <w:szCs w:val="20"/>
                <w:color w:val="auto"/>
              </w:rPr>
            </w:pPr>
            <w:r>
              <w:rPr>
                <w:rFonts w:ascii="Arial" w:cs="Arial" w:eastAsia="Arial" w:hAnsi="Arial"/>
                <w:sz w:val="12"/>
                <w:szCs w:val="12"/>
                <w:color w:val="auto"/>
              </w:rPr>
              <w:t>—</w:t>
            </w:r>
          </w:p>
        </w:tc>
        <w:tc>
          <w:tcPr>
            <w:tcW w:w="680" w:type="dxa"/>
            <w:vAlign w:val="bottom"/>
            <w:shd w:val="clear" w:color="auto" w:fill="CCECFF"/>
          </w:tcPr>
          <w:p>
            <w:pPr>
              <w:jc w:val="right"/>
              <w:spacing w:after="0"/>
              <w:rPr>
                <w:sz w:val="20"/>
                <w:szCs w:val="20"/>
                <w:color w:val="auto"/>
              </w:rPr>
            </w:pPr>
            <w:r>
              <w:rPr>
                <w:rFonts w:ascii="Arial" w:cs="Arial" w:eastAsia="Arial" w:hAnsi="Arial"/>
                <w:sz w:val="12"/>
                <w:szCs w:val="12"/>
                <w:color w:val="auto"/>
              </w:rPr>
              <w:t>1,942,623</w:t>
            </w:r>
          </w:p>
        </w:tc>
        <w:tc>
          <w:tcPr>
            <w:tcW w:w="300" w:type="dxa"/>
            <w:vAlign w:val="bottom"/>
            <w:shd w:val="clear" w:color="auto" w:fill="CCECFF"/>
          </w:tcPr>
          <w:p>
            <w:pPr>
              <w:spacing w:after="0"/>
              <w:rPr>
                <w:sz w:val="12"/>
                <w:szCs w:val="12"/>
                <w:color w:val="auto"/>
              </w:rPr>
            </w:pPr>
          </w:p>
        </w:tc>
        <w:tc>
          <w:tcPr>
            <w:tcW w:w="80" w:type="dxa"/>
            <w:vAlign w:val="bottom"/>
            <w:shd w:val="clear" w:color="auto" w:fill="CCECFF"/>
          </w:tcPr>
          <w:p>
            <w:pPr>
              <w:spacing w:after="0"/>
              <w:rPr>
                <w:sz w:val="12"/>
                <w:szCs w:val="12"/>
                <w:color w:val="auto"/>
              </w:rPr>
            </w:pPr>
          </w:p>
        </w:tc>
        <w:tc>
          <w:tcPr>
            <w:tcW w:w="620" w:type="dxa"/>
            <w:vAlign w:val="bottom"/>
            <w:shd w:val="clear" w:color="auto" w:fill="CCECFF"/>
          </w:tcPr>
          <w:p>
            <w:pPr>
              <w:jc w:val="right"/>
              <w:spacing w:after="0"/>
              <w:rPr>
                <w:sz w:val="20"/>
                <w:szCs w:val="20"/>
                <w:color w:val="auto"/>
              </w:rPr>
            </w:pPr>
            <w:r>
              <w:rPr>
                <w:rFonts w:ascii="Arial" w:cs="Arial" w:eastAsia="Arial" w:hAnsi="Arial"/>
                <w:sz w:val="12"/>
                <w:szCs w:val="12"/>
                <w:color w:val="auto"/>
              </w:rPr>
              <w:t>—</w:t>
            </w:r>
          </w:p>
        </w:tc>
        <w:tc>
          <w:tcPr>
            <w:tcW w:w="240" w:type="dxa"/>
            <w:vAlign w:val="bottom"/>
            <w:shd w:val="clear" w:color="auto" w:fill="CCECFF"/>
          </w:tcPr>
          <w:p>
            <w:pPr>
              <w:spacing w:after="0"/>
              <w:rPr>
                <w:sz w:val="12"/>
                <w:szCs w:val="12"/>
                <w:color w:val="auto"/>
              </w:rPr>
            </w:pPr>
          </w:p>
        </w:tc>
        <w:tc>
          <w:tcPr>
            <w:tcW w:w="80" w:type="dxa"/>
            <w:vAlign w:val="bottom"/>
            <w:shd w:val="clear" w:color="auto" w:fill="CCECFF"/>
          </w:tcPr>
          <w:p>
            <w:pPr>
              <w:spacing w:after="0"/>
              <w:rPr>
                <w:sz w:val="12"/>
                <w:szCs w:val="12"/>
                <w:color w:val="auto"/>
              </w:rPr>
            </w:pPr>
          </w:p>
        </w:tc>
        <w:tc>
          <w:tcPr>
            <w:tcW w:w="740" w:type="dxa"/>
            <w:vAlign w:val="bottom"/>
            <w:gridSpan w:val="2"/>
            <w:shd w:val="clear" w:color="auto" w:fill="CCECFF"/>
          </w:tcPr>
          <w:p>
            <w:pPr>
              <w:jc w:val="right"/>
              <w:ind w:right="120"/>
              <w:spacing w:after="0"/>
              <w:rPr>
                <w:sz w:val="20"/>
                <w:szCs w:val="20"/>
                <w:color w:val="auto"/>
              </w:rPr>
            </w:pPr>
            <w:r>
              <w:rPr>
                <w:rFonts w:ascii="Arial" w:cs="Arial" w:eastAsia="Arial" w:hAnsi="Arial"/>
                <w:sz w:val="12"/>
                <w:szCs w:val="12"/>
                <w:color w:val="auto"/>
              </w:rPr>
              <w:t>—</w:t>
            </w:r>
          </w:p>
        </w:tc>
      </w:tr>
      <w:tr>
        <w:trPr>
          <w:trHeight w:val="148"/>
        </w:trPr>
        <w:tc>
          <w:tcPr>
            <w:tcW w:w="3000" w:type="dxa"/>
            <w:vAlign w:val="bottom"/>
          </w:tcPr>
          <w:p>
            <w:pPr>
              <w:spacing w:after="0"/>
              <w:rPr>
                <w:sz w:val="20"/>
                <w:szCs w:val="20"/>
                <w:color w:val="auto"/>
              </w:rPr>
            </w:pPr>
            <w:r>
              <w:rPr>
                <w:rFonts w:ascii="Arial" w:cs="Arial" w:eastAsia="Arial" w:hAnsi="Arial"/>
                <w:sz w:val="12"/>
                <w:szCs w:val="12"/>
                <w:color w:val="auto"/>
              </w:rPr>
              <w:t>TRAK Acquisition Corp.</w:t>
            </w:r>
          </w:p>
        </w:tc>
        <w:tc>
          <w:tcPr>
            <w:tcW w:w="940" w:type="dxa"/>
            <w:vAlign w:val="bottom"/>
          </w:tcPr>
          <w:p>
            <w:pPr>
              <w:ind w:left="120"/>
              <w:spacing w:after="0"/>
              <w:rPr>
                <w:sz w:val="20"/>
                <w:szCs w:val="20"/>
                <w:color w:val="auto"/>
              </w:rPr>
            </w:pPr>
            <w:r>
              <w:rPr>
                <w:rFonts w:ascii="Arial" w:cs="Arial" w:eastAsia="Arial" w:hAnsi="Arial"/>
                <w:sz w:val="12"/>
                <w:szCs w:val="12"/>
                <w:color w:val="auto"/>
              </w:rPr>
              <w:t>04/30/2018</w:t>
            </w:r>
          </w:p>
        </w:tc>
        <w:tc>
          <w:tcPr>
            <w:tcW w:w="2700" w:type="dxa"/>
            <w:vAlign w:val="bottom"/>
            <w:gridSpan w:val="2"/>
          </w:tcPr>
          <w:p>
            <w:pPr>
              <w:jc w:val="center"/>
              <w:ind w:right="180"/>
              <w:spacing w:after="0"/>
              <w:rPr>
                <w:sz w:val="20"/>
                <w:szCs w:val="20"/>
                <w:color w:val="auto"/>
              </w:rPr>
            </w:pPr>
            <w:r>
              <w:rPr>
                <w:rFonts w:ascii="Arial" w:cs="Arial" w:eastAsia="Arial" w:hAnsi="Arial"/>
                <w:sz w:val="12"/>
                <w:szCs w:val="12"/>
                <w:color w:val="auto"/>
                <w:w w:val="85"/>
              </w:rPr>
              <w:t>Business Services</w:t>
            </w:r>
          </w:p>
        </w:tc>
        <w:tc>
          <w:tcPr>
            <w:tcW w:w="960" w:type="dxa"/>
            <w:vAlign w:val="bottom"/>
            <w:gridSpan w:val="2"/>
          </w:tcPr>
          <w:p>
            <w:pPr>
              <w:jc w:val="right"/>
              <w:ind w:right="200"/>
              <w:spacing w:after="0"/>
              <w:rPr>
                <w:sz w:val="20"/>
                <w:szCs w:val="20"/>
                <w:color w:val="auto"/>
              </w:rPr>
            </w:pPr>
            <w:r>
              <w:rPr>
                <w:rFonts w:ascii="Arial" w:cs="Arial" w:eastAsia="Arial" w:hAnsi="Arial"/>
                <w:sz w:val="12"/>
                <w:szCs w:val="12"/>
                <w:color w:val="auto"/>
              </w:rPr>
              <w:t>12.00%</w:t>
            </w:r>
          </w:p>
        </w:tc>
        <w:tc>
          <w:tcPr>
            <w:tcW w:w="900" w:type="dxa"/>
            <w:vAlign w:val="bottom"/>
            <w:gridSpan w:val="2"/>
          </w:tcPr>
          <w:p>
            <w:pPr>
              <w:jc w:val="right"/>
              <w:ind w:right="240"/>
              <w:spacing w:after="0"/>
              <w:rPr>
                <w:sz w:val="20"/>
                <w:szCs w:val="20"/>
                <w:color w:val="auto"/>
              </w:rPr>
            </w:pPr>
            <w:r>
              <w:rPr>
                <w:rFonts w:ascii="Arial" w:cs="Arial" w:eastAsia="Arial" w:hAnsi="Arial"/>
                <w:sz w:val="12"/>
                <w:szCs w:val="12"/>
                <w:color w:val="auto"/>
              </w:rPr>
              <w:t>L+1,050</w:t>
            </w:r>
          </w:p>
        </w:tc>
        <w:tc>
          <w:tcPr>
            <w:tcW w:w="680" w:type="dxa"/>
            <w:vAlign w:val="bottom"/>
          </w:tcPr>
          <w:p>
            <w:pPr>
              <w:jc w:val="right"/>
              <w:spacing w:after="0"/>
              <w:rPr>
                <w:sz w:val="20"/>
                <w:szCs w:val="20"/>
                <w:color w:val="auto"/>
              </w:rPr>
            </w:pPr>
            <w:r>
              <w:rPr>
                <w:rFonts w:ascii="Arial" w:cs="Arial" w:eastAsia="Arial" w:hAnsi="Arial"/>
                <w:sz w:val="12"/>
                <w:szCs w:val="12"/>
                <w:color w:val="auto"/>
              </w:rPr>
              <w:t>21,639,911</w:t>
            </w:r>
          </w:p>
        </w:tc>
        <w:tc>
          <w:tcPr>
            <w:tcW w:w="3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20" w:type="dxa"/>
            <w:vAlign w:val="bottom"/>
          </w:tcPr>
          <w:p>
            <w:pPr>
              <w:jc w:val="right"/>
              <w:spacing w:after="0"/>
              <w:rPr>
                <w:sz w:val="20"/>
                <w:szCs w:val="20"/>
                <w:color w:val="auto"/>
              </w:rPr>
            </w:pPr>
            <w:r>
              <w:rPr>
                <w:rFonts w:ascii="Arial" w:cs="Arial" w:eastAsia="Arial" w:hAnsi="Arial"/>
                <w:sz w:val="12"/>
                <w:szCs w:val="12"/>
                <w:color w:val="auto"/>
                <w:w w:val="99"/>
              </w:rPr>
              <w:t>21,544,008</w:t>
            </w:r>
          </w:p>
        </w:tc>
        <w:tc>
          <w:tcPr>
            <w:tcW w:w="2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40" w:type="dxa"/>
            <w:vAlign w:val="bottom"/>
          </w:tcPr>
          <w:p>
            <w:pPr>
              <w:jc w:val="right"/>
              <w:spacing w:after="0"/>
              <w:rPr>
                <w:sz w:val="20"/>
                <w:szCs w:val="20"/>
                <w:color w:val="auto"/>
              </w:rPr>
            </w:pPr>
            <w:r>
              <w:rPr>
                <w:rFonts w:ascii="Arial" w:cs="Arial" w:eastAsia="Arial" w:hAnsi="Arial"/>
                <w:sz w:val="12"/>
                <w:szCs w:val="12"/>
                <w:color w:val="auto"/>
                <w:w w:val="99"/>
              </w:rPr>
              <w:t>21,639,911</w:t>
            </w:r>
          </w:p>
        </w:tc>
        <w:tc>
          <w:tcPr>
            <w:tcW w:w="100" w:type="dxa"/>
            <w:vAlign w:val="bottom"/>
          </w:tcPr>
          <w:p>
            <w:pPr>
              <w:spacing w:after="0"/>
              <w:rPr>
                <w:sz w:val="12"/>
                <w:szCs w:val="12"/>
                <w:color w:val="auto"/>
              </w:rPr>
            </w:pPr>
          </w:p>
        </w:tc>
      </w:tr>
      <w:tr>
        <w:trPr>
          <w:trHeight w:val="149"/>
        </w:trPr>
        <w:tc>
          <w:tcPr>
            <w:tcW w:w="3000" w:type="dxa"/>
            <w:vAlign w:val="bottom"/>
            <w:shd w:val="clear" w:color="auto" w:fill="CCECFF"/>
          </w:tcPr>
          <w:p>
            <w:pPr>
              <w:spacing w:after="0"/>
              <w:rPr>
                <w:sz w:val="20"/>
                <w:szCs w:val="20"/>
                <w:color w:val="auto"/>
              </w:rPr>
            </w:pPr>
            <w:r>
              <w:rPr>
                <w:rFonts w:ascii="Arial" w:cs="Arial" w:eastAsia="Arial" w:hAnsi="Arial"/>
                <w:sz w:val="12"/>
                <w:szCs w:val="12"/>
                <w:color w:val="auto"/>
              </w:rPr>
              <w:t>TRAK Acquisition Corp. (Revolver)</w:t>
            </w:r>
          </w:p>
        </w:tc>
        <w:tc>
          <w:tcPr>
            <w:tcW w:w="940" w:type="dxa"/>
            <w:vAlign w:val="bottom"/>
            <w:shd w:val="clear" w:color="auto" w:fill="CCECFF"/>
          </w:tcPr>
          <w:p>
            <w:pPr>
              <w:ind w:left="120"/>
              <w:spacing w:after="0"/>
              <w:rPr>
                <w:sz w:val="20"/>
                <w:szCs w:val="20"/>
                <w:color w:val="auto"/>
              </w:rPr>
            </w:pPr>
            <w:r>
              <w:rPr>
                <w:rFonts w:ascii="Arial" w:cs="Arial" w:eastAsia="Arial" w:hAnsi="Arial"/>
                <w:sz w:val="12"/>
                <w:szCs w:val="12"/>
                <w:color w:val="auto"/>
              </w:rPr>
              <w:t>08/25/2017</w:t>
            </w:r>
          </w:p>
        </w:tc>
        <w:tc>
          <w:tcPr>
            <w:tcW w:w="2700" w:type="dxa"/>
            <w:vAlign w:val="bottom"/>
            <w:gridSpan w:val="2"/>
            <w:shd w:val="clear" w:color="auto" w:fill="CCECFF"/>
          </w:tcPr>
          <w:p>
            <w:pPr>
              <w:jc w:val="center"/>
              <w:ind w:right="180"/>
              <w:spacing w:after="0"/>
              <w:rPr>
                <w:sz w:val="20"/>
                <w:szCs w:val="20"/>
                <w:color w:val="auto"/>
              </w:rPr>
            </w:pPr>
            <w:r>
              <w:rPr>
                <w:rFonts w:ascii="Arial" w:cs="Arial" w:eastAsia="Arial" w:hAnsi="Arial"/>
                <w:sz w:val="12"/>
                <w:szCs w:val="12"/>
                <w:color w:val="auto"/>
                <w:w w:val="85"/>
              </w:rPr>
              <w:t>Business Services</w:t>
            </w:r>
          </w:p>
        </w:tc>
        <w:tc>
          <w:tcPr>
            <w:tcW w:w="960" w:type="dxa"/>
            <w:vAlign w:val="bottom"/>
            <w:gridSpan w:val="2"/>
            <w:shd w:val="clear" w:color="auto" w:fill="CCECFF"/>
          </w:tcPr>
          <w:p>
            <w:pPr>
              <w:jc w:val="right"/>
              <w:ind w:right="200"/>
              <w:spacing w:after="0"/>
              <w:rPr>
                <w:sz w:val="20"/>
                <w:szCs w:val="20"/>
                <w:color w:val="auto"/>
              </w:rPr>
            </w:pPr>
            <w:r>
              <w:rPr>
                <w:rFonts w:ascii="Arial" w:cs="Arial" w:eastAsia="Arial" w:hAnsi="Arial"/>
                <w:sz w:val="12"/>
                <w:szCs w:val="12"/>
                <w:color w:val="auto"/>
              </w:rPr>
              <w:t>12.00%</w:t>
            </w:r>
          </w:p>
        </w:tc>
        <w:tc>
          <w:tcPr>
            <w:tcW w:w="900" w:type="dxa"/>
            <w:vAlign w:val="bottom"/>
            <w:gridSpan w:val="2"/>
            <w:shd w:val="clear" w:color="auto" w:fill="CCECFF"/>
          </w:tcPr>
          <w:p>
            <w:pPr>
              <w:jc w:val="right"/>
              <w:ind w:right="240"/>
              <w:spacing w:after="0"/>
              <w:rPr>
                <w:sz w:val="20"/>
                <w:szCs w:val="20"/>
                <w:color w:val="auto"/>
              </w:rPr>
            </w:pPr>
            <w:r>
              <w:rPr>
                <w:rFonts w:ascii="Arial" w:cs="Arial" w:eastAsia="Arial" w:hAnsi="Arial"/>
                <w:sz w:val="12"/>
                <w:szCs w:val="12"/>
                <w:color w:val="auto"/>
              </w:rPr>
              <w:t>L+1,050</w:t>
            </w:r>
          </w:p>
        </w:tc>
        <w:tc>
          <w:tcPr>
            <w:tcW w:w="680" w:type="dxa"/>
            <w:vAlign w:val="bottom"/>
            <w:shd w:val="clear" w:color="auto" w:fill="CCECFF"/>
          </w:tcPr>
          <w:p>
            <w:pPr>
              <w:jc w:val="right"/>
              <w:spacing w:after="0"/>
              <w:rPr>
                <w:sz w:val="20"/>
                <w:szCs w:val="20"/>
                <w:color w:val="auto"/>
              </w:rPr>
            </w:pPr>
            <w:r>
              <w:rPr>
                <w:rFonts w:ascii="Arial" w:cs="Arial" w:eastAsia="Arial" w:hAnsi="Arial"/>
                <w:sz w:val="12"/>
                <w:szCs w:val="12"/>
                <w:color w:val="auto"/>
              </w:rPr>
              <w:t>3,000,000</w:t>
            </w:r>
          </w:p>
        </w:tc>
        <w:tc>
          <w:tcPr>
            <w:tcW w:w="300" w:type="dxa"/>
            <w:vAlign w:val="bottom"/>
            <w:shd w:val="clear" w:color="auto" w:fill="CCECFF"/>
          </w:tcPr>
          <w:p>
            <w:pPr>
              <w:spacing w:after="0"/>
              <w:rPr>
                <w:sz w:val="12"/>
                <w:szCs w:val="12"/>
                <w:color w:val="auto"/>
              </w:rPr>
            </w:pPr>
          </w:p>
        </w:tc>
        <w:tc>
          <w:tcPr>
            <w:tcW w:w="80" w:type="dxa"/>
            <w:vAlign w:val="bottom"/>
            <w:shd w:val="clear" w:color="auto" w:fill="CCECFF"/>
          </w:tcPr>
          <w:p>
            <w:pPr>
              <w:spacing w:after="0"/>
              <w:rPr>
                <w:sz w:val="12"/>
                <w:szCs w:val="12"/>
                <w:color w:val="auto"/>
              </w:rPr>
            </w:pPr>
          </w:p>
        </w:tc>
        <w:tc>
          <w:tcPr>
            <w:tcW w:w="620" w:type="dxa"/>
            <w:vAlign w:val="bottom"/>
            <w:shd w:val="clear" w:color="auto" w:fill="CCECFF"/>
          </w:tcPr>
          <w:p>
            <w:pPr>
              <w:jc w:val="right"/>
              <w:spacing w:after="0"/>
              <w:rPr>
                <w:sz w:val="20"/>
                <w:szCs w:val="20"/>
                <w:color w:val="auto"/>
              </w:rPr>
            </w:pPr>
            <w:r>
              <w:rPr>
                <w:rFonts w:ascii="Arial" w:cs="Arial" w:eastAsia="Arial" w:hAnsi="Arial"/>
                <w:sz w:val="12"/>
                <w:szCs w:val="12"/>
                <w:color w:val="auto"/>
              </w:rPr>
              <w:t>3,000,000</w:t>
            </w:r>
          </w:p>
        </w:tc>
        <w:tc>
          <w:tcPr>
            <w:tcW w:w="240" w:type="dxa"/>
            <w:vAlign w:val="bottom"/>
            <w:shd w:val="clear" w:color="auto" w:fill="CCECFF"/>
          </w:tcPr>
          <w:p>
            <w:pPr>
              <w:spacing w:after="0"/>
              <w:rPr>
                <w:sz w:val="12"/>
                <w:szCs w:val="12"/>
                <w:color w:val="auto"/>
              </w:rPr>
            </w:pPr>
          </w:p>
        </w:tc>
        <w:tc>
          <w:tcPr>
            <w:tcW w:w="80" w:type="dxa"/>
            <w:vAlign w:val="bottom"/>
            <w:shd w:val="clear" w:color="auto" w:fill="CCECFF"/>
          </w:tcPr>
          <w:p>
            <w:pPr>
              <w:spacing w:after="0"/>
              <w:rPr>
                <w:sz w:val="12"/>
                <w:szCs w:val="12"/>
                <w:color w:val="auto"/>
              </w:rPr>
            </w:pPr>
          </w:p>
        </w:tc>
        <w:tc>
          <w:tcPr>
            <w:tcW w:w="640" w:type="dxa"/>
            <w:vAlign w:val="bottom"/>
            <w:shd w:val="clear" w:color="auto" w:fill="CCECFF"/>
          </w:tcPr>
          <w:p>
            <w:pPr>
              <w:jc w:val="right"/>
              <w:spacing w:after="0"/>
              <w:rPr>
                <w:sz w:val="20"/>
                <w:szCs w:val="20"/>
                <w:color w:val="auto"/>
              </w:rPr>
            </w:pPr>
            <w:r>
              <w:rPr>
                <w:rFonts w:ascii="Arial" w:cs="Arial" w:eastAsia="Arial" w:hAnsi="Arial"/>
                <w:sz w:val="12"/>
                <w:szCs w:val="12"/>
                <w:color w:val="auto"/>
              </w:rPr>
              <w:t>3,000,000</w:t>
            </w:r>
          </w:p>
        </w:tc>
        <w:tc>
          <w:tcPr>
            <w:tcW w:w="100" w:type="dxa"/>
            <w:vAlign w:val="bottom"/>
            <w:shd w:val="clear" w:color="auto" w:fill="CCECFF"/>
          </w:tcPr>
          <w:p>
            <w:pPr>
              <w:spacing w:after="0"/>
              <w:rPr>
                <w:sz w:val="12"/>
                <w:szCs w:val="12"/>
                <w:color w:val="auto"/>
              </w:rPr>
            </w:pPr>
          </w:p>
        </w:tc>
      </w:tr>
      <w:tr>
        <w:trPr>
          <w:trHeight w:val="156"/>
        </w:trPr>
        <w:tc>
          <w:tcPr>
            <w:tcW w:w="3000" w:type="dxa"/>
            <w:vAlign w:val="bottom"/>
          </w:tcPr>
          <w:p>
            <w:pPr>
              <w:spacing w:after="0"/>
              <w:rPr>
                <w:sz w:val="20"/>
                <w:szCs w:val="20"/>
                <w:color w:val="auto"/>
              </w:rPr>
            </w:pPr>
            <w:r>
              <w:rPr>
                <w:rFonts w:ascii="Arial" w:cs="Arial" w:eastAsia="Arial" w:hAnsi="Arial"/>
                <w:sz w:val="12"/>
                <w:szCs w:val="12"/>
                <w:color w:val="auto"/>
              </w:rPr>
              <w:t>U.S. Well Services, LLC</w:t>
            </w:r>
          </w:p>
        </w:tc>
        <w:tc>
          <w:tcPr>
            <w:tcW w:w="940" w:type="dxa"/>
            <w:vAlign w:val="bottom"/>
          </w:tcPr>
          <w:p>
            <w:pPr>
              <w:ind w:left="120"/>
              <w:spacing w:after="0"/>
              <w:rPr>
                <w:sz w:val="20"/>
                <w:szCs w:val="20"/>
                <w:color w:val="auto"/>
              </w:rPr>
            </w:pPr>
            <w:r>
              <w:rPr>
                <w:rFonts w:ascii="Arial" w:cs="Arial" w:eastAsia="Arial" w:hAnsi="Arial"/>
                <w:sz w:val="12"/>
                <w:szCs w:val="12"/>
                <w:color w:val="auto"/>
              </w:rPr>
              <w:t>02/02/2022</w:t>
            </w:r>
          </w:p>
        </w:tc>
        <w:tc>
          <w:tcPr>
            <w:tcW w:w="2700" w:type="dxa"/>
            <w:vAlign w:val="bottom"/>
            <w:gridSpan w:val="2"/>
          </w:tcPr>
          <w:p>
            <w:pPr>
              <w:jc w:val="center"/>
              <w:ind w:right="180"/>
              <w:spacing w:after="0"/>
              <w:rPr>
                <w:sz w:val="20"/>
                <w:szCs w:val="20"/>
                <w:color w:val="auto"/>
              </w:rPr>
            </w:pPr>
            <w:r>
              <w:rPr>
                <w:rFonts w:ascii="Arial" w:cs="Arial" w:eastAsia="Arial" w:hAnsi="Arial"/>
                <w:sz w:val="12"/>
                <w:szCs w:val="12"/>
                <w:color w:val="auto"/>
                <w:w w:val="88"/>
              </w:rPr>
              <w:t>Oil and Gas</w:t>
            </w:r>
          </w:p>
        </w:tc>
        <w:tc>
          <w:tcPr>
            <w:tcW w:w="960" w:type="dxa"/>
            <w:vAlign w:val="bottom"/>
            <w:gridSpan w:val="2"/>
          </w:tcPr>
          <w:p>
            <w:pPr>
              <w:jc w:val="right"/>
              <w:ind w:right="200"/>
              <w:spacing w:after="0"/>
              <w:rPr>
                <w:sz w:val="20"/>
                <w:szCs w:val="20"/>
                <w:color w:val="auto"/>
              </w:rPr>
            </w:pPr>
            <w:r>
              <w:rPr>
                <w:rFonts w:ascii="Arial" w:cs="Arial" w:eastAsia="Arial" w:hAnsi="Arial"/>
                <w:sz w:val="12"/>
                <w:szCs w:val="12"/>
                <w:color w:val="auto"/>
              </w:rPr>
              <w:t>12.23%</w:t>
            </w:r>
          </w:p>
        </w:tc>
        <w:tc>
          <w:tcPr>
            <w:tcW w:w="900" w:type="dxa"/>
            <w:vAlign w:val="bottom"/>
            <w:gridSpan w:val="2"/>
          </w:tcPr>
          <w:p>
            <w:pPr>
              <w:jc w:val="right"/>
              <w:ind w:right="240"/>
              <w:spacing w:after="0"/>
              <w:rPr>
                <w:sz w:val="20"/>
                <w:szCs w:val="20"/>
                <w:color w:val="auto"/>
              </w:rPr>
            </w:pPr>
            <w:r>
              <w:rPr>
                <w:rFonts w:ascii="Arial" w:cs="Arial" w:eastAsia="Arial" w:hAnsi="Arial"/>
                <w:sz w:val="12"/>
                <w:szCs w:val="12"/>
                <w:color w:val="auto"/>
              </w:rPr>
              <w:t>L+1,100</w:t>
            </w:r>
          </w:p>
        </w:tc>
        <w:tc>
          <w:tcPr>
            <w:tcW w:w="680" w:type="dxa"/>
            <w:vAlign w:val="bottom"/>
          </w:tcPr>
          <w:p>
            <w:pPr>
              <w:jc w:val="right"/>
              <w:spacing w:after="0"/>
              <w:rPr>
                <w:sz w:val="20"/>
                <w:szCs w:val="20"/>
                <w:color w:val="auto"/>
              </w:rPr>
            </w:pPr>
            <w:r>
              <w:rPr>
                <w:rFonts w:ascii="Arial" w:cs="Arial" w:eastAsia="Arial" w:hAnsi="Arial"/>
                <w:sz w:val="12"/>
                <w:szCs w:val="12"/>
                <w:color w:val="auto"/>
              </w:rPr>
              <w:t>9,450,666</w:t>
            </w:r>
          </w:p>
        </w:tc>
        <w:tc>
          <w:tcPr>
            <w:tcW w:w="3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20" w:type="dxa"/>
            <w:vAlign w:val="bottom"/>
          </w:tcPr>
          <w:p>
            <w:pPr>
              <w:jc w:val="right"/>
              <w:spacing w:after="0"/>
              <w:rPr>
                <w:sz w:val="20"/>
                <w:szCs w:val="20"/>
                <w:color w:val="auto"/>
              </w:rPr>
            </w:pPr>
            <w:r>
              <w:rPr>
                <w:rFonts w:ascii="Arial" w:cs="Arial" w:eastAsia="Arial" w:hAnsi="Arial"/>
                <w:sz w:val="12"/>
                <w:szCs w:val="12"/>
                <w:color w:val="auto"/>
              </w:rPr>
              <w:t>9,369,465</w:t>
            </w:r>
          </w:p>
        </w:tc>
        <w:tc>
          <w:tcPr>
            <w:tcW w:w="2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40" w:type="dxa"/>
            <w:vAlign w:val="bottom"/>
          </w:tcPr>
          <w:p>
            <w:pPr>
              <w:jc w:val="right"/>
              <w:spacing w:after="0"/>
              <w:rPr>
                <w:sz w:val="20"/>
                <w:szCs w:val="20"/>
                <w:color w:val="auto"/>
              </w:rPr>
            </w:pPr>
            <w:r>
              <w:rPr>
                <w:rFonts w:ascii="Arial" w:cs="Arial" w:eastAsia="Arial" w:hAnsi="Arial"/>
                <w:sz w:val="12"/>
                <w:szCs w:val="12"/>
                <w:color w:val="auto"/>
              </w:rPr>
              <w:t>9,450,666</w:t>
            </w:r>
          </w:p>
        </w:tc>
        <w:tc>
          <w:tcPr>
            <w:tcW w:w="100" w:type="dxa"/>
            <w:vAlign w:val="bottom"/>
          </w:tcPr>
          <w:p>
            <w:pPr>
              <w:spacing w:after="0"/>
              <w:rPr>
                <w:sz w:val="13"/>
                <w:szCs w:val="13"/>
                <w:color w:val="auto"/>
              </w:rPr>
            </w:pPr>
          </w:p>
        </w:tc>
      </w:tr>
      <w:tr>
        <w:trPr>
          <w:trHeight w:val="141"/>
        </w:trPr>
        <w:tc>
          <w:tcPr>
            <w:tcW w:w="300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25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60" w:type="dxa"/>
            <w:vAlign w:val="bottom"/>
            <w:gridSpan w:val="2"/>
          </w:tcPr>
          <w:p>
            <w:pPr>
              <w:jc w:val="right"/>
              <w:ind w:right="160"/>
              <w:spacing w:after="0"/>
              <w:rPr>
                <w:sz w:val="20"/>
                <w:szCs w:val="20"/>
                <w:color w:val="auto"/>
              </w:rPr>
            </w:pPr>
            <w:r>
              <w:rPr>
                <w:rFonts w:ascii="Arial" w:cs="Arial" w:eastAsia="Arial" w:hAnsi="Arial"/>
                <w:sz w:val="12"/>
                <w:szCs w:val="12"/>
                <w:color w:val="auto"/>
              </w:rPr>
              <w:t>(PIK 12.23%)</w:t>
            </w:r>
          </w:p>
        </w:tc>
        <w:tc>
          <w:tcPr>
            <w:tcW w:w="6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00" w:type="dxa"/>
            <w:vAlign w:val="bottom"/>
          </w:tcPr>
          <w:p>
            <w:pPr>
              <w:spacing w:after="0"/>
              <w:rPr>
                <w:sz w:val="12"/>
                <w:szCs w:val="12"/>
                <w:color w:val="auto"/>
              </w:rPr>
            </w:pPr>
          </w:p>
        </w:tc>
      </w:tr>
      <w:tr>
        <w:trPr>
          <w:trHeight w:val="148"/>
        </w:trPr>
        <w:tc>
          <w:tcPr>
            <w:tcW w:w="3000" w:type="dxa"/>
            <w:vAlign w:val="bottom"/>
            <w:shd w:val="clear" w:color="auto" w:fill="CCECFF"/>
          </w:tcPr>
          <w:p>
            <w:pPr>
              <w:spacing w:after="0"/>
              <w:rPr>
                <w:sz w:val="20"/>
                <w:szCs w:val="20"/>
                <w:color w:val="auto"/>
              </w:rPr>
            </w:pPr>
            <w:r>
              <w:rPr>
                <w:rFonts w:ascii="Arial" w:cs="Arial" w:eastAsia="Arial" w:hAnsi="Arial"/>
                <w:sz w:val="12"/>
                <w:szCs w:val="12"/>
                <w:color w:val="auto"/>
              </w:rPr>
              <w:t>U.S. Well Services, LLC (Revolver)</w:t>
            </w:r>
          </w:p>
        </w:tc>
        <w:tc>
          <w:tcPr>
            <w:tcW w:w="940" w:type="dxa"/>
            <w:vAlign w:val="bottom"/>
            <w:shd w:val="clear" w:color="auto" w:fill="CCECFF"/>
          </w:tcPr>
          <w:p>
            <w:pPr>
              <w:ind w:left="120"/>
              <w:spacing w:after="0"/>
              <w:rPr>
                <w:sz w:val="20"/>
                <w:szCs w:val="20"/>
                <w:color w:val="auto"/>
              </w:rPr>
            </w:pPr>
            <w:r>
              <w:rPr>
                <w:rFonts w:ascii="Arial" w:cs="Arial" w:eastAsia="Arial" w:hAnsi="Arial"/>
                <w:sz w:val="12"/>
                <w:szCs w:val="12"/>
                <w:color w:val="auto"/>
              </w:rPr>
              <w:t>02/02/2022</w:t>
            </w:r>
          </w:p>
        </w:tc>
        <w:tc>
          <w:tcPr>
            <w:tcW w:w="2700" w:type="dxa"/>
            <w:vAlign w:val="bottom"/>
            <w:gridSpan w:val="2"/>
            <w:shd w:val="clear" w:color="auto" w:fill="CCECFF"/>
          </w:tcPr>
          <w:p>
            <w:pPr>
              <w:jc w:val="center"/>
              <w:ind w:right="180"/>
              <w:spacing w:after="0"/>
              <w:rPr>
                <w:sz w:val="20"/>
                <w:szCs w:val="20"/>
                <w:color w:val="auto"/>
              </w:rPr>
            </w:pPr>
            <w:r>
              <w:rPr>
                <w:rFonts w:ascii="Arial" w:cs="Arial" w:eastAsia="Arial" w:hAnsi="Arial"/>
                <w:sz w:val="12"/>
                <w:szCs w:val="12"/>
                <w:color w:val="auto"/>
                <w:w w:val="88"/>
              </w:rPr>
              <w:t>Oil and Gas</w:t>
            </w:r>
          </w:p>
        </w:tc>
        <w:tc>
          <w:tcPr>
            <w:tcW w:w="960" w:type="dxa"/>
            <w:vAlign w:val="bottom"/>
            <w:gridSpan w:val="2"/>
            <w:shd w:val="clear" w:color="auto" w:fill="CCECFF"/>
          </w:tcPr>
          <w:p>
            <w:pPr>
              <w:jc w:val="right"/>
              <w:ind w:right="200"/>
              <w:spacing w:after="0"/>
              <w:rPr>
                <w:sz w:val="20"/>
                <w:szCs w:val="20"/>
                <w:color w:val="auto"/>
              </w:rPr>
            </w:pPr>
            <w:r>
              <w:rPr>
                <w:rFonts w:ascii="Arial" w:cs="Arial" w:eastAsia="Arial" w:hAnsi="Arial"/>
                <w:sz w:val="12"/>
                <w:szCs w:val="12"/>
                <w:color w:val="auto"/>
              </w:rPr>
              <w:t>7.23%</w:t>
            </w:r>
          </w:p>
        </w:tc>
        <w:tc>
          <w:tcPr>
            <w:tcW w:w="900" w:type="dxa"/>
            <w:vAlign w:val="bottom"/>
            <w:gridSpan w:val="2"/>
            <w:shd w:val="clear" w:color="auto" w:fill="CCECFF"/>
          </w:tcPr>
          <w:p>
            <w:pPr>
              <w:jc w:val="right"/>
              <w:ind w:right="240"/>
              <w:spacing w:after="0"/>
              <w:rPr>
                <w:sz w:val="20"/>
                <w:szCs w:val="20"/>
                <w:color w:val="auto"/>
              </w:rPr>
            </w:pPr>
            <w:r>
              <w:rPr>
                <w:rFonts w:ascii="Arial" w:cs="Arial" w:eastAsia="Arial" w:hAnsi="Arial"/>
                <w:sz w:val="12"/>
                <w:szCs w:val="12"/>
                <w:color w:val="auto"/>
              </w:rPr>
              <w:t>L+600</w:t>
            </w:r>
          </w:p>
        </w:tc>
        <w:tc>
          <w:tcPr>
            <w:tcW w:w="680" w:type="dxa"/>
            <w:vAlign w:val="bottom"/>
            <w:shd w:val="clear" w:color="auto" w:fill="CCECFF"/>
          </w:tcPr>
          <w:p>
            <w:pPr>
              <w:jc w:val="right"/>
              <w:spacing w:after="0"/>
              <w:rPr>
                <w:sz w:val="20"/>
                <w:szCs w:val="20"/>
                <w:color w:val="auto"/>
              </w:rPr>
            </w:pPr>
            <w:r>
              <w:rPr>
                <w:rFonts w:ascii="Arial" w:cs="Arial" w:eastAsia="Arial" w:hAnsi="Arial"/>
                <w:sz w:val="12"/>
                <w:szCs w:val="12"/>
                <w:color w:val="auto"/>
              </w:rPr>
              <w:t>1,208,314</w:t>
            </w:r>
          </w:p>
        </w:tc>
        <w:tc>
          <w:tcPr>
            <w:tcW w:w="300" w:type="dxa"/>
            <w:vAlign w:val="bottom"/>
            <w:shd w:val="clear" w:color="auto" w:fill="CCECFF"/>
          </w:tcPr>
          <w:p>
            <w:pPr>
              <w:spacing w:after="0"/>
              <w:rPr>
                <w:sz w:val="12"/>
                <w:szCs w:val="12"/>
                <w:color w:val="auto"/>
              </w:rPr>
            </w:pPr>
          </w:p>
        </w:tc>
        <w:tc>
          <w:tcPr>
            <w:tcW w:w="80" w:type="dxa"/>
            <w:vAlign w:val="bottom"/>
            <w:shd w:val="clear" w:color="auto" w:fill="CCECFF"/>
          </w:tcPr>
          <w:p>
            <w:pPr>
              <w:spacing w:after="0"/>
              <w:rPr>
                <w:sz w:val="12"/>
                <w:szCs w:val="12"/>
                <w:color w:val="auto"/>
              </w:rPr>
            </w:pPr>
          </w:p>
        </w:tc>
        <w:tc>
          <w:tcPr>
            <w:tcW w:w="620" w:type="dxa"/>
            <w:vAlign w:val="bottom"/>
            <w:shd w:val="clear" w:color="auto" w:fill="CCECFF"/>
          </w:tcPr>
          <w:p>
            <w:pPr>
              <w:jc w:val="right"/>
              <w:spacing w:after="0"/>
              <w:rPr>
                <w:sz w:val="20"/>
                <w:szCs w:val="20"/>
                <w:color w:val="auto"/>
              </w:rPr>
            </w:pPr>
            <w:r>
              <w:rPr>
                <w:rFonts w:ascii="Arial" w:cs="Arial" w:eastAsia="Arial" w:hAnsi="Arial"/>
                <w:sz w:val="12"/>
                <w:szCs w:val="12"/>
                <w:color w:val="auto"/>
              </w:rPr>
              <w:t>1,208,314</w:t>
            </w:r>
          </w:p>
        </w:tc>
        <w:tc>
          <w:tcPr>
            <w:tcW w:w="240" w:type="dxa"/>
            <w:vAlign w:val="bottom"/>
            <w:shd w:val="clear" w:color="auto" w:fill="CCECFF"/>
          </w:tcPr>
          <w:p>
            <w:pPr>
              <w:spacing w:after="0"/>
              <w:rPr>
                <w:sz w:val="12"/>
                <w:szCs w:val="12"/>
                <w:color w:val="auto"/>
              </w:rPr>
            </w:pPr>
          </w:p>
        </w:tc>
        <w:tc>
          <w:tcPr>
            <w:tcW w:w="80" w:type="dxa"/>
            <w:vAlign w:val="bottom"/>
            <w:shd w:val="clear" w:color="auto" w:fill="CCECFF"/>
          </w:tcPr>
          <w:p>
            <w:pPr>
              <w:spacing w:after="0"/>
              <w:rPr>
                <w:sz w:val="12"/>
                <w:szCs w:val="12"/>
                <w:color w:val="auto"/>
              </w:rPr>
            </w:pPr>
          </w:p>
        </w:tc>
        <w:tc>
          <w:tcPr>
            <w:tcW w:w="640" w:type="dxa"/>
            <w:vAlign w:val="bottom"/>
            <w:shd w:val="clear" w:color="auto" w:fill="CCECFF"/>
          </w:tcPr>
          <w:p>
            <w:pPr>
              <w:jc w:val="right"/>
              <w:spacing w:after="0"/>
              <w:rPr>
                <w:sz w:val="20"/>
                <w:szCs w:val="20"/>
                <w:color w:val="auto"/>
              </w:rPr>
            </w:pPr>
            <w:r>
              <w:rPr>
                <w:rFonts w:ascii="Arial" w:cs="Arial" w:eastAsia="Arial" w:hAnsi="Arial"/>
                <w:sz w:val="12"/>
                <w:szCs w:val="12"/>
                <w:color w:val="auto"/>
              </w:rPr>
              <w:t>1,208,314</w:t>
            </w:r>
          </w:p>
        </w:tc>
        <w:tc>
          <w:tcPr>
            <w:tcW w:w="100" w:type="dxa"/>
            <w:vAlign w:val="bottom"/>
            <w:shd w:val="clear" w:color="auto" w:fill="CCECFF"/>
          </w:tcPr>
          <w:p>
            <w:pPr>
              <w:spacing w:after="0"/>
              <w:rPr>
                <w:sz w:val="12"/>
                <w:szCs w:val="12"/>
                <w:color w:val="auto"/>
              </w:rPr>
            </w:pPr>
          </w:p>
        </w:tc>
      </w:tr>
      <w:tr>
        <w:trPr>
          <w:trHeight w:val="149"/>
        </w:trPr>
        <w:tc>
          <w:tcPr>
            <w:tcW w:w="3000" w:type="dxa"/>
            <w:vAlign w:val="bottom"/>
          </w:tcPr>
          <w:p>
            <w:pPr>
              <w:spacing w:after="0"/>
              <w:rPr>
                <w:sz w:val="20"/>
                <w:szCs w:val="20"/>
                <w:color w:val="auto"/>
              </w:rPr>
            </w:pPr>
            <w:r>
              <w:rPr>
                <w:rFonts w:ascii="Arial" w:cs="Arial" w:eastAsia="Arial" w:hAnsi="Arial"/>
                <w:sz w:val="12"/>
                <w:szCs w:val="12"/>
                <w:color w:val="auto"/>
              </w:rPr>
              <w:t xml:space="preserve">U.S. Well Services, LLC (Revolver) </w:t>
            </w:r>
            <w:r>
              <w:rPr>
                <w:rFonts w:ascii="Arial" w:cs="Arial" w:eastAsia="Arial" w:hAnsi="Arial"/>
                <w:sz w:val="9"/>
                <w:szCs w:val="9"/>
                <w:color w:val="auto"/>
              </w:rPr>
              <w:t>(8)</w:t>
            </w:r>
          </w:p>
        </w:tc>
        <w:tc>
          <w:tcPr>
            <w:tcW w:w="940" w:type="dxa"/>
            <w:vAlign w:val="bottom"/>
          </w:tcPr>
          <w:p>
            <w:pPr>
              <w:ind w:left="120"/>
              <w:spacing w:after="0"/>
              <w:rPr>
                <w:sz w:val="20"/>
                <w:szCs w:val="20"/>
                <w:color w:val="auto"/>
              </w:rPr>
            </w:pPr>
            <w:r>
              <w:rPr>
                <w:rFonts w:ascii="Arial" w:cs="Arial" w:eastAsia="Arial" w:hAnsi="Arial"/>
                <w:sz w:val="12"/>
                <w:szCs w:val="12"/>
                <w:color w:val="auto"/>
              </w:rPr>
              <w:t>02/02/2022</w:t>
            </w:r>
          </w:p>
        </w:tc>
        <w:tc>
          <w:tcPr>
            <w:tcW w:w="2700" w:type="dxa"/>
            <w:vAlign w:val="bottom"/>
            <w:gridSpan w:val="2"/>
          </w:tcPr>
          <w:p>
            <w:pPr>
              <w:jc w:val="center"/>
              <w:ind w:right="180"/>
              <w:spacing w:after="0"/>
              <w:rPr>
                <w:sz w:val="20"/>
                <w:szCs w:val="20"/>
                <w:color w:val="auto"/>
              </w:rPr>
            </w:pPr>
            <w:r>
              <w:rPr>
                <w:rFonts w:ascii="Arial" w:cs="Arial" w:eastAsia="Arial" w:hAnsi="Arial"/>
                <w:sz w:val="12"/>
                <w:szCs w:val="12"/>
                <w:color w:val="auto"/>
                <w:w w:val="88"/>
              </w:rPr>
              <w:t>Oil and Gas</w:t>
            </w:r>
          </w:p>
        </w:tc>
        <w:tc>
          <w:tcPr>
            <w:tcW w:w="960" w:type="dxa"/>
            <w:vAlign w:val="bottom"/>
            <w:gridSpan w:val="2"/>
          </w:tcPr>
          <w:p>
            <w:pPr>
              <w:jc w:val="right"/>
              <w:ind w:right="300"/>
              <w:spacing w:after="0"/>
              <w:rPr>
                <w:sz w:val="20"/>
                <w:szCs w:val="20"/>
                <w:color w:val="auto"/>
              </w:rPr>
            </w:pPr>
            <w:r>
              <w:rPr>
                <w:rFonts w:ascii="Arial" w:cs="Arial" w:eastAsia="Arial" w:hAnsi="Arial"/>
                <w:sz w:val="12"/>
                <w:szCs w:val="12"/>
                <w:color w:val="auto"/>
              </w:rPr>
              <w:t>—</w:t>
            </w:r>
          </w:p>
        </w:tc>
        <w:tc>
          <w:tcPr>
            <w:tcW w:w="900" w:type="dxa"/>
            <w:vAlign w:val="bottom"/>
            <w:gridSpan w:val="2"/>
          </w:tcPr>
          <w:p>
            <w:pPr>
              <w:jc w:val="right"/>
              <w:ind w:right="240"/>
              <w:spacing w:after="0"/>
              <w:rPr>
                <w:sz w:val="20"/>
                <w:szCs w:val="20"/>
                <w:color w:val="auto"/>
              </w:rPr>
            </w:pPr>
            <w:r>
              <w:rPr>
                <w:rFonts w:ascii="Arial" w:cs="Arial" w:eastAsia="Arial" w:hAnsi="Arial"/>
                <w:sz w:val="12"/>
                <w:szCs w:val="12"/>
                <w:color w:val="auto"/>
              </w:rPr>
              <w:t>—</w:t>
            </w:r>
          </w:p>
        </w:tc>
        <w:tc>
          <w:tcPr>
            <w:tcW w:w="680" w:type="dxa"/>
            <w:vAlign w:val="bottom"/>
          </w:tcPr>
          <w:p>
            <w:pPr>
              <w:jc w:val="right"/>
              <w:spacing w:after="0"/>
              <w:rPr>
                <w:sz w:val="20"/>
                <w:szCs w:val="20"/>
                <w:color w:val="auto"/>
              </w:rPr>
            </w:pPr>
            <w:r>
              <w:rPr>
                <w:rFonts w:ascii="Arial" w:cs="Arial" w:eastAsia="Arial" w:hAnsi="Arial"/>
                <w:sz w:val="12"/>
                <w:szCs w:val="12"/>
                <w:color w:val="auto"/>
              </w:rPr>
              <w:t>984,106</w:t>
            </w:r>
          </w:p>
        </w:tc>
        <w:tc>
          <w:tcPr>
            <w:tcW w:w="3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20" w:type="dxa"/>
            <w:vAlign w:val="bottom"/>
          </w:tcPr>
          <w:p>
            <w:pPr>
              <w:jc w:val="right"/>
              <w:spacing w:after="0"/>
              <w:rPr>
                <w:sz w:val="20"/>
                <w:szCs w:val="20"/>
                <w:color w:val="auto"/>
              </w:rPr>
            </w:pPr>
            <w:r>
              <w:rPr>
                <w:rFonts w:ascii="Arial" w:cs="Arial" w:eastAsia="Arial" w:hAnsi="Arial"/>
                <w:sz w:val="12"/>
                <w:szCs w:val="12"/>
                <w:color w:val="auto"/>
              </w:rPr>
              <w:t>—</w:t>
            </w:r>
          </w:p>
        </w:tc>
        <w:tc>
          <w:tcPr>
            <w:tcW w:w="2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40" w:type="dxa"/>
            <w:vAlign w:val="bottom"/>
            <w:gridSpan w:val="2"/>
          </w:tcPr>
          <w:p>
            <w:pPr>
              <w:jc w:val="right"/>
              <w:ind w:right="120"/>
              <w:spacing w:after="0"/>
              <w:rPr>
                <w:sz w:val="20"/>
                <w:szCs w:val="20"/>
                <w:color w:val="auto"/>
              </w:rPr>
            </w:pPr>
            <w:r>
              <w:rPr>
                <w:rFonts w:ascii="Arial" w:cs="Arial" w:eastAsia="Arial" w:hAnsi="Arial"/>
                <w:sz w:val="12"/>
                <w:szCs w:val="12"/>
                <w:color w:val="auto"/>
              </w:rPr>
              <w:t>—</w:t>
            </w:r>
          </w:p>
        </w:tc>
      </w:tr>
      <w:tr>
        <w:trPr>
          <w:trHeight w:val="142"/>
        </w:trPr>
        <w:tc>
          <w:tcPr>
            <w:tcW w:w="3000" w:type="dxa"/>
            <w:vAlign w:val="bottom"/>
            <w:tcBorders>
              <w:top w:val="single" w:sz="8" w:color="CCECFF"/>
            </w:tcBorders>
            <w:shd w:val="clear" w:color="auto" w:fill="CCECFF"/>
          </w:tcPr>
          <w:p>
            <w:pPr>
              <w:spacing w:after="0"/>
              <w:rPr>
                <w:sz w:val="20"/>
                <w:szCs w:val="20"/>
                <w:color w:val="auto"/>
              </w:rPr>
            </w:pPr>
            <w:r>
              <w:rPr>
                <w:rFonts w:ascii="Arial" w:cs="Arial" w:eastAsia="Arial" w:hAnsi="Arial"/>
                <w:sz w:val="12"/>
                <w:szCs w:val="12"/>
                <w:b w:val="1"/>
                <w:bCs w:val="1"/>
                <w:color w:val="auto"/>
              </w:rPr>
              <w:t>Total First Lien Secured Debt</w:t>
            </w:r>
          </w:p>
        </w:tc>
        <w:tc>
          <w:tcPr>
            <w:tcW w:w="940" w:type="dxa"/>
            <w:vAlign w:val="bottom"/>
            <w:tcBorders>
              <w:top w:val="single" w:sz="8" w:color="CCECFF"/>
            </w:tcBorders>
            <w:shd w:val="clear" w:color="auto" w:fill="CCECFF"/>
          </w:tcPr>
          <w:p>
            <w:pPr>
              <w:spacing w:after="0"/>
              <w:rPr>
                <w:sz w:val="12"/>
                <w:szCs w:val="12"/>
                <w:color w:val="auto"/>
              </w:rPr>
            </w:pPr>
          </w:p>
        </w:tc>
        <w:tc>
          <w:tcPr>
            <w:tcW w:w="2580" w:type="dxa"/>
            <w:vAlign w:val="bottom"/>
            <w:tcBorders>
              <w:top w:val="single" w:sz="8" w:color="CCECFF"/>
            </w:tcBorders>
            <w:shd w:val="clear" w:color="auto" w:fill="CCECFF"/>
          </w:tcPr>
          <w:p>
            <w:pPr>
              <w:spacing w:after="0"/>
              <w:rPr>
                <w:sz w:val="12"/>
                <w:szCs w:val="12"/>
                <w:color w:val="auto"/>
              </w:rPr>
            </w:pPr>
          </w:p>
        </w:tc>
        <w:tc>
          <w:tcPr>
            <w:tcW w:w="120" w:type="dxa"/>
            <w:vAlign w:val="bottom"/>
            <w:tcBorders>
              <w:top w:val="single" w:sz="8" w:color="CCECFF"/>
            </w:tcBorders>
            <w:shd w:val="clear" w:color="auto" w:fill="CCECFF"/>
          </w:tcPr>
          <w:p>
            <w:pPr>
              <w:spacing w:after="0"/>
              <w:rPr>
                <w:sz w:val="12"/>
                <w:szCs w:val="12"/>
                <w:color w:val="auto"/>
              </w:rPr>
            </w:pPr>
          </w:p>
        </w:tc>
        <w:tc>
          <w:tcPr>
            <w:tcW w:w="680" w:type="dxa"/>
            <w:vAlign w:val="bottom"/>
            <w:tcBorders>
              <w:top w:val="single" w:sz="8" w:color="CCECFF"/>
            </w:tcBorders>
            <w:shd w:val="clear" w:color="auto" w:fill="CCECFF"/>
          </w:tcPr>
          <w:p>
            <w:pPr>
              <w:spacing w:after="0"/>
              <w:rPr>
                <w:sz w:val="12"/>
                <w:szCs w:val="12"/>
                <w:color w:val="auto"/>
              </w:rPr>
            </w:pPr>
          </w:p>
        </w:tc>
        <w:tc>
          <w:tcPr>
            <w:tcW w:w="280" w:type="dxa"/>
            <w:vAlign w:val="bottom"/>
            <w:tcBorders>
              <w:top w:val="single" w:sz="8" w:color="CCECFF"/>
            </w:tcBorders>
            <w:shd w:val="clear" w:color="auto" w:fill="CCECFF"/>
          </w:tcPr>
          <w:p>
            <w:pPr>
              <w:spacing w:after="0"/>
              <w:rPr>
                <w:sz w:val="12"/>
                <w:szCs w:val="12"/>
                <w:color w:val="auto"/>
              </w:rPr>
            </w:pPr>
          </w:p>
        </w:tc>
        <w:tc>
          <w:tcPr>
            <w:tcW w:w="660" w:type="dxa"/>
            <w:vAlign w:val="bottom"/>
            <w:tcBorders>
              <w:top w:val="single" w:sz="8" w:color="CCECFF"/>
            </w:tcBorders>
            <w:shd w:val="clear" w:color="auto" w:fill="CCECFF"/>
          </w:tcPr>
          <w:p>
            <w:pPr>
              <w:spacing w:after="0"/>
              <w:rPr>
                <w:sz w:val="12"/>
                <w:szCs w:val="12"/>
                <w:color w:val="auto"/>
              </w:rPr>
            </w:pPr>
          </w:p>
        </w:tc>
        <w:tc>
          <w:tcPr>
            <w:tcW w:w="240" w:type="dxa"/>
            <w:vAlign w:val="bottom"/>
            <w:tcBorders>
              <w:top w:val="single" w:sz="8" w:color="CCECFF"/>
            </w:tcBorders>
            <w:shd w:val="clear" w:color="auto" w:fill="CCECFF"/>
          </w:tcPr>
          <w:p>
            <w:pPr>
              <w:spacing w:after="0"/>
              <w:rPr>
                <w:sz w:val="12"/>
                <w:szCs w:val="12"/>
                <w:color w:val="auto"/>
              </w:rPr>
            </w:pPr>
          </w:p>
        </w:tc>
        <w:tc>
          <w:tcPr>
            <w:tcW w:w="680" w:type="dxa"/>
            <w:vAlign w:val="bottom"/>
            <w:tcBorders>
              <w:top w:val="single" w:sz="8" w:color="CCECFF"/>
            </w:tcBorders>
            <w:shd w:val="clear" w:color="auto" w:fill="CCECFF"/>
          </w:tcPr>
          <w:p>
            <w:pPr>
              <w:spacing w:after="0"/>
              <w:rPr>
                <w:sz w:val="12"/>
                <w:szCs w:val="12"/>
                <w:color w:val="auto"/>
              </w:rPr>
            </w:pPr>
          </w:p>
        </w:tc>
        <w:tc>
          <w:tcPr>
            <w:tcW w:w="300" w:type="dxa"/>
            <w:vAlign w:val="bottom"/>
            <w:tcBorders>
              <w:top w:val="single" w:sz="8" w:color="CCECFF"/>
            </w:tcBorders>
            <w:shd w:val="clear" w:color="auto" w:fill="CCECFF"/>
          </w:tcPr>
          <w:p>
            <w:pPr>
              <w:spacing w:after="0"/>
              <w:rPr>
                <w:sz w:val="12"/>
                <w:szCs w:val="12"/>
                <w:color w:val="auto"/>
              </w:rPr>
            </w:pPr>
          </w:p>
        </w:tc>
        <w:tc>
          <w:tcPr>
            <w:tcW w:w="80" w:type="dxa"/>
            <w:vAlign w:val="bottom"/>
            <w:tcBorders>
              <w:top w:val="single" w:sz="8" w:color="auto"/>
              <w:bottom w:val="single" w:sz="8" w:color="auto"/>
            </w:tcBorders>
            <w:shd w:val="clear" w:color="auto" w:fill="CCECFF"/>
          </w:tcPr>
          <w:p>
            <w:pPr>
              <w:spacing w:after="0"/>
              <w:rPr>
                <w:sz w:val="12"/>
                <w:szCs w:val="12"/>
                <w:color w:val="auto"/>
              </w:rPr>
            </w:pPr>
          </w:p>
        </w:tc>
        <w:tc>
          <w:tcPr>
            <w:tcW w:w="620" w:type="dxa"/>
            <w:vAlign w:val="bottom"/>
            <w:tcBorders>
              <w:top w:val="single" w:sz="8" w:color="auto"/>
              <w:bottom w:val="single" w:sz="8" w:color="auto"/>
            </w:tcBorders>
            <w:shd w:val="clear" w:color="auto" w:fill="CCECFF"/>
          </w:tcPr>
          <w:p>
            <w:pPr>
              <w:jc w:val="right"/>
              <w:spacing w:after="0"/>
              <w:rPr>
                <w:sz w:val="20"/>
                <w:szCs w:val="20"/>
                <w:color w:val="auto"/>
              </w:rPr>
            </w:pPr>
            <w:r>
              <w:rPr>
                <w:rFonts w:ascii="Arial" w:cs="Arial" w:eastAsia="Arial" w:hAnsi="Arial"/>
                <w:sz w:val="12"/>
                <w:szCs w:val="12"/>
                <w:color w:val="auto"/>
                <w:w w:val="99"/>
              </w:rPr>
              <w:t>60,626,986</w:t>
            </w:r>
          </w:p>
        </w:tc>
        <w:tc>
          <w:tcPr>
            <w:tcW w:w="240" w:type="dxa"/>
            <w:vAlign w:val="bottom"/>
            <w:tcBorders>
              <w:top w:val="single" w:sz="8" w:color="CCECFF"/>
            </w:tcBorders>
            <w:shd w:val="clear" w:color="auto" w:fill="CCECFF"/>
          </w:tcPr>
          <w:p>
            <w:pPr>
              <w:spacing w:after="0"/>
              <w:rPr>
                <w:sz w:val="12"/>
                <w:szCs w:val="12"/>
                <w:color w:val="auto"/>
              </w:rPr>
            </w:pPr>
          </w:p>
        </w:tc>
        <w:tc>
          <w:tcPr>
            <w:tcW w:w="80" w:type="dxa"/>
            <w:vAlign w:val="bottom"/>
            <w:tcBorders>
              <w:top w:val="single" w:sz="8" w:color="auto"/>
              <w:bottom w:val="single" w:sz="8" w:color="auto"/>
            </w:tcBorders>
            <w:shd w:val="clear" w:color="auto" w:fill="CCECFF"/>
          </w:tcPr>
          <w:p>
            <w:pPr>
              <w:spacing w:after="0"/>
              <w:rPr>
                <w:sz w:val="12"/>
                <w:szCs w:val="12"/>
                <w:color w:val="auto"/>
              </w:rPr>
            </w:pPr>
          </w:p>
        </w:tc>
        <w:tc>
          <w:tcPr>
            <w:tcW w:w="640" w:type="dxa"/>
            <w:vAlign w:val="bottom"/>
            <w:tcBorders>
              <w:top w:val="single" w:sz="8" w:color="auto"/>
              <w:bottom w:val="single" w:sz="8" w:color="auto"/>
            </w:tcBorders>
            <w:shd w:val="clear" w:color="auto" w:fill="CCECFF"/>
          </w:tcPr>
          <w:p>
            <w:pPr>
              <w:jc w:val="right"/>
              <w:spacing w:after="0"/>
              <w:rPr>
                <w:sz w:val="20"/>
                <w:szCs w:val="20"/>
                <w:color w:val="auto"/>
              </w:rPr>
            </w:pPr>
            <w:r>
              <w:rPr>
                <w:rFonts w:ascii="Arial" w:cs="Arial" w:eastAsia="Arial" w:hAnsi="Arial"/>
                <w:sz w:val="12"/>
                <w:szCs w:val="12"/>
                <w:color w:val="auto"/>
                <w:w w:val="99"/>
              </w:rPr>
              <w:t>61,116,199</w:t>
            </w:r>
          </w:p>
        </w:tc>
        <w:tc>
          <w:tcPr>
            <w:tcW w:w="100" w:type="dxa"/>
            <w:vAlign w:val="bottom"/>
            <w:tcBorders>
              <w:top w:val="single" w:sz="8" w:color="CCECFF"/>
            </w:tcBorders>
            <w:shd w:val="clear" w:color="auto" w:fill="CCECFF"/>
          </w:tcPr>
          <w:p>
            <w:pPr>
              <w:spacing w:after="0"/>
              <w:rPr>
                <w:sz w:val="12"/>
                <w:szCs w:val="12"/>
                <w:color w:val="auto"/>
              </w:rPr>
            </w:pPr>
          </w:p>
        </w:tc>
      </w:tr>
      <w:tr>
        <w:trPr>
          <w:trHeight w:val="142"/>
        </w:trPr>
        <w:tc>
          <w:tcPr>
            <w:tcW w:w="3000" w:type="dxa"/>
            <w:vAlign w:val="bottom"/>
          </w:tcPr>
          <w:p>
            <w:pPr>
              <w:spacing w:after="0"/>
              <w:rPr>
                <w:sz w:val="20"/>
                <w:szCs w:val="20"/>
                <w:color w:val="auto"/>
              </w:rPr>
            </w:pPr>
            <w:r>
              <w:rPr>
                <w:rFonts w:ascii="Arial" w:cs="Arial" w:eastAsia="Arial" w:hAnsi="Arial"/>
                <w:sz w:val="12"/>
                <w:szCs w:val="12"/>
                <w:b w:val="1"/>
                <w:bCs w:val="1"/>
                <w:color w:val="auto"/>
              </w:rPr>
              <w:t>Second Lien Secured Debt—1.4%</w:t>
            </w:r>
          </w:p>
        </w:tc>
        <w:tc>
          <w:tcPr>
            <w:tcW w:w="940" w:type="dxa"/>
            <w:vAlign w:val="bottom"/>
          </w:tcPr>
          <w:p>
            <w:pPr>
              <w:spacing w:after="0"/>
              <w:rPr>
                <w:sz w:val="12"/>
                <w:szCs w:val="12"/>
                <w:color w:val="auto"/>
              </w:rPr>
            </w:pPr>
          </w:p>
        </w:tc>
        <w:tc>
          <w:tcPr>
            <w:tcW w:w="25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00" w:type="dxa"/>
            <w:vAlign w:val="bottom"/>
          </w:tcPr>
          <w:p>
            <w:pPr>
              <w:spacing w:after="0"/>
              <w:rPr>
                <w:sz w:val="12"/>
                <w:szCs w:val="12"/>
                <w:color w:val="auto"/>
              </w:rPr>
            </w:pPr>
          </w:p>
        </w:tc>
      </w:tr>
      <w:tr>
        <w:trPr>
          <w:trHeight w:val="142"/>
        </w:trPr>
        <w:tc>
          <w:tcPr>
            <w:tcW w:w="3000" w:type="dxa"/>
            <w:vAlign w:val="bottom"/>
            <w:shd w:val="clear" w:color="auto" w:fill="CCECFF"/>
          </w:tcPr>
          <w:p>
            <w:pPr>
              <w:spacing w:after="0"/>
              <w:rPr>
                <w:sz w:val="20"/>
                <w:szCs w:val="20"/>
                <w:color w:val="auto"/>
              </w:rPr>
            </w:pPr>
            <w:r>
              <w:rPr>
                <w:rFonts w:ascii="Arial" w:cs="Arial" w:eastAsia="Arial" w:hAnsi="Arial"/>
                <w:sz w:val="12"/>
                <w:szCs w:val="12"/>
                <w:color w:val="auto"/>
              </w:rPr>
              <w:t>EnviroSolutions Real Property Holdings, Inc. -</w:t>
            </w:r>
          </w:p>
        </w:tc>
        <w:tc>
          <w:tcPr>
            <w:tcW w:w="940" w:type="dxa"/>
            <w:vAlign w:val="bottom"/>
            <w:shd w:val="clear" w:color="auto" w:fill="CCECFF"/>
          </w:tcPr>
          <w:p>
            <w:pPr>
              <w:ind w:left="120"/>
              <w:spacing w:after="0"/>
              <w:rPr>
                <w:sz w:val="20"/>
                <w:szCs w:val="20"/>
                <w:color w:val="auto"/>
              </w:rPr>
            </w:pPr>
            <w:r>
              <w:rPr>
                <w:rFonts w:ascii="Arial" w:cs="Arial" w:eastAsia="Arial" w:hAnsi="Arial"/>
                <w:sz w:val="12"/>
                <w:szCs w:val="12"/>
                <w:color w:val="auto"/>
              </w:rPr>
              <w:t>12/23/2019</w:t>
            </w:r>
          </w:p>
        </w:tc>
        <w:tc>
          <w:tcPr>
            <w:tcW w:w="2700" w:type="dxa"/>
            <w:vAlign w:val="bottom"/>
            <w:gridSpan w:val="2"/>
            <w:shd w:val="clear" w:color="auto" w:fill="CCECFF"/>
          </w:tcPr>
          <w:p>
            <w:pPr>
              <w:jc w:val="center"/>
              <w:ind w:right="180"/>
              <w:spacing w:after="0"/>
              <w:rPr>
                <w:sz w:val="20"/>
                <w:szCs w:val="20"/>
                <w:color w:val="auto"/>
              </w:rPr>
            </w:pPr>
            <w:r>
              <w:rPr>
                <w:rFonts w:ascii="Arial" w:cs="Arial" w:eastAsia="Arial" w:hAnsi="Arial"/>
                <w:sz w:val="12"/>
                <w:szCs w:val="12"/>
                <w:color w:val="auto"/>
                <w:w w:val="88"/>
              </w:rPr>
              <w:t>Environmental Services</w:t>
            </w:r>
          </w:p>
        </w:tc>
        <w:tc>
          <w:tcPr>
            <w:tcW w:w="960" w:type="dxa"/>
            <w:vAlign w:val="bottom"/>
            <w:gridSpan w:val="2"/>
            <w:shd w:val="clear" w:color="auto" w:fill="CCECFF"/>
          </w:tcPr>
          <w:p>
            <w:pPr>
              <w:jc w:val="right"/>
              <w:ind w:right="200"/>
              <w:spacing w:after="0"/>
              <w:rPr>
                <w:sz w:val="20"/>
                <w:szCs w:val="20"/>
                <w:color w:val="auto"/>
              </w:rPr>
            </w:pPr>
            <w:r>
              <w:rPr>
                <w:rFonts w:ascii="Arial" w:cs="Arial" w:eastAsia="Arial" w:hAnsi="Arial"/>
                <w:sz w:val="12"/>
                <w:szCs w:val="12"/>
                <w:color w:val="auto"/>
              </w:rPr>
              <w:t>9.30%</w:t>
            </w:r>
          </w:p>
        </w:tc>
        <w:tc>
          <w:tcPr>
            <w:tcW w:w="900" w:type="dxa"/>
            <w:vAlign w:val="bottom"/>
            <w:gridSpan w:val="2"/>
            <w:shd w:val="clear" w:color="auto" w:fill="CCECFF"/>
          </w:tcPr>
          <w:p>
            <w:pPr>
              <w:jc w:val="right"/>
              <w:ind w:right="240"/>
              <w:spacing w:after="0"/>
              <w:rPr>
                <w:sz w:val="20"/>
                <w:szCs w:val="20"/>
                <w:color w:val="auto"/>
              </w:rPr>
            </w:pPr>
            <w:r>
              <w:rPr>
                <w:rFonts w:ascii="Arial" w:cs="Arial" w:eastAsia="Arial" w:hAnsi="Arial"/>
                <w:sz w:val="12"/>
                <w:szCs w:val="12"/>
                <w:color w:val="auto"/>
              </w:rPr>
              <w:t>L+800</w:t>
            </w:r>
          </w:p>
        </w:tc>
        <w:tc>
          <w:tcPr>
            <w:tcW w:w="680" w:type="dxa"/>
            <w:vAlign w:val="bottom"/>
            <w:shd w:val="clear" w:color="auto" w:fill="CCECFF"/>
          </w:tcPr>
          <w:p>
            <w:pPr>
              <w:jc w:val="right"/>
              <w:spacing w:after="0"/>
              <w:rPr>
                <w:sz w:val="20"/>
                <w:szCs w:val="20"/>
                <w:color w:val="auto"/>
              </w:rPr>
            </w:pPr>
            <w:r>
              <w:rPr>
                <w:rFonts w:ascii="Arial" w:cs="Arial" w:eastAsia="Arial" w:hAnsi="Arial"/>
                <w:sz w:val="12"/>
                <w:szCs w:val="12"/>
                <w:color w:val="auto"/>
              </w:rPr>
              <w:t>4,856,640</w:t>
            </w:r>
          </w:p>
        </w:tc>
        <w:tc>
          <w:tcPr>
            <w:tcW w:w="300" w:type="dxa"/>
            <w:vAlign w:val="bottom"/>
            <w:shd w:val="clear" w:color="auto" w:fill="CCECFF"/>
          </w:tcPr>
          <w:p>
            <w:pPr>
              <w:spacing w:after="0"/>
              <w:rPr>
                <w:sz w:val="12"/>
                <w:szCs w:val="12"/>
                <w:color w:val="auto"/>
              </w:rPr>
            </w:pPr>
          </w:p>
        </w:tc>
        <w:tc>
          <w:tcPr>
            <w:tcW w:w="80" w:type="dxa"/>
            <w:vAlign w:val="bottom"/>
            <w:shd w:val="clear" w:color="auto" w:fill="CCECFF"/>
          </w:tcPr>
          <w:p>
            <w:pPr>
              <w:spacing w:after="0"/>
              <w:rPr>
                <w:sz w:val="12"/>
                <w:szCs w:val="12"/>
                <w:color w:val="auto"/>
              </w:rPr>
            </w:pPr>
          </w:p>
        </w:tc>
        <w:tc>
          <w:tcPr>
            <w:tcW w:w="620" w:type="dxa"/>
            <w:vAlign w:val="bottom"/>
            <w:shd w:val="clear" w:color="auto" w:fill="CCECFF"/>
          </w:tcPr>
          <w:p>
            <w:pPr>
              <w:jc w:val="right"/>
              <w:spacing w:after="0"/>
              <w:rPr>
                <w:sz w:val="20"/>
                <w:szCs w:val="20"/>
                <w:color w:val="auto"/>
              </w:rPr>
            </w:pPr>
            <w:r>
              <w:rPr>
                <w:rFonts w:ascii="Arial" w:cs="Arial" w:eastAsia="Arial" w:hAnsi="Arial"/>
                <w:sz w:val="12"/>
                <w:szCs w:val="12"/>
                <w:color w:val="auto"/>
              </w:rPr>
              <w:t>4,832,614</w:t>
            </w:r>
          </w:p>
        </w:tc>
        <w:tc>
          <w:tcPr>
            <w:tcW w:w="240" w:type="dxa"/>
            <w:vAlign w:val="bottom"/>
            <w:shd w:val="clear" w:color="auto" w:fill="CCECFF"/>
          </w:tcPr>
          <w:p>
            <w:pPr>
              <w:spacing w:after="0"/>
              <w:rPr>
                <w:sz w:val="12"/>
                <w:szCs w:val="12"/>
                <w:color w:val="auto"/>
              </w:rPr>
            </w:pPr>
          </w:p>
        </w:tc>
        <w:tc>
          <w:tcPr>
            <w:tcW w:w="80" w:type="dxa"/>
            <w:vAlign w:val="bottom"/>
            <w:shd w:val="clear" w:color="auto" w:fill="CCECFF"/>
          </w:tcPr>
          <w:p>
            <w:pPr>
              <w:spacing w:after="0"/>
              <w:rPr>
                <w:sz w:val="12"/>
                <w:szCs w:val="12"/>
                <w:color w:val="auto"/>
              </w:rPr>
            </w:pPr>
          </w:p>
        </w:tc>
        <w:tc>
          <w:tcPr>
            <w:tcW w:w="640" w:type="dxa"/>
            <w:vAlign w:val="bottom"/>
            <w:shd w:val="clear" w:color="auto" w:fill="CCECFF"/>
          </w:tcPr>
          <w:p>
            <w:pPr>
              <w:jc w:val="right"/>
              <w:spacing w:after="0"/>
              <w:rPr>
                <w:sz w:val="20"/>
                <w:szCs w:val="20"/>
                <w:color w:val="auto"/>
              </w:rPr>
            </w:pPr>
            <w:r>
              <w:rPr>
                <w:rFonts w:ascii="Arial" w:cs="Arial" w:eastAsia="Arial" w:hAnsi="Arial"/>
                <w:sz w:val="12"/>
                <w:szCs w:val="12"/>
                <w:color w:val="auto"/>
              </w:rPr>
              <w:t>4,856,640</w:t>
            </w:r>
          </w:p>
        </w:tc>
        <w:tc>
          <w:tcPr>
            <w:tcW w:w="100" w:type="dxa"/>
            <w:vAlign w:val="bottom"/>
            <w:shd w:val="clear" w:color="auto" w:fill="CCECFF"/>
          </w:tcPr>
          <w:p>
            <w:pPr>
              <w:spacing w:after="0"/>
              <w:rPr>
                <w:sz w:val="12"/>
                <w:szCs w:val="12"/>
                <w:color w:val="auto"/>
              </w:rPr>
            </w:pPr>
          </w:p>
        </w:tc>
      </w:tr>
      <w:tr>
        <w:trPr>
          <w:trHeight w:val="141"/>
        </w:trPr>
        <w:tc>
          <w:tcPr>
            <w:tcW w:w="3000" w:type="dxa"/>
            <w:vAlign w:val="bottom"/>
            <w:shd w:val="clear" w:color="auto" w:fill="CCECFF"/>
          </w:tcPr>
          <w:p>
            <w:pPr>
              <w:ind w:left="100"/>
              <w:spacing w:after="0"/>
              <w:rPr>
                <w:sz w:val="20"/>
                <w:szCs w:val="20"/>
                <w:color w:val="auto"/>
              </w:rPr>
            </w:pPr>
            <w:r>
              <w:rPr>
                <w:rFonts w:ascii="Arial" w:cs="Arial" w:eastAsia="Arial" w:hAnsi="Arial"/>
                <w:sz w:val="12"/>
                <w:szCs w:val="12"/>
                <w:color w:val="auto"/>
              </w:rPr>
              <w:t>Tranche A</w:t>
            </w:r>
          </w:p>
        </w:tc>
        <w:tc>
          <w:tcPr>
            <w:tcW w:w="940" w:type="dxa"/>
            <w:vAlign w:val="bottom"/>
            <w:shd w:val="clear" w:color="auto" w:fill="CCECFF"/>
          </w:tcPr>
          <w:p>
            <w:pPr>
              <w:spacing w:after="0"/>
              <w:rPr>
                <w:sz w:val="12"/>
                <w:szCs w:val="12"/>
                <w:color w:val="auto"/>
              </w:rPr>
            </w:pPr>
          </w:p>
        </w:tc>
        <w:tc>
          <w:tcPr>
            <w:tcW w:w="2580" w:type="dxa"/>
            <w:vAlign w:val="bottom"/>
            <w:shd w:val="clear" w:color="auto" w:fill="CCECFF"/>
          </w:tcPr>
          <w:p>
            <w:pPr>
              <w:spacing w:after="0"/>
              <w:rPr>
                <w:sz w:val="12"/>
                <w:szCs w:val="12"/>
                <w:color w:val="auto"/>
              </w:rPr>
            </w:pPr>
          </w:p>
        </w:tc>
        <w:tc>
          <w:tcPr>
            <w:tcW w:w="120" w:type="dxa"/>
            <w:vAlign w:val="bottom"/>
            <w:shd w:val="clear" w:color="auto" w:fill="CCECFF"/>
          </w:tcPr>
          <w:p>
            <w:pPr>
              <w:spacing w:after="0"/>
              <w:rPr>
                <w:sz w:val="12"/>
                <w:szCs w:val="12"/>
                <w:color w:val="auto"/>
              </w:rPr>
            </w:pPr>
          </w:p>
        </w:tc>
        <w:tc>
          <w:tcPr>
            <w:tcW w:w="680" w:type="dxa"/>
            <w:vAlign w:val="bottom"/>
            <w:shd w:val="clear" w:color="auto" w:fill="CCECFF"/>
          </w:tcPr>
          <w:p>
            <w:pPr>
              <w:spacing w:after="0"/>
              <w:rPr>
                <w:sz w:val="12"/>
                <w:szCs w:val="12"/>
                <w:color w:val="auto"/>
              </w:rPr>
            </w:pPr>
          </w:p>
        </w:tc>
        <w:tc>
          <w:tcPr>
            <w:tcW w:w="280" w:type="dxa"/>
            <w:vAlign w:val="bottom"/>
            <w:shd w:val="clear" w:color="auto" w:fill="CCECFF"/>
          </w:tcPr>
          <w:p>
            <w:pPr>
              <w:spacing w:after="0"/>
              <w:rPr>
                <w:sz w:val="12"/>
                <w:szCs w:val="12"/>
                <w:color w:val="auto"/>
              </w:rPr>
            </w:pPr>
          </w:p>
        </w:tc>
        <w:tc>
          <w:tcPr>
            <w:tcW w:w="660" w:type="dxa"/>
            <w:vAlign w:val="bottom"/>
            <w:shd w:val="clear" w:color="auto" w:fill="CCECFF"/>
          </w:tcPr>
          <w:p>
            <w:pPr>
              <w:spacing w:after="0"/>
              <w:rPr>
                <w:sz w:val="12"/>
                <w:szCs w:val="12"/>
                <w:color w:val="auto"/>
              </w:rPr>
            </w:pPr>
          </w:p>
        </w:tc>
        <w:tc>
          <w:tcPr>
            <w:tcW w:w="240" w:type="dxa"/>
            <w:vAlign w:val="bottom"/>
            <w:shd w:val="clear" w:color="auto" w:fill="CCECFF"/>
          </w:tcPr>
          <w:p>
            <w:pPr>
              <w:spacing w:after="0"/>
              <w:rPr>
                <w:sz w:val="12"/>
                <w:szCs w:val="12"/>
                <w:color w:val="auto"/>
              </w:rPr>
            </w:pPr>
          </w:p>
        </w:tc>
        <w:tc>
          <w:tcPr>
            <w:tcW w:w="680" w:type="dxa"/>
            <w:vAlign w:val="bottom"/>
            <w:shd w:val="clear" w:color="auto" w:fill="CCECFF"/>
          </w:tcPr>
          <w:p>
            <w:pPr>
              <w:spacing w:after="0"/>
              <w:rPr>
                <w:sz w:val="12"/>
                <w:szCs w:val="12"/>
                <w:color w:val="auto"/>
              </w:rPr>
            </w:pPr>
          </w:p>
        </w:tc>
        <w:tc>
          <w:tcPr>
            <w:tcW w:w="300" w:type="dxa"/>
            <w:vAlign w:val="bottom"/>
            <w:shd w:val="clear" w:color="auto" w:fill="CCECFF"/>
          </w:tcPr>
          <w:p>
            <w:pPr>
              <w:spacing w:after="0"/>
              <w:rPr>
                <w:sz w:val="12"/>
                <w:szCs w:val="12"/>
                <w:color w:val="auto"/>
              </w:rPr>
            </w:pPr>
          </w:p>
        </w:tc>
        <w:tc>
          <w:tcPr>
            <w:tcW w:w="80" w:type="dxa"/>
            <w:vAlign w:val="bottom"/>
            <w:shd w:val="clear" w:color="auto" w:fill="CCECFF"/>
          </w:tcPr>
          <w:p>
            <w:pPr>
              <w:spacing w:after="0"/>
              <w:rPr>
                <w:sz w:val="12"/>
                <w:szCs w:val="12"/>
                <w:color w:val="auto"/>
              </w:rPr>
            </w:pPr>
          </w:p>
        </w:tc>
        <w:tc>
          <w:tcPr>
            <w:tcW w:w="620" w:type="dxa"/>
            <w:vAlign w:val="bottom"/>
            <w:shd w:val="clear" w:color="auto" w:fill="CCECFF"/>
          </w:tcPr>
          <w:p>
            <w:pPr>
              <w:spacing w:after="0"/>
              <w:rPr>
                <w:sz w:val="12"/>
                <w:szCs w:val="12"/>
                <w:color w:val="auto"/>
              </w:rPr>
            </w:pPr>
          </w:p>
        </w:tc>
        <w:tc>
          <w:tcPr>
            <w:tcW w:w="240" w:type="dxa"/>
            <w:vAlign w:val="bottom"/>
            <w:shd w:val="clear" w:color="auto" w:fill="CCECFF"/>
          </w:tcPr>
          <w:p>
            <w:pPr>
              <w:spacing w:after="0"/>
              <w:rPr>
                <w:sz w:val="12"/>
                <w:szCs w:val="12"/>
                <w:color w:val="auto"/>
              </w:rPr>
            </w:pPr>
          </w:p>
        </w:tc>
        <w:tc>
          <w:tcPr>
            <w:tcW w:w="80" w:type="dxa"/>
            <w:vAlign w:val="bottom"/>
            <w:shd w:val="clear" w:color="auto" w:fill="CCECFF"/>
          </w:tcPr>
          <w:p>
            <w:pPr>
              <w:spacing w:after="0"/>
              <w:rPr>
                <w:sz w:val="12"/>
                <w:szCs w:val="12"/>
                <w:color w:val="auto"/>
              </w:rPr>
            </w:pPr>
          </w:p>
        </w:tc>
        <w:tc>
          <w:tcPr>
            <w:tcW w:w="640" w:type="dxa"/>
            <w:vAlign w:val="bottom"/>
            <w:shd w:val="clear" w:color="auto" w:fill="CCECFF"/>
          </w:tcPr>
          <w:p>
            <w:pPr>
              <w:spacing w:after="0"/>
              <w:rPr>
                <w:sz w:val="12"/>
                <w:szCs w:val="12"/>
                <w:color w:val="auto"/>
              </w:rPr>
            </w:pPr>
          </w:p>
        </w:tc>
        <w:tc>
          <w:tcPr>
            <w:tcW w:w="100" w:type="dxa"/>
            <w:vAlign w:val="bottom"/>
            <w:shd w:val="clear" w:color="auto" w:fill="CCECFF"/>
          </w:tcPr>
          <w:p>
            <w:pPr>
              <w:spacing w:after="0"/>
              <w:rPr>
                <w:sz w:val="12"/>
                <w:szCs w:val="12"/>
                <w:color w:val="auto"/>
              </w:rPr>
            </w:pPr>
          </w:p>
        </w:tc>
      </w:tr>
      <w:tr>
        <w:trPr>
          <w:trHeight w:val="142"/>
        </w:trPr>
        <w:tc>
          <w:tcPr>
            <w:tcW w:w="3000" w:type="dxa"/>
            <w:vAlign w:val="bottom"/>
          </w:tcPr>
          <w:p>
            <w:pPr>
              <w:spacing w:after="0"/>
              <w:rPr>
                <w:sz w:val="20"/>
                <w:szCs w:val="20"/>
                <w:color w:val="auto"/>
              </w:rPr>
            </w:pPr>
            <w:r>
              <w:rPr>
                <w:rFonts w:ascii="Arial" w:cs="Arial" w:eastAsia="Arial" w:hAnsi="Arial"/>
                <w:sz w:val="12"/>
                <w:szCs w:val="12"/>
                <w:color w:val="auto"/>
              </w:rPr>
              <w:t>EnviroSolutions Real Property Holdings, Inc. -</w:t>
            </w:r>
          </w:p>
        </w:tc>
        <w:tc>
          <w:tcPr>
            <w:tcW w:w="940" w:type="dxa"/>
            <w:vAlign w:val="bottom"/>
          </w:tcPr>
          <w:p>
            <w:pPr>
              <w:ind w:left="120"/>
              <w:spacing w:after="0"/>
              <w:rPr>
                <w:sz w:val="20"/>
                <w:szCs w:val="20"/>
                <w:color w:val="auto"/>
              </w:rPr>
            </w:pPr>
            <w:r>
              <w:rPr>
                <w:rFonts w:ascii="Arial" w:cs="Arial" w:eastAsia="Arial" w:hAnsi="Arial"/>
                <w:sz w:val="12"/>
                <w:szCs w:val="12"/>
                <w:color w:val="auto"/>
              </w:rPr>
              <w:t>08/03/2020</w:t>
            </w:r>
          </w:p>
        </w:tc>
        <w:tc>
          <w:tcPr>
            <w:tcW w:w="2700" w:type="dxa"/>
            <w:vAlign w:val="bottom"/>
            <w:gridSpan w:val="2"/>
          </w:tcPr>
          <w:p>
            <w:pPr>
              <w:jc w:val="center"/>
              <w:ind w:right="180"/>
              <w:spacing w:after="0"/>
              <w:rPr>
                <w:sz w:val="20"/>
                <w:szCs w:val="20"/>
                <w:color w:val="auto"/>
              </w:rPr>
            </w:pPr>
            <w:r>
              <w:rPr>
                <w:rFonts w:ascii="Arial" w:cs="Arial" w:eastAsia="Arial" w:hAnsi="Arial"/>
                <w:sz w:val="12"/>
                <w:szCs w:val="12"/>
                <w:color w:val="auto"/>
                <w:w w:val="88"/>
              </w:rPr>
              <w:t>Environmental Services</w:t>
            </w:r>
          </w:p>
        </w:tc>
        <w:tc>
          <w:tcPr>
            <w:tcW w:w="960" w:type="dxa"/>
            <w:vAlign w:val="bottom"/>
            <w:gridSpan w:val="2"/>
          </w:tcPr>
          <w:p>
            <w:pPr>
              <w:jc w:val="right"/>
              <w:ind w:right="200"/>
              <w:spacing w:after="0"/>
              <w:rPr>
                <w:sz w:val="20"/>
                <w:szCs w:val="20"/>
                <w:color w:val="auto"/>
              </w:rPr>
            </w:pPr>
            <w:r>
              <w:rPr>
                <w:rFonts w:ascii="Arial" w:cs="Arial" w:eastAsia="Arial" w:hAnsi="Arial"/>
                <w:sz w:val="12"/>
                <w:szCs w:val="12"/>
                <w:color w:val="auto"/>
              </w:rPr>
              <w:t>9.30%</w:t>
            </w:r>
          </w:p>
        </w:tc>
        <w:tc>
          <w:tcPr>
            <w:tcW w:w="900" w:type="dxa"/>
            <w:vAlign w:val="bottom"/>
            <w:gridSpan w:val="2"/>
          </w:tcPr>
          <w:p>
            <w:pPr>
              <w:jc w:val="right"/>
              <w:ind w:right="240"/>
              <w:spacing w:after="0"/>
              <w:rPr>
                <w:sz w:val="20"/>
                <w:szCs w:val="20"/>
                <w:color w:val="auto"/>
              </w:rPr>
            </w:pPr>
            <w:r>
              <w:rPr>
                <w:rFonts w:ascii="Arial" w:cs="Arial" w:eastAsia="Arial" w:hAnsi="Arial"/>
                <w:sz w:val="12"/>
                <w:szCs w:val="12"/>
                <w:color w:val="auto"/>
              </w:rPr>
              <w:t>L+800</w:t>
            </w:r>
          </w:p>
        </w:tc>
        <w:tc>
          <w:tcPr>
            <w:tcW w:w="680" w:type="dxa"/>
            <w:vAlign w:val="bottom"/>
          </w:tcPr>
          <w:p>
            <w:pPr>
              <w:jc w:val="right"/>
              <w:spacing w:after="0"/>
              <w:rPr>
                <w:sz w:val="20"/>
                <w:szCs w:val="20"/>
                <w:color w:val="auto"/>
              </w:rPr>
            </w:pPr>
            <w:r>
              <w:rPr>
                <w:rFonts w:ascii="Arial" w:cs="Arial" w:eastAsia="Arial" w:hAnsi="Arial"/>
                <w:sz w:val="12"/>
                <w:szCs w:val="12"/>
                <w:color w:val="auto"/>
              </w:rPr>
              <w:t>4,553,100</w:t>
            </w:r>
          </w:p>
        </w:tc>
        <w:tc>
          <w:tcPr>
            <w:tcW w:w="3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20" w:type="dxa"/>
            <w:vAlign w:val="bottom"/>
          </w:tcPr>
          <w:p>
            <w:pPr>
              <w:jc w:val="right"/>
              <w:spacing w:after="0"/>
              <w:rPr>
                <w:sz w:val="20"/>
                <w:szCs w:val="20"/>
                <w:color w:val="auto"/>
              </w:rPr>
            </w:pPr>
            <w:r>
              <w:rPr>
                <w:rFonts w:ascii="Arial" w:cs="Arial" w:eastAsia="Arial" w:hAnsi="Arial"/>
                <w:sz w:val="12"/>
                <w:szCs w:val="12"/>
                <w:color w:val="auto"/>
              </w:rPr>
              <w:t>4,530,561</w:t>
            </w:r>
          </w:p>
        </w:tc>
        <w:tc>
          <w:tcPr>
            <w:tcW w:w="2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40" w:type="dxa"/>
            <w:vAlign w:val="bottom"/>
          </w:tcPr>
          <w:p>
            <w:pPr>
              <w:jc w:val="right"/>
              <w:spacing w:after="0"/>
              <w:rPr>
                <w:sz w:val="20"/>
                <w:szCs w:val="20"/>
                <w:color w:val="auto"/>
              </w:rPr>
            </w:pPr>
            <w:r>
              <w:rPr>
                <w:rFonts w:ascii="Arial" w:cs="Arial" w:eastAsia="Arial" w:hAnsi="Arial"/>
                <w:sz w:val="12"/>
                <w:szCs w:val="12"/>
                <w:color w:val="auto"/>
              </w:rPr>
              <w:t>4,553,100</w:t>
            </w:r>
          </w:p>
        </w:tc>
        <w:tc>
          <w:tcPr>
            <w:tcW w:w="100" w:type="dxa"/>
            <w:vAlign w:val="bottom"/>
          </w:tcPr>
          <w:p>
            <w:pPr>
              <w:spacing w:after="0"/>
              <w:rPr>
                <w:sz w:val="12"/>
                <w:szCs w:val="12"/>
                <w:color w:val="auto"/>
              </w:rPr>
            </w:pPr>
          </w:p>
        </w:tc>
      </w:tr>
      <w:tr>
        <w:trPr>
          <w:trHeight w:val="148"/>
        </w:trPr>
        <w:tc>
          <w:tcPr>
            <w:tcW w:w="3000" w:type="dxa"/>
            <w:vAlign w:val="bottom"/>
          </w:tcPr>
          <w:p>
            <w:pPr>
              <w:ind w:left="100"/>
              <w:spacing w:after="0"/>
              <w:rPr>
                <w:sz w:val="20"/>
                <w:szCs w:val="20"/>
                <w:color w:val="auto"/>
              </w:rPr>
            </w:pPr>
            <w:r>
              <w:rPr>
                <w:rFonts w:ascii="Arial" w:cs="Arial" w:eastAsia="Arial" w:hAnsi="Arial"/>
                <w:sz w:val="12"/>
                <w:szCs w:val="12"/>
                <w:color w:val="auto"/>
              </w:rPr>
              <w:t>Tranche B</w:t>
            </w:r>
          </w:p>
        </w:tc>
        <w:tc>
          <w:tcPr>
            <w:tcW w:w="940" w:type="dxa"/>
            <w:vAlign w:val="bottom"/>
          </w:tcPr>
          <w:p>
            <w:pPr>
              <w:spacing w:after="0"/>
              <w:rPr>
                <w:sz w:val="12"/>
                <w:szCs w:val="12"/>
                <w:color w:val="auto"/>
              </w:rPr>
            </w:pPr>
          </w:p>
        </w:tc>
        <w:tc>
          <w:tcPr>
            <w:tcW w:w="25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00" w:type="dxa"/>
            <w:vAlign w:val="bottom"/>
          </w:tcPr>
          <w:p>
            <w:pPr>
              <w:spacing w:after="0"/>
              <w:rPr>
                <w:sz w:val="12"/>
                <w:szCs w:val="12"/>
                <w:color w:val="auto"/>
              </w:rPr>
            </w:pPr>
          </w:p>
        </w:tc>
      </w:tr>
      <w:tr>
        <w:trPr>
          <w:trHeight w:val="141"/>
        </w:trPr>
        <w:tc>
          <w:tcPr>
            <w:tcW w:w="3000" w:type="dxa"/>
            <w:vAlign w:val="bottom"/>
            <w:tcBorders>
              <w:bottom w:val="single" w:sz="8" w:color="CCECFF"/>
            </w:tcBorders>
          </w:tcPr>
          <w:p>
            <w:pPr>
              <w:spacing w:after="0"/>
              <w:rPr>
                <w:sz w:val="12"/>
                <w:szCs w:val="12"/>
                <w:color w:val="auto"/>
              </w:rPr>
            </w:pPr>
          </w:p>
        </w:tc>
        <w:tc>
          <w:tcPr>
            <w:tcW w:w="940" w:type="dxa"/>
            <w:vAlign w:val="bottom"/>
            <w:tcBorders>
              <w:bottom w:val="single" w:sz="8" w:color="CCECFF"/>
            </w:tcBorders>
          </w:tcPr>
          <w:p>
            <w:pPr>
              <w:spacing w:after="0"/>
              <w:rPr>
                <w:sz w:val="12"/>
                <w:szCs w:val="12"/>
                <w:color w:val="auto"/>
              </w:rPr>
            </w:pPr>
          </w:p>
        </w:tc>
        <w:tc>
          <w:tcPr>
            <w:tcW w:w="2580" w:type="dxa"/>
            <w:vAlign w:val="bottom"/>
            <w:tcBorders>
              <w:bottom w:val="single" w:sz="8" w:color="CCECFF"/>
            </w:tcBorders>
          </w:tcPr>
          <w:p>
            <w:pPr>
              <w:spacing w:after="0"/>
              <w:rPr>
                <w:sz w:val="12"/>
                <w:szCs w:val="12"/>
                <w:color w:val="auto"/>
              </w:rPr>
            </w:pPr>
          </w:p>
        </w:tc>
        <w:tc>
          <w:tcPr>
            <w:tcW w:w="120" w:type="dxa"/>
            <w:vAlign w:val="bottom"/>
            <w:tcBorders>
              <w:bottom w:val="single" w:sz="8" w:color="CCECFF"/>
            </w:tcBorders>
          </w:tcPr>
          <w:p>
            <w:pPr>
              <w:spacing w:after="0"/>
              <w:rPr>
                <w:sz w:val="12"/>
                <w:szCs w:val="12"/>
                <w:color w:val="auto"/>
              </w:rPr>
            </w:pPr>
          </w:p>
        </w:tc>
        <w:tc>
          <w:tcPr>
            <w:tcW w:w="960" w:type="dxa"/>
            <w:vAlign w:val="bottom"/>
            <w:tcBorders>
              <w:bottom w:val="single" w:sz="8" w:color="CCECFF"/>
            </w:tcBorders>
            <w:gridSpan w:val="2"/>
          </w:tcPr>
          <w:p>
            <w:pPr>
              <w:jc w:val="right"/>
              <w:ind w:right="160"/>
              <w:spacing w:after="0"/>
              <w:rPr>
                <w:sz w:val="20"/>
                <w:szCs w:val="20"/>
                <w:color w:val="auto"/>
              </w:rPr>
            </w:pPr>
            <w:r>
              <w:rPr>
                <w:rFonts w:ascii="Arial" w:cs="Arial" w:eastAsia="Arial" w:hAnsi="Arial"/>
                <w:sz w:val="12"/>
                <w:szCs w:val="12"/>
                <w:color w:val="auto"/>
              </w:rPr>
              <w:t>(PIK 9.30%)</w:t>
            </w:r>
          </w:p>
        </w:tc>
        <w:tc>
          <w:tcPr>
            <w:tcW w:w="660" w:type="dxa"/>
            <w:vAlign w:val="bottom"/>
            <w:tcBorders>
              <w:bottom w:val="single" w:sz="8" w:color="CCECFF"/>
            </w:tcBorders>
          </w:tcPr>
          <w:p>
            <w:pPr>
              <w:spacing w:after="0"/>
              <w:rPr>
                <w:sz w:val="12"/>
                <w:szCs w:val="12"/>
                <w:color w:val="auto"/>
              </w:rPr>
            </w:pPr>
          </w:p>
        </w:tc>
        <w:tc>
          <w:tcPr>
            <w:tcW w:w="240" w:type="dxa"/>
            <w:vAlign w:val="bottom"/>
            <w:tcBorders>
              <w:bottom w:val="single" w:sz="8" w:color="CCECFF"/>
            </w:tcBorders>
          </w:tcPr>
          <w:p>
            <w:pPr>
              <w:spacing w:after="0"/>
              <w:rPr>
                <w:sz w:val="12"/>
                <w:szCs w:val="12"/>
                <w:color w:val="auto"/>
              </w:rPr>
            </w:pPr>
          </w:p>
        </w:tc>
        <w:tc>
          <w:tcPr>
            <w:tcW w:w="680" w:type="dxa"/>
            <w:vAlign w:val="bottom"/>
            <w:tcBorders>
              <w:bottom w:val="single" w:sz="8" w:color="CCECFF"/>
            </w:tcBorders>
          </w:tcPr>
          <w:p>
            <w:pPr>
              <w:spacing w:after="0"/>
              <w:rPr>
                <w:sz w:val="12"/>
                <w:szCs w:val="12"/>
                <w:color w:val="auto"/>
              </w:rPr>
            </w:pPr>
          </w:p>
        </w:tc>
        <w:tc>
          <w:tcPr>
            <w:tcW w:w="300" w:type="dxa"/>
            <w:vAlign w:val="bottom"/>
            <w:tcBorders>
              <w:bottom w:val="single" w:sz="8" w:color="CCECFF"/>
            </w:tcBorders>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620" w:type="dxa"/>
            <w:vAlign w:val="bottom"/>
            <w:tcBorders>
              <w:bottom w:val="single" w:sz="8" w:color="auto"/>
            </w:tcBorders>
          </w:tcPr>
          <w:p>
            <w:pPr>
              <w:spacing w:after="0"/>
              <w:rPr>
                <w:sz w:val="12"/>
                <w:szCs w:val="12"/>
                <w:color w:val="auto"/>
              </w:rPr>
            </w:pPr>
          </w:p>
        </w:tc>
        <w:tc>
          <w:tcPr>
            <w:tcW w:w="240" w:type="dxa"/>
            <w:vAlign w:val="bottom"/>
            <w:tcBorders>
              <w:bottom w:val="single" w:sz="8" w:color="CCECFF"/>
            </w:tcBorders>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640" w:type="dxa"/>
            <w:vAlign w:val="bottom"/>
            <w:tcBorders>
              <w:bottom w:val="single" w:sz="8" w:color="auto"/>
            </w:tcBorders>
          </w:tcPr>
          <w:p>
            <w:pPr>
              <w:spacing w:after="0"/>
              <w:rPr>
                <w:sz w:val="12"/>
                <w:szCs w:val="12"/>
                <w:color w:val="auto"/>
              </w:rPr>
            </w:pPr>
          </w:p>
        </w:tc>
        <w:tc>
          <w:tcPr>
            <w:tcW w:w="100" w:type="dxa"/>
            <w:vAlign w:val="bottom"/>
            <w:tcBorders>
              <w:bottom w:val="single" w:sz="8" w:color="CCECFF"/>
            </w:tcBorders>
          </w:tcPr>
          <w:p>
            <w:pPr>
              <w:spacing w:after="0"/>
              <w:rPr>
                <w:sz w:val="12"/>
                <w:szCs w:val="12"/>
                <w:color w:val="auto"/>
              </w:rPr>
            </w:pPr>
          </w:p>
        </w:tc>
      </w:tr>
      <w:tr>
        <w:trPr>
          <w:trHeight w:val="142"/>
        </w:trPr>
        <w:tc>
          <w:tcPr>
            <w:tcW w:w="3000" w:type="dxa"/>
            <w:vAlign w:val="bottom"/>
            <w:shd w:val="clear" w:color="auto" w:fill="CCECFF"/>
          </w:tcPr>
          <w:p>
            <w:pPr>
              <w:spacing w:after="0"/>
              <w:rPr>
                <w:sz w:val="20"/>
                <w:szCs w:val="20"/>
                <w:color w:val="auto"/>
              </w:rPr>
            </w:pPr>
            <w:r>
              <w:rPr>
                <w:rFonts w:ascii="Arial" w:cs="Arial" w:eastAsia="Arial" w:hAnsi="Arial"/>
                <w:sz w:val="12"/>
                <w:szCs w:val="12"/>
                <w:b w:val="1"/>
                <w:bCs w:val="1"/>
                <w:color w:val="auto"/>
              </w:rPr>
              <w:t>Total Second Lien Secured Debt</w:t>
            </w:r>
          </w:p>
        </w:tc>
        <w:tc>
          <w:tcPr>
            <w:tcW w:w="940" w:type="dxa"/>
            <w:vAlign w:val="bottom"/>
            <w:shd w:val="clear" w:color="auto" w:fill="CCECFF"/>
          </w:tcPr>
          <w:p>
            <w:pPr>
              <w:spacing w:after="0"/>
              <w:rPr>
                <w:sz w:val="12"/>
                <w:szCs w:val="12"/>
                <w:color w:val="auto"/>
              </w:rPr>
            </w:pPr>
          </w:p>
        </w:tc>
        <w:tc>
          <w:tcPr>
            <w:tcW w:w="2580" w:type="dxa"/>
            <w:vAlign w:val="bottom"/>
            <w:shd w:val="clear" w:color="auto" w:fill="CCECFF"/>
          </w:tcPr>
          <w:p>
            <w:pPr>
              <w:spacing w:after="0"/>
              <w:rPr>
                <w:sz w:val="12"/>
                <w:szCs w:val="12"/>
                <w:color w:val="auto"/>
              </w:rPr>
            </w:pPr>
          </w:p>
        </w:tc>
        <w:tc>
          <w:tcPr>
            <w:tcW w:w="120" w:type="dxa"/>
            <w:vAlign w:val="bottom"/>
            <w:shd w:val="clear" w:color="auto" w:fill="CCECFF"/>
          </w:tcPr>
          <w:p>
            <w:pPr>
              <w:spacing w:after="0"/>
              <w:rPr>
                <w:sz w:val="12"/>
                <w:szCs w:val="12"/>
                <w:color w:val="auto"/>
              </w:rPr>
            </w:pPr>
          </w:p>
        </w:tc>
        <w:tc>
          <w:tcPr>
            <w:tcW w:w="680" w:type="dxa"/>
            <w:vAlign w:val="bottom"/>
            <w:shd w:val="clear" w:color="auto" w:fill="CCECFF"/>
          </w:tcPr>
          <w:p>
            <w:pPr>
              <w:spacing w:after="0"/>
              <w:rPr>
                <w:sz w:val="12"/>
                <w:szCs w:val="12"/>
                <w:color w:val="auto"/>
              </w:rPr>
            </w:pPr>
          </w:p>
        </w:tc>
        <w:tc>
          <w:tcPr>
            <w:tcW w:w="280" w:type="dxa"/>
            <w:vAlign w:val="bottom"/>
            <w:shd w:val="clear" w:color="auto" w:fill="CCECFF"/>
          </w:tcPr>
          <w:p>
            <w:pPr>
              <w:spacing w:after="0"/>
              <w:rPr>
                <w:sz w:val="12"/>
                <w:szCs w:val="12"/>
                <w:color w:val="auto"/>
              </w:rPr>
            </w:pPr>
          </w:p>
        </w:tc>
        <w:tc>
          <w:tcPr>
            <w:tcW w:w="660" w:type="dxa"/>
            <w:vAlign w:val="bottom"/>
            <w:shd w:val="clear" w:color="auto" w:fill="CCECFF"/>
          </w:tcPr>
          <w:p>
            <w:pPr>
              <w:spacing w:after="0"/>
              <w:rPr>
                <w:sz w:val="12"/>
                <w:szCs w:val="12"/>
                <w:color w:val="auto"/>
              </w:rPr>
            </w:pPr>
          </w:p>
        </w:tc>
        <w:tc>
          <w:tcPr>
            <w:tcW w:w="240" w:type="dxa"/>
            <w:vAlign w:val="bottom"/>
            <w:shd w:val="clear" w:color="auto" w:fill="CCECFF"/>
          </w:tcPr>
          <w:p>
            <w:pPr>
              <w:spacing w:after="0"/>
              <w:rPr>
                <w:sz w:val="12"/>
                <w:szCs w:val="12"/>
                <w:color w:val="auto"/>
              </w:rPr>
            </w:pPr>
          </w:p>
        </w:tc>
        <w:tc>
          <w:tcPr>
            <w:tcW w:w="680" w:type="dxa"/>
            <w:vAlign w:val="bottom"/>
            <w:shd w:val="clear" w:color="auto" w:fill="CCECFF"/>
          </w:tcPr>
          <w:p>
            <w:pPr>
              <w:spacing w:after="0"/>
              <w:rPr>
                <w:sz w:val="12"/>
                <w:szCs w:val="12"/>
                <w:color w:val="auto"/>
              </w:rPr>
            </w:pPr>
          </w:p>
        </w:tc>
        <w:tc>
          <w:tcPr>
            <w:tcW w:w="300" w:type="dxa"/>
            <w:vAlign w:val="bottom"/>
            <w:shd w:val="clear" w:color="auto" w:fill="CCECFF"/>
          </w:tcPr>
          <w:p>
            <w:pPr>
              <w:spacing w:after="0"/>
              <w:rPr>
                <w:sz w:val="12"/>
                <w:szCs w:val="12"/>
                <w:color w:val="auto"/>
              </w:rPr>
            </w:pPr>
          </w:p>
        </w:tc>
        <w:tc>
          <w:tcPr>
            <w:tcW w:w="80" w:type="dxa"/>
            <w:vAlign w:val="bottom"/>
            <w:tcBorders>
              <w:bottom w:val="single" w:sz="8" w:color="auto"/>
            </w:tcBorders>
            <w:shd w:val="clear" w:color="auto" w:fill="CCECFF"/>
          </w:tcPr>
          <w:p>
            <w:pPr>
              <w:spacing w:after="0"/>
              <w:rPr>
                <w:sz w:val="12"/>
                <w:szCs w:val="12"/>
                <w:color w:val="auto"/>
              </w:rPr>
            </w:pPr>
          </w:p>
        </w:tc>
        <w:tc>
          <w:tcPr>
            <w:tcW w:w="620" w:type="dxa"/>
            <w:vAlign w:val="bottom"/>
            <w:tcBorders>
              <w:bottom w:val="single" w:sz="8" w:color="auto"/>
            </w:tcBorders>
            <w:shd w:val="clear" w:color="auto" w:fill="CCECFF"/>
          </w:tcPr>
          <w:p>
            <w:pPr>
              <w:jc w:val="right"/>
              <w:spacing w:after="0"/>
              <w:rPr>
                <w:sz w:val="20"/>
                <w:szCs w:val="20"/>
                <w:color w:val="auto"/>
              </w:rPr>
            </w:pPr>
            <w:r>
              <w:rPr>
                <w:rFonts w:ascii="Arial" w:cs="Arial" w:eastAsia="Arial" w:hAnsi="Arial"/>
                <w:sz w:val="12"/>
                <w:szCs w:val="12"/>
                <w:color w:val="auto"/>
              </w:rPr>
              <w:t>9,363,175</w:t>
            </w:r>
          </w:p>
        </w:tc>
        <w:tc>
          <w:tcPr>
            <w:tcW w:w="240" w:type="dxa"/>
            <w:vAlign w:val="bottom"/>
            <w:shd w:val="clear" w:color="auto" w:fill="CCECFF"/>
          </w:tcPr>
          <w:p>
            <w:pPr>
              <w:spacing w:after="0"/>
              <w:rPr>
                <w:sz w:val="12"/>
                <w:szCs w:val="12"/>
                <w:color w:val="auto"/>
              </w:rPr>
            </w:pPr>
          </w:p>
        </w:tc>
        <w:tc>
          <w:tcPr>
            <w:tcW w:w="80" w:type="dxa"/>
            <w:vAlign w:val="bottom"/>
            <w:tcBorders>
              <w:bottom w:val="single" w:sz="8" w:color="auto"/>
            </w:tcBorders>
            <w:shd w:val="clear" w:color="auto" w:fill="CCECFF"/>
          </w:tcPr>
          <w:p>
            <w:pPr>
              <w:spacing w:after="0"/>
              <w:rPr>
                <w:sz w:val="12"/>
                <w:szCs w:val="12"/>
                <w:color w:val="auto"/>
              </w:rPr>
            </w:pPr>
          </w:p>
        </w:tc>
        <w:tc>
          <w:tcPr>
            <w:tcW w:w="640" w:type="dxa"/>
            <w:vAlign w:val="bottom"/>
            <w:tcBorders>
              <w:bottom w:val="single" w:sz="8" w:color="auto"/>
            </w:tcBorders>
            <w:shd w:val="clear" w:color="auto" w:fill="CCECFF"/>
          </w:tcPr>
          <w:p>
            <w:pPr>
              <w:jc w:val="right"/>
              <w:spacing w:after="0"/>
              <w:rPr>
                <w:sz w:val="20"/>
                <w:szCs w:val="20"/>
                <w:color w:val="auto"/>
              </w:rPr>
            </w:pPr>
            <w:r>
              <w:rPr>
                <w:rFonts w:ascii="Arial" w:cs="Arial" w:eastAsia="Arial" w:hAnsi="Arial"/>
                <w:sz w:val="12"/>
                <w:szCs w:val="12"/>
                <w:color w:val="auto"/>
              </w:rPr>
              <w:t>9,409,740</w:t>
            </w:r>
          </w:p>
        </w:tc>
        <w:tc>
          <w:tcPr>
            <w:tcW w:w="100" w:type="dxa"/>
            <w:vAlign w:val="bottom"/>
            <w:shd w:val="clear" w:color="auto" w:fill="CCECFF"/>
          </w:tcPr>
          <w:p>
            <w:pPr>
              <w:spacing w:after="0"/>
              <w:rPr>
                <w:sz w:val="12"/>
                <w:szCs w:val="12"/>
                <w:color w:val="auto"/>
              </w:rPr>
            </w:pPr>
          </w:p>
        </w:tc>
      </w:tr>
      <w:tr>
        <w:trPr>
          <w:trHeight w:val="142"/>
        </w:trPr>
        <w:tc>
          <w:tcPr>
            <w:tcW w:w="3000" w:type="dxa"/>
            <w:vAlign w:val="bottom"/>
          </w:tcPr>
          <w:p>
            <w:pPr>
              <w:spacing w:after="0"/>
              <w:rPr>
                <w:sz w:val="20"/>
                <w:szCs w:val="20"/>
                <w:color w:val="auto"/>
              </w:rPr>
            </w:pPr>
            <w:r>
              <w:rPr>
                <w:rFonts w:ascii="Arial" w:cs="Arial" w:eastAsia="Arial" w:hAnsi="Arial"/>
                <w:sz w:val="12"/>
                <w:szCs w:val="12"/>
                <w:b w:val="1"/>
                <w:bCs w:val="1"/>
                <w:color w:val="auto"/>
              </w:rPr>
              <w:t>Subordinated Debt/Corporate Notes—8.1%</w:t>
            </w:r>
          </w:p>
        </w:tc>
        <w:tc>
          <w:tcPr>
            <w:tcW w:w="940" w:type="dxa"/>
            <w:vAlign w:val="bottom"/>
          </w:tcPr>
          <w:p>
            <w:pPr>
              <w:spacing w:after="0"/>
              <w:rPr>
                <w:sz w:val="12"/>
                <w:szCs w:val="12"/>
                <w:color w:val="auto"/>
              </w:rPr>
            </w:pPr>
          </w:p>
        </w:tc>
        <w:tc>
          <w:tcPr>
            <w:tcW w:w="25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00" w:type="dxa"/>
            <w:vAlign w:val="bottom"/>
          </w:tcPr>
          <w:p>
            <w:pPr>
              <w:spacing w:after="0"/>
              <w:rPr>
                <w:sz w:val="12"/>
                <w:szCs w:val="12"/>
                <w:color w:val="auto"/>
              </w:rPr>
            </w:pPr>
          </w:p>
        </w:tc>
      </w:tr>
      <w:tr>
        <w:trPr>
          <w:trHeight w:val="148"/>
        </w:trPr>
        <w:tc>
          <w:tcPr>
            <w:tcW w:w="3000" w:type="dxa"/>
            <w:vAlign w:val="bottom"/>
            <w:shd w:val="clear" w:color="auto" w:fill="CCECFF"/>
          </w:tcPr>
          <w:p>
            <w:pPr>
              <w:spacing w:after="0"/>
              <w:rPr>
                <w:sz w:val="20"/>
                <w:szCs w:val="20"/>
                <w:color w:val="auto"/>
              </w:rPr>
            </w:pPr>
            <w:r>
              <w:rPr>
                <w:rFonts w:ascii="Arial" w:cs="Arial" w:eastAsia="Arial" w:hAnsi="Arial"/>
                <w:sz w:val="12"/>
                <w:szCs w:val="12"/>
                <w:color w:val="auto"/>
              </w:rPr>
              <w:t xml:space="preserve">American Gilsonite Company </w:t>
            </w:r>
            <w:r>
              <w:rPr>
                <w:rFonts w:ascii="Arial" w:cs="Arial" w:eastAsia="Arial" w:hAnsi="Arial"/>
                <w:sz w:val="9"/>
                <w:szCs w:val="9"/>
                <w:color w:val="auto"/>
              </w:rPr>
              <w:t>(5)</w:t>
            </w:r>
          </w:p>
        </w:tc>
        <w:tc>
          <w:tcPr>
            <w:tcW w:w="940" w:type="dxa"/>
            <w:vAlign w:val="bottom"/>
            <w:shd w:val="clear" w:color="auto" w:fill="CCECFF"/>
          </w:tcPr>
          <w:p>
            <w:pPr>
              <w:ind w:left="120"/>
              <w:spacing w:after="0"/>
              <w:rPr>
                <w:sz w:val="20"/>
                <w:szCs w:val="20"/>
                <w:color w:val="auto"/>
              </w:rPr>
            </w:pPr>
            <w:r>
              <w:rPr>
                <w:rFonts w:ascii="Arial" w:cs="Arial" w:eastAsia="Arial" w:hAnsi="Arial"/>
                <w:sz w:val="12"/>
                <w:szCs w:val="12"/>
                <w:color w:val="auto"/>
              </w:rPr>
              <w:t>12/31/2021</w:t>
            </w:r>
          </w:p>
        </w:tc>
        <w:tc>
          <w:tcPr>
            <w:tcW w:w="2700" w:type="dxa"/>
            <w:vAlign w:val="bottom"/>
            <w:gridSpan w:val="2"/>
            <w:shd w:val="clear" w:color="auto" w:fill="CCECFF"/>
          </w:tcPr>
          <w:p>
            <w:pPr>
              <w:jc w:val="center"/>
              <w:ind w:right="180"/>
              <w:spacing w:after="0"/>
              <w:rPr>
                <w:sz w:val="20"/>
                <w:szCs w:val="20"/>
                <w:color w:val="auto"/>
              </w:rPr>
            </w:pPr>
            <w:r>
              <w:rPr>
                <w:rFonts w:ascii="Arial" w:cs="Arial" w:eastAsia="Arial" w:hAnsi="Arial"/>
                <w:sz w:val="12"/>
                <w:szCs w:val="12"/>
                <w:color w:val="auto"/>
                <w:w w:val="88"/>
              </w:rPr>
              <w:t>Diversified Natural Resources,</w:t>
            </w:r>
          </w:p>
        </w:tc>
        <w:tc>
          <w:tcPr>
            <w:tcW w:w="960" w:type="dxa"/>
            <w:vAlign w:val="bottom"/>
            <w:gridSpan w:val="2"/>
            <w:shd w:val="clear" w:color="auto" w:fill="CCECFF"/>
          </w:tcPr>
          <w:p>
            <w:pPr>
              <w:jc w:val="right"/>
              <w:ind w:right="200"/>
              <w:spacing w:after="0"/>
              <w:rPr>
                <w:sz w:val="20"/>
                <w:szCs w:val="20"/>
                <w:color w:val="auto"/>
              </w:rPr>
            </w:pPr>
            <w:r>
              <w:rPr>
                <w:rFonts w:ascii="Arial" w:cs="Arial" w:eastAsia="Arial" w:hAnsi="Arial"/>
                <w:sz w:val="12"/>
                <w:szCs w:val="12"/>
                <w:color w:val="auto"/>
              </w:rPr>
              <w:t>17.00%</w:t>
            </w:r>
          </w:p>
        </w:tc>
        <w:tc>
          <w:tcPr>
            <w:tcW w:w="900" w:type="dxa"/>
            <w:vAlign w:val="bottom"/>
            <w:gridSpan w:val="2"/>
            <w:shd w:val="clear" w:color="auto" w:fill="CCECFF"/>
          </w:tcPr>
          <w:p>
            <w:pPr>
              <w:jc w:val="right"/>
              <w:ind w:right="240"/>
              <w:spacing w:after="0"/>
              <w:rPr>
                <w:sz w:val="20"/>
                <w:szCs w:val="20"/>
                <w:color w:val="auto"/>
              </w:rPr>
            </w:pPr>
            <w:r>
              <w:rPr>
                <w:rFonts w:ascii="Arial" w:cs="Arial" w:eastAsia="Arial" w:hAnsi="Arial"/>
                <w:sz w:val="12"/>
                <w:szCs w:val="12"/>
                <w:color w:val="auto"/>
              </w:rPr>
              <w:t>—</w:t>
            </w:r>
          </w:p>
        </w:tc>
        <w:tc>
          <w:tcPr>
            <w:tcW w:w="680" w:type="dxa"/>
            <w:vAlign w:val="bottom"/>
            <w:shd w:val="clear" w:color="auto" w:fill="CCECFF"/>
          </w:tcPr>
          <w:p>
            <w:pPr>
              <w:jc w:val="right"/>
              <w:spacing w:after="0"/>
              <w:rPr>
                <w:sz w:val="20"/>
                <w:szCs w:val="20"/>
                <w:color w:val="auto"/>
              </w:rPr>
            </w:pPr>
            <w:r>
              <w:rPr>
                <w:rFonts w:ascii="Arial" w:cs="Arial" w:eastAsia="Arial" w:hAnsi="Arial"/>
                <w:sz w:val="12"/>
                <w:szCs w:val="12"/>
                <w:color w:val="auto"/>
              </w:rPr>
              <w:t>9,407,407</w:t>
            </w:r>
          </w:p>
        </w:tc>
        <w:tc>
          <w:tcPr>
            <w:tcW w:w="300" w:type="dxa"/>
            <w:vAlign w:val="bottom"/>
            <w:shd w:val="clear" w:color="auto" w:fill="CCECFF"/>
          </w:tcPr>
          <w:p>
            <w:pPr>
              <w:spacing w:after="0"/>
              <w:rPr>
                <w:sz w:val="12"/>
                <w:szCs w:val="12"/>
                <w:color w:val="auto"/>
              </w:rPr>
            </w:pPr>
          </w:p>
        </w:tc>
        <w:tc>
          <w:tcPr>
            <w:tcW w:w="80" w:type="dxa"/>
            <w:vAlign w:val="bottom"/>
            <w:shd w:val="clear" w:color="auto" w:fill="CCECFF"/>
          </w:tcPr>
          <w:p>
            <w:pPr>
              <w:spacing w:after="0"/>
              <w:rPr>
                <w:sz w:val="12"/>
                <w:szCs w:val="12"/>
                <w:color w:val="auto"/>
              </w:rPr>
            </w:pPr>
          </w:p>
        </w:tc>
        <w:tc>
          <w:tcPr>
            <w:tcW w:w="620" w:type="dxa"/>
            <w:vAlign w:val="bottom"/>
            <w:shd w:val="clear" w:color="auto" w:fill="CCECFF"/>
          </w:tcPr>
          <w:p>
            <w:pPr>
              <w:jc w:val="right"/>
              <w:spacing w:after="0"/>
              <w:rPr>
                <w:sz w:val="20"/>
                <w:szCs w:val="20"/>
                <w:color w:val="auto"/>
              </w:rPr>
            </w:pPr>
            <w:r>
              <w:rPr>
                <w:rFonts w:ascii="Arial" w:cs="Arial" w:eastAsia="Arial" w:hAnsi="Arial"/>
                <w:sz w:val="12"/>
                <w:szCs w:val="12"/>
                <w:color w:val="auto"/>
              </w:rPr>
              <w:t>9,407,407</w:t>
            </w:r>
          </w:p>
        </w:tc>
        <w:tc>
          <w:tcPr>
            <w:tcW w:w="240" w:type="dxa"/>
            <w:vAlign w:val="bottom"/>
            <w:shd w:val="clear" w:color="auto" w:fill="CCECFF"/>
          </w:tcPr>
          <w:p>
            <w:pPr>
              <w:spacing w:after="0"/>
              <w:rPr>
                <w:sz w:val="12"/>
                <w:szCs w:val="12"/>
                <w:color w:val="auto"/>
              </w:rPr>
            </w:pPr>
          </w:p>
        </w:tc>
        <w:tc>
          <w:tcPr>
            <w:tcW w:w="80" w:type="dxa"/>
            <w:vAlign w:val="bottom"/>
            <w:shd w:val="clear" w:color="auto" w:fill="CCECFF"/>
          </w:tcPr>
          <w:p>
            <w:pPr>
              <w:spacing w:after="0"/>
              <w:rPr>
                <w:sz w:val="12"/>
                <w:szCs w:val="12"/>
                <w:color w:val="auto"/>
              </w:rPr>
            </w:pPr>
          </w:p>
        </w:tc>
        <w:tc>
          <w:tcPr>
            <w:tcW w:w="640" w:type="dxa"/>
            <w:vAlign w:val="bottom"/>
            <w:shd w:val="clear" w:color="auto" w:fill="CCECFF"/>
          </w:tcPr>
          <w:p>
            <w:pPr>
              <w:jc w:val="right"/>
              <w:spacing w:after="0"/>
              <w:rPr>
                <w:sz w:val="20"/>
                <w:szCs w:val="20"/>
                <w:color w:val="auto"/>
              </w:rPr>
            </w:pPr>
            <w:r>
              <w:rPr>
                <w:rFonts w:ascii="Arial" w:cs="Arial" w:eastAsia="Arial" w:hAnsi="Arial"/>
                <w:sz w:val="12"/>
                <w:szCs w:val="12"/>
                <w:color w:val="auto"/>
              </w:rPr>
              <w:t>9,642,592</w:t>
            </w:r>
          </w:p>
        </w:tc>
        <w:tc>
          <w:tcPr>
            <w:tcW w:w="100" w:type="dxa"/>
            <w:vAlign w:val="bottom"/>
            <w:shd w:val="clear" w:color="auto" w:fill="CCECFF"/>
          </w:tcPr>
          <w:p>
            <w:pPr>
              <w:spacing w:after="0"/>
              <w:rPr>
                <w:sz w:val="12"/>
                <w:szCs w:val="12"/>
                <w:color w:val="auto"/>
              </w:rPr>
            </w:pPr>
          </w:p>
        </w:tc>
      </w:tr>
      <w:tr>
        <w:trPr>
          <w:trHeight w:val="148"/>
        </w:trPr>
        <w:tc>
          <w:tcPr>
            <w:tcW w:w="3000" w:type="dxa"/>
            <w:vAlign w:val="bottom"/>
            <w:shd w:val="clear" w:color="auto" w:fill="CCECFF"/>
          </w:tcPr>
          <w:p>
            <w:pPr>
              <w:spacing w:after="0"/>
              <w:rPr>
                <w:sz w:val="12"/>
                <w:szCs w:val="12"/>
                <w:color w:val="auto"/>
              </w:rPr>
            </w:pPr>
          </w:p>
        </w:tc>
        <w:tc>
          <w:tcPr>
            <w:tcW w:w="940" w:type="dxa"/>
            <w:vAlign w:val="bottom"/>
            <w:shd w:val="clear" w:color="auto" w:fill="CCECFF"/>
          </w:tcPr>
          <w:p>
            <w:pPr>
              <w:spacing w:after="0"/>
              <w:rPr>
                <w:sz w:val="12"/>
                <w:szCs w:val="12"/>
                <w:color w:val="auto"/>
              </w:rPr>
            </w:pPr>
          </w:p>
        </w:tc>
        <w:tc>
          <w:tcPr>
            <w:tcW w:w="2700" w:type="dxa"/>
            <w:vAlign w:val="bottom"/>
            <w:gridSpan w:val="2"/>
            <w:shd w:val="clear" w:color="auto" w:fill="CCECFF"/>
          </w:tcPr>
          <w:p>
            <w:pPr>
              <w:jc w:val="center"/>
              <w:ind w:right="200"/>
              <w:spacing w:after="0"/>
              <w:rPr>
                <w:sz w:val="20"/>
                <w:szCs w:val="20"/>
                <w:color w:val="auto"/>
              </w:rPr>
            </w:pPr>
            <w:r>
              <w:rPr>
                <w:rFonts w:ascii="Arial" w:cs="Arial" w:eastAsia="Arial" w:hAnsi="Arial"/>
                <w:sz w:val="12"/>
                <w:szCs w:val="12"/>
                <w:color w:val="auto"/>
                <w:w w:val="87"/>
              </w:rPr>
              <w:t>Precious Metals and Minerals</w:t>
            </w:r>
          </w:p>
        </w:tc>
        <w:tc>
          <w:tcPr>
            <w:tcW w:w="960" w:type="dxa"/>
            <w:vAlign w:val="bottom"/>
            <w:gridSpan w:val="2"/>
            <w:shd w:val="clear" w:color="auto" w:fill="CCECFF"/>
          </w:tcPr>
          <w:p>
            <w:pPr>
              <w:jc w:val="right"/>
              <w:ind w:right="160"/>
              <w:spacing w:after="0"/>
              <w:rPr>
                <w:sz w:val="20"/>
                <w:szCs w:val="20"/>
                <w:color w:val="auto"/>
              </w:rPr>
            </w:pPr>
            <w:r>
              <w:rPr>
                <w:rFonts w:ascii="Arial" w:cs="Arial" w:eastAsia="Arial" w:hAnsi="Arial"/>
                <w:sz w:val="12"/>
                <w:szCs w:val="12"/>
                <w:color w:val="auto"/>
              </w:rPr>
              <w:t>(PIK 17.00%)</w:t>
            </w:r>
          </w:p>
        </w:tc>
        <w:tc>
          <w:tcPr>
            <w:tcW w:w="660" w:type="dxa"/>
            <w:vAlign w:val="bottom"/>
            <w:shd w:val="clear" w:color="auto" w:fill="CCECFF"/>
          </w:tcPr>
          <w:p>
            <w:pPr>
              <w:spacing w:after="0"/>
              <w:rPr>
                <w:sz w:val="12"/>
                <w:szCs w:val="12"/>
                <w:color w:val="auto"/>
              </w:rPr>
            </w:pPr>
          </w:p>
        </w:tc>
        <w:tc>
          <w:tcPr>
            <w:tcW w:w="240" w:type="dxa"/>
            <w:vAlign w:val="bottom"/>
            <w:shd w:val="clear" w:color="auto" w:fill="CCECFF"/>
          </w:tcPr>
          <w:p>
            <w:pPr>
              <w:spacing w:after="0"/>
              <w:rPr>
                <w:sz w:val="12"/>
                <w:szCs w:val="12"/>
                <w:color w:val="auto"/>
              </w:rPr>
            </w:pPr>
          </w:p>
        </w:tc>
        <w:tc>
          <w:tcPr>
            <w:tcW w:w="680" w:type="dxa"/>
            <w:vAlign w:val="bottom"/>
            <w:shd w:val="clear" w:color="auto" w:fill="CCECFF"/>
          </w:tcPr>
          <w:p>
            <w:pPr>
              <w:spacing w:after="0"/>
              <w:rPr>
                <w:sz w:val="12"/>
                <w:szCs w:val="12"/>
                <w:color w:val="auto"/>
              </w:rPr>
            </w:pPr>
          </w:p>
        </w:tc>
        <w:tc>
          <w:tcPr>
            <w:tcW w:w="300" w:type="dxa"/>
            <w:vAlign w:val="bottom"/>
            <w:shd w:val="clear" w:color="auto" w:fill="CCECFF"/>
          </w:tcPr>
          <w:p>
            <w:pPr>
              <w:spacing w:after="0"/>
              <w:rPr>
                <w:sz w:val="12"/>
                <w:szCs w:val="12"/>
                <w:color w:val="auto"/>
              </w:rPr>
            </w:pPr>
          </w:p>
        </w:tc>
        <w:tc>
          <w:tcPr>
            <w:tcW w:w="80" w:type="dxa"/>
            <w:vAlign w:val="bottom"/>
            <w:shd w:val="clear" w:color="auto" w:fill="CCECFF"/>
          </w:tcPr>
          <w:p>
            <w:pPr>
              <w:spacing w:after="0"/>
              <w:rPr>
                <w:sz w:val="12"/>
                <w:szCs w:val="12"/>
                <w:color w:val="auto"/>
              </w:rPr>
            </w:pPr>
          </w:p>
        </w:tc>
        <w:tc>
          <w:tcPr>
            <w:tcW w:w="620" w:type="dxa"/>
            <w:vAlign w:val="bottom"/>
            <w:shd w:val="clear" w:color="auto" w:fill="CCECFF"/>
          </w:tcPr>
          <w:p>
            <w:pPr>
              <w:spacing w:after="0"/>
              <w:rPr>
                <w:sz w:val="12"/>
                <w:szCs w:val="12"/>
                <w:color w:val="auto"/>
              </w:rPr>
            </w:pPr>
          </w:p>
        </w:tc>
        <w:tc>
          <w:tcPr>
            <w:tcW w:w="240" w:type="dxa"/>
            <w:vAlign w:val="bottom"/>
            <w:shd w:val="clear" w:color="auto" w:fill="CCECFF"/>
          </w:tcPr>
          <w:p>
            <w:pPr>
              <w:spacing w:after="0"/>
              <w:rPr>
                <w:sz w:val="12"/>
                <w:szCs w:val="12"/>
                <w:color w:val="auto"/>
              </w:rPr>
            </w:pPr>
          </w:p>
        </w:tc>
        <w:tc>
          <w:tcPr>
            <w:tcW w:w="80" w:type="dxa"/>
            <w:vAlign w:val="bottom"/>
            <w:shd w:val="clear" w:color="auto" w:fill="CCECFF"/>
          </w:tcPr>
          <w:p>
            <w:pPr>
              <w:spacing w:after="0"/>
              <w:rPr>
                <w:sz w:val="12"/>
                <w:szCs w:val="12"/>
                <w:color w:val="auto"/>
              </w:rPr>
            </w:pPr>
          </w:p>
        </w:tc>
        <w:tc>
          <w:tcPr>
            <w:tcW w:w="640" w:type="dxa"/>
            <w:vAlign w:val="bottom"/>
            <w:shd w:val="clear" w:color="auto" w:fill="CCECFF"/>
          </w:tcPr>
          <w:p>
            <w:pPr>
              <w:spacing w:after="0"/>
              <w:rPr>
                <w:sz w:val="12"/>
                <w:szCs w:val="12"/>
                <w:color w:val="auto"/>
              </w:rPr>
            </w:pPr>
          </w:p>
        </w:tc>
        <w:tc>
          <w:tcPr>
            <w:tcW w:w="100" w:type="dxa"/>
            <w:vAlign w:val="bottom"/>
            <w:shd w:val="clear" w:color="auto" w:fill="CCECFF"/>
          </w:tcPr>
          <w:p>
            <w:pPr>
              <w:spacing w:after="0"/>
              <w:rPr>
                <w:sz w:val="12"/>
                <w:szCs w:val="12"/>
                <w:color w:val="auto"/>
              </w:rPr>
            </w:pPr>
          </w:p>
        </w:tc>
      </w:tr>
      <w:tr>
        <w:trPr>
          <w:trHeight w:val="156"/>
        </w:trPr>
        <w:tc>
          <w:tcPr>
            <w:tcW w:w="3000" w:type="dxa"/>
            <w:vAlign w:val="bottom"/>
          </w:tcPr>
          <w:p>
            <w:pPr>
              <w:spacing w:after="0"/>
              <w:rPr>
                <w:sz w:val="20"/>
                <w:szCs w:val="20"/>
                <w:color w:val="auto"/>
              </w:rPr>
            </w:pPr>
            <w:r>
              <w:rPr>
                <w:rFonts w:ascii="Arial" w:cs="Arial" w:eastAsia="Arial" w:hAnsi="Arial"/>
                <w:sz w:val="12"/>
                <w:szCs w:val="12"/>
                <w:color w:val="auto"/>
              </w:rPr>
              <w:t xml:space="preserve">ETX Energy, LLC, Convertible Note </w:t>
            </w:r>
            <w:r>
              <w:rPr>
                <w:rFonts w:ascii="Arial" w:cs="Arial" w:eastAsia="Arial" w:hAnsi="Arial"/>
                <w:sz w:val="9"/>
                <w:szCs w:val="9"/>
                <w:color w:val="auto"/>
              </w:rPr>
              <w:t>(5)</w:t>
            </w:r>
          </w:p>
        </w:tc>
        <w:tc>
          <w:tcPr>
            <w:tcW w:w="940" w:type="dxa"/>
            <w:vAlign w:val="bottom"/>
          </w:tcPr>
          <w:p>
            <w:pPr>
              <w:ind w:left="120"/>
              <w:spacing w:after="0"/>
              <w:rPr>
                <w:sz w:val="20"/>
                <w:szCs w:val="20"/>
                <w:color w:val="auto"/>
              </w:rPr>
            </w:pPr>
            <w:r>
              <w:rPr>
                <w:rFonts w:ascii="Arial" w:cs="Arial" w:eastAsia="Arial" w:hAnsi="Arial"/>
                <w:sz w:val="12"/>
                <w:szCs w:val="12"/>
                <w:color w:val="auto"/>
              </w:rPr>
              <w:t>05/03/2021</w:t>
            </w:r>
          </w:p>
        </w:tc>
        <w:tc>
          <w:tcPr>
            <w:tcW w:w="2700" w:type="dxa"/>
            <w:vAlign w:val="bottom"/>
            <w:gridSpan w:val="2"/>
          </w:tcPr>
          <w:p>
            <w:pPr>
              <w:jc w:val="center"/>
              <w:ind w:right="180"/>
              <w:spacing w:after="0"/>
              <w:rPr>
                <w:sz w:val="20"/>
                <w:szCs w:val="20"/>
                <w:color w:val="auto"/>
              </w:rPr>
            </w:pPr>
            <w:r>
              <w:rPr>
                <w:rFonts w:ascii="Arial" w:cs="Arial" w:eastAsia="Arial" w:hAnsi="Arial"/>
                <w:sz w:val="12"/>
                <w:szCs w:val="12"/>
                <w:color w:val="auto"/>
                <w:w w:val="88"/>
              </w:rPr>
              <w:t>Oil and Gas</w:t>
            </w:r>
          </w:p>
        </w:tc>
        <w:tc>
          <w:tcPr>
            <w:tcW w:w="960" w:type="dxa"/>
            <w:vAlign w:val="bottom"/>
            <w:gridSpan w:val="2"/>
          </w:tcPr>
          <w:p>
            <w:pPr>
              <w:jc w:val="right"/>
              <w:ind w:right="200"/>
              <w:spacing w:after="0"/>
              <w:rPr>
                <w:sz w:val="20"/>
                <w:szCs w:val="20"/>
                <w:color w:val="auto"/>
              </w:rPr>
            </w:pPr>
            <w:r>
              <w:rPr>
                <w:rFonts w:ascii="Arial" w:cs="Arial" w:eastAsia="Arial" w:hAnsi="Arial"/>
                <w:sz w:val="12"/>
                <w:szCs w:val="12"/>
                <w:color w:val="auto"/>
              </w:rPr>
              <w:t>12.50%</w:t>
            </w:r>
          </w:p>
        </w:tc>
        <w:tc>
          <w:tcPr>
            <w:tcW w:w="900" w:type="dxa"/>
            <w:vAlign w:val="bottom"/>
            <w:gridSpan w:val="2"/>
          </w:tcPr>
          <w:p>
            <w:pPr>
              <w:jc w:val="right"/>
              <w:ind w:right="240"/>
              <w:spacing w:after="0"/>
              <w:rPr>
                <w:sz w:val="20"/>
                <w:szCs w:val="20"/>
                <w:color w:val="auto"/>
              </w:rPr>
            </w:pPr>
            <w:r>
              <w:rPr>
                <w:rFonts w:ascii="Arial" w:cs="Arial" w:eastAsia="Arial" w:hAnsi="Arial"/>
                <w:sz w:val="12"/>
                <w:szCs w:val="12"/>
                <w:color w:val="auto"/>
              </w:rPr>
              <w:t>—</w:t>
            </w:r>
          </w:p>
        </w:tc>
        <w:tc>
          <w:tcPr>
            <w:tcW w:w="680" w:type="dxa"/>
            <w:vAlign w:val="bottom"/>
          </w:tcPr>
          <w:p>
            <w:pPr>
              <w:jc w:val="right"/>
              <w:spacing w:after="0"/>
              <w:rPr>
                <w:sz w:val="20"/>
                <w:szCs w:val="20"/>
                <w:color w:val="auto"/>
              </w:rPr>
            </w:pPr>
            <w:r>
              <w:rPr>
                <w:rFonts w:ascii="Arial" w:cs="Arial" w:eastAsia="Arial" w:hAnsi="Arial"/>
                <w:sz w:val="12"/>
                <w:szCs w:val="12"/>
                <w:color w:val="auto"/>
              </w:rPr>
              <w:t>27,744,207</w:t>
            </w:r>
          </w:p>
        </w:tc>
        <w:tc>
          <w:tcPr>
            <w:tcW w:w="3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20" w:type="dxa"/>
            <w:vAlign w:val="bottom"/>
          </w:tcPr>
          <w:p>
            <w:pPr>
              <w:jc w:val="right"/>
              <w:spacing w:after="0"/>
              <w:rPr>
                <w:sz w:val="20"/>
                <w:szCs w:val="20"/>
                <w:color w:val="auto"/>
              </w:rPr>
            </w:pPr>
            <w:r>
              <w:rPr>
                <w:rFonts w:ascii="Arial" w:cs="Arial" w:eastAsia="Arial" w:hAnsi="Arial"/>
                <w:sz w:val="12"/>
                <w:szCs w:val="12"/>
                <w:color w:val="auto"/>
                <w:w w:val="99"/>
              </w:rPr>
              <w:t>37,159,703</w:t>
            </w:r>
          </w:p>
        </w:tc>
        <w:tc>
          <w:tcPr>
            <w:tcW w:w="2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40" w:type="dxa"/>
            <w:vAlign w:val="bottom"/>
          </w:tcPr>
          <w:p>
            <w:pPr>
              <w:jc w:val="right"/>
              <w:spacing w:after="0"/>
              <w:rPr>
                <w:sz w:val="20"/>
                <w:szCs w:val="20"/>
                <w:color w:val="auto"/>
              </w:rPr>
            </w:pPr>
            <w:r>
              <w:rPr>
                <w:rFonts w:ascii="Arial" w:cs="Arial" w:eastAsia="Arial" w:hAnsi="Arial"/>
                <w:sz w:val="12"/>
                <w:szCs w:val="12"/>
                <w:color w:val="auto"/>
                <w:w w:val="99"/>
              </w:rPr>
              <w:t>43,003,521</w:t>
            </w:r>
          </w:p>
        </w:tc>
        <w:tc>
          <w:tcPr>
            <w:tcW w:w="100" w:type="dxa"/>
            <w:vAlign w:val="bottom"/>
          </w:tcPr>
          <w:p>
            <w:pPr>
              <w:spacing w:after="0"/>
              <w:rPr>
                <w:sz w:val="13"/>
                <w:szCs w:val="13"/>
                <w:color w:val="auto"/>
              </w:rPr>
            </w:pPr>
          </w:p>
        </w:tc>
      </w:tr>
      <w:tr>
        <w:trPr>
          <w:trHeight w:val="141"/>
        </w:trPr>
        <w:tc>
          <w:tcPr>
            <w:tcW w:w="3000" w:type="dxa"/>
            <w:vAlign w:val="bottom"/>
            <w:tcBorders>
              <w:bottom w:val="single" w:sz="8" w:color="CCECFF"/>
            </w:tcBorders>
          </w:tcPr>
          <w:p>
            <w:pPr>
              <w:spacing w:after="0"/>
              <w:rPr>
                <w:sz w:val="12"/>
                <w:szCs w:val="12"/>
                <w:color w:val="auto"/>
              </w:rPr>
            </w:pPr>
          </w:p>
        </w:tc>
        <w:tc>
          <w:tcPr>
            <w:tcW w:w="940" w:type="dxa"/>
            <w:vAlign w:val="bottom"/>
            <w:tcBorders>
              <w:bottom w:val="single" w:sz="8" w:color="CCECFF"/>
            </w:tcBorders>
          </w:tcPr>
          <w:p>
            <w:pPr>
              <w:spacing w:after="0"/>
              <w:rPr>
                <w:sz w:val="12"/>
                <w:szCs w:val="12"/>
                <w:color w:val="auto"/>
              </w:rPr>
            </w:pPr>
          </w:p>
        </w:tc>
        <w:tc>
          <w:tcPr>
            <w:tcW w:w="2580" w:type="dxa"/>
            <w:vAlign w:val="bottom"/>
            <w:tcBorders>
              <w:bottom w:val="single" w:sz="8" w:color="CCECFF"/>
            </w:tcBorders>
          </w:tcPr>
          <w:p>
            <w:pPr>
              <w:spacing w:after="0"/>
              <w:rPr>
                <w:sz w:val="12"/>
                <w:szCs w:val="12"/>
                <w:color w:val="auto"/>
              </w:rPr>
            </w:pPr>
          </w:p>
        </w:tc>
        <w:tc>
          <w:tcPr>
            <w:tcW w:w="120" w:type="dxa"/>
            <w:vAlign w:val="bottom"/>
            <w:tcBorders>
              <w:bottom w:val="single" w:sz="8" w:color="CCECFF"/>
            </w:tcBorders>
          </w:tcPr>
          <w:p>
            <w:pPr>
              <w:spacing w:after="0"/>
              <w:rPr>
                <w:sz w:val="12"/>
                <w:szCs w:val="12"/>
                <w:color w:val="auto"/>
              </w:rPr>
            </w:pPr>
          </w:p>
        </w:tc>
        <w:tc>
          <w:tcPr>
            <w:tcW w:w="960" w:type="dxa"/>
            <w:vAlign w:val="bottom"/>
            <w:tcBorders>
              <w:bottom w:val="single" w:sz="8" w:color="CCECFF"/>
            </w:tcBorders>
            <w:gridSpan w:val="2"/>
          </w:tcPr>
          <w:p>
            <w:pPr>
              <w:jc w:val="right"/>
              <w:ind w:right="160"/>
              <w:spacing w:after="0"/>
              <w:rPr>
                <w:sz w:val="20"/>
                <w:szCs w:val="20"/>
                <w:color w:val="auto"/>
              </w:rPr>
            </w:pPr>
            <w:r>
              <w:rPr>
                <w:rFonts w:ascii="Arial" w:cs="Arial" w:eastAsia="Arial" w:hAnsi="Arial"/>
                <w:sz w:val="12"/>
                <w:szCs w:val="12"/>
                <w:color w:val="auto"/>
              </w:rPr>
              <w:t>(PIK 12.50%)</w:t>
            </w:r>
          </w:p>
        </w:tc>
        <w:tc>
          <w:tcPr>
            <w:tcW w:w="660" w:type="dxa"/>
            <w:vAlign w:val="bottom"/>
            <w:tcBorders>
              <w:bottom w:val="single" w:sz="8" w:color="CCECFF"/>
            </w:tcBorders>
          </w:tcPr>
          <w:p>
            <w:pPr>
              <w:spacing w:after="0"/>
              <w:rPr>
                <w:sz w:val="12"/>
                <w:szCs w:val="12"/>
                <w:color w:val="auto"/>
              </w:rPr>
            </w:pPr>
          </w:p>
        </w:tc>
        <w:tc>
          <w:tcPr>
            <w:tcW w:w="240" w:type="dxa"/>
            <w:vAlign w:val="bottom"/>
            <w:tcBorders>
              <w:bottom w:val="single" w:sz="8" w:color="CCECFF"/>
            </w:tcBorders>
          </w:tcPr>
          <w:p>
            <w:pPr>
              <w:spacing w:after="0"/>
              <w:rPr>
                <w:sz w:val="12"/>
                <w:szCs w:val="12"/>
                <w:color w:val="auto"/>
              </w:rPr>
            </w:pPr>
          </w:p>
        </w:tc>
        <w:tc>
          <w:tcPr>
            <w:tcW w:w="680" w:type="dxa"/>
            <w:vAlign w:val="bottom"/>
            <w:tcBorders>
              <w:bottom w:val="single" w:sz="8" w:color="CCECFF"/>
            </w:tcBorders>
          </w:tcPr>
          <w:p>
            <w:pPr>
              <w:spacing w:after="0"/>
              <w:rPr>
                <w:sz w:val="12"/>
                <w:szCs w:val="12"/>
                <w:color w:val="auto"/>
              </w:rPr>
            </w:pPr>
          </w:p>
        </w:tc>
        <w:tc>
          <w:tcPr>
            <w:tcW w:w="300" w:type="dxa"/>
            <w:vAlign w:val="bottom"/>
            <w:tcBorders>
              <w:bottom w:val="single" w:sz="8" w:color="CCECFF"/>
            </w:tcBorders>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620" w:type="dxa"/>
            <w:vAlign w:val="bottom"/>
            <w:tcBorders>
              <w:bottom w:val="single" w:sz="8" w:color="auto"/>
            </w:tcBorders>
          </w:tcPr>
          <w:p>
            <w:pPr>
              <w:spacing w:after="0"/>
              <w:rPr>
                <w:sz w:val="12"/>
                <w:szCs w:val="12"/>
                <w:color w:val="auto"/>
              </w:rPr>
            </w:pPr>
          </w:p>
        </w:tc>
        <w:tc>
          <w:tcPr>
            <w:tcW w:w="240" w:type="dxa"/>
            <w:vAlign w:val="bottom"/>
            <w:tcBorders>
              <w:bottom w:val="single" w:sz="8" w:color="CCECFF"/>
            </w:tcBorders>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640" w:type="dxa"/>
            <w:vAlign w:val="bottom"/>
            <w:tcBorders>
              <w:bottom w:val="single" w:sz="8" w:color="auto"/>
            </w:tcBorders>
          </w:tcPr>
          <w:p>
            <w:pPr>
              <w:spacing w:after="0"/>
              <w:rPr>
                <w:sz w:val="12"/>
                <w:szCs w:val="12"/>
                <w:color w:val="auto"/>
              </w:rPr>
            </w:pPr>
          </w:p>
        </w:tc>
        <w:tc>
          <w:tcPr>
            <w:tcW w:w="100" w:type="dxa"/>
            <w:vAlign w:val="bottom"/>
            <w:tcBorders>
              <w:bottom w:val="single" w:sz="8" w:color="CCECFF"/>
            </w:tcBorders>
          </w:tcPr>
          <w:p>
            <w:pPr>
              <w:spacing w:after="0"/>
              <w:rPr>
                <w:sz w:val="12"/>
                <w:szCs w:val="12"/>
                <w:color w:val="auto"/>
              </w:rPr>
            </w:pPr>
          </w:p>
        </w:tc>
      </w:tr>
      <w:tr>
        <w:trPr>
          <w:trHeight w:val="142"/>
        </w:trPr>
        <w:tc>
          <w:tcPr>
            <w:tcW w:w="3000" w:type="dxa"/>
            <w:vAlign w:val="bottom"/>
            <w:shd w:val="clear" w:color="auto" w:fill="CCECFF"/>
          </w:tcPr>
          <w:p>
            <w:pPr>
              <w:spacing w:after="0"/>
              <w:rPr>
                <w:sz w:val="20"/>
                <w:szCs w:val="20"/>
                <w:color w:val="auto"/>
              </w:rPr>
            </w:pPr>
            <w:r>
              <w:rPr>
                <w:rFonts w:ascii="Arial" w:cs="Arial" w:eastAsia="Arial" w:hAnsi="Arial"/>
                <w:sz w:val="12"/>
                <w:szCs w:val="12"/>
                <w:b w:val="1"/>
                <w:bCs w:val="1"/>
                <w:color w:val="auto"/>
              </w:rPr>
              <w:t>Total Subordinated Debt/Corporate Notes</w:t>
            </w:r>
          </w:p>
        </w:tc>
        <w:tc>
          <w:tcPr>
            <w:tcW w:w="940" w:type="dxa"/>
            <w:vAlign w:val="bottom"/>
            <w:shd w:val="clear" w:color="auto" w:fill="CCECFF"/>
          </w:tcPr>
          <w:p>
            <w:pPr>
              <w:spacing w:after="0"/>
              <w:rPr>
                <w:sz w:val="12"/>
                <w:szCs w:val="12"/>
                <w:color w:val="auto"/>
              </w:rPr>
            </w:pPr>
          </w:p>
        </w:tc>
        <w:tc>
          <w:tcPr>
            <w:tcW w:w="2580" w:type="dxa"/>
            <w:vAlign w:val="bottom"/>
            <w:shd w:val="clear" w:color="auto" w:fill="CCECFF"/>
          </w:tcPr>
          <w:p>
            <w:pPr>
              <w:spacing w:after="0"/>
              <w:rPr>
                <w:sz w:val="12"/>
                <w:szCs w:val="12"/>
                <w:color w:val="auto"/>
              </w:rPr>
            </w:pPr>
          </w:p>
        </w:tc>
        <w:tc>
          <w:tcPr>
            <w:tcW w:w="120" w:type="dxa"/>
            <w:vAlign w:val="bottom"/>
            <w:shd w:val="clear" w:color="auto" w:fill="CCECFF"/>
          </w:tcPr>
          <w:p>
            <w:pPr>
              <w:spacing w:after="0"/>
              <w:rPr>
                <w:sz w:val="12"/>
                <w:szCs w:val="12"/>
                <w:color w:val="auto"/>
              </w:rPr>
            </w:pPr>
          </w:p>
        </w:tc>
        <w:tc>
          <w:tcPr>
            <w:tcW w:w="680" w:type="dxa"/>
            <w:vAlign w:val="bottom"/>
            <w:shd w:val="clear" w:color="auto" w:fill="CCECFF"/>
          </w:tcPr>
          <w:p>
            <w:pPr>
              <w:spacing w:after="0"/>
              <w:rPr>
                <w:sz w:val="12"/>
                <w:szCs w:val="12"/>
                <w:color w:val="auto"/>
              </w:rPr>
            </w:pPr>
          </w:p>
        </w:tc>
        <w:tc>
          <w:tcPr>
            <w:tcW w:w="280" w:type="dxa"/>
            <w:vAlign w:val="bottom"/>
            <w:shd w:val="clear" w:color="auto" w:fill="CCECFF"/>
          </w:tcPr>
          <w:p>
            <w:pPr>
              <w:spacing w:after="0"/>
              <w:rPr>
                <w:sz w:val="12"/>
                <w:szCs w:val="12"/>
                <w:color w:val="auto"/>
              </w:rPr>
            </w:pPr>
          </w:p>
        </w:tc>
        <w:tc>
          <w:tcPr>
            <w:tcW w:w="660" w:type="dxa"/>
            <w:vAlign w:val="bottom"/>
            <w:shd w:val="clear" w:color="auto" w:fill="CCECFF"/>
          </w:tcPr>
          <w:p>
            <w:pPr>
              <w:spacing w:after="0"/>
              <w:rPr>
                <w:sz w:val="12"/>
                <w:szCs w:val="12"/>
                <w:color w:val="auto"/>
              </w:rPr>
            </w:pPr>
          </w:p>
        </w:tc>
        <w:tc>
          <w:tcPr>
            <w:tcW w:w="240" w:type="dxa"/>
            <w:vAlign w:val="bottom"/>
            <w:shd w:val="clear" w:color="auto" w:fill="CCECFF"/>
          </w:tcPr>
          <w:p>
            <w:pPr>
              <w:spacing w:after="0"/>
              <w:rPr>
                <w:sz w:val="12"/>
                <w:szCs w:val="12"/>
                <w:color w:val="auto"/>
              </w:rPr>
            </w:pPr>
          </w:p>
        </w:tc>
        <w:tc>
          <w:tcPr>
            <w:tcW w:w="680" w:type="dxa"/>
            <w:vAlign w:val="bottom"/>
            <w:shd w:val="clear" w:color="auto" w:fill="CCECFF"/>
          </w:tcPr>
          <w:p>
            <w:pPr>
              <w:spacing w:after="0"/>
              <w:rPr>
                <w:sz w:val="12"/>
                <w:szCs w:val="12"/>
                <w:color w:val="auto"/>
              </w:rPr>
            </w:pPr>
          </w:p>
        </w:tc>
        <w:tc>
          <w:tcPr>
            <w:tcW w:w="300" w:type="dxa"/>
            <w:vAlign w:val="bottom"/>
            <w:shd w:val="clear" w:color="auto" w:fill="CCECFF"/>
          </w:tcPr>
          <w:p>
            <w:pPr>
              <w:spacing w:after="0"/>
              <w:rPr>
                <w:sz w:val="12"/>
                <w:szCs w:val="12"/>
                <w:color w:val="auto"/>
              </w:rPr>
            </w:pPr>
          </w:p>
        </w:tc>
        <w:tc>
          <w:tcPr>
            <w:tcW w:w="80" w:type="dxa"/>
            <w:vAlign w:val="bottom"/>
            <w:tcBorders>
              <w:bottom w:val="single" w:sz="8" w:color="auto"/>
            </w:tcBorders>
            <w:shd w:val="clear" w:color="auto" w:fill="CCECFF"/>
          </w:tcPr>
          <w:p>
            <w:pPr>
              <w:spacing w:after="0"/>
              <w:rPr>
                <w:sz w:val="12"/>
                <w:szCs w:val="12"/>
                <w:color w:val="auto"/>
              </w:rPr>
            </w:pPr>
          </w:p>
        </w:tc>
        <w:tc>
          <w:tcPr>
            <w:tcW w:w="620" w:type="dxa"/>
            <w:vAlign w:val="bottom"/>
            <w:tcBorders>
              <w:bottom w:val="single" w:sz="8" w:color="auto"/>
            </w:tcBorders>
            <w:shd w:val="clear" w:color="auto" w:fill="CCECFF"/>
          </w:tcPr>
          <w:p>
            <w:pPr>
              <w:jc w:val="right"/>
              <w:spacing w:after="0"/>
              <w:rPr>
                <w:sz w:val="20"/>
                <w:szCs w:val="20"/>
                <w:color w:val="auto"/>
              </w:rPr>
            </w:pPr>
            <w:r>
              <w:rPr>
                <w:rFonts w:ascii="Arial" w:cs="Arial" w:eastAsia="Arial" w:hAnsi="Arial"/>
                <w:sz w:val="12"/>
                <w:szCs w:val="12"/>
                <w:color w:val="auto"/>
                <w:w w:val="99"/>
              </w:rPr>
              <w:t>46,567,110</w:t>
            </w:r>
          </w:p>
        </w:tc>
        <w:tc>
          <w:tcPr>
            <w:tcW w:w="240" w:type="dxa"/>
            <w:vAlign w:val="bottom"/>
            <w:shd w:val="clear" w:color="auto" w:fill="CCECFF"/>
          </w:tcPr>
          <w:p>
            <w:pPr>
              <w:spacing w:after="0"/>
              <w:rPr>
                <w:sz w:val="12"/>
                <w:szCs w:val="12"/>
                <w:color w:val="auto"/>
              </w:rPr>
            </w:pPr>
          </w:p>
        </w:tc>
        <w:tc>
          <w:tcPr>
            <w:tcW w:w="80" w:type="dxa"/>
            <w:vAlign w:val="bottom"/>
            <w:tcBorders>
              <w:bottom w:val="single" w:sz="8" w:color="auto"/>
            </w:tcBorders>
            <w:shd w:val="clear" w:color="auto" w:fill="CCECFF"/>
          </w:tcPr>
          <w:p>
            <w:pPr>
              <w:spacing w:after="0"/>
              <w:rPr>
                <w:sz w:val="12"/>
                <w:szCs w:val="12"/>
                <w:color w:val="auto"/>
              </w:rPr>
            </w:pPr>
          </w:p>
        </w:tc>
        <w:tc>
          <w:tcPr>
            <w:tcW w:w="640" w:type="dxa"/>
            <w:vAlign w:val="bottom"/>
            <w:tcBorders>
              <w:bottom w:val="single" w:sz="8" w:color="auto"/>
            </w:tcBorders>
            <w:shd w:val="clear" w:color="auto" w:fill="CCECFF"/>
          </w:tcPr>
          <w:p>
            <w:pPr>
              <w:jc w:val="right"/>
              <w:spacing w:after="0"/>
              <w:rPr>
                <w:sz w:val="20"/>
                <w:szCs w:val="20"/>
                <w:color w:val="auto"/>
              </w:rPr>
            </w:pPr>
            <w:r>
              <w:rPr>
                <w:rFonts w:ascii="Arial" w:cs="Arial" w:eastAsia="Arial" w:hAnsi="Arial"/>
                <w:sz w:val="12"/>
                <w:szCs w:val="12"/>
                <w:color w:val="auto"/>
                <w:w w:val="99"/>
              </w:rPr>
              <w:t>52,646,113</w:t>
            </w:r>
          </w:p>
        </w:tc>
        <w:tc>
          <w:tcPr>
            <w:tcW w:w="100" w:type="dxa"/>
            <w:vAlign w:val="bottom"/>
            <w:shd w:val="clear" w:color="auto" w:fill="CCECFF"/>
          </w:tcPr>
          <w:p>
            <w:pPr>
              <w:spacing w:after="0"/>
              <w:rPr>
                <w:sz w:val="12"/>
                <w:szCs w:val="12"/>
                <w:color w:val="auto"/>
              </w:rPr>
            </w:pPr>
          </w:p>
        </w:tc>
      </w:tr>
      <w:tr>
        <w:trPr>
          <w:trHeight w:val="142"/>
        </w:trPr>
        <w:tc>
          <w:tcPr>
            <w:tcW w:w="3000" w:type="dxa"/>
            <w:vAlign w:val="bottom"/>
          </w:tcPr>
          <w:p>
            <w:pPr>
              <w:spacing w:after="0"/>
              <w:rPr>
                <w:sz w:val="20"/>
                <w:szCs w:val="20"/>
                <w:color w:val="auto"/>
              </w:rPr>
            </w:pPr>
            <w:r>
              <w:rPr>
                <w:rFonts w:ascii="Arial" w:cs="Arial" w:eastAsia="Arial" w:hAnsi="Arial"/>
                <w:sz w:val="12"/>
                <w:szCs w:val="12"/>
                <w:b w:val="1"/>
                <w:bCs w:val="1"/>
                <w:color w:val="auto"/>
                <w:w w:val="91"/>
              </w:rPr>
              <w:t xml:space="preserve">Common Equity/Partnership Interests/Warrants—9.5% </w:t>
            </w:r>
            <w:r>
              <w:rPr>
                <w:rFonts w:ascii="Arial" w:cs="Arial" w:eastAsia="Arial" w:hAnsi="Arial"/>
                <w:sz w:val="9"/>
                <w:szCs w:val="9"/>
                <w:b w:val="1"/>
                <w:bCs w:val="1"/>
                <w:color w:val="auto"/>
                <w:w w:val="91"/>
              </w:rPr>
              <w:t>(6)</w:t>
            </w:r>
          </w:p>
        </w:tc>
        <w:tc>
          <w:tcPr>
            <w:tcW w:w="940" w:type="dxa"/>
            <w:vAlign w:val="bottom"/>
          </w:tcPr>
          <w:p>
            <w:pPr>
              <w:spacing w:after="0"/>
              <w:rPr>
                <w:sz w:val="12"/>
                <w:szCs w:val="12"/>
                <w:color w:val="auto"/>
              </w:rPr>
            </w:pPr>
          </w:p>
        </w:tc>
        <w:tc>
          <w:tcPr>
            <w:tcW w:w="25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00" w:type="dxa"/>
            <w:vAlign w:val="bottom"/>
          </w:tcPr>
          <w:p>
            <w:pPr>
              <w:spacing w:after="0"/>
              <w:rPr>
                <w:sz w:val="12"/>
                <w:szCs w:val="12"/>
                <w:color w:val="auto"/>
              </w:rPr>
            </w:pPr>
          </w:p>
        </w:tc>
      </w:tr>
      <w:tr>
        <w:trPr>
          <w:trHeight w:val="148"/>
        </w:trPr>
        <w:tc>
          <w:tcPr>
            <w:tcW w:w="3000" w:type="dxa"/>
            <w:vAlign w:val="bottom"/>
            <w:shd w:val="clear" w:color="auto" w:fill="CCECFF"/>
          </w:tcPr>
          <w:p>
            <w:pPr>
              <w:spacing w:after="0"/>
              <w:rPr>
                <w:sz w:val="20"/>
                <w:szCs w:val="20"/>
                <w:color w:val="auto"/>
              </w:rPr>
            </w:pPr>
            <w:r>
              <w:rPr>
                <w:rFonts w:ascii="Arial" w:cs="Arial" w:eastAsia="Arial" w:hAnsi="Arial"/>
                <w:sz w:val="12"/>
                <w:szCs w:val="12"/>
                <w:color w:val="auto"/>
              </w:rPr>
              <w:t>Affinion Group Holdings, Inc.</w:t>
            </w:r>
          </w:p>
        </w:tc>
        <w:tc>
          <w:tcPr>
            <w:tcW w:w="940" w:type="dxa"/>
            <w:vAlign w:val="bottom"/>
            <w:shd w:val="clear" w:color="auto" w:fill="CCECFF"/>
          </w:tcPr>
          <w:p>
            <w:pPr>
              <w:ind w:left="380"/>
              <w:spacing w:after="0"/>
              <w:rPr>
                <w:sz w:val="20"/>
                <w:szCs w:val="20"/>
                <w:color w:val="auto"/>
              </w:rPr>
            </w:pPr>
            <w:r>
              <w:rPr>
                <w:rFonts w:ascii="Arial" w:cs="Arial" w:eastAsia="Arial" w:hAnsi="Arial"/>
                <w:sz w:val="12"/>
                <w:szCs w:val="12"/>
                <w:color w:val="auto"/>
              </w:rPr>
              <w:t>—</w:t>
            </w:r>
          </w:p>
        </w:tc>
        <w:tc>
          <w:tcPr>
            <w:tcW w:w="2700" w:type="dxa"/>
            <w:vAlign w:val="bottom"/>
            <w:gridSpan w:val="2"/>
            <w:shd w:val="clear" w:color="auto" w:fill="CCECFF"/>
          </w:tcPr>
          <w:p>
            <w:pPr>
              <w:jc w:val="center"/>
              <w:ind w:right="180"/>
              <w:spacing w:after="0"/>
              <w:rPr>
                <w:sz w:val="20"/>
                <w:szCs w:val="20"/>
                <w:color w:val="auto"/>
              </w:rPr>
            </w:pPr>
            <w:r>
              <w:rPr>
                <w:rFonts w:ascii="Arial" w:cs="Arial" w:eastAsia="Arial" w:hAnsi="Arial"/>
                <w:sz w:val="12"/>
                <w:szCs w:val="12"/>
                <w:color w:val="auto"/>
                <w:w w:val="86"/>
              </w:rPr>
              <w:t>Consumer Products</w:t>
            </w:r>
          </w:p>
        </w:tc>
        <w:tc>
          <w:tcPr>
            <w:tcW w:w="960" w:type="dxa"/>
            <w:vAlign w:val="bottom"/>
            <w:gridSpan w:val="2"/>
            <w:shd w:val="clear" w:color="auto" w:fill="CCECFF"/>
          </w:tcPr>
          <w:p>
            <w:pPr>
              <w:jc w:val="right"/>
              <w:ind w:right="300"/>
              <w:spacing w:after="0"/>
              <w:rPr>
                <w:sz w:val="20"/>
                <w:szCs w:val="20"/>
                <w:color w:val="auto"/>
              </w:rPr>
            </w:pPr>
            <w:r>
              <w:rPr>
                <w:rFonts w:ascii="Arial" w:cs="Arial" w:eastAsia="Arial" w:hAnsi="Arial"/>
                <w:sz w:val="12"/>
                <w:szCs w:val="12"/>
                <w:color w:val="auto"/>
              </w:rPr>
              <w:t>—</w:t>
            </w:r>
          </w:p>
        </w:tc>
        <w:tc>
          <w:tcPr>
            <w:tcW w:w="900" w:type="dxa"/>
            <w:vAlign w:val="bottom"/>
            <w:gridSpan w:val="2"/>
            <w:shd w:val="clear" w:color="auto" w:fill="CCECFF"/>
          </w:tcPr>
          <w:p>
            <w:pPr>
              <w:jc w:val="right"/>
              <w:ind w:right="240"/>
              <w:spacing w:after="0"/>
              <w:rPr>
                <w:sz w:val="20"/>
                <w:szCs w:val="20"/>
                <w:color w:val="auto"/>
              </w:rPr>
            </w:pPr>
            <w:r>
              <w:rPr>
                <w:rFonts w:ascii="Arial" w:cs="Arial" w:eastAsia="Arial" w:hAnsi="Arial"/>
                <w:sz w:val="12"/>
                <w:szCs w:val="12"/>
                <w:color w:val="auto"/>
              </w:rPr>
              <w:t>—</w:t>
            </w:r>
          </w:p>
        </w:tc>
        <w:tc>
          <w:tcPr>
            <w:tcW w:w="680" w:type="dxa"/>
            <w:vAlign w:val="bottom"/>
            <w:shd w:val="clear" w:color="auto" w:fill="CCECFF"/>
          </w:tcPr>
          <w:p>
            <w:pPr>
              <w:jc w:val="right"/>
              <w:spacing w:after="0"/>
              <w:rPr>
                <w:sz w:val="20"/>
                <w:szCs w:val="20"/>
                <w:color w:val="auto"/>
              </w:rPr>
            </w:pPr>
            <w:r>
              <w:rPr>
                <w:rFonts w:ascii="Arial" w:cs="Arial" w:eastAsia="Arial" w:hAnsi="Arial"/>
                <w:sz w:val="12"/>
                <w:szCs w:val="12"/>
                <w:color w:val="auto"/>
              </w:rPr>
              <w:t>859,496</w:t>
            </w:r>
          </w:p>
        </w:tc>
        <w:tc>
          <w:tcPr>
            <w:tcW w:w="300" w:type="dxa"/>
            <w:vAlign w:val="bottom"/>
            <w:shd w:val="clear" w:color="auto" w:fill="CCECFF"/>
          </w:tcPr>
          <w:p>
            <w:pPr>
              <w:spacing w:after="0"/>
              <w:rPr>
                <w:sz w:val="12"/>
                <w:szCs w:val="12"/>
                <w:color w:val="auto"/>
              </w:rPr>
            </w:pPr>
          </w:p>
        </w:tc>
        <w:tc>
          <w:tcPr>
            <w:tcW w:w="80" w:type="dxa"/>
            <w:vAlign w:val="bottom"/>
            <w:shd w:val="clear" w:color="auto" w:fill="CCECFF"/>
          </w:tcPr>
          <w:p>
            <w:pPr>
              <w:spacing w:after="0"/>
              <w:rPr>
                <w:sz w:val="12"/>
                <w:szCs w:val="12"/>
                <w:color w:val="auto"/>
              </w:rPr>
            </w:pPr>
          </w:p>
        </w:tc>
        <w:tc>
          <w:tcPr>
            <w:tcW w:w="620" w:type="dxa"/>
            <w:vAlign w:val="bottom"/>
            <w:shd w:val="clear" w:color="auto" w:fill="CCECFF"/>
          </w:tcPr>
          <w:p>
            <w:pPr>
              <w:jc w:val="right"/>
              <w:spacing w:after="0"/>
              <w:rPr>
                <w:sz w:val="20"/>
                <w:szCs w:val="20"/>
                <w:color w:val="auto"/>
              </w:rPr>
            </w:pPr>
            <w:r>
              <w:rPr>
                <w:rFonts w:ascii="Arial" w:cs="Arial" w:eastAsia="Arial" w:hAnsi="Arial"/>
                <w:sz w:val="12"/>
                <w:szCs w:val="12"/>
                <w:color w:val="auto"/>
                <w:w w:val="99"/>
              </w:rPr>
              <w:t>30,503,493</w:t>
            </w:r>
          </w:p>
        </w:tc>
        <w:tc>
          <w:tcPr>
            <w:tcW w:w="240" w:type="dxa"/>
            <w:vAlign w:val="bottom"/>
            <w:shd w:val="clear" w:color="auto" w:fill="CCECFF"/>
          </w:tcPr>
          <w:p>
            <w:pPr>
              <w:spacing w:after="0"/>
              <w:rPr>
                <w:sz w:val="12"/>
                <w:szCs w:val="12"/>
                <w:color w:val="auto"/>
              </w:rPr>
            </w:pPr>
          </w:p>
        </w:tc>
        <w:tc>
          <w:tcPr>
            <w:tcW w:w="80" w:type="dxa"/>
            <w:vAlign w:val="bottom"/>
            <w:shd w:val="clear" w:color="auto" w:fill="CCECFF"/>
          </w:tcPr>
          <w:p>
            <w:pPr>
              <w:spacing w:after="0"/>
              <w:rPr>
                <w:sz w:val="12"/>
                <w:szCs w:val="12"/>
                <w:color w:val="auto"/>
              </w:rPr>
            </w:pPr>
          </w:p>
        </w:tc>
        <w:tc>
          <w:tcPr>
            <w:tcW w:w="640" w:type="dxa"/>
            <w:vAlign w:val="bottom"/>
            <w:shd w:val="clear" w:color="auto" w:fill="CCECFF"/>
          </w:tcPr>
          <w:p>
            <w:pPr>
              <w:jc w:val="right"/>
              <w:spacing w:after="0"/>
              <w:rPr>
                <w:sz w:val="20"/>
                <w:szCs w:val="20"/>
                <w:color w:val="auto"/>
              </w:rPr>
            </w:pPr>
            <w:r>
              <w:rPr>
                <w:rFonts w:ascii="Arial" w:cs="Arial" w:eastAsia="Arial" w:hAnsi="Arial"/>
                <w:sz w:val="12"/>
                <w:szCs w:val="12"/>
                <w:color w:val="auto"/>
                <w:w w:val="99"/>
              </w:rPr>
              <w:t>20,321,545</w:t>
            </w:r>
          </w:p>
        </w:tc>
        <w:tc>
          <w:tcPr>
            <w:tcW w:w="100" w:type="dxa"/>
            <w:vAlign w:val="bottom"/>
            <w:shd w:val="clear" w:color="auto" w:fill="CCECFF"/>
          </w:tcPr>
          <w:p>
            <w:pPr>
              <w:spacing w:after="0"/>
              <w:rPr>
                <w:sz w:val="12"/>
                <w:szCs w:val="12"/>
                <w:color w:val="auto"/>
              </w:rPr>
            </w:pPr>
          </w:p>
        </w:tc>
      </w:tr>
      <w:tr>
        <w:trPr>
          <w:trHeight w:val="149"/>
        </w:trPr>
        <w:tc>
          <w:tcPr>
            <w:tcW w:w="3000" w:type="dxa"/>
            <w:vAlign w:val="bottom"/>
          </w:tcPr>
          <w:p>
            <w:pPr>
              <w:spacing w:after="0"/>
              <w:rPr>
                <w:sz w:val="20"/>
                <w:szCs w:val="20"/>
                <w:color w:val="auto"/>
              </w:rPr>
            </w:pPr>
            <w:r>
              <w:rPr>
                <w:rFonts w:ascii="Arial" w:cs="Arial" w:eastAsia="Arial" w:hAnsi="Arial"/>
                <w:sz w:val="12"/>
                <w:szCs w:val="12"/>
                <w:color w:val="auto"/>
              </w:rPr>
              <w:t>Affinion Group Holdings, Inc., Series C and Series D</w:t>
            </w:r>
          </w:p>
        </w:tc>
        <w:tc>
          <w:tcPr>
            <w:tcW w:w="940" w:type="dxa"/>
            <w:vAlign w:val="bottom"/>
          </w:tcPr>
          <w:p>
            <w:pPr>
              <w:ind w:left="380"/>
              <w:spacing w:after="0"/>
              <w:rPr>
                <w:sz w:val="20"/>
                <w:szCs w:val="20"/>
                <w:color w:val="auto"/>
              </w:rPr>
            </w:pPr>
            <w:r>
              <w:rPr>
                <w:rFonts w:ascii="Arial" w:cs="Arial" w:eastAsia="Arial" w:hAnsi="Arial"/>
                <w:sz w:val="12"/>
                <w:szCs w:val="12"/>
                <w:color w:val="auto"/>
              </w:rPr>
              <w:t>—</w:t>
            </w:r>
          </w:p>
        </w:tc>
        <w:tc>
          <w:tcPr>
            <w:tcW w:w="2700" w:type="dxa"/>
            <w:vAlign w:val="bottom"/>
            <w:gridSpan w:val="2"/>
          </w:tcPr>
          <w:p>
            <w:pPr>
              <w:jc w:val="center"/>
              <w:ind w:right="180"/>
              <w:spacing w:after="0"/>
              <w:rPr>
                <w:sz w:val="20"/>
                <w:szCs w:val="20"/>
                <w:color w:val="auto"/>
              </w:rPr>
            </w:pPr>
            <w:r>
              <w:rPr>
                <w:rFonts w:ascii="Arial" w:cs="Arial" w:eastAsia="Arial" w:hAnsi="Arial"/>
                <w:sz w:val="12"/>
                <w:szCs w:val="12"/>
                <w:color w:val="auto"/>
                <w:w w:val="86"/>
              </w:rPr>
              <w:t>Consumer Products</w:t>
            </w:r>
          </w:p>
        </w:tc>
        <w:tc>
          <w:tcPr>
            <w:tcW w:w="960" w:type="dxa"/>
            <w:vAlign w:val="bottom"/>
            <w:gridSpan w:val="2"/>
          </w:tcPr>
          <w:p>
            <w:pPr>
              <w:jc w:val="right"/>
              <w:ind w:right="300"/>
              <w:spacing w:after="0"/>
              <w:rPr>
                <w:sz w:val="20"/>
                <w:szCs w:val="20"/>
                <w:color w:val="auto"/>
              </w:rPr>
            </w:pPr>
            <w:r>
              <w:rPr>
                <w:rFonts w:ascii="Arial" w:cs="Arial" w:eastAsia="Arial" w:hAnsi="Arial"/>
                <w:sz w:val="12"/>
                <w:szCs w:val="12"/>
                <w:color w:val="auto"/>
              </w:rPr>
              <w:t>—</w:t>
            </w:r>
          </w:p>
        </w:tc>
        <w:tc>
          <w:tcPr>
            <w:tcW w:w="900" w:type="dxa"/>
            <w:vAlign w:val="bottom"/>
            <w:gridSpan w:val="2"/>
          </w:tcPr>
          <w:p>
            <w:pPr>
              <w:jc w:val="right"/>
              <w:ind w:right="240"/>
              <w:spacing w:after="0"/>
              <w:rPr>
                <w:sz w:val="20"/>
                <w:szCs w:val="20"/>
                <w:color w:val="auto"/>
              </w:rPr>
            </w:pPr>
            <w:r>
              <w:rPr>
                <w:rFonts w:ascii="Arial" w:cs="Arial" w:eastAsia="Arial" w:hAnsi="Arial"/>
                <w:sz w:val="12"/>
                <w:szCs w:val="12"/>
                <w:color w:val="auto"/>
              </w:rPr>
              <w:t>—</w:t>
            </w:r>
          </w:p>
        </w:tc>
        <w:tc>
          <w:tcPr>
            <w:tcW w:w="680" w:type="dxa"/>
            <w:vAlign w:val="bottom"/>
          </w:tcPr>
          <w:p>
            <w:pPr>
              <w:jc w:val="right"/>
              <w:spacing w:after="0"/>
              <w:rPr>
                <w:sz w:val="20"/>
                <w:szCs w:val="20"/>
                <w:color w:val="auto"/>
              </w:rPr>
            </w:pPr>
            <w:r>
              <w:rPr>
                <w:rFonts w:ascii="Arial" w:cs="Arial" w:eastAsia="Arial" w:hAnsi="Arial"/>
                <w:sz w:val="12"/>
                <w:szCs w:val="12"/>
                <w:color w:val="auto"/>
              </w:rPr>
              <w:t>37,181</w:t>
            </w:r>
          </w:p>
        </w:tc>
        <w:tc>
          <w:tcPr>
            <w:tcW w:w="3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20" w:type="dxa"/>
            <w:vAlign w:val="bottom"/>
          </w:tcPr>
          <w:p>
            <w:pPr>
              <w:jc w:val="right"/>
              <w:spacing w:after="0"/>
              <w:rPr>
                <w:sz w:val="20"/>
                <w:szCs w:val="20"/>
                <w:color w:val="auto"/>
              </w:rPr>
            </w:pPr>
            <w:r>
              <w:rPr>
                <w:rFonts w:ascii="Arial" w:cs="Arial" w:eastAsia="Arial" w:hAnsi="Arial"/>
                <w:sz w:val="12"/>
                <w:szCs w:val="12"/>
                <w:color w:val="auto"/>
                <w:w w:val="99"/>
              </w:rPr>
              <w:t>10,265,972</w:t>
            </w:r>
          </w:p>
        </w:tc>
        <w:tc>
          <w:tcPr>
            <w:tcW w:w="2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40" w:type="dxa"/>
            <w:vAlign w:val="bottom"/>
          </w:tcPr>
          <w:p>
            <w:pPr>
              <w:jc w:val="right"/>
              <w:spacing w:after="0"/>
              <w:rPr>
                <w:sz w:val="20"/>
                <w:szCs w:val="20"/>
                <w:color w:val="auto"/>
              </w:rPr>
            </w:pPr>
            <w:r>
              <w:rPr>
                <w:rFonts w:ascii="Arial" w:cs="Arial" w:eastAsia="Arial" w:hAnsi="Arial"/>
                <w:sz w:val="12"/>
                <w:szCs w:val="12"/>
                <w:color w:val="auto"/>
              </w:rPr>
              <w:t>70,963</w:t>
            </w:r>
          </w:p>
        </w:tc>
        <w:tc>
          <w:tcPr>
            <w:tcW w:w="100" w:type="dxa"/>
            <w:vAlign w:val="bottom"/>
          </w:tcPr>
          <w:p>
            <w:pPr>
              <w:spacing w:after="0"/>
              <w:rPr>
                <w:sz w:val="12"/>
                <w:szCs w:val="12"/>
                <w:color w:val="auto"/>
              </w:rPr>
            </w:pPr>
          </w:p>
        </w:tc>
      </w:tr>
      <w:tr>
        <w:trPr>
          <w:trHeight w:val="142"/>
        </w:trPr>
        <w:tc>
          <w:tcPr>
            <w:tcW w:w="3000" w:type="dxa"/>
            <w:vAlign w:val="bottom"/>
            <w:shd w:val="clear" w:color="auto" w:fill="CCECFF"/>
          </w:tcPr>
          <w:p>
            <w:pPr>
              <w:spacing w:after="0"/>
              <w:rPr>
                <w:sz w:val="20"/>
                <w:szCs w:val="20"/>
                <w:color w:val="auto"/>
              </w:rPr>
            </w:pPr>
            <w:r>
              <w:rPr>
                <w:rFonts w:ascii="Arial" w:cs="Arial" w:eastAsia="Arial" w:hAnsi="Arial"/>
                <w:sz w:val="12"/>
                <w:szCs w:val="12"/>
                <w:color w:val="auto"/>
              </w:rPr>
              <w:t>American Gilsonite Company</w:t>
            </w:r>
          </w:p>
        </w:tc>
        <w:tc>
          <w:tcPr>
            <w:tcW w:w="940" w:type="dxa"/>
            <w:vAlign w:val="bottom"/>
            <w:shd w:val="clear" w:color="auto" w:fill="CCECFF"/>
          </w:tcPr>
          <w:p>
            <w:pPr>
              <w:ind w:left="380"/>
              <w:spacing w:after="0"/>
              <w:rPr>
                <w:sz w:val="20"/>
                <w:szCs w:val="20"/>
                <w:color w:val="auto"/>
              </w:rPr>
            </w:pPr>
            <w:r>
              <w:rPr>
                <w:rFonts w:ascii="Arial" w:cs="Arial" w:eastAsia="Arial" w:hAnsi="Arial"/>
                <w:sz w:val="12"/>
                <w:szCs w:val="12"/>
                <w:color w:val="auto"/>
              </w:rPr>
              <w:t>—</w:t>
            </w:r>
          </w:p>
        </w:tc>
        <w:tc>
          <w:tcPr>
            <w:tcW w:w="2700" w:type="dxa"/>
            <w:vAlign w:val="bottom"/>
            <w:gridSpan w:val="2"/>
            <w:shd w:val="clear" w:color="auto" w:fill="CCECFF"/>
          </w:tcPr>
          <w:p>
            <w:pPr>
              <w:jc w:val="center"/>
              <w:ind w:right="200"/>
              <w:spacing w:after="0"/>
              <w:rPr>
                <w:sz w:val="20"/>
                <w:szCs w:val="20"/>
                <w:color w:val="auto"/>
              </w:rPr>
            </w:pPr>
            <w:r>
              <w:rPr>
                <w:rFonts w:ascii="Arial" w:cs="Arial" w:eastAsia="Arial" w:hAnsi="Arial"/>
                <w:sz w:val="12"/>
                <w:szCs w:val="12"/>
                <w:color w:val="auto"/>
                <w:w w:val="88"/>
              </w:rPr>
              <w:t>Diversified Natural Resources, Precious Metals and</w:t>
            </w:r>
          </w:p>
        </w:tc>
        <w:tc>
          <w:tcPr>
            <w:tcW w:w="960" w:type="dxa"/>
            <w:vAlign w:val="bottom"/>
            <w:gridSpan w:val="2"/>
            <w:shd w:val="clear" w:color="auto" w:fill="CCECFF"/>
          </w:tcPr>
          <w:p>
            <w:pPr>
              <w:jc w:val="right"/>
              <w:ind w:right="300"/>
              <w:spacing w:after="0"/>
              <w:rPr>
                <w:sz w:val="20"/>
                <w:szCs w:val="20"/>
                <w:color w:val="auto"/>
              </w:rPr>
            </w:pPr>
            <w:r>
              <w:rPr>
                <w:rFonts w:ascii="Arial" w:cs="Arial" w:eastAsia="Arial" w:hAnsi="Arial"/>
                <w:sz w:val="12"/>
                <w:szCs w:val="12"/>
                <w:color w:val="auto"/>
              </w:rPr>
              <w:t>—</w:t>
            </w:r>
          </w:p>
        </w:tc>
        <w:tc>
          <w:tcPr>
            <w:tcW w:w="900" w:type="dxa"/>
            <w:vAlign w:val="bottom"/>
            <w:gridSpan w:val="2"/>
            <w:shd w:val="clear" w:color="auto" w:fill="CCECFF"/>
          </w:tcPr>
          <w:p>
            <w:pPr>
              <w:jc w:val="right"/>
              <w:ind w:right="240"/>
              <w:spacing w:after="0"/>
              <w:rPr>
                <w:sz w:val="20"/>
                <w:szCs w:val="20"/>
                <w:color w:val="auto"/>
              </w:rPr>
            </w:pPr>
            <w:r>
              <w:rPr>
                <w:rFonts w:ascii="Arial" w:cs="Arial" w:eastAsia="Arial" w:hAnsi="Arial"/>
                <w:sz w:val="12"/>
                <w:szCs w:val="12"/>
                <w:color w:val="auto"/>
              </w:rPr>
              <w:t>—</w:t>
            </w:r>
          </w:p>
        </w:tc>
        <w:tc>
          <w:tcPr>
            <w:tcW w:w="680" w:type="dxa"/>
            <w:vAlign w:val="bottom"/>
            <w:shd w:val="clear" w:color="auto" w:fill="CCECFF"/>
          </w:tcPr>
          <w:p>
            <w:pPr>
              <w:jc w:val="right"/>
              <w:spacing w:after="0"/>
              <w:rPr>
                <w:sz w:val="20"/>
                <w:szCs w:val="20"/>
                <w:color w:val="auto"/>
              </w:rPr>
            </w:pPr>
            <w:r>
              <w:rPr>
                <w:rFonts w:ascii="Arial" w:cs="Arial" w:eastAsia="Arial" w:hAnsi="Arial"/>
                <w:sz w:val="12"/>
                <w:szCs w:val="12"/>
                <w:color w:val="auto"/>
              </w:rPr>
              <w:t>25,400</w:t>
            </w:r>
          </w:p>
        </w:tc>
        <w:tc>
          <w:tcPr>
            <w:tcW w:w="300" w:type="dxa"/>
            <w:vAlign w:val="bottom"/>
            <w:shd w:val="clear" w:color="auto" w:fill="CCECFF"/>
          </w:tcPr>
          <w:p>
            <w:pPr>
              <w:spacing w:after="0"/>
              <w:rPr>
                <w:sz w:val="12"/>
                <w:szCs w:val="12"/>
                <w:color w:val="auto"/>
              </w:rPr>
            </w:pPr>
          </w:p>
        </w:tc>
        <w:tc>
          <w:tcPr>
            <w:tcW w:w="80" w:type="dxa"/>
            <w:vAlign w:val="bottom"/>
            <w:shd w:val="clear" w:color="auto" w:fill="CCECFF"/>
          </w:tcPr>
          <w:p>
            <w:pPr>
              <w:spacing w:after="0"/>
              <w:rPr>
                <w:sz w:val="12"/>
                <w:szCs w:val="12"/>
                <w:color w:val="auto"/>
              </w:rPr>
            </w:pPr>
          </w:p>
        </w:tc>
        <w:tc>
          <w:tcPr>
            <w:tcW w:w="620" w:type="dxa"/>
            <w:vAlign w:val="bottom"/>
            <w:shd w:val="clear" w:color="auto" w:fill="CCECFF"/>
          </w:tcPr>
          <w:p>
            <w:pPr>
              <w:jc w:val="right"/>
              <w:spacing w:after="0"/>
              <w:rPr>
                <w:sz w:val="20"/>
                <w:szCs w:val="20"/>
                <w:color w:val="auto"/>
              </w:rPr>
            </w:pPr>
            <w:r>
              <w:rPr>
                <w:rFonts w:ascii="Arial" w:cs="Arial" w:eastAsia="Arial" w:hAnsi="Arial"/>
                <w:sz w:val="12"/>
                <w:szCs w:val="12"/>
                <w:color w:val="auto"/>
              </w:rPr>
              <w:t>5,465,627</w:t>
            </w:r>
          </w:p>
        </w:tc>
        <w:tc>
          <w:tcPr>
            <w:tcW w:w="240" w:type="dxa"/>
            <w:vAlign w:val="bottom"/>
            <w:shd w:val="clear" w:color="auto" w:fill="CCECFF"/>
          </w:tcPr>
          <w:p>
            <w:pPr>
              <w:spacing w:after="0"/>
              <w:rPr>
                <w:sz w:val="12"/>
                <w:szCs w:val="12"/>
                <w:color w:val="auto"/>
              </w:rPr>
            </w:pPr>
          </w:p>
        </w:tc>
        <w:tc>
          <w:tcPr>
            <w:tcW w:w="80" w:type="dxa"/>
            <w:vAlign w:val="bottom"/>
            <w:shd w:val="clear" w:color="auto" w:fill="CCECFF"/>
          </w:tcPr>
          <w:p>
            <w:pPr>
              <w:spacing w:after="0"/>
              <w:rPr>
                <w:sz w:val="12"/>
                <w:szCs w:val="12"/>
                <w:color w:val="auto"/>
              </w:rPr>
            </w:pPr>
          </w:p>
        </w:tc>
        <w:tc>
          <w:tcPr>
            <w:tcW w:w="640" w:type="dxa"/>
            <w:vAlign w:val="bottom"/>
            <w:shd w:val="clear" w:color="auto" w:fill="CCECFF"/>
          </w:tcPr>
          <w:p>
            <w:pPr>
              <w:jc w:val="right"/>
              <w:spacing w:after="0"/>
              <w:rPr>
                <w:sz w:val="20"/>
                <w:szCs w:val="20"/>
                <w:color w:val="auto"/>
              </w:rPr>
            </w:pPr>
            <w:r>
              <w:rPr>
                <w:rFonts w:ascii="Arial" w:cs="Arial" w:eastAsia="Arial" w:hAnsi="Arial"/>
                <w:sz w:val="12"/>
                <w:szCs w:val="12"/>
                <w:color w:val="auto"/>
              </w:rPr>
              <w:t>8,053,381</w:t>
            </w:r>
          </w:p>
        </w:tc>
        <w:tc>
          <w:tcPr>
            <w:tcW w:w="100" w:type="dxa"/>
            <w:vAlign w:val="bottom"/>
            <w:shd w:val="clear" w:color="auto" w:fill="CCECFF"/>
          </w:tcPr>
          <w:p>
            <w:pPr>
              <w:spacing w:after="0"/>
              <w:rPr>
                <w:sz w:val="12"/>
                <w:szCs w:val="12"/>
                <w:color w:val="auto"/>
              </w:rPr>
            </w:pPr>
          </w:p>
        </w:tc>
      </w:tr>
      <w:tr>
        <w:trPr>
          <w:trHeight w:val="141"/>
        </w:trPr>
        <w:tc>
          <w:tcPr>
            <w:tcW w:w="3000" w:type="dxa"/>
            <w:vAlign w:val="bottom"/>
            <w:shd w:val="clear" w:color="auto" w:fill="CCECFF"/>
          </w:tcPr>
          <w:p>
            <w:pPr>
              <w:spacing w:after="0"/>
              <w:rPr>
                <w:sz w:val="12"/>
                <w:szCs w:val="12"/>
                <w:color w:val="auto"/>
              </w:rPr>
            </w:pPr>
          </w:p>
        </w:tc>
        <w:tc>
          <w:tcPr>
            <w:tcW w:w="940" w:type="dxa"/>
            <w:vAlign w:val="bottom"/>
            <w:shd w:val="clear" w:color="auto" w:fill="CCECFF"/>
          </w:tcPr>
          <w:p>
            <w:pPr>
              <w:spacing w:after="0"/>
              <w:rPr>
                <w:sz w:val="12"/>
                <w:szCs w:val="12"/>
                <w:color w:val="auto"/>
              </w:rPr>
            </w:pPr>
          </w:p>
        </w:tc>
        <w:tc>
          <w:tcPr>
            <w:tcW w:w="2700" w:type="dxa"/>
            <w:vAlign w:val="bottom"/>
            <w:gridSpan w:val="2"/>
            <w:shd w:val="clear" w:color="auto" w:fill="CCECFF"/>
          </w:tcPr>
          <w:p>
            <w:pPr>
              <w:jc w:val="center"/>
              <w:ind w:right="200"/>
              <w:spacing w:after="0"/>
              <w:rPr>
                <w:sz w:val="20"/>
                <w:szCs w:val="20"/>
                <w:color w:val="auto"/>
              </w:rPr>
            </w:pPr>
            <w:r>
              <w:rPr>
                <w:rFonts w:ascii="Arial" w:cs="Arial" w:eastAsia="Arial" w:hAnsi="Arial"/>
                <w:sz w:val="12"/>
                <w:szCs w:val="12"/>
                <w:color w:val="auto"/>
                <w:w w:val="92"/>
              </w:rPr>
              <w:t>Minerals</w:t>
            </w:r>
          </w:p>
        </w:tc>
        <w:tc>
          <w:tcPr>
            <w:tcW w:w="680" w:type="dxa"/>
            <w:vAlign w:val="bottom"/>
            <w:shd w:val="clear" w:color="auto" w:fill="CCECFF"/>
          </w:tcPr>
          <w:p>
            <w:pPr>
              <w:spacing w:after="0"/>
              <w:rPr>
                <w:sz w:val="12"/>
                <w:szCs w:val="12"/>
                <w:color w:val="auto"/>
              </w:rPr>
            </w:pPr>
          </w:p>
        </w:tc>
        <w:tc>
          <w:tcPr>
            <w:tcW w:w="280" w:type="dxa"/>
            <w:vAlign w:val="bottom"/>
            <w:shd w:val="clear" w:color="auto" w:fill="CCECFF"/>
          </w:tcPr>
          <w:p>
            <w:pPr>
              <w:spacing w:after="0"/>
              <w:rPr>
                <w:sz w:val="12"/>
                <w:szCs w:val="12"/>
                <w:color w:val="auto"/>
              </w:rPr>
            </w:pPr>
          </w:p>
        </w:tc>
        <w:tc>
          <w:tcPr>
            <w:tcW w:w="660" w:type="dxa"/>
            <w:vAlign w:val="bottom"/>
            <w:shd w:val="clear" w:color="auto" w:fill="CCECFF"/>
          </w:tcPr>
          <w:p>
            <w:pPr>
              <w:spacing w:after="0"/>
              <w:rPr>
                <w:sz w:val="12"/>
                <w:szCs w:val="12"/>
                <w:color w:val="auto"/>
              </w:rPr>
            </w:pPr>
          </w:p>
        </w:tc>
        <w:tc>
          <w:tcPr>
            <w:tcW w:w="240" w:type="dxa"/>
            <w:vAlign w:val="bottom"/>
            <w:shd w:val="clear" w:color="auto" w:fill="CCECFF"/>
          </w:tcPr>
          <w:p>
            <w:pPr>
              <w:spacing w:after="0"/>
              <w:rPr>
                <w:sz w:val="12"/>
                <w:szCs w:val="12"/>
                <w:color w:val="auto"/>
              </w:rPr>
            </w:pPr>
          </w:p>
        </w:tc>
        <w:tc>
          <w:tcPr>
            <w:tcW w:w="680" w:type="dxa"/>
            <w:vAlign w:val="bottom"/>
            <w:shd w:val="clear" w:color="auto" w:fill="CCECFF"/>
          </w:tcPr>
          <w:p>
            <w:pPr>
              <w:spacing w:after="0"/>
              <w:rPr>
                <w:sz w:val="12"/>
                <w:szCs w:val="12"/>
                <w:color w:val="auto"/>
              </w:rPr>
            </w:pPr>
          </w:p>
        </w:tc>
        <w:tc>
          <w:tcPr>
            <w:tcW w:w="300" w:type="dxa"/>
            <w:vAlign w:val="bottom"/>
            <w:shd w:val="clear" w:color="auto" w:fill="CCECFF"/>
          </w:tcPr>
          <w:p>
            <w:pPr>
              <w:spacing w:after="0"/>
              <w:rPr>
                <w:sz w:val="12"/>
                <w:szCs w:val="12"/>
                <w:color w:val="auto"/>
              </w:rPr>
            </w:pPr>
          </w:p>
        </w:tc>
        <w:tc>
          <w:tcPr>
            <w:tcW w:w="80" w:type="dxa"/>
            <w:vAlign w:val="bottom"/>
            <w:shd w:val="clear" w:color="auto" w:fill="CCECFF"/>
          </w:tcPr>
          <w:p>
            <w:pPr>
              <w:spacing w:after="0"/>
              <w:rPr>
                <w:sz w:val="12"/>
                <w:szCs w:val="12"/>
                <w:color w:val="auto"/>
              </w:rPr>
            </w:pPr>
          </w:p>
        </w:tc>
        <w:tc>
          <w:tcPr>
            <w:tcW w:w="620" w:type="dxa"/>
            <w:vAlign w:val="bottom"/>
            <w:shd w:val="clear" w:color="auto" w:fill="CCECFF"/>
          </w:tcPr>
          <w:p>
            <w:pPr>
              <w:spacing w:after="0"/>
              <w:rPr>
                <w:sz w:val="12"/>
                <w:szCs w:val="12"/>
                <w:color w:val="auto"/>
              </w:rPr>
            </w:pPr>
          </w:p>
        </w:tc>
        <w:tc>
          <w:tcPr>
            <w:tcW w:w="240" w:type="dxa"/>
            <w:vAlign w:val="bottom"/>
            <w:shd w:val="clear" w:color="auto" w:fill="CCECFF"/>
          </w:tcPr>
          <w:p>
            <w:pPr>
              <w:spacing w:after="0"/>
              <w:rPr>
                <w:sz w:val="12"/>
                <w:szCs w:val="12"/>
                <w:color w:val="auto"/>
              </w:rPr>
            </w:pPr>
          </w:p>
        </w:tc>
        <w:tc>
          <w:tcPr>
            <w:tcW w:w="80" w:type="dxa"/>
            <w:vAlign w:val="bottom"/>
            <w:shd w:val="clear" w:color="auto" w:fill="CCECFF"/>
          </w:tcPr>
          <w:p>
            <w:pPr>
              <w:spacing w:after="0"/>
              <w:rPr>
                <w:sz w:val="12"/>
                <w:szCs w:val="12"/>
                <w:color w:val="auto"/>
              </w:rPr>
            </w:pPr>
          </w:p>
        </w:tc>
        <w:tc>
          <w:tcPr>
            <w:tcW w:w="640" w:type="dxa"/>
            <w:vAlign w:val="bottom"/>
            <w:shd w:val="clear" w:color="auto" w:fill="CCECFF"/>
          </w:tcPr>
          <w:p>
            <w:pPr>
              <w:spacing w:after="0"/>
              <w:rPr>
                <w:sz w:val="12"/>
                <w:szCs w:val="12"/>
                <w:color w:val="auto"/>
              </w:rPr>
            </w:pPr>
          </w:p>
        </w:tc>
        <w:tc>
          <w:tcPr>
            <w:tcW w:w="100" w:type="dxa"/>
            <w:vAlign w:val="bottom"/>
            <w:shd w:val="clear" w:color="auto" w:fill="CCECFF"/>
          </w:tcPr>
          <w:p>
            <w:pPr>
              <w:spacing w:after="0"/>
              <w:rPr>
                <w:sz w:val="12"/>
                <w:szCs w:val="12"/>
                <w:color w:val="auto"/>
              </w:rPr>
            </w:pPr>
          </w:p>
        </w:tc>
      </w:tr>
      <w:tr>
        <w:trPr>
          <w:trHeight w:val="148"/>
        </w:trPr>
        <w:tc>
          <w:tcPr>
            <w:tcW w:w="3000" w:type="dxa"/>
            <w:vAlign w:val="bottom"/>
          </w:tcPr>
          <w:p>
            <w:pPr>
              <w:spacing w:after="0"/>
              <w:rPr>
                <w:sz w:val="20"/>
                <w:szCs w:val="20"/>
                <w:color w:val="auto"/>
              </w:rPr>
            </w:pPr>
            <w:r>
              <w:rPr>
                <w:rFonts w:ascii="Arial" w:cs="Arial" w:eastAsia="Arial" w:hAnsi="Arial"/>
                <w:sz w:val="12"/>
                <w:szCs w:val="12"/>
                <w:color w:val="auto"/>
              </w:rPr>
              <w:t>Corfin InvestCo, L.P.</w:t>
            </w:r>
          </w:p>
        </w:tc>
        <w:tc>
          <w:tcPr>
            <w:tcW w:w="940" w:type="dxa"/>
            <w:vAlign w:val="bottom"/>
          </w:tcPr>
          <w:p>
            <w:pPr>
              <w:ind w:left="380"/>
              <w:spacing w:after="0"/>
              <w:rPr>
                <w:sz w:val="20"/>
                <w:szCs w:val="20"/>
                <w:color w:val="auto"/>
              </w:rPr>
            </w:pPr>
            <w:r>
              <w:rPr>
                <w:rFonts w:ascii="Arial" w:cs="Arial" w:eastAsia="Arial" w:hAnsi="Arial"/>
                <w:sz w:val="12"/>
                <w:szCs w:val="12"/>
                <w:color w:val="auto"/>
              </w:rPr>
              <w:t>—</w:t>
            </w:r>
          </w:p>
        </w:tc>
        <w:tc>
          <w:tcPr>
            <w:tcW w:w="2700" w:type="dxa"/>
            <w:vAlign w:val="bottom"/>
            <w:gridSpan w:val="2"/>
          </w:tcPr>
          <w:p>
            <w:pPr>
              <w:jc w:val="center"/>
              <w:ind w:right="200"/>
              <w:spacing w:after="0"/>
              <w:rPr>
                <w:sz w:val="20"/>
                <w:szCs w:val="20"/>
                <w:color w:val="auto"/>
              </w:rPr>
            </w:pPr>
            <w:r>
              <w:rPr>
                <w:rFonts w:ascii="Arial" w:cs="Arial" w:eastAsia="Arial" w:hAnsi="Arial"/>
                <w:sz w:val="12"/>
                <w:szCs w:val="12"/>
                <w:color w:val="auto"/>
                <w:w w:val="85"/>
              </w:rPr>
              <w:t>Aerospace and Defense</w:t>
            </w:r>
          </w:p>
        </w:tc>
        <w:tc>
          <w:tcPr>
            <w:tcW w:w="960" w:type="dxa"/>
            <w:vAlign w:val="bottom"/>
            <w:gridSpan w:val="2"/>
          </w:tcPr>
          <w:p>
            <w:pPr>
              <w:jc w:val="right"/>
              <w:ind w:right="300"/>
              <w:spacing w:after="0"/>
              <w:rPr>
                <w:sz w:val="20"/>
                <w:szCs w:val="20"/>
                <w:color w:val="auto"/>
              </w:rPr>
            </w:pPr>
            <w:r>
              <w:rPr>
                <w:rFonts w:ascii="Arial" w:cs="Arial" w:eastAsia="Arial" w:hAnsi="Arial"/>
                <w:sz w:val="12"/>
                <w:szCs w:val="12"/>
                <w:color w:val="auto"/>
              </w:rPr>
              <w:t>—</w:t>
            </w:r>
          </w:p>
        </w:tc>
        <w:tc>
          <w:tcPr>
            <w:tcW w:w="900" w:type="dxa"/>
            <w:vAlign w:val="bottom"/>
            <w:gridSpan w:val="2"/>
          </w:tcPr>
          <w:p>
            <w:pPr>
              <w:jc w:val="right"/>
              <w:ind w:right="240"/>
              <w:spacing w:after="0"/>
              <w:rPr>
                <w:sz w:val="20"/>
                <w:szCs w:val="20"/>
                <w:color w:val="auto"/>
              </w:rPr>
            </w:pPr>
            <w:r>
              <w:rPr>
                <w:rFonts w:ascii="Arial" w:cs="Arial" w:eastAsia="Arial" w:hAnsi="Arial"/>
                <w:sz w:val="12"/>
                <w:szCs w:val="12"/>
                <w:color w:val="auto"/>
              </w:rPr>
              <w:t>—</w:t>
            </w:r>
          </w:p>
        </w:tc>
        <w:tc>
          <w:tcPr>
            <w:tcW w:w="680" w:type="dxa"/>
            <w:vAlign w:val="bottom"/>
          </w:tcPr>
          <w:p>
            <w:pPr>
              <w:jc w:val="right"/>
              <w:spacing w:after="0"/>
              <w:rPr>
                <w:sz w:val="20"/>
                <w:szCs w:val="20"/>
                <w:color w:val="auto"/>
              </w:rPr>
            </w:pPr>
            <w:r>
              <w:rPr>
                <w:rFonts w:ascii="Arial" w:cs="Arial" w:eastAsia="Arial" w:hAnsi="Arial"/>
                <w:sz w:val="12"/>
                <w:szCs w:val="12"/>
                <w:color w:val="auto"/>
              </w:rPr>
              <w:t>11,250</w:t>
            </w:r>
          </w:p>
        </w:tc>
        <w:tc>
          <w:tcPr>
            <w:tcW w:w="3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20" w:type="dxa"/>
            <w:vAlign w:val="bottom"/>
          </w:tcPr>
          <w:p>
            <w:pPr>
              <w:jc w:val="right"/>
              <w:spacing w:after="0"/>
              <w:rPr>
                <w:sz w:val="20"/>
                <w:szCs w:val="20"/>
                <w:color w:val="auto"/>
              </w:rPr>
            </w:pPr>
            <w:r>
              <w:rPr>
                <w:rFonts w:ascii="Arial" w:cs="Arial" w:eastAsia="Arial" w:hAnsi="Arial"/>
                <w:sz w:val="12"/>
                <w:szCs w:val="12"/>
                <w:color w:val="auto"/>
              </w:rPr>
              <w:t>1,125,000</w:t>
            </w:r>
          </w:p>
        </w:tc>
        <w:tc>
          <w:tcPr>
            <w:tcW w:w="2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40" w:type="dxa"/>
            <w:vAlign w:val="bottom"/>
          </w:tcPr>
          <w:p>
            <w:pPr>
              <w:jc w:val="right"/>
              <w:spacing w:after="0"/>
              <w:rPr>
                <w:sz w:val="20"/>
                <w:szCs w:val="20"/>
                <w:color w:val="auto"/>
              </w:rPr>
            </w:pPr>
            <w:r>
              <w:rPr>
                <w:rFonts w:ascii="Arial" w:cs="Arial" w:eastAsia="Arial" w:hAnsi="Arial"/>
                <w:sz w:val="12"/>
                <w:szCs w:val="12"/>
                <w:color w:val="auto"/>
              </w:rPr>
              <w:t>1,194,993</w:t>
            </w:r>
          </w:p>
        </w:tc>
        <w:tc>
          <w:tcPr>
            <w:tcW w:w="100" w:type="dxa"/>
            <w:vAlign w:val="bottom"/>
          </w:tcPr>
          <w:p>
            <w:pPr>
              <w:spacing w:after="0"/>
              <w:rPr>
                <w:sz w:val="12"/>
                <w:szCs w:val="12"/>
                <w:color w:val="auto"/>
              </w:rPr>
            </w:pPr>
          </w:p>
        </w:tc>
      </w:tr>
      <w:tr>
        <w:trPr>
          <w:trHeight w:val="149"/>
        </w:trPr>
        <w:tc>
          <w:tcPr>
            <w:tcW w:w="3000" w:type="dxa"/>
            <w:vAlign w:val="bottom"/>
            <w:shd w:val="clear" w:color="auto" w:fill="CCECFF"/>
          </w:tcPr>
          <w:p>
            <w:pPr>
              <w:spacing w:after="0"/>
              <w:rPr>
                <w:sz w:val="20"/>
                <w:szCs w:val="20"/>
                <w:color w:val="auto"/>
              </w:rPr>
            </w:pPr>
            <w:r>
              <w:rPr>
                <w:rFonts w:ascii="Arial" w:cs="Arial" w:eastAsia="Arial" w:hAnsi="Arial"/>
                <w:sz w:val="12"/>
                <w:szCs w:val="12"/>
                <w:color w:val="auto"/>
              </w:rPr>
              <w:t xml:space="preserve">Corfin InvestCo, L.P. </w:t>
            </w:r>
            <w:r>
              <w:rPr>
                <w:rFonts w:ascii="Arial" w:cs="Arial" w:eastAsia="Arial" w:hAnsi="Arial"/>
                <w:sz w:val="9"/>
                <w:szCs w:val="9"/>
                <w:color w:val="auto"/>
              </w:rPr>
              <w:t>(8)</w:t>
            </w:r>
          </w:p>
        </w:tc>
        <w:tc>
          <w:tcPr>
            <w:tcW w:w="940" w:type="dxa"/>
            <w:vAlign w:val="bottom"/>
            <w:shd w:val="clear" w:color="auto" w:fill="CCECFF"/>
          </w:tcPr>
          <w:p>
            <w:pPr>
              <w:ind w:left="380"/>
              <w:spacing w:after="0"/>
              <w:rPr>
                <w:sz w:val="20"/>
                <w:szCs w:val="20"/>
                <w:color w:val="auto"/>
              </w:rPr>
            </w:pPr>
            <w:r>
              <w:rPr>
                <w:rFonts w:ascii="Arial" w:cs="Arial" w:eastAsia="Arial" w:hAnsi="Arial"/>
                <w:sz w:val="12"/>
                <w:szCs w:val="12"/>
                <w:color w:val="auto"/>
              </w:rPr>
              <w:t>—</w:t>
            </w:r>
          </w:p>
        </w:tc>
        <w:tc>
          <w:tcPr>
            <w:tcW w:w="2700" w:type="dxa"/>
            <w:vAlign w:val="bottom"/>
            <w:gridSpan w:val="2"/>
            <w:shd w:val="clear" w:color="auto" w:fill="CCECFF"/>
          </w:tcPr>
          <w:p>
            <w:pPr>
              <w:jc w:val="center"/>
              <w:ind w:right="200"/>
              <w:spacing w:after="0"/>
              <w:rPr>
                <w:sz w:val="20"/>
                <w:szCs w:val="20"/>
                <w:color w:val="auto"/>
              </w:rPr>
            </w:pPr>
            <w:r>
              <w:rPr>
                <w:rFonts w:ascii="Arial" w:cs="Arial" w:eastAsia="Arial" w:hAnsi="Arial"/>
                <w:sz w:val="12"/>
                <w:szCs w:val="12"/>
                <w:color w:val="auto"/>
                <w:w w:val="85"/>
              </w:rPr>
              <w:t>Aerospace and Defense</w:t>
            </w:r>
          </w:p>
        </w:tc>
        <w:tc>
          <w:tcPr>
            <w:tcW w:w="960" w:type="dxa"/>
            <w:vAlign w:val="bottom"/>
            <w:gridSpan w:val="2"/>
            <w:shd w:val="clear" w:color="auto" w:fill="CCECFF"/>
          </w:tcPr>
          <w:p>
            <w:pPr>
              <w:jc w:val="right"/>
              <w:ind w:right="300"/>
              <w:spacing w:after="0"/>
              <w:rPr>
                <w:sz w:val="20"/>
                <w:szCs w:val="20"/>
                <w:color w:val="auto"/>
              </w:rPr>
            </w:pPr>
            <w:r>
              <w:rPr>
                <w:rFonts w:ascii="Arial" w:cs="Arial" w:eastAsia="Arial" w:hAnsi="Arial"/>
                <w:sz w:val="12"/>
                <w:szCs w:val="12"/>
                <w:color w:val="auto"/>
              </w:rPr>
              <w:t>—</w:t>
            </w:r>
          </w:p>
        </w:tc>
        <w:tc>
          <w:tcPr>
            <w:tcW w:w="900" w:type="dxa"/>
            <w:vAlign w:val="bottom"/>
            <w:gridSpan w:val="2"/>
            <w:shd w:val="clear" w:color="auto" w:fill="CCECFF"/>
          </w:tcPr>
          <w:p>
            <w:pPr>
              <w:jc w:val="right"/>
              <w:ind w:right="240"/>
              <w:spacing w:after="0"/>
              <w:rPr>
                <w:sz w:val="20"/>
                <w:szCs w:val="20"/>
                <w:color w:val="auto"/>
              </w:rPr>
            </w:pPr>
            <w:r>
              <w:rPr>
                <w:rFonts w:ascii="Arial" w:cs="Arial" w:eastAsia="Arial" w:hAnsi="Arial"/>
                <w:sz w:val="12"/>
                <w:szCs w:val="12"/>
                <w:color w:val="auto"/>
              </w:rPr>
              <w:t>—</w:t>
            </w:r>
          </w:p>
        </w:tc>
        <w:tc>
          <w:tcPr>
            <w:tcW w:w="680" w:type="dxa"/>
            <w:vAlign w:val="bottom"/>
            <w:shd w:val="clear" w:color="auto" w:fill="CCECFF"/>
          </w:tcPr>
          <w:p>
            <w:pPr>
              <w:jc w:val="right"/>
              <w:spacing w:after="0"/>
              <w:rPr>
                <w:sz w:val="20"/>
                <w:szCs w:val="20"/>
                <w:color w:val="auto"/>
              </w:rPr>
            </w:pPr>
            <w:r>
              <w:rPr>
                <w:rFonts w:ascii="Arial" w:cs="Arial" w:eastAsia="Arial" w:hAnsi="Arial"/>
                <w:sz w:val="12"/>
                <w:szCs w:val="12"/>
                <w:color w:val="auto"/>
              </w:rPr>
              <w:t>11,250</w:t>
            </w:r>
          </w:p>
        </w:tc>
        <w:tc>
          <w:tcPr>
            <w:tcW w:w="300" w:type="dxa"/>
            <w:vAlign w:val="bottom"/>
            <w:shd w:val="clear" w:color="auto" w:fill="CCECFF"/>
          </w:tcPr>
          <w:p>
            <w:pPr>
              <w:spacing w:after="0"/>
              <w:rPr>
                <w:sz w:val="12"/>
                <w:szCs w:val="12"/>
                <w:color w:val="auto"/>
              </w:rPr>
            </w:pPr>
          </w:p>
        </w:tc>
        <w:tc>
          <w:tcPr>
            <w:tcW w:w="80" w:type="dxa"/>
            <w:vAlign w:val="bottom"/>
            <w:shd w:val="clear" w:color="auto" w:fill="CCECFF"/>
          </w:tcPr>
          <w:p>
            <w:pPr>
              <w:spacing w:after="0"/>
              <w:rPr>
                <w:sz w:val="12"/>
                <w:szCs w:val="12"/>
                <w:color w:val="auto"/>
              </w:rPr>
            </w:pPr>
          </w:p>
        </w:tc>
        <w:tc>
          <w:tcPr>
            <w:tcW w:w="620" w:type="dxa"/>
            <w:vAlign w:val="bottom"/>
            <w:shd w:val="clear" w:color="auto" w:fill="CCECFF"/>
          </w:tcPr>
          <w:p>
            <w:pPr>
              <w:jc w:val="right"/>
              <w:spacing w:after="0"/>
              <w:rPr>
                <w:sz w:val="20"/>
                <w:szCs w:val="20"/>
                <w:color w:val="auto"/>
              </w:rPr>
            </w:pPr>
            <w:r>
              <w:rPr>
                <w:rFonts w:ascii="Arial" w:cs="Arial" w:eastAsia="Arial" w:hAnsi="Arial"/>
                <w:sz w:val="12"/>
                <w:szCs w:val="12"/>
                <w:color w:val="auto"/>
              </w:rPr>
              <w:t>—</w:t>
            </w:r>
          </w:p>
        </w:tc>
        <w:tc>
          <w:tcPr>
            <w:tcW w:w="240" w:type="dxa"/>
            <w:vAlign w:val="bottom"/>
            <w:shd w:val="clear" w:color="auto" w:fill="CCECFF"/>
          </w:tcPr>
          <w:p>
            <w:pPr>
              <w:spacing w:after="0"/>
              <w:rPr>
                <w:sz w:val="12"/>
                <w:szCs w:val="12"/>
                <w:color w:val="auto"/>
              </w:rPr>
            </w:pPr>
          </w:p>
        </w:tc>
        <w:tc>
          <w:tcPr>
            <w:tcW w:w="80" w:type="dxa"/>
            <w:vAlign w:val="bottom"/>
            <w:shd w:val="clear" w:color="auto" w:fill="CCECFF"/>
          </w:tcPr>
          <w:p>
            <w:pPr>
              <w:spacing w:after="0"/>
              <w:rPr>
                <w:sz w:val="12"/>
                <w:szCs w:val="12"/>
                <w:color w:val="auto"/>
              </w:rPr>
            </w:pPr>
          </w:p>
        </w:tc>
        <w:tc>
          <w:tcPr>
            <w:tcW w:w="740" w:type="dxa"/>
            <w:vAlign w:val="bottom"/>
            <w:gridSpan w:val="2"/>
            <w:shd w:val="clear" w:color="auto" w:fill="CCECFF"/>
          </w:tcPr>
          <w:p>
            <w:pPr>
              <w:jc w:val="right"/>
              <w:ind w:right="120"/>
              <w:spacing w:after="0"/>
              <w:rPr>
                <w:sz w:val="20"/>
                <w:szCs w:val="20"/>
                <w:color w:val="auto"/>
              </w:rPr>
            </w:pPr>
            <w:r>
              <w:rPr>
                <w:rFonts w:ascii="Arial" w:cs="Arial" w:eastAsia="Arial" w:hAnsi="Arial"/>
                <w:sz w:val="12"/>
                <w:szCs w:val="12"/>
                <w:color w:val="auto"/>
              </w:rPr>
              <w:t>—</w:t>
            </w:r>
          </w:p>
        </w:tc>
      </w:tr>
      <w:tr>
        <w:trPr>
          <w:trHeight w:val="148"/>
        </w:trPr>
        <w:tc>
          <w:tcPr>
            <w:tcW w:w="3000" w:type="dxa"/>
            <w:vAlign w:val="bottom"/>
          </w:tcPr>
          <w:p>
            <w:pPr>
              <w:spacing w:after="0"/>
              <w:rPr>
                <w:sz w:val="20"/>
                <w:szCs w:val="20"/>
                <w:color w:val="auto"/>
              </w:rPr>
            </w:pPr>
            <w:r>
              <w:rPr>
                <w:rFonts w:ascii="Arial" w:cs="Arial" w:eastAsia="Arial" w:hAnsi="Arial"/>
                <w:sz w:val="12"/>
                <w:szCs w:val="12"/>
                <w:color w:val="auto"/>
              </w:rPr>
              <w:t>EnviroSolutions Holdings, Inc.</w:t>
            </w:r>
          </w:p>
        </w:tc>
        <w:tc>
          <w:tcPr>
            <w:tcW w:w="940" w:type="dxa"/>
            <w:vAlign w:val="bottom"/>
          </w:tcPr>
          <w:p>
            <w:pPr>
              <w:ind w:left="380"/>
              <w:spacing w:after="0"/>
              <w:rPr>
                <w:sz w:val="20"/>
                <w:szCs w:val="20"/>
                <w:color w:val="auto"/>
              </w:rPr>
            </w:pPr>
            <w:r>
              <w:rPr>
                <w:rFonts w:ascii="Arial" w:cs="Arial" w:eastAsia="Arial" w:hAnsi="Arial"/>
                <w:sz w:val="12"/>
                <w:szCs w:val="12"/>
                <w:color w:val="auto"/>
              </w:rPr>
              <w:t>—</w:t>
            </w:r>
          </w:p>
        </w:tc>
        <w:tc>
          <w:tcPr>
            <w:tcW w:w="2700" w:type="dxa"/>
            <w:vAlign w:val="bottom"/>
            <w:gridSpan w:val="2"/>
          </w:tcPr>
          <w:p>
            <w:pPr>
              <w:jc w:val="center"/>
              <w:ind w:right="180"/>
              <w:spacing w:after="0"/>
              <w:rPr>
                <w:sz w:val="20"/>
                <w:szCs w:val="20"/>
                <w:color w:val="auto"/>
              </w:rPr>
            </w:pPr>
            <w:r>
              <w:rPr>
                <w:rFonts w:ascii="Arial" w:cs="Arial" w:eastAsia="Arial" w:hAnsi="Arial"/>
                <w:sz w:val="12"/>
                <w:szCs w:val="12"/>
                <w:color w:val="auto"/>
                <w:w w:val="88"/>
              </w:rPr>
              <w:t>Environmental Services</w:t>
            </w:r>
          </w:p>
        </w:tc>
        <w:tc>
          <w:tcPr>
            <w:tcW w:w="960" w:type="dxa"/>
            <w:vAlign w:val="bottom"/>
            <w:gridSpan w:val="2"/>
          </w:tcPr>
          <w:p>
            <w:pPr>
              <w:jc w:val="right"/>
              <w:ind w:right="300"/>
              <w:spacing w:after="0"/>
              <w:rPr>
                <w:sz w:val="20"/>
                <w:szCs w:val="20"/>
                <w:color w:val="auto"/>
              </w:rPr>
            </w:pPr>
            <w:r>
              <w:rPr>
                <w:rFonts w:ascii="Arial" w:cs="Arial" w:eastAsia="Arial" w:hAnsi="Arial"/>
                <w:sz w:val="12"/>
                <w:szCs w:val="12"/>
                <w:color w:val="auto"/>
              </w:rPr>
              <w:t>—</w:t>
            </w:r>
          </w:p>
        </w:tc>
        <w:tc>
          <w:tcPr>
            <w:tcW w:w="900" w:type="dxa"/>
            <w:vAlign w:val="bottom"/>
            <w:gridSpan w:val="2"/>
          </w:tcPr>
          <w:p>
            <w:pPr>
              <w:jc w:val="right"/>
              <w:ind w:right="240"/>
              <w:spacing w:after="0"/>
              <w:rPr>
                <w:sz w:val="20"/>
                <w:szCs w:val="20"/>
                <w:color w:val="auto"/>
              </w:rPr>
            </w:pPr>
            <w:r>
              <w:rPr>
                <w:rFonts w:ascii="Arial" w:cs="Arial" w:eastAsia="Arial" w:hAnsi="Arial"/>
                <w:sz w:val="12"/>
                <w:szCs w:val="12"/>
                <w:color w:val="auto"/>
              </w:rPr>
              <w:t>—</w:t>
            </w:r>
          </w:p>
        </w:tc>
        <w:tc>
          <w:tcPr>
            <w:tcW w:w="680" w:type="dxa"/>
            <w:vAlign w:val="bottom"/>
          </w:tcPr>
          <w:p>
            <w:pPr>
              <w:jc w:val="right"/>
              <w:spacing w:after="0"/>
              <w:rPr>
                <w:sz w:val="20"/>
                <w:szCs w:val="20"/>
                <w:color w:val="auto"/>
              </w:rPr>
            </w:pPr>
            <w:r>
              <w:rPr>
                <w:rFonts w:ascii="Arial" w:cs="Arial" w:eastAsia="Arial" w:hAnsi="Arial"/>
                <w:sz w:val="12"/>
                <w:szCs w:val="12"/>
                <w:color w:val="auto"/>
              </w:rPr>
              <w:t>143,668</w:t>
            </w:r>
          </w:p>
        </w:tc>
        <w:tc>
          <w:tcPr>
            <w:tcW w:w="3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20" w:type="dxa"/>
            <w:vAlign w:val="bottom"/>
          </w:tcPr>
          <w:p>
            <w:pPr>
              <w:jc w:val="right"/>
              <w:spacing w:after="0"/>
              <w:rPr>
                <w:sz w:val="20"/>
                <w:szCs w:val="20"/>
                <w:color w:val="auto"/>
              </w:rPr>
            </w:pPr>
            <w:r>
              <w:rPr>
                <w:rFonts w:ascii="Arial" w:cs="Arial" w:eastAsia="Arial" w:hAnsi="Arial"/>
                <w:sz w:val="12"/>
                <w:szCs w:val="12"/>
                <w:color w:val="auto"/>
                <w:w w:val="99"/>
              </w:rPr>
              <w:t>11,960,702</w:t>
            </w:r>
          </w:p>
        </w:tc>
        <w:tc>
          <w:tcPr>
            <w:tcW w:w="2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40" w:type="dxa"/>
            <w:vAlign w:val="bottom"/>
          </w:tcPr>
          <w:p>
            <w:pPr>
              <w:jc w:val="right"/>
              <w:spacing w:after="0"/>
              <w:rPr>
                <w:sz w:val="20"/>
                <w:szCs w:val="20"/>
                <w:color w:val="auto"/>
              </w:rPr>
            </w:pPr>
            <w:r>
              <w:rPr>
                <w:rFonts w:ascii="Arial" w:cs="Arial" w:eastAsia="Arial" w:hAnsi="Arial"/>
                <w:sz w:val="12"/>
                <w:szCs w:val="12"/>
                <w:color w:val="auto"/>
                <w:w w:val="99"/>
              </w:rPr>
              <w:t>14,766,453</w:t>
            </w:r>
          </w:p>
        </w:tc>
        <w:tc>
          <w:tcPr>
            <w:tcW w:w="100" w:type="dxa"/>
            <w:vAlign w:val="bottom"/>
          </w:tcPr>
          <w:p>
            <w:pPr>
              <w:spacing w:after="0"/>
              <w:rPr>
                <w:sz w:val="12"/>
                <w:szCs w:val="12"/>
                <w:color w:val="auto"/>
              </w:rPr>
            </w:pPr>
          </w:p>
        </w:tc>
      </w:tr>
      <w:tr>
        <w:trPr>
          <w:trHeight w:val="148"/>
        </w:trPr>
        <w:tc>
          <w:tcPr>
            <w:tcW w:w="3000" w:type="dxa"/>
            <w:vAlign w:val="bottom"/>
            <w:shd w:val="clear" w:color="auto" w:fill="CCECFF"/>
          </w:tcPr>
          <w:p>
            <w:pPr>
              <w:spacing w:after="0"/>
              <w:rPr>
                <w:sz w:val="20"/>
                <w:szCs w:val="20"/>
                <w:color w:val="auto"/>
              </w:rPr>
            </w:pPr>
            <w:r>
              <w:rPr>
                <w:rFonts w:ascii="Arial" w:cs="Arial" w:eastAsia="Arial" w:hAnsi="Arial"/>
                <w:sz w:val="12"/>
                <w:szCs w:val="12"/>
                <w:color w:val="auto"/>
              </w:rPr>
              <w:t xml:space="preserve">ETX Energy, LLC </w:t>
            </w:r>
            <w:r>
              <w:rPr>
                <w:rFonts w:ascii="Arial" w:cs="Arial" w:eastAsia="Arial" w:hAnsi="Arial"/>
                <w:sz w:val="9"/>
                <w:szCs w:val="9"/>
                <w:color w:val="auto"/>
              </w:rPr>
              <w:t>(10)</w:t>
            </w:r>
          </w:p>
        </w:tc>
        <w:tc>
          <w:tcPr>
            <w:tcW w:w="940" w:type="dxa"/>
            <w:vAlign w:val="bottom"/>
            <w:shd w:val="clear" w:color="auto" w:fill="CCECFF"/>
          </w:tcPr>
          <w:p>
            <w:pPr>
              <w:ind w:left="380"/>
              <w:spacing w:after="0"/>
              <w:rPr>
                <w:sz w:val="20"/>
                <w:szCs w:val="20"/>
                <w:color w:val="auto"/>
              </w:rPr>
            </w:pPr>
            <w:r>
              <w:rPr>
                <w:rFonts w:ascii="Arial" w:cs="Arial" w:eastAsia="Arial" w:hAnsi="Arial"/>
                <w:sz w:val="12"/>
                <w:szCs w:val="12"/>
                <w:color w:val="auto"/>
              </w:rPr>
              <w:t>—</w:t>
            </w:r>
          </w:p>
        </w:tc>
        <w:tc>
          <w:tcPr>
            <w:tcW w:w="2700" w:type="dxa"/>
            <w:vAlign w:val="bottom"/>
            <w:gridSpan w:val="2"/>
            <w:shd w:val="clear" w:color="auto" w:fill="CCECFF"/>
          </w:tcPr>
          <w:p>
            <w:pPr>
              <w:jc w:val="center"/>
              <w:ind w:right="180"/>
              <w:spacing w:after="0"/>
              <w:rPr>
                <w:sz w:val="20"/>
                <w:szCs w:val="20"/>
                <w:color w:val="auto"/>
              </w:rPr>
            </w:pPr>
            <w:r>
              <w:rPr>
                <w:rFonts w:ascii="Arial" w:cs="Arial" w:eastAsia="Arial" w:hAnsi="Arial"/>
                <w:sz w:val="12"/>
                <w:szCs w:val="12"/>
                <w:color w:val="auto"/>
                <w:w w:val="88"/>
              </w:rPr>
              <w:t>Oil and Gas</w:t>
            </w:r>
          </w:p>
        </w:tc>
        <w:tc>
          <w:tcPr>
            <w:tcW w:w="960" w:type="dxa"/>
            <w:vAlign w:val="bottom"/>
            <w:gridSpan w:val="2"/>
            <w:shd w:val="clear" w:color="auto" w:fill="CCECFF"/>
          </w:tcPr>
          <w:p>
            <w:pPr>
              <w:jc w:val="right"/>
              <w:ind w:right="300"/>
              <w:spacing w:after="0"/>
              <w:rPr>
                <w:sz w:val="20"/>
                <w:szCs w:val="20"/>
                <w:color w:val="auto"/>
              </w:rPr>
            </w:pPr>
            <w:r>
              <w:rPr>
                <w:rFonts w:ascii="Arial" w:cs="Arial" w:eastAsia="Arial" w:hAnsi="Arial"/>
                <w:sz w:val="12"/>
                <w:szCs w:val="12"/>
                <w:color w:val="auto"/>
              </w:rPr>
              <w:t>—</w:t>
            </w:r>
          </w:p>
        </w:tc>
        <w:tc>
          <w:tcPr>
            <w:tcW w:w="900" w:type="dxa"/>
            <w:vAlign w:val="bottom"/>
            <w:gridSpan w:val="2"/>
            <w:shd w:val="clear" w:color="auto" w:fill="CCECFF"/>
          </w:tcPr>
          <w:p>
            <w:pPr>
              <w:jc w:val="right"/>
              <w:ind w:right="240"/>
              <w:spacing w:after="0"/>
              <w:rPr>
                <w:sz w:val="20"/>
                <w:szCs w:val="20"/>
                <w:color w:val="auto"/>
              </w:rPr>
            </w:pPr>
            <w:r>
              <w:rPr>
                <w:rFonts w:ascii="Arial" w:cs="Arial" w:eastAsia="Arial" w:hAnsi="Arial"/>
                <w:sz w:val="12"/>
                <w:szCs w:val="12"/>
                <w:color w:val="auto"/>
              </w:rPr>
              <w:t>—</w:t>
            </w:r>
          </w:p>
        </w:tc>
        <w:tc>
          <w:tcPr>
            <w:tcW w:w="680" w:type="dxa"/>
            <w:vAlign w:val="bottom"/>
            <w:shd w:val="clear" w:color="auto" w:fill="CCECFF"/>
          </w:tcPr>
          <w:p>
            <w:pPr>
              <w:jc w:val="right"/>
              <w:spacing w:after="0"/>
              <w:rPr>
                <w:sz w:val="20"/>
                <w:szCs w:val="20"/>
                <w:color w:val="auto"/>
              </w:rPr>
            </w:pPr>
            <w:r>
              <w:rPr>
                <w:rFonts w:ascii="Arial" w:cs="Arial" w:eastAsia="Arial" w:hAnsi="Arial"/>
                <w:sz w:val="12"/>
                <w:szCs w:val="12"/>
                <w:color w:val="auto"/>
              </w:rPr>
              <w:t>113,610</w:t>
            </w:r>
          </w:p>
        </w:tc>
        <w:tc>
          <w:tcPr>
            <w:tcW w:w="300" w:type="dxa"/>
            <w:vAlign w:val="bottom"/>
            <w:shd w:val="clear" w:color="auto" w:fill="CCECFF"/>
          </w:tcPr>
          <w:p>
            <w:pPr>
              <w:spacing w:after="0"/>
              <w:rPr>
                <w:sz w:val="12"/>
                <w:szCs w:val="12"/>
                <w:color w:val="auto"/>
              </w:rPr>
            </w:pPr>
          </w:p>
        </w:tc>
        <w:tc>
          <w:tcPr>
            <w:tcW w:w="80" w:type="dxa"/>
            <w:vAlign w:val="bottom"/>
            <w:shd w:val="clear" w:color="auto" w:fill="CCECFF"/>
          </w:tcPr>
          <w:p>
            <w:pPr>
              <w:spacing w:after="0"/>
              <w:rPr>
                <w:sz w:val="12"/>
                <w:szCs w:val="12"/>
                <w:color w:val="auto"/>
              </w:rPr>
            </w:pPr>
          </w:p>
        </w:tc>
        <w:tc>
          <w:tcPr>
            <w:tcW w:w="620" w:type="dxa"/>
            <w:vAlign w:val="bottom"/>
            <w:shd w:val="clear" w:color="auto" w:fill="CCECFF"/>
          </w:tcPr>
          <w:p>
            <w:pPr>
              <w:jc w:val="right"/>
              <w:spacing w:after="0"/>
              <w:rPr>
                <w:sz w:val="20"/>
                <w:szCs w:val="20"/>
                <w:color w:val="auto"/>
              </w:rPr>
            </w:pPr>
            <w:r>
              <w:rPr>
                <w:rFonts w:ascii="Arial" w:cs="Arial" w:eastAsia="Arial" w:hAnsi="Arial"/>
                <w:sz w:val="12"/>
                <w:szCs w:val="12"/>
                <w:color w:val="auto"/>
              </w:rPr>
              <w:t>—</w:t>
            </w:r>
          </w:p>
        </w:tc>
        <w:tc>
          <w:tcPr>
            <w:tcW w:w="240" w:type="dxa"/>
            <w:vAlign w:val="bottom"/>
            <w:shd w:val="clear" w:color="auto" w:fill="CCECFF"/>
          </w:tcPr>
          <w:p>
            <w:pPr>
              <w:spacing w:after="0"/>
              <w:rPr>
                <w:sz w:val="12"/>
                <w:szCs w:val="12"/>
                <w:color w:val="auto"/>
              </w:rPr>
            </w:pPr>
          </w:p>
        </w:tc>
        <w:tc>
          <w:tcPr>
            <w:tcW w:w="80" w:type="dxa"/>
            <w:vAlign w:val="bottom"/>
            <w:shd w:val="clear" w:color="auto" w:fill="CCECFF"/>
          </w:tcPr>
          <w:p>
            <w:pPr>
              <w:spacing w:after="0"/>
              <w:rPr>
                <w:sz w:val="12"/>
                <w:szCs w:val="12"/>
                <w:color w:val="auto"/>
              </w:rPr>
            </w:pPr>
          </w:p>
        </w:tc>
        <w:tc>
          <w:tcPr>
            <w:tcW w:w="640" w:type="dxa"/>
            <w:vAlign w:val="bottom"/>
            <w:shd w:val="clear" w:color="auto" w:fill="CCECFF"/>
          </w:tcPr>
          <w:p>
            <w:pPr>
              <w:jc w:val="right"/>
              <w:spacing w:after="0"/>
              <w:rPr>
                <w:sz w:val="20"/>
                <w:szCs w:val="20"/>
                <w:color w:val="auto"/>
              </w:rPr>
            </w:pPr>
            <w:r>
              <w:rPr>
                <w:rFonts w:ascii="Arial" w:cs="Arial" w:eastAsia="Arial" w:hAnsi="Arial"/>
                <w:sz w:val="12"/>
                <w:szCs w:val="12"/>
                <w:color w:val="auto"/>
              </w:rPr>
              <w:t>2,936,958</w:t>
            </w:r>
          </w:p>
        </w:tc>
        <w:tc>
          <w:tcPr>
            <w:tcW w:w="100" w:type="dxa"/>
            <w:vAlign w:val="bottom"/>
            <w:shd w:val="clear" w:color="auto" w:fill="CCECFF"/>
          </w:tcPr>
          <w:p>
            <w:pPr>
              <w:spacing w:after="0"/>
              <w:rPr>
                <w:sz w:val="12"/>
                <w:szCs w:val="12"/>
                <w:color w:val="auto"/>
              </w:rPr>
            </w:pPr>
          </w:p>
        </w:tc>
      </w:tr>
      <w:tr>
        <w:trPr>
          <w:trHeight w:val="149"/>
        </w:trPr>
        <w:tc>
          <w:tcPr>
            <w:tcW w:w="3000" w:type="dxa"/>
            <w:vAlign w:val="bottom"/>
          </w:tcPr>
          <w:p>
            <w:pPr>
              <w:spacing w:after="0"/>
              <w:rPr>
                <w:sz w:val="20"/>
                <w:szCs w:val="20"/>
                <w:color w:val="auto"/>
              </w:rPr>
            </w:pPr>
            <w:r>
              <w:rPr>
                <w:rFonts w:ascii="Arial" w:cs="Arial" w:eastAsia="Arial" w:hAnsi="Arial"/>
                <w:sz w:val="12"/>
                <w:szCs w:val="12"/>
                <w:color w:val="auto"/>
              </w:rPr>
              <w:t xml:space="preserve">ETX Energy Management Company, LLC </w:t>
            </w:r>
            <w:r>
              <w:rPr>
                <w:rFonts w:ascii="Arial" w:cs="Arial" w:eastAsia="Arial" w:hAnsi="Arial"/>
                <w:sz w:val="9"/>
                <w:szCs w:val="9"/>
                <w:color w:val="auto"/>
              </w:rPr>
              <w:t>(10)</w:t>
            </w:r>
          </w:p>
        </w:tc>
        <w:tc>
          <w:tcPr>
            <w:tcW w:w="940" w:type="dxa"/>
            <w:vAlign w:val="bottom"/>
          </w:tcPr>
          <w:p>
            <w:pPr>
              <w:ind w:left="380"/>
              <w:spacing w:after="0"/>
              <w:rPr>
                <w:sz w:val="20"/>
                <w:szCs w:val="20"/>
                <w:color w:val="auto"/>
              </w:rPr>
            </w:pPr>
            <w:r>
              <w:rPr>
                <w:rFonts w:ascii="Arial" w:cs="Arial" w:eastAsia="Arial" w:hAnsi="Arial"/>
                <w:sz w:val="12"/>
                <w:szCs w:val="12"/>
                <w:color w:val="auto"/>
              </w:rPr>
              <w:t>—</w:t>
            </w:r>
          </w:p>
        </w:tc>
        <w:tc>
          <w:tcPr>
            <w:tcW w:w="2700" w:type="dxa"/>
            <w:vAlign w:val="bottom"/>
            <w:gridSpan w:val="2"/>
          </w:tcPr>
          <w:p>
            <w:pPr>
              <w:jc w:val="center"/>
              <w:ind w:right="180"/>
              <w:spacing w:after="0"/>
              <w:rPr>
                <w:sz w:val="20"/>
                <w:szCs w:val="20"/>
                <w:color w:val="auto"/>
              </w:rPr>
            </w:pPr>
            <w:r>
              <w:rPr>
                <w:rFonts w:ascii="Arial" w:cs="Arial" w:eastAsia="Arial" w:hAnsi="Arial"/>
                <w:sz w:val="12"/>
                <w:szCs w:val="12"/>
                <w:color w:val="auto"/>
                <w:w w:val="88"/>
              </w:rPr>
              <w:t>Oil and Gas</w:t>
            </w:r>
          </w:p>
        </w:tc>
        <w:tc>
          <w:tcPr>
            <w:tcW w:w="960" w:type="dxa"/>
            <w:vAlign w:val="bottom"/>
            <w:gridSpan w:val="2"/>
          </w:tcPr>
          <w:p>
            <w:pPr>
              <w:jc w:val="right"/>
              <w:ind w:right="300"/>
              <w:spacing w:after="0"/>
              <w:rPr>
                <w:sz w:val="20"/>
                <w:szCs w:val="20"/>
                <w:color w:val="auto"/>
              </w:rPr>
            </w:pPr>
            <w:r>
              <w:rPr>
                <w:rFonts w:ascii="Arial" w:cs="Arial" w:eastAsia="Arial" w:hAnsi="Arial"/>
                <w:sz w:val="12"/>
                <w:szCs w:val="12"/>
                <w:color w:val="auto"/>
              </w:rPr>
              <w:t>—</w:t>
            </w:r>
          </w:p>
        </w:tc>
        <w:tc>
          <w:tcPr>
            <w:tcW w:w="900" w:type="dxa"/>
            <w:vAlign w:val="bottom"/>
            <w:gridSpan w:val="2"/>
          </w:tcPr>
          <w:p>
            <w:pPr>
              <w:jc w:val="right"/>
              <w:ind w:right="240"/>
              <w:spacing w:after="0"/>
              <w:rPr>
                <w:sz w:val="20"/>
                <w:szCs w:val="20"/>
                <w:color w:val="auto"/>
              </w:rPr>
            </w:pPr>
            <w:r>
              <w:rPr>
                <w:rFonts w:ascii="Arial" w:cs="Arial" w:eastAsia="Arial" w:hAnsi="Arial"/>
                <w:sz w:val="12"/>
                <w:szCs w:val="12"/>
                <w:color w:val="auto"/>
              </w:rPr>
              <w:t>—</w:t>
            </w:r>
          </w:p>
        </w:tc>
        <w:tc>
          <w:tcPr>
            <w:tcW w:w="680" w:type="dxa"/>
            <w:vAlign w:val="bottom"/>
          </w:tcPr>
          <w:p>
            <w:pPr>
              <w:jc w:val="right"/>
              <w:spacing w:after="0"/>
              <w:rPr>
                <w:sz w:val="20"/>
                <w:szCs w:val="20"/>
                <w:color w:val="auto"/>
              </w:rPr>
            </w:pPr>
            <w:r>
              <w:rPr>
                <w:rFonts w:ascii="Arial" w:cs="Arial" w:eastAsia="Arial" w:hAnsi="Arial"/>
                <w:sz w:val="12"/>
                <w:szCs w:val="12"/>
                <w:color w:val="auto"/>
              </w:rPr>
              <w:t>119,603</w:t>
            </w:r>
          </w:p>
        </w:tc>
        <w:tc>
          <w:tcPr>
            <w:tcW w:w="3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20" w:type="dxa"/>
            <w:vAlign w:val="bottom"/>
          </w:tcPr>
          <w:p>
            <w:pPr>
              <w:jc w:val="right"/>
              <w:spacing w:after="0"/>
              <w:rPr>
                <w:sz w:val="20"/>
                <w:szCs w:val="20"/>
                <w:color w:val="auto"/>
              </w:rPr>
            </w:pPr>
            <w:r>
              <w:rPr>
                <w:rFonts w:ascii="Arial" w:cs="Arial" w:eastAsia="Arial" w:hAnsi="Arial"/>
                <w:sz w:val="12"/>
                <w:szCs w:val="12"/>
                <w:color w:val="auto"/>
              </w:rPr>
              <w:t>—</w:t>
            </w:r>
          </w:p>
        </w:tc>
        <w:tc>
          <w:tcPr>
            <w:tcW w:w="2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40" w:type="dxa"/>
            <w:vAlign w:val="bottom"/>
          </w:tcPr>
          <w:p>
            <w:pPr>
              <w:jc w:val="right"/>
              <w:spacing w:after="0"/>
              <w:rPr>
                <w:sz w:val="20"/>
                <w:szCs w:val="20"/>
                <w:color w:val="auto"/>
              </w:rPr>
            </w:pPr>
            <w:r>
              <w:rPr>
                <w:rFonts w:ascii="Arial" w:cs="Arial" w:eastAsia="Arial" w:hAnsi="Arial"/>
                <w:sz w:val="12"/>
                <w:szCs w:val="12"/>
                <w:color w:val="auto"/>
              </w:rPr>
              <w:t>154,594</w:t>
            </w:r>
          </w:p>
        </w:tc>
        <w:tc>
          <w:tcPr>
            <w:tcW w:w="100" w:type="dxa"/>
            <w:vAlign w:val="bottom"/>
          </w:tcPr>
          <w:p>
            <w:pPr>
              <w:spacing w:after="0"/>
              <w:rPr>
                <w:sz w:val="12"/>
                <w:szCs w:val="12"/>
                <w:color w:val="auto"/>
              </w:rPr>
            </w:pPr>
          </w:p>
        </w:tc>
      </w:tr>
      <w:tr>
        <w:trPr>
          <w:trHeight w:val="148"/>
        </w:trPr>
        <w:tc>
          <w:tcPr>
            <w:tcW w:w="3000" w:type="dxa"/>
            <w:vAlign w:val="bottom"/>
            <w:shd w:val="clear" w:color="auto" w:fill="CCECFF"/>
          </w:tcPr>
          <w:p>
            <w:pPr>
              <w:spacing w:after="0"/>
              <w:rPr>
                <w:sz w:val="20"/>
                <w:szCs w:val="20"/>
                <w:color w:val="auto"/>
              </w:rPr>
            </w:pPr>
            <w:r>
              <w:rPr>
                <w:rFonts w:ascii="Arial" w:cs="Arial" w:eastAsia="Arial" w:hAnsi="Arial"/>
                <w:sz w:val="12"/>
                <w:szCs w:val="12"/>
                <w:color w:val="auto"/>
              </w:rPr>
              <w:t>TRAK Acquisition Corp.</w:t>
            </w:r>
          </w:p>
        </w:tc>
        <w:tc>
          <w:tcPr>
            <w:tcW w:w="940" w:type="dxa"/>
            <w:vAlign w:val="bottom"/>
            <w:shd w:val="clear" w:color="auto" w:fill="CCECFF"/>
          </w:tcPr>
          <w:p>
            <w:pPr>
              <w:ind w:left="380"/>
              <w:spacing w:after="0"/>
              <w:rPr>
                <w:sz w:val="20"/>
                <w:szCs w:val="20"/>
                <w:color w:val="auto"/>
              </w:rPr>
            </w:pPr>
            <w:r>
              <w:rPr>
                <w:rFonts w:ascii="Arial" w:cs="Arial" w:eastAsia="Arial" w:hAnsi="Arial"/>
                <w:sz w:val="12"/>
                <w:szCs w:val="12"/>
                <w:color w:val="auto"/>
              </w:rPr>
              <w:t>—</w:t>
            </w:r>
          </w:p>
        </w:tc>
        <w:tc>
          <w:tcPr>
            <w:tcW w:w="2700" w:type="dxa"/>
            <w:vAlign w:val="bottom"/>
            <w:gridSpan w:val="2"/>
            <w:shd w:val="clear" w:color="auto" w:fill="CCECFF"/>
          </w:tcPr>
          <w:p>
            <w:pPr>
              <w:jc w:val="center"/>
              <w:ind w:right="180"/>
              <w:spacing w:after="0"/>
              <w:rPr>
                <w:sz w:val="20"/>
                <w:szCs w:val="20"/>
                <w:color w:val="auto"/>
              </w:rPr>
            </w:pPr>
            <w:r>
              <w:rPr>
                <w:rFonts w:ascii="Arial" w:cs="Arial" w:eastAsia="Arial" w:hAnsi="Arial"/>
                <w:sz w:val="12"/>
                <w:szCs w:val="12"/>
                <w:color w:val="auto"/>
                <w:w w:val="85"/>
              </w:rPr>
              <w:t>Business Services</w:t>
            </w:r>
          </w:p>
        </w:tc>
        <w:tc>
          <w:tcPr>
            <w:tcW w:w="960" w:type="dxa"/>
            <w:vAlign w:val="bottom"/>
            <w:gridSpan w:val="2"/>
            <w:shd w:val="clear" w:color="auto" w:fill="CCECFF"/>
          </w:tcPr>
          <w:p>
            <w:pPr>
              <w:jc w:val="right"/>
              <w:ind w:right="300"/>
              <w:spacing w:after="0"/>
              <w:rPr>
                <w:sz w:val="20"/>
                <w:szCs w:val="20"/>
                <w:color w:val="auto"/>
              </w:rPr>
            </w:pPr>
            <w:r>
              <w:rPr>
                <w:rFonts w:ascii="Arial" w:cs="Arial" w:eastAsia="Arial" w:hAnsi="Arial"/>
                <w:sz w:val="12"/>
                <w:szCs w:val="12"/>
                <w:color w:val="auto"/>
              </w:rPr>
              <w:t>—</w:t>
            </w:r>
          </w:p>
        </w:tc>
        <w:tc>
          <w:tcPr>
            <w:tcW w:w="900" w:type="dxa"/>
            <w:vAlign w:val="bottom"/>
            <w:gridSpan w:val="2"/>
            <w:shd w:val="clear" w:color="auto" w:fill="CCECFF"/>
          </w:tcPr>
          <w:p>
            <w:pPr>
              <w:jc w:val="right"/>
              <w:ind w:right="240"/>
              <w:spacing w:after="0"/>
              <w:rPr>
                <w:sz w:val="20"/>
                <w:szCs w:val="20"/>
                <w:color w:val="auto"/>
              </w:rPr>
            </w:pPr>
            <w:r>
              <w:rPr>
                <w:rFonts w:ascii="Arial" w:cs="Arial" w:eastAsia="Arial" w:hAnsi="Arial"/>
                <w:sz w:val="12"/>
                <w:szCs w:val="12"/>
                <w:color w:val="auto"/>
              </w:rPr>
              <w:t>—</w:t>
            </w:r>
          </w:p>
        </w:tc>
        <w:tc>
          <w:tcPr>
            <w:tcW w:w="680" w:type="dxa"/>
            <w:vAlign w:val="bottom"/>
            <w:shd w:val="clear" w:color="auto" w:fill="CCECFF"/>
          </w:tcPr>
          <w:p>
            <w:pPr>
              <w:jc w:val="right"/>
              <w:spacing w:after="0"/>
              <w:rPr>
                <w:sz w:val="20"/>
                <w:szCs w:val="20"/>
                <w:color w:val="auto"/>
              </w:rPr>
            </w:pPr>
            <w:r>
              <w:rPr>
                <w:rFonts w:ascii="Arial" w:cs="Arial" w:eastAsia="Arial" w:hAnsi="Arial"/>
                <w:sz w:val="12"/>
                <w:szCs w:val="12"/>
                <w:color w:val="auto"/>
              </w:rPr>
              <w:t>491,755</w:t>
            </w:r>
          </w:p>
        </w:tc>
        <w:tc>
          <w:tcPr>
            <w:tcW w:w="300" w:type="dxa"/>
            <w:vAlign w:val="bottom"/>
            <w:shd w:val="clear" w:color="auto" w:fill="CCECFF"/>
          </w:tcPr>
          <w:p>
            <w:pPr>
              <w:spacing w:after="0"/>
              <w:rPr>
                <w:sz w:val="12"/>
                <w:szCs w:val="12"/>
                <w:color w:val="auto"/>
              </w:rPr>
            </w:pPr>
          </w:p>
        </w:tc>
        <w:tc>
          <w:tcPr>
            <w:tcW w:w="80" w:type="dxa"/>
            <w:vAlign w:val="bottom"/>
            <w:shd w:val="clear" w:color="auto" w:fill="CCECFF"/>
          </w:tcPr>
          <w:p>
            <w:pPr>
              <w:spacing w:after="0"/>
              <w:rPr>
                <w:sz w:val="12"/>
                <w:szCs w:val="12"/>
                <w:color w:val="auto"/>
              </w:rPr>
            </w:pPr>
          </w:p>
        </w:tc>
        <w:tc>
          <w:tcPr>
            <w:tcW w:w="620" w:type="dxa"/>
            <w:vAlign w:val="bottom"/>
            <w:shd w:val="clear" w:color="auto" w:fill="CCECFF"/>
          </w:tcPr>
          <w:p>
            <w:pPr>
              <w:jc w:val="right"/>
              <w:spacing w:after="0"/>
              <w:rPr>
                <w:sz w:val="20"/>
                <w:szCs w:val="20"/>
                <w:color w:val="auto"/>
              </w:rPr>
            </w:pPr>
            <w:r>
              <w:rPr>
                <w:rFonts w:ascii="Arial" w:cs="Arial" w:eastAsia="Arial" w:hAnsi="Arial"/>
                <w:sz w:val="12"/>
                <w:szCs w:val="12"/>
                <w:color w:val="auto"/>
              </w:rPr>
              <w:t>188,837</w:t>
            </w:r>
          </w:p>
        </w:tc>
        <w:tc>
          <w:tcPr>
            <w:tcW w:w="240" w:type="dxa"/>
            <w:vAlign w:val="bottom"/>
            <w:shd w:val="clear" w:color="auto" w:fill="CCECFF"/>
          </w:tcPr>
          <w:p>
            <w:pPr>
              <w:spacing w:after="0"/>
              <w:rPr>
                <w:sz w:val="12"/>
                <w:szCs w:val="12"/>
                <w:color w:val="auto"/>
              </w:rPr>
            </w:pPr>
          </w:p>
        </w:tc>
        <w:tc>
          <w:tcPr>
            <w:tcW w:w="80" w:type="dxa"/>
            <w:vAlign w:val="bottom"/>
            <w:shd w:val="clear" w:color="auto" w:fill="CCECFF"/>
          </w:tcPr>
          <w:p>
            <w:pPr>
              <w:spacing w:after="0"/>
              <w:rPr>
                <w:sz w:val="12"/>
                <w:szCs w:val="12"/>
                <w:color w:val="auto"/>
              </w:rPr>
            </w:pPr>
          </w:p>
        </w:tc>
        <w:tc>
          <w:tcPr>
            <w:tcW w:w="640" w:type="dxa"/>
            <w:vAlign w:val="bottom"/>
            <w:shd w:val="clear" w:color="auto" w:fill="CCECFF"/>
          </w:tcPr>
          <w:p>
            <w:pPr>
              <w:jc w:val="right"/>
              <w:spacing w:after="0"/>
              <w:rPr>
                <w:sz w:val="20"/>
                <w:szCs w:val="20"/>
                <w:color w:val="auto"/>
              </w:rPr>
            </w:pPr>
            <w:r>
              <w:rPr>
                <w:rFonts w:ascii="Arial" w:cs="Arial" w:eastAsia="Arial" w:hAnsi="Arial"/>
                <w:sz w:val="12"/>
                <w:szCs w:val="12"/>
                <w:color w:val="auto"/>
              </w:rPr>
              <w:t>5,272,366</w:t>
            </w:r>
          </w:p>
        </w:tc>
        <w:tc>
          <w:tcPr>
            <w:tcW w:w="100" w:type="dxa"/>
            <w:vAlign w:val="bottom"/>
            <w:shd w:val="clear" w:color="auto" w:fill="CCECFF"/>
          </w:tcPr>
          <w:p>
            <w:pPr>
              <w:spacing w:after="0"/>
              <w:rPr>
                <w:sz w:val="12"/>
                <w:szCs w:val="12"/>
                <w:color w:val="auto"/>
              </w:rPr>
            </w:pPr>
          </w:p>
        </w:tc>
      </w:tr>
      <w:tr>
        <w:trPr>
          <w:trHeight w:val="148"/>
        </w:trPr>
        <w:tc>
          <w:tcPr>
            <w:tcW w:w="3000" w:type="dxa"/>
            <w:vAlign w:val="bottom"/>
            <w:tcBorders>
              <w:bottom w:val="single" w:sz="8" w:color="CCECFF"/>
            </w:tcBorders>
          </w:tcPr>
          <w:p>
            <w:pPr>
              <w:spacing w:after="0"/>
              <w:rPr>
                <w:sz w:val="20"/>
                <w:szCs w:val="20"/>
                <w:color w:val="auto"/>
              </w:rPr>
            </w:pPr>
            <w:r>
              <w:rPr>
                <w:rFonts w:ascii="Arial" w:cs="Arial" w:eastAsia="Arial" w:hAnsi="Arial"/>
                <w:sz w:val="12"/>
                <w:szCs w:val="12"/>
                <w:color w:val="auto"/>
              </w:rPr>
              <w:t>USWS Holdings, LLC - Class A and Class B</w:t>
            </w:r>
          </w:p>
        </w:tc>
        <w:tc>
          <w:tcPr>
            <w:tcW w:w="940" w:type="dxa"/>
            <w:vAlign w:val="bottom"/>
            <w:tcBorders>
              <w:bottom w:val="single" w:sz="8" w:color="CCECFF"/>
            </w:tcBorders>
          </w:tcPr>
          <w:p>
            <w:pPr>
              <w:ind w:left="380"/>
              <w:spacing w:after="0"/>
              <w:rPr>
                <w:sz w:val="20"/>
                <w:szCs w:val="20"/>
                <w:color w:val="auto"/>
              </w:rPr>
            </w:pPr>
            <w:r>
              <w:rPr>
                <w:rFonts w:ascii="Arial" w:cs="Arial" w:eastAsia="Arial" w:hAnsi="Arial"/>
                <w:sz w:val="12"/>
                <w:szCs w:val="12"/>
                <w:color w:val="auto"/>
              </w:rPr>
              <w:t>—</w:t>
            </w:r>
          </w:p>
        </w:tc>
        <w:tc>
          <w:tcPr>
            <w:tcW w:w="2700" w:type="dxa"/>
            <w:vAlign w:val="bottom"/>
            <w:tcBorders>
              <w:bottom w:val="single" w:sz="8" w:color="CCECFF"/>
            </w:tcBorders>
            <w:gridSpan w:val="2"/>
          </w:tcPr>
          <w:p>
            <w:pPr>
              <w:jc w:val="center"/>
              <w:ind w:right="180"/>
              <w:spacing w:after="0"/>
              <w:rPr>
                <w:sz w:val="20"/>
                <w:szCs w:val="20"/>
                <w:color w:val="auto"/>
              </w:rPr>
            </w:pPr>
            <w:r>
              <w:rPr>
                <w:rFonts w:ascii="Arial" w:cs="Arial" w:eastAsia="Arial" w:hAnsi="Arial"/>
                <w:sz w:val="12"/>
                <w:szCs w:val="12"/>
                <w:color w:val="auto"/>
                <w:w w:val="88"/>
              </w:rPr>
              <w:t>Oil and Gas</w:t>
            </w:r>
          </w:p>
        </w:tc>
        <w:tc>
          <w:tcPr>
            <w:tcW w:w="960" w:type="dxa"/>
            <w:vAlign w:val="bottom"/>
            <w:tcBorders>
              <w:bottom w:val="single" w:sz="8" w:color="CCECFF"/>
            </w:tcBorders>
            <w:gridSpan w:val="2"/>
          </w:tcPr>
          <w:p>
            <w:pPr>
              <w:jc w:val="right"/>
              <w:ind w:right="300"/>
              <w:spacing w:after="0"/>
              <w:rPr>
                <w:sz w:val="20"/>
                <w:szCs w:val="20"/>
                <w:color w:val="auto"/>
              </w:rPr>
            </w:pPr>
            <w:r>
              <w:rPr>
                <w:rFonts w:ascii="Arial" w:cs="Arial" w:eastAsia="Arial" w:hAnsi="Arial"/>
                <w:sz w:val="12"/>
                <w:szCs w:val="12"/>
                <w:color w:val="auto"/>
              </w:rPr>
              <w:t>—</w:t>
            </w:r>
          </w:p>
        </w:tc>
        <w:tc>
          <w:tcPr>
            <w:tcW w:w="900" w:type="dxa"/>
            <w:vAlign w:val="bottom"/>
            <w:tcBorders>
              <w:bottom w:val="single" w:sz="8" w:color="CCECFF"/>
            </w:tcBorders>
            <w:gridSpan w:val="2"/>
          </w:tcPr>
          <w:p>
            <w:pPr>
              <w:jc w:val="right"/>
              <w:ind w:right="240"/>
              <w:spacing w:after="0"/>
              <w:rPr>
                <w:sz w:val="20"/>
                <w:szCs w:val="20"/>
                <w:color w:val="auto"/>
              </w:rPr>
            </w:pPr>
            <w:r>
              <w:rPr>
                <w:rFonts w:ascii="Arial" w:cs="Arial" w:eastAsia="Arial" w:hAnsi="Arial"/>
                <w:sz w:val="12"/>
                <w:szCs w:val="12"/>
                <w:color w:val="auto"/>
              </w:rPr>
              <w:t>—</w:t>
            </w:r>
          </w:p>
        </w:tc>
        <w:tc>
          <w:tcPr>
            <w:tcW w:w="680" w:type="dxa"/>
            <w:vAlign w:val="bottom"/>
            <w:tcBorders>
              <w:bottom w:val="single" w:sz="8" w:color="CCECFF"/>
            </w:tcBorders>
          </w:tcPr>
          <w:p>
            <w:pPr>
              <w:jc w:val="right"/>
              <w:spacing w:after="0"/>
              <w:rPr>
                <w:sz w:val="20"/>
                <w:szCs w:val="20"/>
                <w:color w:val="auto"/>
              </w:rPr>
            </w:pPr>
            <w:r>
              <w:rPr>
                <w:rFonts w:ascii="Arial" w:cs="Arial" w:eastAsia="Arial" w:hAnsi="Arial"/>
                <w:sz w:val="12"/>
                <w:szCs w:val="12"/>
                <w:color w:val="auto"/>
              </w:rPr>
              <w:t>8,190,817</w:t>
            </w:r>
          </w:p>
        </w:tc>
        <w:tc>
          <w:tcPr>
            <w:tcW w:w="300" w:type="dxa"/>
            <w:vAlign w:val="bottom"/>
            <w:tcBorders>
              <w:bottom w:val="single" w:sz="8" w:color="CCECFF"/>
            </w:tcBorders>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7,023,750</w:t>
            </w:r>
          </w:p>
        </w:tc>
        <w:tc>
          <w:tcPr>
            <w:tcW w:w="240" w:type="dxa"/>
            <w:vAlign w:val="bottom"/>
            <w:tcBorders>
              <w:bottom w:val="single" w:sz="8" w:color="CCECFF"/>
            </w:tcBorders>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9,561,982</w:t>
            </w:r>
          </w:p>
        </w:tc>
        <w:tc>
          <w:tcPr>
            <w:tcW w:w="100" w:type="dxa"/>
            <w:vAlign w:val="bottom"/>
            <w:tcBorders>
              <w:bottom w:val="single" w:sz="8" w:color="CCECFF"/>
            </w:tcBorders>
          </w:tcPr>
          <w:p>
            <w:pPr>
              <w:spacing w:after="0"/>
              <w:rPr>
                <w:sz w:val="12"/>
                <w:szCs w:val="12"/>
                <w:color w:val="auto"/>
              </w:rPr>
            </w:pPr>
          </w:p>
        </w:tc>
      </w:tr>
      <w:tr>
        <w:trPr>
          <w:trHeight w:val="142"/>
        </w:trPr>
        <w:tc>
          <w:tcPr>
            <w:tcW w:w="3000" w:type="dxa"/>
            <w:vAlign w:val="bottom"/>
            <w:shd w:val="clear" w:color="auto" w:fill="CCECFF"/>
          </w:tcPr>
          <w:p>
            <w:pPr>
              <w:spacing w:after="0"/>
              <w:rPr>
                <w:sz w:val="20"/>
                <w:szCs w:val="20"/>
                <w:color w:val="auto"/>
              </w:rPr>
            </w:pPr>
            <w:r>
              <w:rPr>
                <w:rFonts w:ascii="Arial" w:cs="Arial" w:eastAsia="Arial" w:hAnsi="Arial"/>
                <w:sz w:val="12"/>
                <w:szCs w:val="12"/>
                <w:b w:val="1"/>
                <w:bCs w:val="1"/>
                <w:color w:val="auto"/>
                <w:w w:val="98"/>
              </w:rPr>
              <w:t>Total Common Equity/Partnership Interests/Warrants</w:t>
            </w:r>
          </w:p>
        </w:tc>
        <w:tc>
          <w:tcPr>
            <w:tcW w:w="940" w:type="dxa"/>
            <w:vAlign w:val="bottom"/>
            <w:shd w:val="clear" w:color="auto" w:fill="CCECFF"/>
          </w:tcPr>
          <w:p>
            <w:pPr>
              <w:spacing w:after="0"/>
              <w:rPr>
                <w:sz w:val="12"/>
                <w:szCs w:val="12"/>
                <w:color w:val="auto"/>
              </w:rPr>
            </w:pPr>
          </w:p>
        </w:tc>
        <w:tc>
          <w:tcPr>
            <w:tcW w:w="2580" w:type="dxa"/>
            <w:vAlign w:val="bottom"/>
            <w:shd w:val="clear" w:color="auto" w:fill="CCECFF"/>
          </w:tcPr>
          <w:p>
            <w:pPr>
              <w:spacing w:after="0"/>
              <w:rPr>
                <w:sz w:val="12"/>
                <w:szCs w:val="12"/>
                <w:color w:val="auto"/>
              </w:rPr>
            </w:pPr>
          </w:p>
        </w:tc>
        <w:tc>
          <w:tcPr>
            <w:tcW w:w="120" w:type="dxa"/>
            <w:vAlign w:val="bottom"/>
            <w:shd w:val="clear" w:color="auto" w:fill="CCECFF"/>
          </w:tcPr>
          <w:p>
            <w:pPr>
              <w:spacing w:after="0"/>
              <w:rPr>
                <w:sz w:val="12"/>
                <w:szCs w:val="12"/>
                <w:color w:val="auto"/>
              </w:rPr>
            </w:pPr>
          </w:p>
        </w:tc>
        <w:tc>
          <w:tcPr>
            <w:tcW w:w="680" w:type="dxa"/>
            <w:vAlign w:val="bottom"/>
            <w:shd w:val="clear" w:color="auto" w:fill="CCECFF"/>
          </w:tcPr>
          <w:p>
            <w:pPr>
              <w:spacing w:after="0"/>
              <w:rPr>
                <w:sz w:val="12"/>
                <w:szCs w:val="12"/>
                <w:color w:val="auto"/>
              </w:rPr>
            </w:pPr>
          </w:p>
        </w:tc>
        <w:tc>
          <w:tcPr>
            <w:tcW w:w="280" w:type="dxa"/>
            <w:vAlign w:val="bottom"/>
            <w:shd w:val="clear" w:color="auto" w:fill="CCECFF"/>
          </w:tcPr>
          <w:p>
            <w:pPr>
              <w:spacing w:after="0"/>
              <w:rPr>
                <w:sz w:val="12"/>
                <w:szCs w:val="12"/>
                <w:color w:val="auto"/>
              </w:rPr>
            </w:pPr>
          </w:p>
        </w:tc>
        <w:tc>
          <w:tcPr>
            <w:tcW w:w="660" w:type="dxa"/>
            <w:vAlign w:val="bottom"/>
            <w:shd w:val="clear" w:color="auto" w:fill="CCECFF"/>
          </w:tcPr>
          <w:p>
            <w:pPr>
              <w:spacing w:after="0"/>
              <w:rPr>
                <w:sz w:val="12"/>
                <w:szCs w:val="12"/>
                <w:color w:val="auto"/>
              </w:rPr>
            </w:pPr>
          </w:p>
        </w:tc>
        <w:tc>
          <w:tcPr>
            <w:tcW w:w="240" w:type="dxa"/>
            <w:vAlign w:val="bottom"/>
            <w:shd w:val="clear" w:color="auto" w:fill="CCECFF"/>
          </w:tcPr>
          <w:p>
            <w:pPr>
              <w:spacing w:after="0"/>
              <w:rPr>
                <w:sz w:val="12"/>
                <w:szCs w:val="12"/>
                <w:color w:val="auto"/>
              </w:rPr>
            </w:pPr>
          </w:p>
        </w:tc>
        <w:tc>
          <w:tcPr>
            <w:tcW w:w="680" w:type="dxa"/>
            <w:vAlign w:val="bottom"/>
            <w:shd w:val="clear" w:color="auto" w:fill="CCECFF"/>
          </w:tcPr>
          <w:p>
            <w:pPr>
              <w:spacing w:after="0"/>
              <w:rPr>
                <w:sz w:val="12"/>
                <w:szCs w:val="12"/>
                <w:color w:val="auto"/>
              </w:rPr>
            </w:pPr>
          </w:p>
        </w:tc>
        <w:tc>
          <w:tcPr>
            <w:tcW w:w="300" w:type="dxa"/>
            <w:vAlign w:val="bottom"/>
            <w:shd w:val="clear" w:color="auto" w:fill="CCECFF"/>
          </w:tcPr>
          <w:p>
            <w:pPr>
              <w:spacing w:after="0"/>
              <w:rPr>
                <w:sz w:val="12"/>
                <w:szCs w:val="12"/>
                <w:color w:val="auto"/>
              </w:rPr>
            </w:pPr>
          </w:p>
        </w:tc>
        <w:tc>
          <w:tcPr>
            <w:tcW w:w="80" w:type="dxa"/>
            <w:vAlign w:val="bottom"/>
            <w:tcBorders>
              <w:bottom w:val="single" w:sz="8" w:color="auto"/>
            </w:tcBorders>
            <w:shd w:val="clear" w:color="auto" w:fill="CCECFF"/>
          </w:tcPr>
          <w:p>
            <w:pPr>
              <w:spacing w:after="0"/>
              <w:rPr>
                <w:sz w:val="12"/>
                <w:szCs w:val="12"/>
                <w:color w:val="auto"/>
              </w:rPr>
            </w:pPr>
          </w:p>
        </w:tc>
        <w:tc>
          <w:tcPr>
            <w:tcW w:w="620" w:type="dxa"/>
            <w:vAlign w:val="bottom"/>
            <w:tcBorders>
              <w:bottom w:val="single" w:sz="8" w:color="auto"/>
            </w:tcBorders>
            <w:shd w:val="clear" w:color="auto" w:fill="CCECFF"/>
          </w:tcPr>
          <w:p>
            <w:pPr>
              <w:jc w:val="right"/>
              <w:spacing w:after="0"/>
              <w:rPr>
                <w:sz w:val="20"/>
                <w:szCs w:val="20"/>
                <w:color w:val="auto"/>
              </w:rPr>
            </w:pPr>
            <w:r>
              <w:rPr>
                <w:rFonts w:ascii="Arial" w:cs="Arial" w:eastAsia="Arial" w:hAnsi="Arial"/>
                <w:sz w:val="12"/>
                <w:szCs w:val="12"/>
                <w:color w:val="auto"/>
                <w:w w:val="99"/>
              </w:rPr>
              <w:t>66,533,381</w:t>
            </w:r>
          </w:p>
        </w:tc>
        <w:tc>
          <w:tcPr>
            <w:tcW w:w="240" w:type="dxa"/>
            <w:vAlign w:val="bottom"/>
            <w:shd w:val="clear" w:color="auto" w:fill="CCECFF"/>
          </w:tcPr>
          <w:p>
            <w:pPr>
              <w:spacing w:after="0"/>
              <w:rPr>
                <w:sz w:val="12"/>
                <w:szCs w:val="12"/>
                <w:color w:val="auto"/>
              </w:rPr>
            </w:pPr>
          </w:p>
        </w:tc>
        <w:tc>
          <w:tcPr>
            <w:tcW w:w="80" w:type="dxa"/>
            <w:vAlign w:val="bottom"/>
            <w:tcBorders>
              <w:bottom w:val="single" w:sz="8" w:color="auto"/>
            </w:tcBorders>
            <w:shd w:val="clear" w:color="auto" w:fill="CCECFF"/>
          </w:tcPr>
          <w:p>
            <w:pPr>
              <w:spacing w:after="0"/>
              <w:rPr>
                <w:sz w:val="12"/>
                <w:szCs w:val="12"/>
                <w:color w:val="auto"/>
              </w:rPr>
            </w:pPr>
          </w:p>
        </w:tc>
        <w:tc>
          <w:tcPr>
            <w:tcW w:w="640" w:type="dxa"/>
            <w:vAlign w:val="bottom"/>
            <w:tcBorders>
              <w:bottom w:val="single" w:sz="8" w:color="auto"/>
            </w:tcBorders>
            <w:shd w:val="clear" w:color="auto" w:fill="CCECFF"/>
          </w:tcPr>
          <w:p>
            <w:pPr>
              <w:jc w:val="right"/>
              <w:spacing w:after="0"/>
              <w:rPr>
                <w:sz w:val="20"/>
                <w:szCs w:val="20"/>
                <w:color w:val="auto"/>
              </w:rPr>
            </w:pPr>
            <w:r>
              <w:rPr>
                <w:rFonts w:ascii="Arial" w:cs="Arial" w:eastAsia="Arial" w:hAnsi="Arial"/>
                <w:sz w:val="12"/>
                <w:szCs w:val="12"/>
                <w:color w:val="auto"/>
                <w:w w:val="99"/>
              </w:rPr>
              <w:t>62,333,235</w:t>
            </w:r>
          </w:p>
        </w:tc>
        <w:tc>
          <w:tcPr>
            <w:tcW w:w="100" w:type="dxa"/>
            <w:vAlign w:val="bottom"/>
            <w:shd w:val="clear" w:color="auto" w:fill="CCECFF"/>
          </w:tcPr>
          <w:p>
            <w:pPr>
              <w:spacing w:after="0"/>
              <w:rPr>
                <w:sz w:val="12"/>
                <w:szCs w:val="12"/>
                <w:color w:val="auto"/>
              </w:rPr>
            </w:pPr>
          </w:p>
        </w:tc>
      </w:tr>
      <w:tr>
        <w:trPr>
          <w:trHeight w:val="142"/>
        </w:trPr>
        <w:tc>
          <w:tcPr>
            <w:tcW w:w="3940" w:type="dxa"/>
            <w:vAlign w:val="bottom"/>
            <w:gridSpan w:val="2"/>
          </w:tcPr>
          <w:p>
            <w:pPr>
              <w:spacing w:after="0"/>
              <w:rPr>
                <w:sz w:val="20"/>
                <w:szCs w:val="20"/>
                <w:color w:val="auto"/>
              </w:rPr>
            </w:pPr>
            <w:r>
              <w:rPr>
                <w:rFonts w:ascii="Arial" w:cs="Arial" w:eastAsia="Arial" w:hAnsi="Arial"/>
                <w:sz w:val="12"/>
                <w:szCs w:val="12"/>
                <w:b w:val="1"/>
                <w:bCs w:val="1"/>
                <w:color w:val="auto"/>
              </w:rPr>
              <w:t>Total Investments in Non-Controlled, Affiliated Portfolio Companies</w:t>
            </w:r>
          </w:p>
        </w:tc>
        <w:tc>
          <w:tcPr>
            <w:tcW w:w="25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w w:val="89"/>
              </w:rPr>
              <w:t>183,090,652</w:t>
            </w:r>
          </w:p>
        </w:tc>
        <w:tc>
          <w:tcPr>
            <w:tcW w:w="240" w:type="dxa"/>
            <w:vAlign w:val="bottom"/>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w w:val="89"/>
              </w:rPr>
              <w:t>185,505,287</w:t>
            </w:r>
          </w:p>
        </w:tc>
        <w:tc>
          <w:tcPr>
            <w:tcW w:w="100" w:type="dxa"/>
            <w:vAlign w:val="bottom"/>
          </w:tcPr>
          <w:p>
            <w:pPr>
              <w:spacing w:after="0"/>
              <w:rPr>
                <w:sz w:val="12"/>
                <w:szCs w:val="12"/>
                <w:color w:val="auto"/>
              </w:rPr>
            </w:pPr>
          </w:p>
        </w:tc>
      </w:tr>
    </w:tbl>
    <w:p>
      <w:pPr>
        <w:spacing w:after="0" w:line="211"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SEE NOTES TO CONSOLIDATED FINANCIAL STATEMENTS</w:t>
      </w:r>
    </w:p>
    <w:p>
      <w:pPr>
        <w:spacing w:after="0" w:line="136"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72390</wp:posOffset>
            </wp:positionV>
            <wp:extent cx="7149465" cy="171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333" w:right="339" w:bottom="1440" w:gutter="0" w:footer="0" w:header="0"/>
        </w:sectPr>
      </w:pPr>
    </w:p>
    <w:bookmarkStart w:id="9" w:name="page10"/>
    <w:bookmarkEnd w:id="9"/>
    <w:p>
      <w:pPr>
        <w:jc w:val="center"/>
        <w:spacing w:after="0"/>
        <w:rPr>
          <w:sz w:val="20"/>
          <w:szCs w:val="20"/>
          <w:color w:val="auto"/>
        </w:rPr>
      </w:pPr>
      <w:r>
        <w:rPr>
          <w:rFonts w:ascii="Arial" w:cs="Arial" w:eastAsia="Arial" w:hAnsi="Arial"/>
          <w:sz w:val="14"/>
          <w:szCs w:val="14"/>
          <w:b w:val="1"/>
          <w:bCs w:val="1"/>
          <w:color w:val="auto"/>
        </w:rPr>
        <w:t>PENNANTPARK INVESTMENT CORPORATION AND SUBSIDIARIES</w:t>
      </w:r>
    </w:p>
    <w:p>
      <w:pPr>
        <w:jc w:val="center"/>
        <w:spacing w:after="0" w:line="226" w:lineRule="auto"/>
        <w:rPr>
          <w:sz w:val="20"/>
          <w:szCs w:val="20"/>
          <w:color w:val="auto"/>
        </w:rPr>
      </w:pPr>
      <w:r>
        <w:rPr>
          <w:rFonts w:ascii="Arial" w:cs="Arial" w:eastAsia="Arial" w:hAnsi="Arial"/>
          <w:sz w:val="14"/>
          <w:szCs w:val="14"/>
          <w:b w:val="1"/>
          <w:bCs w:val="1"/>
          <w:color w:val="auto"/>
        </w:rPr>
        <w:t>CONSOLIDATED SCHEDULE OF INVESTMENTS – (Continued)</w:t>
      </w:r>
    </w:p>
    <w:p>
      <w:pPr>
        <w:jc w:val="center"/>
        <w:spacing w:after="0" w:line="221" w:lineRule="auto"/>
        <w:rPr>
          <w:sz w:val="20"/>
          <w:szCs w:val="20"/>
          <w:color w:val="auto"/>
        </w:rPr>
      </w:pPr>
      <w:r>
        <w:rPr>
          <w:rFonts w:ascii="Arial" w:cs="Arial" w:eastAsia="Arial" w:hAnsi="Arial"/>
          <w:sz w:val="14"/>
          <w:szCs w:val="14"/>
          <w:b w:val="1"/>
          <w:bCs w:val="1"/>
          <w:color w:val="auto"/>
        </w:rPr>
        <w:t>JUNE 30, 2017</w:t>
      </w:r>
    </w:p>
    <w:p>
      <w:pPr>
        <w:spacing w:after="0" w:line="1"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(Unaudited)</w:t>
      </w:r>
    </w:p>
    <w:p>
      <w:pPr>
        <w:spacing w:after="0" w:line="294" w:lineRule="exact"/>
        <w:rPr>
          <w:sz w:val="20"/>
          <w:szCs w:val="20"/>
          <w:color w:val="auto"/>
        </w:rPr>
      </w:pPr>
    </w:p>
    <w:tbl>
      <w:tblPr>
        <w:tblLayout w:type="fixed"/>
        <w:tblInd w:w="0" w:type="dxa"/>
        <w:tblCellMar>
          <w:top w:w="0" w:type="dxa"/>
          <w:left w:w="0" w:type="dxa"/>
          <w:bottom w:w="0" w:type="dxa"/>
          <w:right w:w="0" w:type="dxa"/>
        </w:tblCellMar>
      </w:tblPr>
      <w:tr>
        <w:trPr>
          <w:trHeight w:val="138"/>
        </w:trPr>
        <w:tc>
          <w:tcPr>
            <w:tcW w:w="2940" w:type="dxa"/>
            <w:vAlign w:val="bottom"/>
          </w:tcPr>
          <w:p>
            <w:pPr>
              <w:spacing w:after="0"/>
              <w:rPr>
                <w:sz w:val="12"/>
                <w:szCs w:val="12"/>
                <w:color w:val="auto"/>
              </w:rPr>
            </w:pPr>
          </w:p>
        </w:tc>
        <w:tc>
          <w:tcPr>
            <w:tcW w:w="1200" w:type="dxa"/>
            <w:vAlign w:val="bottom"/>
          </w:tcPr>
          <w:p>
            <w:pPr>
              <w:spacing w:after="0"/>
              <w:rPr>
                <w:sz w:val="12"/>
                <w:szCs w:val="12"/>
                <w:color w:val="auto"/>
              </w:rPr>
            </w:pPr>
          </w:p>
        </w:tc>
        <w:tc>
          <w:tcPr>
            <w:tcW w:w="198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900" w:type="dxa"/>
            <w:vAlign w:val="bottom"/>
            <w:gridSpan w:val="2"/>
          </w:tcPr>
          <w:p>
            <w:pPr>
              <w:jc w:val="center"/>
              <w:spacing w:after="0"/>
              <w:rPr>
                <w:sz w:val="20"/>
                <w:szCs w:val="20"/>
                <w:color w:val="auto"/>
              </w:rPr>
            </w:pPr>
            <w:r>
              <w:rPr>
                <w:rFonts w:ascii="Arial" w:cs="Arial" w:eastAsia="Arial" w:hAnsi="Arial"/>
                <w:sz w:val="12"/>
                <w:szCs w:val="12"/>
                <w:b w:val="1"/>
                <w:bCs w:val="1"/>
                <w:color w:val="auto"/>
                <w:w w:val="82"/>
              </w:rPr>
              <w:t>Basis Point</w:t>
            </w:r>
          </w:p>
        </w:tc>
        <w:tc>
          <w:tcPr>
            <w:tcW w:w="8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5"/>
        </w:trPr>
        <w:tc>
          <w:tcPr>
            <w:tcW w:w="294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19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900" w:type="dxa"/>
            <w:vAlign w:val="bottom"/>
            <w:gridSpan w:val="2"/>
          </w:tcPr>
          <w:p>
            <w:pPr>
              <w:jc w:val="center"/>
              <w:spacing w:after="0" w:line="135" w:lineRule="exact"/>
              <w:rPr>
                <w:sz w:val="20"/>
                <w:szCs w:val="20"/>
                <w:color w:val="auto"/>
              </w:rPr>
            </w:pPr>
            <w:r>
              <w:rPr>
                <w:rFonts w:ascii="Arial" w:cs="Arial" w:eastAsia="Arial" w:hAnsi="Arial"/>
                <w:sz w:val="12"/>
                <w:szCs w:val="12"/>
                <w:b w:val="1"/>
                <w:bCs w:val="1"/>
                <w:color w:val="auto"/>
                <w:w w:val="83"/>
              </w:rPr>
              <w:t>Spread</w:t>
            </w:r>
          </w:p>
        </w:tc>
        <w:tc>
          <w:tcPr>
            <w:tcW w:w="8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940" w:type="dxa"/>
            <w:vAlign w:val="bottom"/>
          </w:tcPr>
          <w:p>
            <w:pPr>
              <w:spacing w:after="0"/>
              <w:rPr>
                <w:sz w:val="11"/>
                <w:szCs w:val="11"/>
                <w:color w:val="auto"/>
              </w:rPr>
            </w:pPr>
          </w:p>
        </w:tc>
        <w:tc>
          <w:tcPr>
            <w:tcW w:w="1200" w:type="dxa"/>
            <w:vAlign w:val="bottom"/>
          </w:tcPr>
          <w:p>
            <w:pPr>
              <w:ind w:left="120"/>
              <w:spacing w:after="0" w:line="135" w:lineRule="exact"/>
              <w:rPr>
                <w:sz w:val="20"/>
                <w:szCs w:val="20"/>
                <w:color w:val="auto"/>
              </w:rPr>
            </w:pPr>
            <w:r>
              <w:rPr>
                <w:rFonts w:ascii="Arial" w:cs="Arial" w:eastAsia="Arial" w:hAnsi="Arial"/>
                <w:sz w:val="12"/>
                <w:szCs w:val="12"/>
                <w:b w:val="1"/>
                <w:bCs w:val="1"/>
                <w:color w:val="auto"/>
              </w:rPr>
              <w:t>Maturity /</w:t>
            </w:r>
          </w:p>
        </w:tc>
        <w:tc>
          <w:tcPr>
            <w:tcW w:w="1980" w:type="dxa"/>
            <w:vAlign w:val="bottom"/>
          </w:tcPr>
          <w:p>
            <w:pPr>
              <w:spacing w:after="0"/>
              <w:rPr>
                <w:sz w:val="11"/>
                <w:szCs w:val="11"/>
                <w:color w:val="auto"/>
              </w:rPr>
            </w:pPr>
          </w:p>
        </w:tc>
        <w:tc>
          <w:tcPr>
            <w:tcW w:w="1260" w:type="dxa"/>
            <w:vAlign w:val="bottom"/>
            <w:gridSpan w:val="2"/>
          </w:tcPr>
          <w:p>
            <w:pPr>
              <w:ind w:left="540"/>
              <w:spacing w:after="0" w:line="135" w:lineRule="exact"/>
              <w:rPr>
                <w:sz w:val="20"/>
                <w:szCs w:val="20"/>
                <w:color w:val="auto"/>
              </w:rPr>
            </w:pPr>
            <w:r>
              <w:rPr>
                <w:rFonts w:ascii="Arial" w:cs="Arial" w:eastAsia="Arial" w:hAnsi="Arial"/>
                <w:sz w:val="12"/>
                <w:szCs w:val="12"/>
                <w:b w:val="1"/>
                <w:bCs w:val="1"/>
                <w:color w:val="auto"/>
              </w:rPr>
              <w:t>Current</w:t>
            </w:r>
          </w:p>
        </w:tc>
        <w:tc>
          <w:tcPr>
            <w:tcW w:w="900" w:type="dxa"/>
            <w:vAlign w:val="bottom"/>
            <w:gridSpan w:val="2"/>
          </w:tcPr>
          <w:p>
            <w:pPr>
              <w:jc w:val="center"/>
              <w:spacing w:after="0" w:line="135" w:lineRule="exact"/>
              <w:rPr>
                <w:sz w:val="20"/>
                <w:szCs w:val="20"/>
                <w:color w:val="auto"/>
              </w:rPr>
            </w:pPr>
            <w:r>
              <w:rPr>
                <w:rFonts w:ascii="Arial" w:cs="Arial" w:eastAsia="Arial" w:hAnsi="Arial"/>
                <w:sz w:val="12"/>
                <w:szCs w:val="12"/>
                <w:b w:val="1"/>
                <w:bCs w:val="1"/>
                <w:color w:val="auto"/>
                <w:w w:val="87"/>
              </w:rPr>
              <w:t>Above</w:t>
            </w:r>
          </w:p>
        </w:tc>
        <w:tc>
          <w:tcPr>
            <w:tcW w:w="800" w:type="dxa"/>
            <w:vAlign w:val="bottom"/>
          </w:tcPr>
          <w:p>
            <w:pPr>
              <w:jc w:val="right"/>
              <w:ind w:right="162"/>
              <w:spacing w:after="0" w:line="135" w:lineRule="exact"/>
              <w:rPr>
                <w:sz w:val="20"/>
                <w:szCs w:val="20"/>
                <w:color w:val="auto"/>
              </w:rPr>
            </w:pPr>
            <w:r>
              <w:rPr>
                <w:rFonts w:ascii="Arial" w:cs="Arial" w:eastAsia="Arial" w:hAnsi="Arial"/>
                <w:sz w:val="12"/>
                <w:szCs w:val="12"/>
                <w:b w:val="1"/>
                <w:bCs w:val="1"/>
                <w:color w:val="auto"/>
              </w:rPr>
              <w:t>Par /</w:t>
            </w:r>
          </w:p>
        </w:tc>
        <w:tc>
          <w:tcPr>
            <w:tcW w:w="2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3"/>
        </w:trPr>
        <w:tc>
          <w:tcPr>
            <w:tcW w:w="2940" w:type="dxa"/>
            <w:vAlign w:val="bottom"/>
          </w:tcPr>
          <w:p>
            <w:pPr>
              <w:spacing w:after="0"/>
              <w:rPr>
                <w:sz w:val="20"/>
                <w:szCs w:val="20"/>
                <w:color w:val="auto"/>
              </w:rPr>
            </w:pPr>
            <w:r>
              <w:rPr>
                <w:rFonts w:ascii="Arial" w:cs="Arial" w:eastAsia="Arial" w:hAnsi="Arial"/>
                <w:sz w:val="12"/>
                <w:szCs w:val="12"/>
                <w:b w:val="1"/>
                <w:bCs w:val="1"/>
                <w:color w:val="auto"/>
              </w:rPr>
              <w:t>Issuer Name</w:t>
            </w:r>
          </w:p>
        </w:tc>
        <w:tc>
          <w:tcPr>
            <w:tcW w:w="1200" w:type="dxa"/>
            <w:vAlign w:val="bottom"/>
          </w:tcPr>
          <w:p>
            <w:pPr>
              <w:ind w:left="120"/>
              <w:spacing w:after="0"/>
              <w:rPr>
                <w:sz w:val="20"/>
                <w:szCs w:val="20"/>
                <w:color w:val="auto"/>
              </w:rPr>
            </w:pPr>
            <w:r>
              <w:rPr>
                <w:rFonts w:ascii="Arial" w:cs="Arial" w:eastAsia="Arial" w:hAnsi="Arial"/>
                <w:sz w:val="12"/>
                <w:szCs w:val="12"/>
                <w:b w:val="1"/>
                <w:bCs w:val="1"/>
                <w:color w:val="auto"/>
              </w:rPr>
              <w:t>Expiration</w:t>
            </w:r>
          </w:p>
        </w:tc>
        <w:tc>
          <w:tcPr>
            <w:tcW w:w="1980" w:type="dxa"/>
            <w:vAlign w:val="bottom"/>
          </w:tcPr>
          <w:p>
            <w:pPr>
              <w:jc w:val="center"/>
              <w:spacing w:after="0"/>
              <w:rPr>
                <w:sz w:val="20"/>
                <w:szCs w:val="20"/>
                <w:color w:val="auto"/>
              </w:rPr>
            </w:pPr>
            <w:r>
              <w:rPr>
                <w:rFonts w:ascii="Arial" w:cs="Arial" w:eastAsia="Arial" w:hAnsi="Arial"/>
                <w:sz w:val="12"/>
                <w:szCs w:val="12"/>
                <w:b w:val="1"/>
                <w:bCs w:val="1"/>
                <w:color w:val="auto"/>
                <w:w w:val="92"/>
              </w:rPr>
              <w:t>Industry</w:t>
            </w:r>
          </w:p>
        </w:tc>
        <w:tc>
          <w:tcPr>
            <w:tcW w:w="1260" w:type="dxa"/>
            <w:vAlign w:val="bottom"/>
            <w:gridSpan w:val="2"/>
          </w:tcPr>
          <w:p>
            <w:pPr>
              <w:ind w:left="560"/>
              <w:spacing w:after="0"/>
              <w:rPr>
                <w:sz w:val="20"/>
                <w:szCs w:val="20"/>
                <w:color w:val="auto"/>
              </w:rPr>
            </w:pPr>
            <w:r>
              <w:rPr>
                <w:rFonts w:ascii="Arial" w:cs="Arial" w:eastAsia="Arial" w:hAnsi="Arial"/>
                <w:sz w:val="12"/>
                <w:szCs w:val="12"/>
                <w:b w:val="1"/>
                <w:bCs w:val="1"/>
                <w:color w:val="auto"/>
              </w:rPr>
              <w:t>Coupon</w:t>
            </w:r>
          </w:p>
        </w:tc>
        <w:tc>
          <w:tcPr>
            <w:tcW w:w="900" w:type="dxa"/>
            <w:vAlign w:val="bottom"/>
            <w:gridSpan w:val="2"/>
          </w:tcPr>
          <w:p>
            <w:pPr>
              <w:jc w:val="center"/>
              <w:spacing w:after="0"/>
              <w:rPr>
                <w:sz w:val="20"/>
                <w:szCs w:val="20"/>
                <w:color w:val="auto"/>
              </w:rPr>
            </w:pPr>
            <w:r>
              <w:rPr>
                <w:rFonts w:ascii="Arial" w:cs="Arial" w:eastAsia="Arial" w:hAnsi="Arial"/>
                <w:sz w:val="12"/>
                <w:szCs w:val="12"/>
                <w:b w:val="1"/>
                <w:bCs w:val="1"/>
                <w:color w:val="auto"/>
                <w:w w:val="91"/>
              </w:rPr>
              <w:t xml:space="preserve">Index </w:t>
            </w:r>
            <w:r>
              <w:rPr>
                <w:rFonts w:ascii="Arial" w:cs="Arial" w:eastAsia="Arial" w:hAnsi="Arial"/>
                <w:sz w:val="9"/>
                <w:szCs w:val="9"/>
                <w:b w:val="1"/>
                <w:bCs w:val="1"/>
                <w:color w:val="auto"/>
                <w:w w:val="91"/>
              </w:rPr>
              <w:t>(4)</w:t>
            </w:r>
          </w:p>
        </w:tc>
        <w:tc>
          <w:tcPr>
            <w:tcW w:w="800" w:type="dxa"/>
            <w:vAlign w:val="bottom"/>
          </w:tcPr>
          <w:p>
            <w:pPr>
              <w:jc w:val="right"/>
              <w:ind w:right="122"/>
              <w:spacing w:after="0"/>
              <w:rPr>
                <w:sz w:val="20"/>
                <w:szCs w:val="20"/>
                <w:color w:val="auto"/>
              </w:rPr>
            </w:pPr>
            <w:r>
              <w:rPr>
                <w:rFonts w:ascii="Arial" w:cs="Arial" w:eastAsia="Arial" w:hAnsi="Arial"/>
                <w:sz w:val="12"/>
                <w:szCs w:val="12"/>
                <w:b w:val="1"/>
                <w:bCs w:val="1"/>
                <w:color w:val="auto"/>
              </w:rPr>
              <w:t>Shares</w:t>
            </w: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00" w:type="dxa"/>
            <w:vAlign w:val="bottom"/>
          </w:tcPr>
          <w:p>
            <w:pPr>
              <w:jc w:val="right"/>
              <w:ind w:right="222"/>
              <w:spacing w:after="0"/>
              <w:rPr>
                <w:sz w:val="20"/>
                <w:szCs w:val="20"/>
                <w:color w:val="auto"/>
              </w:rPr>
            </w:pPr>
            <w:r>
              <w:rPr>
                <w:rFonts w:ascii="Arial" w:cs="Arial" w:eastAsia="Arial" w:hAnsi="Arial"/>
                <w:sz w:val="12"/>
                <w:szCs w:val="12"/>
                <w:b w:val="1"/>
                <w:bCs w:val="1"/>
                <w:color w:val="auto"/>
              </w:rPr>
              <w:t>Cost</w:t>
            </w:r>
          </w:p>
        </w:tc>
        <w:tc>
          <w:tcPr>
            <w:tcW w:w="240" w:type="dxa"/>
            <w:vAlign w:val="bottom"/>
          </w:tcPr>
          <w:p>
            <w:pPr>
              <w:spacing w:after="0"/>
              <w:rPr>
                <w:sz w:val="12"/>
                <w:szCs w:val="12"/>
                <w:color w:val="auto"/>
              </w:rPr>
            </w:pPr>
          </w:p>
        </w:tc>
        <w:tc>
          <w:tcPr>
            <w:tcW w:w="900" w:type="dxa"/>
            <w:vAlign w:val="bottom"/>
            <w:gridSpan w:val="3"/>
          </w:tcPr>
          <w:p>
            <w:pPr>
              <w:jc w:val="right"/>
              <w:ind w:right="139"/>
              <w:spacing w:after="0"/>
              <w:rPr>
                <w:sz w:val="20"/>
                <w:szCs w:val="20"/>
                <w:color w:val="auto"/>
              </w:rPr>
            </w:pPr>
            <w:r>
              <w:rPr>
                <w:rFonts w:ascii="Arial" w:cs="Arial" w:eastAsia="Arial" w:hAnsi="Arial"/>
                <w:sz w:val="12"/>
                <w:szCs w:val="12"/>
                <w:b w:val="1"/>
                <w:bCs w:val="1"/>
                <w:color w:val="auto"/>
                <w:w w:val="97"/>
              </w:rPr>
              <w:t xml:space="preserve">Fair Value </w:t>
            </w:r>
            <w:r>
              <w:rPr>
                <w:rFonts w:ascii="Arial" w:cs="Arial" w:eastAsia="Arial" w:hAnsi="Arial"/>
                <w:sz w:val="9"/>
                <w:szCs w:val="9"/>
                <w:b w:val="1"/>
                <w:bCs w:val="1"/>
                <w:color w:val="auto"/>
                <w:w w:val="97"/>
              </w:rPr>
              <w:t>(3)</w:t>
            </w:r>
          </w:p>
        </w:tc>
        <w:tc>
          <w:tcPr>
            <w:tcW w:w="0" w:type="dxa"/>
            <w:vAlign w:val="bottom"/>
          </w:tcPr>
          <w:p>
            <w:pPr>
              <w:spacing w:after="0"/>
              <w:rPr>
                <w:sz w:val="1"/>
                <w:szCs w:val="1"/>
                <w:color w:val="auto"/>
              </w:rPr>
            </w:pPr>
          </w:p>
        </w:tc>
      </w:tr>
      <w:tr>
        <w:trPr>
          <w:trHeight w:val="142"/>
        </w:trPr>
        <w:tc>
          <w:tcPr>
            <w:tcW w:w="4140" w:type="dxa"/>
            <w:vAlign w:val="bottom"/>
            <w:tcBorders>
              <w:top w:val="single" w:sz="8" w:color="auto"/>
            </w:tcBorders>
            <w:gridSpan w:val="2"/>
            <w:shd w:val="clear" w:color="auto" w:fill="CCECFF"/>
          </w:tcPr>
          <w:p>
            <w:pPr>
              <w:spacing w:after="0"/>
              <w:rPr>
                <w:sz w:val="20"/>
                <w:szCs w:val="20"/>
                <w:color w:val="auto"/>
              </w:rPr>
            </w:pPr>
            <w:r>
              <w:rPr>
                <w:rFonts w:ascii="Arial" w:cs="Arial" w:eastAsia="Arial" w:hAnsi="Arial"/>
                <w:sz w:val="12"/>
                <w:szCs w:val="12"/>
                <w:b w:val="1"/>
                <w:bCs w:val="1"/>
                <w:color w:val="auto"/>
              </w:rPr>
              <w:t xml:space="preserve">Investments in Controlled, Affiliated Portfolio Companies—19.2% </w:t>
            </w:r>
            <w:r>
              <w:rPr>
                <w:rFonts w:ascii="Arial" w:cs="Arial" w:eastAsia="Arial" w:hAnsi="Arial"/>
                <w:sz w:val="9"/>
                <w:szCs w:val="9"/>
                <w:b w:val="1"/>
                <w:bCs w:val="1"/>
                <w:color w:val="auto"/>
              </w:rPr>
              <w:t>(1), (2)</w:t>
            </w:r>
          </w:p>
        </w:tc>
        <w:tc>
          <w:tcPr>
            <w:tcW w:w="1980" w:type="dxa"/>
            <w:vAlign w:val="bottom"/>
            <w:tcBorders>
              <w:top w:val="single" w:sz="8" w:color="auto"/>
            </w:tcBorders>
            <w:shd w:val="clear" w:color="auto" w:fill="CCECFF"/>
          </w:tcPr>
          <w:p>
            <w:pPr>
              <w:spacing w:after="0"/>
              <w:rPr>
                <w:sz w:val="12"/>
                <w:szCs w:val="12"/>
                <w:color w:val="auto"/>
              </w:rPr>
            </w:pPr>
          </w:p>
        </w:tc>
        <w:tc>
          <w:tcPr>
            <w:tcW w:w="1100" w:type="dxa"/>
            <w:vAlign w:val="bottom"/>
            <w:tcBorders>
              <w:top w:val="single" w:sz="8" w:color="auto"/>
            </w:tcBorders>
            <w:shd w:val="clear" w:color="auto" w:fill="CCECFF"/>
          </w:tcPr>
          <w:p>
            <w:pPr>
              <w:spacing w:after="0"/>
              <w:rPr>
                <w:sz w:val="12"/>
                <w:szCs w:val="12"/>
                <w:color w:val="auto"/>
              </w:rPr>
            </w:pPr>
          </w:p>
        </w:tc>
        <w:tc>
          <w:tcPr>
            <w:tcW w:w="160" w:type="dxa"/>
            <w:vAlign w:val="bottom"/>
            <w:tcBorders>
              <w:top w:val="single" w:sz="8" w:color="CCECFF"/>
            </w:tcBorders>
            <w:shd w:val="clear" w:color="auto" w:fill="CCECFF"/>
          </w:tcPr>
          <w:p>
            <w:pPr>
              <w:spacing w:after="0"/>
              <w:rPr>
                <w:sz w:val="12"/>
                <w:szCs w:val="12"/>
                <w:color w:val="auto"/>
              </w:rPr>
            </w:pPr>
          </w:p>
        </w:tc>
        <w:tc>
          <w:tcPr>
            <w:tcW w:w="800" w:type="dxa"/>
            <w:vAlign w:val="bottom"/>
            <w:tcBorders>
              <w:top w:val="single" w:sz="8" w:color="auto"/>
            </w:tcBorders>
            <w:shd w:val="clear" w:color="auto" w:fill="CCECFF"/>
          </w:tcPr>
          <w:p>
            <w:pPr>
              <w:spacing w:after="0"/>
              <w:rPr>
                <w:sz w:val="12"/>
                <w:szCs w:val="12"/>
                <w:color w:val="auto"/>
              </w:rPr>
            </w:pPr>
          </w:p>
        </w:tc>
        <w:tc>
          <w:tcPr>
            <w:tcW w:w="100" w:type="dxa"/>
            <w:vAlign w:val="bottom"/>
            <w:tcBorders>
              <w:top w:val="single" w:sz="8" w:color="CCECFF"/>
            </w:tcBorders>
            <w:shd w:val="clear" w:color="auto" w:fill="CCECFF"/>
          </w:tcPr>
          <w:p>
            <w:pPr>
              <w:spacing w:after="0"/>
              <w:rPr>
                <w:sz w:val="12"/>
                <w:szCs w:val="12"/>
                <w:color w:val="auto"/>
              </w:rPr>
            </w:pPr>
          </w:p>
        </w:tc>
        <w:tc>
          <w:tcPr>
            <w:tcW w:w="800" w:type="dxa"/>
            <w:vAlign w:val="bottom"/>
            <w:tcBorders>
              <w:top w:val="single" w:sz="8" w:color="auto"/>
            </w:tcBorders>
            <w:shd w:val="clear" w:color="auto" w:fill="CCECFF"/>
          </w:tcPr>
          <w:p>
            <w:pPr>
              <w:spacing w:after="0"/>
              <w:rPr>
                <w:sz w:val="12"/>
                <w:szCs w:val="12"/>
                <w:color w:val="auto"/>
              </w:rPr>
            </w:pPr>
          </w:p>
        </w:tc>
        <w:tc>
          <w:tcPr>
            <w:tcW w:w="220" w:type="dxa"/>
            <w:vAlign w:val="bottom"/>
            <w:tcBorders>
              <w:top w:val="single" w:sz="8" w:color="CCECFF"/>
            </w:tcBorders>
            <w:shd w:val="clear" w:color="auto" w:fill="CCECFF"/>
          </w:tcPr>
          <w:p>
            <w:pPr>
              <w:spacing w:after="0"/>
              <w:rPr>
                <w:sz w:val="12"/>
                <w:szCs w:val="12"/>
                <w:color w:val="auto"/>
              </w:rPr>
            </w:pPr>
          </w:p>
        </w:tc>
        <w:tc>
          <w:tcPr>
            <w:tcW w:w="100" w:type="dxa"/>
            <w:vAlign w:val="bottom"/>
            <w:tcBorders>
              <w:top w:val="single" w:sz="8" w:color="auto"/>
            </w:tcBorders>
            <w:shd w:val="clear" w:color="auto" w:fill="CCECFF"/>
          </w:tcPr>
          <w:p>
            <w:pPr>
              <w:spacing w:after="0"/>
              <w:rPr>
                <w:sz w:val="12"/>
                <w:szCs w:val="12"/>
                <w:color w:val="auto"/>
              </w:rPr>
            </w:pPr>
          </w:p>
        </w:tc>
        <w:tc>
          <w:tcPr>
            <w:tcW w:w="700" w:type="dxa"/>
            <w:vAlign w:val="bottom"/>
            <w:tcBorders>
              <w:top w:val="single" w:sz="8" w:color="auto"/>
            </w:tcBorders>
            <w:shd w:val="clear" w:color="auto" w:fill="CCECFF"/>
          </w:tcPr>
          <w:p>
            <w:pPr>
              <w:spacing w:after="0"/>
              <w:rPr>
                <w:sz w:val="12"/>
                <w:szCs w:val="12"/>
                <w:color w:val="auto"/>
              </w:rPr>
            </w:pPr>
          </w:p>
        </w:tc>
        <w:tc>
          <w:tcPr>
            <w:tcW w:w="240" w:type="dxa"/>
            <w:vAlign w:val="bottom"/>
            <w:tcBorders>
              <w:top w:val="single" w:sz="8" w:color="CCECFF"/>
            </w:tcBorders>
            <w:shd w:val="clear" w:color="auto" w:fill="CCECFF"/>
          </w:tcPr>
          <w:p>
            <w:pPr>
              <w:spacing w:after="0"/>
              <w:rPr>
                <w:sz w:val="12"/>
                <w:szCs w:val="12"/>
                <w:color w:val="auto"/>
              </w:rPr>
            </w:pPr>
          </w:p>
        </w:tc>
        <w:tc>
          <w:tcPr>
            <w:tcW w:w="80" w:type="dxa"/>
            <w:vAlign w:val="bottom"/>
            <w:tcBorders>
              <w:top w:val="single" w:sz="8" w:color="auto"/>
            </w:tcBorders>
            <w:shd w:val="clear" w:color="auto" w:fill="CCECFF"/>
          </w:tcPr>
          <w:p>
            <w:pPr>
              <w:spacing w:after="0"/>
              <w:rPr>
                <w:sz w:val="12"/>
                <w:szCs w:val="12"/>
                <w:color w:val="auto"/>
              </w:rPr>
            </w:pPr>
          </w:p>
        </w:tc>
        <w:tc>
          <w:tcPr>
            <w:tcW w:w="720" w:type="dxa"/>
            <w:vAlign w:val="bottom"/>
            <w:tcBorders>
              <w:top w:val="single" w:sz="8" w:color="auto"/>
            </w:tcBorders>
            <w:shd w:val="clear" w:color="auto" w:fill="CCECFF"/>
          </w:tcPr>
          <w:p>
            <w:pPr>
              <w:spacing w:after="0"/>
              <w:rPr>
                <w:sz w:val="12"/>
                <w:szCs w:val="12"/>
                <w:color w:val="auto"/>
              </w:rPr>
            </w:pPr>
          </w:p>
        </w:tc>
        <w:tc>
          <w:tcPr>
            <w:tcW w:w="100" w:type="dxa"/>
            <w:vAlign w:val="bottom"/>
            <w:tcBorders>
              <w:top w:val="single" w:sz="8" w:color="CCECFF"/>
            </w:tcBorders>
            <w:shd w:val="clear" w:color="auto" w:fill="CCEC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940" w:type="dxa"/>
            <w:vAlign w:val="bottom"/>
          </w:tcPr>
          <w:p>
            <w:pPr>
              <w:spacing w:after="0"/>
              <w:rPr>
                <w:sz w:val="20"/>
                <w:szCs w:val="20"/>
                <w:color w:val="auto"/>
              </w:rPr>
            </w:pPr>
            <w:r>
              <w:rPr>
                <w:rFonts w:ascii="Arial" w:cs="Arial" w:eastAsia="Arial" w:hAnsi="Arial"/>
                <w:sz w:val="12"/>
                <w:szCs w:val="12"/>
                <w:b w:val="1"/>
                <w:bCs w:val="1"/>
                <w:color w:val="auto"/>
              </w:rPr>
              <w:t>First Lien Secured Debt—15.7%</w:t>
            </w:r>
          </w:p>
        </w:tc>
        <w:tc>
          <w:tcPr>
            <w:tcW w:w="1200" w:type="dxa"/>
            <w:vAlign w:val="bottom"/>
          </w:tcPr>
          <w:p>
            <w:pPr>
              <w:spacing w:after="0"/>
              <w:rPr>
                <w:sz w:val="12"/>
                <w:szCs w:val="12"/>
                <w:color w:val="auto"/>
              </w:rPr>
            </w:pPr>
          </w:p>
        </w:tc>
        <w:tc>
          <w:tcPr>
            <w:tcW w:w="198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940" w:type="dxa"/>
            <w:vAlign w:val="bottom"/>
            <w:shd w:val="clear" w:color="auto" w:fill="CCECFF"/>
          </w:tcPr>
          <w:p>
            <w:pPr>
              <w:spacing w:after="0"/>
              <w:rPr>
                <w:sz w:val="20"/>
                <w:szCs w:val="20"/>
                <w:color w:val="auto"/>
              </w:rPr>
            </w:pPr>
            <w:r>
              <w:rPr>
                <w:rFonts w:ascii="Arial" w:cs="Arial" w:eastAsia="Arial" w:hAnsi="Arial"/>
                <w:sz w:val="12"/>
                <w:szCs w:val="12"/>
                <w:color w:val="auto"/>
              </w:rPr>
              <w:t>RAM Energy LLC</w:t>
            </w:r>
          </w:p>
        </w:tc>
        <w:tc>
          <w:tcPr>
            <w:tcW w:w="1200" w:type="dxa"/>
            <w:vAlign w:val="bottom"/>
            <w:shd w:val="clear" w:color="auto" w:fill="CCECFF"/>
          </w:tcPr>
          <w:p>
            <w:pPr>
              <w:ind w:left="120"/>
              <w:spacing w:after="0"/>
              <w:rPr>
                <w:sz w:val="20"/>
                <w:szCs w:val="20"/>
                <w:color w:val="auto"/>
              </w:rPr>
            </w:pPr>
            <w:r>
              <w:rPr>
                <w:rFonts w:ascii="Arial" w:cs="Arial" w:eastAsia="Arial" w:hAnsi="Arial"/>
                <w:sz w:val="12"/>
                <w:szCs w:val="12"/>
                <w:color w:val="auto"/>
              </w:rPr>
              <w:t>07/18/2019</w:t>
            </w:r>
          </w:p>
        </w:tc>
        <w:tc>
          <w:tcPr>
            <w:tcW w:w="1980" w:type="dxa"/>
            <w:vAlign w:val="bottom"/>
            <w:shd w:val="clear" w:color="auto" w:fill="CCECFF"/>
          </w:tcPr>
          <w:p>
            <w:pPr>
              <w:jc w:val="center"/>
              <w:spacing w:after="0"/>
              <w:rPr>
                <w:sz w:val="20"/>
                <w:szCs w:val="20"/>
                <w:color w:val="auto"/>
              </w:rPr>
            </w:pPr>
            <w:r>
              <w:rPr>
                <w:rFonts w:ascii="Arial" w:cs="Arial" w:eastAsia="Arial" w:hAnsi="Arial"/>
                <w:sz w:val="12"/>
                <w:szCs w:val="12"/>
                <w:color w:val="auto"/>
                <w:w w:val="90"/>
              </w:rPr>
              <w:t>Energy and Utilities</w:t>
            </w:r>
          </w:p>
        </w:tc>
        <w:tc>
          <w:tcPr>
            <w:tcW w:w="1260" w:type="dxa"/>
            <w:vAlign w:val="bottom"/>
            <w:gridSpan w:val="2"/>
            <w:shd w:val="clear" w:color="auto" w:fill="CCECFF"/>
          </w:tcPr>
          <w:p>
            <w:pPr>
              <w:jc w:val="right"/>
              <w:ind w:right="60"/>
              <w:spacing w:after="0"/>
              <w:rPr>
                <w:sz w:val="20"/>
                <w:szCs w:val="20"/>
                <w:color w:val="auto"/>
              </w:rPr>
            </w:pPr>
            <w:r>
              <w:rPr>
                <w:rFonts w:ascii="Arial" w:cs="Arial" w:eastAsia="Arial" w:hAnsi="Arial"/>
                <w:sz w:val="12"/>
                <w:szCs w:val="12"/>
                <w:color w:val="auto"/>
              </w:rPr>
              <w:t>10.00%</w:t>
            </w:r>
          </w:p>
        </w:tc>
        <w:tc>
          <w:tcPr>
            <w:tcW w:w="900" w:type="dxa"/>
            <w:vAlign w:val="bottom"/>
            <w:gridSpan w:val="2"/>
            <w:shd w:val="clear" w:color="auto" w:fill="CCECFF"/>
          </w:tcPr>
          <w:p>
            <w:pPr>
              <w:jc w:val="right"/>
              <w:ind w:right="120"/>
              <w:spacing w:after="0"/>
              <w:rPr>
                <w:sz w:val="20"/>
                <w:szCs w:val="20"/>
                <w:color w:val="auto"/>
              </w:rPr>
            </w:pPr>
            <w:r>
              <w:rPr>
                <w:rFonts w:ascii="Arial" w:cs="Arial" w:eastAsia="Arial" w:hAnsi="Arial"/>
                <w:sz w:val="12"/>
                <w:szCs w:val="12"/>
                <w:color w:val="auto"/>
              </w:rPr>
              <w:t>L+800</w:t>
            </w:r>
          </w:p>
        </w:tc>
        <w:tc>
          <w:tcPr>
            <w:tcW w:w="800" w:type="dxa"/>
            <w:vAlign w:val="bottom"/>
            <w:shd w:val="clear" w:color="auto" w:fill="CCECFF"/>
          </w:tcPr>
          <w:p>
            <w:pPr>
              <w:jc w:val="right"/>
              <w:spacing w:after="0"/>
              <w:rPr>
                <w:sz w:val="20"/>
                <w:szCs w:val="20"/>
                <w:color w:val="auto"/>
              </w:rPr>
            </w:pPr>
            <w:r>
              <w:rPr>
                <w:rFonts w:ascii="Arial" w:cs="Arial" w:eastAsia="Arial" w:hAnsi="Arial"/>
                <w:sz w:val="12"/>
                <w:szCs w:val="12"/>
                <w:color w:val="auto"/>
              </w:rPr>
              <w:t>91,160,870</w:t>
            </w:r>
          </w:p>
        </w:tc>
        <w:tc>
          <w:tcPr>
            <w:tcW w:w="320" w:type="dxa"/>
            <w:vAlign w:val="bottom"/>
            <w:gridSpan w:val="2"/>
            <w:shd w:val="clear" w:color="auto" w:fill="CCECFF"/>
          </w:tcPr>
          <w:p>
            <w:pPr>
              <w:jc w:val="right"/>
              <w:ind w:right="40"/>
              <w:spacing w:after="0"/>
              <w:rPr>
                <w:sz w:val="20"/>
                <w:szCs w:val="20"/>
                <w:color w:val="auto"/>
              </w:rPr>
            </w:pPr>
            <w:r>
              <w:rPr>
                <w:rFonts w:ascii="Arial" w:cs="Arial" w:eastAsia="Arial" w:hAnsi="Arial"/>
                <w:sz w:val="12"/>
                <w:szCs w:val="12"/>
                <w:color w:val="auto"/>
              </w:rPr>
              <w:t>$</w:t>
            </w:r>
          </w:p>
        </w:tc>
        <w:tc>
          <w:tcPr>
            <w:tcW w:w="700" w:type="dxa"/>
            <w:vAlign w:val="bottom"/>
            <w:shd w:val="clear" w:color="auto" w:fill="CCECFF"/>
          </w:tcPr>
          <w:p>
            <w:pPr>
              <w:jc w:val="right"/>
              <w:spacing w:after="0"/>
              <w:rPr>
                <w:sz w:val="20"/>
                <w:szCs w:val="20"/>
                <w:color w:val="auto"/>
              </w:rPr>
            </w:pPr>
            <w:r>
              <w:rPr>
                <w:rFonts w:ascii="Arial" w:cs="Arial" w:eastAsia="Arial" w:hAnsi="Arial"/>
                <w:sz w:val="12"/>
                <w:szCs w:val="12"/>
                <w:color w:val="auto"/>
              </w:rPr>
              <w:t>90,440,351</w:t>
            </w:r>
          </w:p>
        </w:tc>
        <w:tc>
          <w:tcPr>
            <w:tcW w:w="320" w:type="dxa"/>
            <w:vAlign w:val="bottom"/>
            <w:gridSpan w:val="2"/>
            <w:shd w:val="clear" w:color="auto" w:fill="CCECFF"/>
          </w:tcPr>
          <w:p>
            <w:pPr>
              <w:jc w:val="right"/>
              <w:spacing w:after="0"/>
              <w:rPr>
                <w:sz w:val="20"/>
                <w:szCs w:val="20"/>
                <w:color w:val="auto"/>
              </w:rPr>
            </w:pPr>
            <w:r>
              <w:rPr>
                <w:rFonts w:ascii="Arial" w:cs="Arial" w:eastAsia="Arial" w:hAnsi="Arial"/>
                <w:sz w:val="12"/>
                <w:szCs w:val="12"/>
                <w:color w:val="auto"/>
              </w:rPr>
              <w:t>$</w:t>
            </w:r>
          </w:p>
        </w:tc>
        <w:tc>
          <w:tcPr>
            <w:tcW w:w="720" w:type="dxa"/>
            <w:vAlign w:val="bottom"/>
            <w:shd w:val="clear" w:color="auto" w:fill="CCECFF"/>
          </w:tcPr>
          <w:p>
            <w:pPr>
              <w:jc w:val="right"/>
              <w:spacing w:after="0"/>
              <w:rPr>
                <w:sz w:val="20"/>
                <w:szCs w:val="20"/>
                <w:color w:val="auto"/>
              </w:rPr>
            </w:pPr>
            <w:r>
              <w:rPr>
                <w:rFonts w:ascii="Arial" w:cs="Arial" w:eastAsia="Arial" w:hAnsi="Arial"/>
                <w:sz w:val="12"/>
                <w:szCs w:val="12"/>
                <w:color w:val="auto"/>
              </w:rPr>
              <w:t>73,156,598</w:t>
            </w:r>
          </w:p>
        </w:tc>
        <w:tc>
          <w:tcPr>
            <w:tcW w:w="100" w:type="dxa"/>
            <w:vAlign w:val="bottom"/>
            <w:shd w:val="clear" w:color="auto" w:fill="CCECFF"/>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940" w:type="dxa"/>
            <w:vAlign w:val="bottom"/>
            <w:shd w:val="clear" w:color="auto" w:fill="CCECFF"/>
          </w:tcPr>
          <w:p>
            <w:pPr>
              <w:spacing w:after="0"/>
              <w:rPr>
                <w:sz w:val="12"/>
                <w:szCs w:val="12"/>
                <w:color w:val="auto"/>
              </w:rPr>
            </w:pPr>
          </w:p>
        </w:tc>
        <w:tc>
          <w:tcPr>
            <w:tcW w:w="1200" w:type="dxa"/>
            <w:vAlign w:val="bottom"/>
            <w:shd w:val="clear" w:color="auto" w:fill="CCECFF"/>
          </w:tcPr>
          <w:p>
            <w:pPr>
              <w:spacing w:after="0"/>
              <w:rPr>
                <w:sz w:val="12"/>
                <w:szCs w:val="12"/>
                <w:color w:val="auto"/>
              </w:rPr>
            </w:pPr>
          </w:p>
        </w:tc>
        <w:tc>
          <w:tcPr>
            <w:tcW w:w="1980" w:type="dxa"/>
            <w:vAlign w:val="bottom"/>
            <w:shd w:val="clear" w:color="auto" w:fill="CCECFF"/>
          </w:tcPr>
          <w:p>
            <w:pPr>
              <w:spacing w:after="0"/>
              <w:rPr>
                <w:sz w:val="12"/>
                <w:szCs w:val="12"/>
                <w:color w:val="auto"/>
              </w:rPr>
            </w:pPr>
          </w:p>
        </w:tc>
        <w:tc>
          <w:tcPr>
            <w:tcW w:w="1260" w:type="dxa"/>
            <w:vAlign w:val="bottom"/>
            <w:gridSpan w:val="2"/>
            <w:shd w:val="clear" w:color="auto" w:fill="CCECFF"/>
          </w:tcPr>
          <w:p>
            <w:pPr>
              <w:ind w:left="560"/>
              <w:spacing w:after="0"/>
              <w:rPr>
                <w:sz w:val="20"/>
                <w:szCs w:val="20"/>
                <w:color w:val="auto"/>
              </w:rPr>
            </w:pPr>
            <w:r>
              <w:rPr>
                <w:rFonts w:ascii="Arial" w:cs="Arial" w:eastAsia="Arial" w:hAnsi="Arial"/>
                <w:sz w:val="12"/>
                <w:szCs w:val="12"/>
                <w:color w:val="auto"/>
                <w:w w:val="95"/>
              </w:rPr>
              <w:t>(PIK 10.00%)</w:t>
            </w:r>
          </w:p>
        </w:tc>
        <w:tc>
          <w:tcPr>
            <w:tcW w:w="800" w:type="dxa"/>
            <w:vAlign w:val="bottom"/>
            <w:shd w:val="clear" w:color="auto" w:fill="CCECFF"/>
          </w:tcPr>
          <w:p>
            <w:pPr>
              <w:spacing w:after="0"/>
              <w:rPr>
                <w:sz w:val="12"/>
                <w:szCs w:val="12"/>
                <w:color w:val="auto"/>
              </w:rPr>
            </w:pPr>
          </w:p>
        </w:tc>
        <w:tc>
          <w:tcPr>
            <w:tcW w:w="100" w:type="dxa"/>
            <w:vAlign w:val="bottom"/>
            <w:shd w:val="clear" w:color="auto" w:fill="CCECFF"/>
          </w:tcPr>
          <w:p>
            <w:pPr>
              <w:spacing w:after="0"/>
              <w:rPr>
                <w:sz w:val="12"/>
                <w:szCs w:val="12"/>
                <w:color w:val="auto"/>
              </w:rPr>
            </w:pPr>
          </w:p>
        </w:tc>
        <w:tc>
          <w:tcPr>
            <w:tcW w:w="800" w:type="dxa"/>
            <w:vAlign w:val="bottom"/>
            <w:shd w:val="clear" w:color="auto" w:fill="CCECFF"/>
          </w:tcPr>
          <w:p>
            <w:pPr>
              <w:spacing w:after="0"/>
              <w:rPr>
                <w:sz w:val="12"/>
                <w:szCs w:val="12"/>
                <w:color w:val="auto"/>
              </w:rPr>
            </w:pPr>
          </w:p>
        </w:tc>
        <w:tc>
          <w:tcPr>
            <w:tcW w:w="220" w:type="dxa"/>
            <w:vAlign w:val="bottom"/>
            <w:shd w:val="clear" w:color="auto" w:fill="CCECFF"/>
          </w:tcPr>
          <w:p>
            <w:pPr>
              <w:spacing w:after="0"/>
              <w:rPr>
                <w:sz w:val="12"/>
                <w:szCs w:val="12"/>
                <w:color w:val="auto"/>
              </w:rPr>
            </w:pPr>
          </w:p>
        </w:tc>
        <w:tc>
          <w:tcPr>
            <w:tcW w:w="100" w:type="dxa"/>
            <w:vAlign w:val="bottom"/>
            <w:shd w:val="clear" w:color="auto" w:fill="CCECFF"/>
          </w:tcPr>
          <w:p>
            <w:pPr>
              <w:spacing w:after="0"/>
              <w:rPr>
                <w:sz w:val="12"/>
                <w:szCs w:val="12"/>
                <w:color w:val="auto"/>
              </w:rPr>
            </w:pPr>
          </w:p>
        </w:tc>
        <w:tc>
          <w:tcPr>
            <w:tcW w:w="700" w:type="dxa"/>
            <w:vAlign w:val="bottom"/>
            <w:shd w:val="clear" w:color="auto" w:fill="CCECFF"/>
          </w:tcPr>
          <w:p>
            <w:pPr>
              <w:spacing w:after="0"/>
              <w:rPr>
                <w:sz w:val="12"/>
                <w:szCs w:val="12"/>
                <w:color w:val="auto"/>
              </w:rPr>
            </w:pPr>
          </w:p>
        </w:tc>
        <w:tc>
          <w:tcPr>
            <w:tcW w:w="240" w:type="dxa"/>
            <w:vAlign w:val="bottom"/>
            <w:shd w:val="clear" w:color="auto" w:fill="CCECFF"/>
          </w:tcPr>
          <w:p>
            <w:pPr>
              <w:spacing w:after="0"/>
              <w:rPr>
                <w:sz w:val="12"/>
                <w:szCs w:val="12"/>
                <w:color w:val="auto"/>
              </w:rPr>
            </w:pPr>
          </w:p>
        </w:tc>
        <w:tc>
          <w:tcPr>
            <w:tcW w:w="80" w:type="dxa"/>
            <w:vAlign w:val="bottom"/>
            <w:shd w:val="clear" w:color="auto" w:fill="CCECFF"/>
          </w:tcPr>
          <w:p>
            <w:pPr>
              <w:spacing w:after="0"/>
              <w:rPr>
                <w:sz w:val="12"/>
                <w:szCs w:val="12"/>
                <w:color w:val="auto"/>
              </w:rPr>
            </w:pPr>
          </w:p>
        </w:tc>
        <w:tc>
          <w:tcPr>
            <w:tcW w:w="720" w:type="dxa"/>
            <w:vAlign w:val="bottom"/>
            <w:shd w:val="clear" w:color="auto" w:fill="CCECFF"/>
          </w:tcPr>
          <w:p>
            <w:pPr>
              <w:spacing w:after="0"/>
              <w:rPr>
                <w:sz w:val="12"/>
                <w:szCs w:val="12"/>
                <w:color w:val="auto"/>
              </w:rPr>
            </w:pPr>
          </w:p>
        </w:tc>
        <w:tc>
          <w:tcPr>
            <w:tcW w:w="100" w:type="dxa"/>
            <w:vAlign w:val="bottom"/>
            <w:shd w:val="clear" w:color="auto" w:fill="CCECFF"/>
          </w:tcPr>
          <w:p>
            <w:pPr>
              <w:spacing w:after="0"/>
              <w:rPr>
                <w:sz w:val="12"/>
                <w:szCs w:val="12"/>
                <w:color w:val="auto"/>
              </w:rPr>
            </w:pPr>
          </w:p>
        </w:tc>
        <w:tc>
          <w:tcPr>
            <w:tcW w:w="0" w:type="dxa"/>
            <w:vAlign w:val="bottom"/>
          </w:tcPr>
          <w:p>
            <w:pPr>
              <w:spacing w:after="0"/>
              <w:rPr>
                <w:sz w:val="1"/>
                <w:szCs w:val="1"/>
                <w:color w:val="auto"/>
              </w:rPr>
            </w:pPr>
          </w:p>
        </w:tc>
      </w:tr>
      <w:tr>
        <w:trPr>
          <w:trHeight w:val="156"/>
        </w:trPr>
        <w:tc>
          <w:tcPr>
            <w:tcW w:w="2940" w:type="dxa"/>
            <w:vAlign w:val="bottom"/>
          </w:tcPr>
          <w:p>
            <w:pPr>
              <w:spacing w:after="0"/>
              <w:rPr>
                <w:sz w:val="20"/>
                <w:szCs w:val="20"/>
                <w:color w:val="auto"/>
              </w:rPr>
            </w:pPr>
            <w:r>
              <w:rPr>
                <w:rFonts w:ascii="Arial" w:cs="Arial" w:eastAsia="Arial" w:hAnsi="Arial"/>
                <w:sz w:val="12"/>
                <w:szCs w:val="12"/>
                <w:color w:val="auto"/>
              </w:rPr>
              <w:t>Superior Digital Displays, LLC</w:t>
            </w:r>
          </w:p>
        </w:tc>
        <w:tc>
          <w:tcPr>
            <w:tcW w:w="1200" w:type="dxa"/>
            <w:vAlign w:val="bottom"/>
          </w:tcPr>
          <w:p>
            <w:pPr>
              <w:ind w:left="120"/>
              <w:spacing w:after="0"/>
              <w:rPr>
                <w:sz w:val="20"/>
                <w:szCs w:val="20"/>
                <w:color w:val="auto"/>
              </w:rPr>
            </w:pPr>
            <w:r>
              <w:rPr>
                <w:rFonts w:ascii="Arial" w:cs="Arial" w:eastAsia="Arial" w:hAnsi="Arial"/>
                <w:sz w:val="12"/>
                <w:szCs w:val="12"/>
                <w:color w:val="auto"/>
              </w:rPr>
              <w:t>12/31/2018</w:t>
            </w:r>
          </w:p>
        </w:tc>
        <w:tc>
          <w:tcPr>
            <w:tcW w:w="1980" w:type="dxa"/>
            <w:vAlign w:val="bottom"/>
          </w:tcPr>
          <w:p>
            <w:pPr>
              <w:jc w:val="center"/>
              <w:spacing w:after="0"/>
              <w:rPr>
                <w:sz w:val="20"/>
                <w:szCs w:val="20"/>
                <w:color w:val="auto"/>
              </w:rPr>
            </w:pPr>
            <w:r>
              <w:rPr>
                <w:rFonts w:ascii="Arial" w:cs="Arial" w:eastAsia="Arial" w:hAnsi="Arial"/>
                <w:sz w:val="12"/>
                <w:szCs w:val="12"/>
                <w:color w:val="auto"/>
                <w:w w:val="91"/>
              </w:rPr>
              <w:t>Media</w:t>
            </w:r>
          </w:p>
        </w:tc>
        <w:tc>
          <w:tcPr>
            <w:tcW w:w="1260" w:type="dxa"/>
            <w:vAlign w:val="bottom"/>
            <w:gridSpan w:val="2"/>
          </w:tcPr>
          <w:p>
            <w:pPr>
              <w:jc w:val="right"/>
              <w:ind w:right="60"/>
              <w:spacing w:after="0"/>
              <w:rPr>
                <w:sz w:val="20"/>
                <w:szCs w:val="20"/>
                <w:color w:val="auto"/>
              </w:rPr>
            </w:pPr>
            <w:r>
              <w:rPr>
                <w:rFonts w:ascii="Arial" w:cs="Arial" w:eastAsia="Arial" w:hAnsi="Arial"/>
                <w:sz w:val="12"/>
                <w:szCs w:val="12"/>
                <w:color w:val="auto"/>
              </w:rPr>
              <w:t>10.30%</w:t>
            </w:r>
          </w:p>
        </w:tc>
        <w:tc>
          <w:tcPr>
            <w:tcW w:w="900" w:type="dxa"/>
            <w:vAlign w:val="bottom"/>
            <w:gridSpan w:val="2"/>
          </w:tcPr>
          <w:p>
            <w:pPr>
              <w:jc w:val="right"/>
              <w:ind w:right="120"/>
              <w:spacing w:after="0"/>
              <w:rPr>
                <w:sz w:val="20"/>
                <w:szCs w:val="20"/>
                <w:color w:val="auto"/>
              </w:rPr>
            </w:pPr>
            <w:r>
              <w:rPr>
                <w:rFonts w:ascii="Arial" w:cs="Arial" w:eastAsia="Arial" w:hAnsi="Arial"/>
                <w:sz w:val="12"/>
                <w:szCs w:val="12"/>
                <w:color w:val="auto"/>
              </w:rPr>
              <w:t>L+900</w:t>
            </w:r>
          </w:p>
        </w:tc>
        <w:tc>
          <w:tcPr>
            <w:tcW w:w="800" w:type="dxa"/>
            <w:vAlign w:val="bottom"/>
          </w:tcPr>
          <w:p>
            <w:pPr>
              <w:jc w:val="right"/>
              <w:spacing w:after="0"/>
              <w:rPr>
                <w:sz w:val="20"/>
                <w:szCs w:val="20"/>
                <w:color w:val="auto"/>
              </w:rPr>
            </w:pPr>
            <w:r>
              <w:rPr>
                <w:rFonts w:ascii="Arial" w:cs="Arial" w:eastAsia="Arial" w:hAnsi="Arial"/>
                <w:sz w:val="12"/>
                <w:szCs w:val="12"/>
                <w:color w:val="auto"/>
              </w:rPr>
              <w:t>29,386,130</w:t>
            </w:r>
          </w:p>
        </w:tc>
        <w:tc>
          <w:tcPr>
            <w:tcW w:w="2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00" w:type="dxa"/>
            <w:vAlign w:val="bottom"/>
          </w:tcPr>
          <w:p>
            <w:pPr>
              <w:jc w:val="right"/>
              <w:spacing w:after="0"/>
              <w:rPr>
                <w:sz w:val="20"/>
                <w:szCs w:val="20"/>
                <w:color w:val="auto"/>
              </w:rPr>
            </w:pPr>
            <w:r>
              <w:rPr>
                <w:rFonts w:ascii="Arial" w:cs="Arial" w:eastAsia="Arial" w:hAnsi="Arial"/>
                <w:sz w:val="12"/>
                <w:szCs w:val="12"/>
                <w:color w:val="auto"/>
              </w:rPr>
              <w:t>28,085,580</w:t>
            </w:r>
          </w:p>
        </w:tc>
        <w:tc>
          <w:tcPr>
            <w:tcW w:w="2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720" w:type="dxa"/>
            <w:vAlign w:val="bottom"/>
          </w:tcPr>
          <w:p>
            <w:pPr>
              <w:jc w:val="right"/>
              <w:spacing w:after="0"/>
              <w:rPr>
                <w:sz w:val="20"/>
                <w:szCs w:val="20"/>
                <w:color w:val="auto"/>
              </w:rPr>
            </w:pPr>
            <w:r>
              <w:rPr>
                <w:rFonts w:ascii="Arial" w:cs="Arial" w:eastAsia="Arial" w:hAnsi="Arial"/>
                <w:sz w:val="12"/>
                <w:szCs w:val="12"/>
                <w:color w:val="auto"/>
              </w:rPr>
              <w:t>29,386,130</w:t>
            </w: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1"/>
        </w:trPr>
        <w:tc>
          <w:tcPr>
            <w:tcW w:w="2940" w:type="dxa"/>
            <w:vAlign w:val="bottom"/>
            <w:tcBorders>
              <w:bottom w:val="single" w:sz="8" w:color="CCECFF"/>
            </w:tcBorders>
          </w:tcPr>
          <w:p>
            <w:pPr>
              <w:spacing w:after="0"/>
              <w:rPr>
                <w:sz w:val="12"/>
                <w:szCs w:val="12"/>
                <w:color w:val="auto"/>
              </w:rPr>
            </w:pPr>
          </w:p>
        </w:tc>
        <w:tc>
          <w:tcPr>
            <w:tcW w:w="1200" w:type="dxa"/>
            <w:vAlign w:val="bottom"/>
            <w:tcBorders>
              <w:bottom w:val="single" w:sz="8" w:color="CCECFF"/>
            </w:tcBorders>
          </w:tcPr>
          <w:p>
            <w:pPr>
              <w:spacing w:after="0"/>
              <w:rPr>
                <w:sz w:val="12"/>
                <w:szCs w:val="12"/>
                <w:color w:val="auto"/>
              </w:rPr>
            </w:pPr>
          </w:p>
        </w:tc>
        <w:tc>
          <w:tcPr>
            <w:tcW w:w="1980" w:type="dxa"/>
            <w:vAlign w:val="bottom"/>
            <w:tcBorders>
              <w:bottom w:val="single" w:sz="8" w:color="CCECFF"/>
            </w:tcBorders>
          </w:tcPr>
          <w:p>
            <w:pPr>
              <w:spacing w:after="0"/>
              <w:rPr>
                <w:sz w:val="12"/>
                <w:szCs w:val="12"/>
                <w:color w:val="auto"/>
              </w:rPr>
            </w:pPr>
          </w:p>
        </w:tc>
        <w:tc>
          <w:tcPr>
            <w:tcW w:w="1260" w:type="dxa"/>
            <w:vAlign w:val="bottom"/>
            <w:tcBorders>
              <w:bottom w:val="single" w:sz="8" w:color="CCECFF"/>
            </w:tcBorders>
            <w:gridSpan w:val="2"/>
          </w:tcPr>
          <w:p>
            <w:pPr>
              <w:ind w:left="560"/>
              <w:spacing w:after="0"/>
              <w:rPr>
                <w:sz w:val="20"/>
                <w:szCs w:val="20"/>
                <w:color w:val="auto"/>
              </w:rPr>
            </w:pPr>
            <w:r>
              <w:rPr>
                <w:rFonts w:ascii="Arial" w:cs="Arial" w:eastAsia="Arial" w:hAnsi="Arial"/>
                <w:sz w:val="12"/>
                <w:szCs w:val="12"/>
                <w:color w:val="auto"/>
                <w:w w:val="95"/>
              </w:rPr>
              <w:t>(PIK 10.30%)</w:t>
            </w:r>
          </w:p>
        </w:tc>
        <w:tc>
          <w:tcPr>
            <w:tcW w:w="800" w:type="dxa"/>
            <w:vAlign w:val="bottom"/>
            <w:tcBorders>
              <w:bottom w:val="single" w:sz="8" w:color="CCECFF"/>
            </w:tcBorders>
          </w:tcPr>
          <w:p>
            <w:pPr>
              <w:spacing w:after="0"/>
              <w:rPr>
                <w:sz w:val="12"/>
                <w:szCs w:val="12"/>
                <w:color w:val="auto"/>
              </w:rPr>
            </w:pPr>
          </w:p>
        </w:tc>
        <w:tc>
          <w:tcPr>
            <w:tcW w:w="100" w:type="dxa"/>
            <w:vAlign w:val="bottom"/>
            <w:tcBorders>
              <w:bottom w:val="single" w:sz="8" w:color="CCECFF"/>
            </w:tcBorders>
          </w:tcPr>
          <w:p>
            <w:pPr>
              <w:spacing w:after="0"/>
              <w:rPr>
                <w:sz w:val="12"/>
                <w:szCs w:val="12"/>
                <w:color w:val="auto"/>
              </w:rPr>
            </w:pPr>
          </w:p>
        </w:tc>
        <w:tc>
          <w:tcPr>
            <w:tcW w:w="800" w:type="dxa"/>
            <w:vAlign w:val="bottom"/>
            <w:tcBorders>
              <w:bottom w:val="single" w:sz="8" w:color="CCECFF"/>
            </w:tcBorders>
          </w:tcPr>
          <w:p>
            <w:pPr>
              <w:spacing w:after="0"/>
              <w:rPr>
                <w:sz w:val="12"/>
                <w:szCs w:val="12"/>
                <w:color w:val="auto"/>
              </w:rPr>
            </w:pPr>
          </w:p>
        </w:tc>
        <w:tc>
          <w:tcPr>
            <w:tcW w:w="220" w:type="dxa"/>
            <w:vAlign w:val="bottom"/>
            <w:tcBorders>
              <w:bottom w:val="single" w:sz="8" w:color="CCECFF"/>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700" w:type="dxa"/>
            <w:vAlign w:val="bottom"/>
            <w:tcBorders>
              <w:bottom w:val="single" w:sz="8" w:color="auto"/>
            </w:tcBorders>
          </w:tcPr>
          <w:p>
            <w:pPr>
              <w:spacing w:after="0"/>
              <w:rPr>
                <w:sz w:val="12"/>
                <w:szCs w:val="12"/>
                <w:color w:val="auto"/>
              </w:rPr>
            </w:pPr>
          </w:p>
        </w:tc>
        <w:tc>
          <w:tcPr>
            <w:tcW w:w="240" w:type="dxa"/>
            <w:vAlign w:val="bottom"/>
            <w:tcBorders>
              <w:bottom w:val="single" w:sz="8" w:color="CCECFF"/>
            </w:tcBorders>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720" w:type="dxa"/>
            <w:vAlign w:val="bottom"/>
            <w:tcBorders>
              <w:bottom w:val="single" w:sz="8" w:color="auto"/>
            </w:tcBorders>
          </w:tcPr>
          <w:p>
            <w:pPr>
              <w:spacing w:after="0"/>
              <w:rPr>
                <w:sz w:val="12"/>
                <w:szCs w:val="12"/>
                <w:color w:val="auto"/>
              </w:rPr>
            </w:pPr>
          </w:p>
        </w:tc>
        <w:tc>
          <w:tcPr>
            <w:tcW w:w="100" w:type="dxa"/>
            <w:vAlign w:val="bottom"/>
            <w:tcBorders>
              <w:bottom w:val="single" w:sz="8" w:color="CCECFF"/>
            </w:tcBorders>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2940" w:type="dxa"/>
            <w:vAlign w:val="bottom"/>
            <w:shd w:val="clear" w:color="auto" w:fill="CCECFF"/>
          </w:tcPr>
          <w:p>
            <w:pPr>
              <w:spacing w:after="0"/>
              <w:rPr>
                <w:sz w:val="20"/>
                <w:szCs w:val="20"/>
                <w:color w:val="auto"/>
              </w:rPr>
            </w:pPr>
            <w:r>
              <w:rPr>
                <w:rFonts w:ascii="Arial" w:cs="Arial" w:eastAsia="Arial" w:hAnsi="Arial"/>
                <w:sz w:val="12"/>
                <w:szCs w:val="12"/>
                <w:b w:val="1"/>
                <w:bCs w:val="1"/>
                <w:color w:val="auto"/>
              </w:rPr>
              <w:t>Total First Lien Secured Debt</w:t>
            </w:r>
          </w:p>
        </w:tc>
        <w:tc>
          <w:tcPr>
            <w:tcW w:w="1200" w:type="dxa"/>
            <w:vAlign w:val="bottom"/>
            <w:shd w:val="clear" w:color="auto" w:fill="CCECFF"/>
          </w:tcPr>
          <w:p>
            <w:pPr>
              <w:spacing w:after="0"/>
              <w:rPr>
                <w:sz w:val="12"/>
                <w:szCs w:val="12"/>
                <w:color w:val="auto"/>
              </w:rPr>
            </w:pPr>
          </w:p>
        </w:tc>
        <w:tc>
          <w:tcPr>
            <w:tcW w:w="1980" w:type="dxa"/>
            <w:vAlign w:val="bottom"/>
            <w:shd w:val="clear" w:color="auto" w:fill="CCECFF"/>
          </w:tcPr>
          <w:p>
            <w:pPr>
              <w:spacing w:after="0"/>
              <w:rPr>
                <w:sz w:val="12"/>
                <w:szCs w:val="12"/>
                <w:color w:val="auto"/>
              </w:rPr>
            </w:pPr>
          </w:p>
        </w:tc>
        <w:tc>
          <w:tcPr>
            <w:tcW w:w="1100" w:type="dxa"/>
            <w:vAlign w:val="bottom"/>
            <w:shd w:val="clear" w:color="auto" w:fill="CCECFF"/>
          </w:tcPr>
          <w:p>
            <w:pPr>
              <w:spacing w:after="0"/>
              <w:rPr>
                <w:sz w:val="12"/>
                <w:szCs w:val="12"/>
                <w:color w:val="auto"/>
              </w:rPr>
            </w:pPr>
          </w:p>
        </w:tc>
        <w:tc>
          <w:tcPr>
            <w:tcW w:w="160" w:type="dxa"/>
            <w:vAlign w:val="bottom"/>
            <w:shd w:val="clear" w:color="auto" w:fill="CCECFF"/>
          </w:tcPr>
          <w:p>
            <w:pPr>
              <w:spacing w:after="0"/>
              <w:rPr>
                <w:sz w:val="12"/>
                <w:szCs w:val="12"/>
                <w:color w:val="auto"/>
              </w:rPr>
            </w:pPr>
          </w:p>
        </w:tc>
        <w:tc>
          <w:tcPr>
            <w:tcW w:w="800" w:type="dxa"/>
            <w:vAlign w:val="bottom"/>
            <w:shd w:val="clear" w:color="auto" w:fill="CCECFF"/>
          </w:tcPr>
          <w:p>
            <w:pPr>
              <w:spacing w:after="0"/>
              <w:rPr>
                <w:sz w:val="12"/>
                <w:szCs w:val="12"/>
                <w:color w:val="auto"/>
              </w:rPr>
            </w:pPr>
          </w:p>
        </w:tc>
        <w:tc>
          <w:tcPr>
            <w:tcW w:w="100" w:type="dxa"/>
            <w:vAlign w:val="bottom"/>
            <w:shd w:val="clear" w:color="auto" w:fill="CCECFF"/>
          </w:tcPr>
          <w:p>
            <w:pPr>
              <w:spacing w:after="0"/>
              <w:rPr>
                <w:sz w:val="12"/>
                <w:szCs w:val="12"/>
                <w:color w:val="auto"/>
              </w:rPr>
            </w:pPr>
          </w:p>
        </w:tc>
        <w:tc>
          <w:tcPr>
            <w:tcW w:w="800" w:type="dxa"/>
            <w:vAlign w:val="bottom"/>
            <w:shd w:val="clear" w:color="auto" w:fill="CCECFF"/>
          </w:tcPr>
          <w:p>
            <w:pPr>
              <w:spacing w:after="0"/>
              <w:rPr>
                <w:sz w:val="12"/>
                <w:szCs w:val="12"/>
                <w:color w:val="auto"/>
              </w:rPr>
            </w:pPr>
          </w:p>
        </w:tc>
        <w:tc>
          <w:tcPr>
            <w:tcW w:w="220" w:type="dxa"/>
            <w:vAlign w:val="bottom"/>
            <w:shd w:val="clear" w:color="auto" w:fill="CCECFF"/>
          </w:tcPr>
          <w:p>
            <w:pPr>
              <w:spacing w:after="0"/>
              <w:rPr>
                <w:sz w:val="12"/>
                <w:szCs w:val="12"/>
                <w:color w:val="auto"/>
              </w:rPr>
            </w:pPr>
          </w:p>
        </w:tc>
        <w:tc>
          <w:tcPr>
            <w:tcW w:w="100" w:type="dxa"/>
            <w:vAlign w:val="bottom"/>
            <w:tcBorders>
              <w:bottom w:val="single" w:sz="8" w:color="auto"/>
            </w:tcBorders>
            <w:shd w:val="clear" w:color="auto" w:fill="CCECFF"/>
          </w:tcPr>
          <w:p>
            <w:pPr>
              <w:spacing w:after="0"/>
              <w:rPr>
                <w:sz w:val="12"/>
                <w:szCs w:val="12"/>
                <w:color w:val="auto"/>
              </w:rPr>
            </w:pPr>
          </w:p>
        </w:tc>
        <w:tc>
          <w:tcPr>
            <w:tcW w:w="700" w:type="dxa"/>
            <w:vAlign w:val="bottom"/>
            <w:tcBorders>
              <w:bottom w:val="single" w:sz="8" w:color="auto"/>
            </w:tcBorders>
            <w:shd w:val="clear" w:color="auto" w:fill="CCECFF"/>
          </w:tcPr>
          <w:p>
            <w:pPr>
              <w:jc w:val="right"/>
              <w:spacing w:after="0"/>
              <w:rPr>
                <w:sz w:val="20"/>
                <w:szCs w:val="20"/>
                <w:color w:val="auto"/>
              </w:rPr>
            </w:pPr>
            <w:r>
              <w:rPr>
                <w:rFonts w:ascii="Arial" w:cs="Arial" w:eastAsia="Arial" w:hAnsi="Arial"/>
                <w:sz w:val="12"/>
                <w:szCs w:val="12"/>
                <w:color w:val="auto"/>
              </w:rPr>
              <w:t>118,525,931</w:t>
            </w:r>
          </w:p>
        </w:tc>
        <w:tc>
          <w:tcPr>
            <w:tcW w:w="240" w:type="dxa"/>
            <w:vAlign w:val="bottom"/>
            <w:shd w:val="clear" w:color="auto" w:fill="CCECFF"/>
          </w:tcPr>
          <w:p>
            <w:pPr>
              <w:spacing w:after="0"/>
              <w:rPr>
                <w:sz w:val="12"/>
                <w:szCs w:val="12"/>
                <w:color w:val="auto"/>
              </w:rPr>
            </w:pPr>
          </w:p>
        </w:tc>
        <w:tc>
          <w:tcPr>
            <w:tcW w:w="80" w:type="dxa"/>
            <w:vAlign w:val="bottom"/>
            <w:tcBorders>
              <w:bottom w:val="single" w:sz="8" w:color="auto"/>
            </w:tcBorders>
            <w:shd w:val="clear" w:color="auto" w:fill="CCECFF"/>
          </w:tcPr>
          <w:p>
            <w:pPr>
              <w:spacing w:after="0"/>
              <w:rPr>
                <w:sz w:val="12"/>
                <w:szCs w:val="12"/>
                <w:color w:val="auto"/>
              </w:rPr>
            </w:pPr>
          </w:p>
        </w:tc>
        <w:tc>
          <w:tcPr>
            <w:tcW w:w="720" w:type="dxa"/>
            <w:vAlign w:val="bottom"/>
            <w:tcBorders>
              <w:bottom w:val="single" w:sz="8" w:color="auto"/>
            </w:tcBorders>
            <w:shd w:val="clear" w:color="auto" w:fill="CCECFF"/>
          </w:tcPr>
          <w:p>
            <w:pPr>
              <w:jc w:val="right"/>
              <w:spacing w:after="0"/>
              <w:rPr>
                <w:sz w:val="20"/>
                <w:szCs w:val="20"/>
                <w:color w:val="auto"/>
              </w:rPr>
            </w:pPr>
            <w:r>
              <w:rPr>
                <w:rFonts w:ascii="Arial" w:cs="Arial" w:eastAsia="Arial" w:hAnsi="Arial"/>
                <w:sz w:val="12"/>
                <w:szCs w:val="12"/>
                <w:color w:val="auto"/>
              </w:rPr>
              <w:t>102,542,728</w:t>
            </w:r>
          </w:p>
        </w:tc>
        <w:tc>
          <w:tcPr>
            <w:tcW w:w="100" w:type="dxa"/>
            <w:vAlign w:val="bottom"/>
            <w:shd w:val="clear" w:color="auto" w:fill="CCECFF"/>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2940" w:type="dxa"/>
            <w:vAlign w:val="bottom"/>
          </w:tcPr>
          <w:p>
            <w:pPr>
              <w:spacing w:after="0"/>
              <w:rPr>
                <w:sz w:val="20"/>
                <w:szCs w:val="20"/>
                <w:color w:val="auto"/>
              </w:rPr>
            </w:pPr>
            <w:r>
              <w:rPr>
                <w:rFonts w:ascii="Arial" w:cs="Arial" w:eastAsia="Arial" w:hAnsi="Arial"/>
                <w:sz w:val="12"/>
                <w:szCs w:val="12"/>
                <w:b w:val="1"/>
                <w:bCs w:val="1"/>
                <w:color w:val="auto"/>
              </w:rPr>
              <w:t xml:space="preserve">Preferred Equity—3.2% </w:t>
            </w:r>
            <w:r>
              <w:rPr>
                <w:rFonts w:ascii="Arial" w:cs="Arial" w:eastAsia="Arial" w:hAnsi="Arial"/>
                <w:sz w:val="9"/>
                <w:szCs w:val="9"/>
                <w:b w:val="1"/>
                <w:bCs w:val="1"/>
                <w:color w:val="auto"/>
              </w:rPr>
              <w:t>(6)</w:t>
            </w:r>
          </w:p>
        </w:tc>
        <w:tc>
          <w:tcPr>
            <w:tcW w:w="1200" w:type="dxa"/>
            <w:vAlign w:val="bottom"/>
          </w:tcPr>
          <w:p>
            <w:pPr>
              <w:spacing w:after="0"/>
              <w:rPr>
                <w:sz w:val="12"/>
                <w:szCs w:val="12"/>
                <w:color w:val="auto"/>
              </w:rPr>
            </w:pPr>
          </w:p>
        </w:tc>
        <w:tc>
          <w:tcPr>
            <w:tcW w:w="198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940" w:type="dxa"/>
            <w:vAlign w:val="bottom"/>
            <w:shd w:val="clear" w:color="auto" w:fill="CCECFF"/>
          </w:tcPr>
          <w:p>
            <w:pPr>
              <w:spacing w:after="0"/>
              <w:rPr>
                <w:sz w:val="20"/>
                <w:szCs w:val="20"/>
                <w:color w:val="auto"/>
              </w:rPr>
            </w:pPr>
            <w:r>
              <w:rPr>
                <w:rFonts w:ascii="Arial" w:cs="Arial" w:eastAsia="Arial" w:hAnsi="Arial"/>
                <w:sz w:val="12"/>
                <w:szCs w:val="12"/>
                <w:color w:val="auto"/>
              </w:rPr>
              <w:t>MidOcean JF Holdings Corp.</w:t>
            </w:r>
          </w:p>
        </w:tc>
        <w:tc>
          <w:tcPr>
            <w:tcW w:w="1200" w:type="dxa"/>
            <w:vAlign w:val="bottom"/>
            <w:shd w:val="clear" w:color="auto" w:fill="CCECFF"/>
          </w:tcPr>
          <w:p>
            <w:pPr>
              <w:ind w:left="380"/>
              <w:spacing w:after="0"/>
              <w:rPr>
                <w:sz w:val="20"/>
                <w:szCs w:val="20"/>
                <w:color w:val="auto"/>
              </w:rPr>
            </w:pPr>
            <w:r>
              <w:rPr>
                <w:rFonts w:ascii="Arial" w:cs="Arial" w:eastAsia="Arial" w:hAnsi="Arial"/>
                <w:sz w:val="12"/>
                <w:szCs w:val="12"/>
                <w:color w:val="auto"/>
              </w:rPr>
              <w:t>—</w:t>
            </w:r>
          </w:p>
        </w:tc>
        <w:tc>
          <w:tcPr>
            <w:tcW w:w="1980" w:type="dxa"/>
            <w:vAlign w:val="bottom"/>
            <w:shd w:val="clear" w:color="auto" w:fill="CCECFF"/>
          </w:tcPr>
          <w:p>
            <w:pPr>
              <w:jc w:val="center"/>
              <w:spacing w:after="0"/>
              <w:rPr>
                <w:sz w:val="20"/>
                <w:szCs w:val="20"/>
                <w:color w:val="auto"/>
              </w:rPr>
            </w:pPr>
            <w:r>
              <w:rPr>
                <w:rFonts w:ascii="Arial" w:cs="Arial" w:eastAsia="Arial" w:hAnsi="Arial"/>
                <w:sz w:val="12"/>
                <w:szCs w:val="12"/>
                <w:color w:val="auto"/>
                <w:w w:val="93"/>
              </w:rPr>
              <w:t>Distribution</w:t>
            </w:r>
          </w:p>
        </w:tc>
        <w:tc>
          <w:tcPr>
            <w:tcW w:w="1260" w:type="dxa"/>
            <w:vAlign w:val="bottom"/>
            <w:gridSpan w:val="2"/>
            <w:shd w:val="clear" w:color="auto" w:fill="CCECFF"/>
          </w:tcPr>
          <w:p>
            <w:pPr>
              <w:jc w:val="right"/>
              <w:ind w:right="180"/>
              <w:spacing w:after="0"/>
              <w:rPr>
                <w:sz w:val="20"/>
                <w:szCs w:val="20"/>
                <w:color w:val="auto"/>
              </w:rPr>
            </w:pPr>
            <w:r>
              <w:rPr>
                <w:rFonts w:ascii="Arial" w:cs="Arial" w:eastAsia="Arial" w:hAnsi="Arial"/>
                <w:sz w:val="12"/>
                <w:szCs w:val="12"/>
                <w:color w:val="auto"/>
              </w:rPr>
              <w:t>—</w:t>
            </w:r>
          </w:p>
        </w:tc>
        <w:tc>
          <w:tcPr>
            <w:tcW w:w="900" w:type="dxa"/>
            <w:vAlign w:val="bottom"/>
            <w:gridSpan w:val="2"/>
            <w:shd w:val="clear" w:color="auto" w:fill="CCECFF"/>
          </w:tcPr>
          <w:p>
            <w:pPr>
              <w:jc w:val="right"/>
              <w:ind w:right="120"/>
              <w:spacing w:after="0"/>
              <w:rPr>
                <w:sz w:val="20"/>
                <w:szCs w:val="20"/>
                <w:color w:val="auto"/>
              </w:rPr>
            </w:pPr>
            <w:r>
              <w:rPr>
                <w:rFonts w:ascii="Arial" w:cs="Arial" w:eastAsia="Arial" w:hAnsi="Arial"/>
                <w:sz w:val="12"/>
                <w:szCs w:val="12"/>
                <w:color w:val="auto"/>
              </w:rPr>
              <w:t>—</w:t>
            </w:r>
          </w:p>
        </w:tc>
        <w:tc>
          <w:tcPr>
            <w:tcW w:w="800" w:type="dxa"/>
            <w:vAlign w:val="bottom"/>
            <w:shd w:val="clear" w:color="auto" w:fill="CCECFF"/>
          </w:tcPr>
          <w:p>
            <w:pPr>
              <w:jc w:val="right"/>
              <w:spacing w:after="0"/>
              <w:rPr>
                <w:sz w:val="20"/>
                <w:szCs w:val="20"/>
                <w:color w:val="auto"/>
              </w:rPr>
            </w:pPr>
            <w:r>
              <w:rPr>
                <w:rFonts w:ascii="Arial" w:cs="Arial" w:eastAsia="Arial" w:hAnsi="Arial"/>
                <w:sz w:val="12"/>
                <w:szCs w:val="12"/>
                <w:color w:val="auto"/>
              </w:rPr>
              <w:t>143,183</w:t>
            </w:r>
          </w:p>
        </w:tc>
        <w:tc>
          <w:tcPr>
            <w:tcW w:w="220" w:type="dxa"/>
            <w:vAlign w:val="bottom"/>
            <w:shd w:val="clear" w:color="auto" w:fill="CCECFF"/>
          </w:tcPr>
          <w:p>
            <w:pPr>
              <w:spacing w:after="0"/>
              <w:rPr>
                <w:sz w:val="12"/>
                <w:szCs w:val="12"/>
                <w:color w:val="auto"/>
              </w:rPr>
            </w:pPr>
          </w:p>
        </w:tc>
        <w:tc>
          <w:tcPr>
            <w:tcW w:w="100" w:type="dxa"/>
            <w:vAlign w:val="bottom"/>
            <w:shd w:val="clear" w:color="auto" w:fill="CCECFF"/>
          </w:tcPr>
          <w:p>
            <w:pPr>
              <w:spacing w:after="0"/>
              <w:rPr>
                <w:sz w:val="12"/>
                <w:szCs w:val="12"/>
                <w:color w:val="auto"/>
              </w:rPr>
            </w:pPr>
          </w:p>
        </w:tc>
        <w:tc>
          <w:tcPr>
            <w:tcW w:w="700" w:type="dxa"/>
            <w:vAlign w:val="bottom"/>
            <w:shd w:val="clear" w:color="auto" w:fill="CCECFF"/>
          </w:tcPr>
          <w:p>
            <w:pPr>
              <w:jc w:val="right"/>
              <w:spacing w:after="0"/>
              <w:rPr>
                <w:sz w:val="20"/>
                <w:szCs w:val="20"/>
                <w:color w:val="auto"/>
              </w:rPr>
            </w:pPr>
            <w:r>
              <w:rPr>
                <w:rFonts w:ascii="Arial" w:cs="Arial" w:eastAsia="Arial" w:hAnsi="Arial"/>
                <w:sz w:val="12"/>
                <w:szCs w:val="12"/>
                <w:color w:val="auto"/>
              </w:rPr>
              <w:t>14,318,325</w:t>
            </w:r>
          </w:p>
        </w:tc>
        <w:tc>
          <w:tcPr>
            <w:tcW w:w="240" w:type="dxa"/>
            <w:vAlign w:val="bottom"/>
            <w:shd w:val="clear" w:color="auto" w:fill="CCECFF"/>
          </w:tcPr>
          <w:p>
            <w:pPr>
              <w:spacing w:after="0"/>
              <w:rPr>
                <w:sz w:val="12"/>
                <w:szCs w:val="12"/>
                <w:color w:val="auto"/>
              </w:rPr>
            </w:pPr>
          </w:p>
        </w:tc>
        <w:tc>
          <w:tcPr>
            <w:tcW w:w="80" w:type="dxa"/>
            <w:vAlign w:val="bottom"/>
            <w:shd w:val="clear" w:color="auto" w:fill="CCECFF"/>
          </w:tcPr>
          <w:p>
            <w:pPr>
              <w:spacing w:after="0"/>
              <w:rPr>
                <w:sz w:val="12"/>
                <w:szCs w:val="12"/>
                <w:color w:val="auto"/>
              </w:rPr>
            </w:pPr>
          </w:p>
        </w:tc>
        <w:tc>
          <w:tcPr>
            <w:tcW w:w="720" w:type="dxa"/>
            <w:vAlign w:val="bottom"/>
            <w:shd w:val="clear" w:color="auto" w:fill="CCECFF"/>
          </w:tcPr>
          <w:p>
            <w:pPr>
              <w:jc w:val="right"/>
              <w:spacing w:after="0"/>
              <w:rPr>
                <w:sz w:val="20"/>
                <w:szCs w:val="20"/>
                <w:color w:val="auto"/>
              </w:rPr>
            </w:pPr>
            <w:r>
              <w:rPr>
                <w:rFonts w:ascii="Arial" w:cs="Arial" w:eastAsia="Arial" w:hAnsi="Arial"/>
                <w:sz w:val="12"/>
                <w:szCs w:val="12"/>
                <w:color w:val="auto"/>
              </w:rPr>
              <w:t>17,916,213</w:t>
            </w:r>
          </w:p>
        </w:tc>
        <w:tc>
          <w:tcPr>
            <w:tcW w:w="100" w:type="dxa"/>
            <w:vAlign w:val="bottom"/>
            <w:shd w:val="clear" w:color="auto" w:fill="CCECFF"/>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940" w:type="dxa"/>
            <w:vAlign w:val="bottom"/>
            <w:tcBorders>
              <w:bottom w:val="single" w:sz="8" w:color="CCECFF"/>
            </w:tcBorders>
          </w:tcPr>
          <w:p>
            <w:pPr>
              <w:spacing w:after="0"/>
              <w:rPr>
                <w:sz w:val="20"/>
                <w:szCs w:val="20"/>
                <w:color w:val="auto"/>
              </w:rPr>
            </w:pPr>
            <w:r>
              <w:rPr>
                <w:rFonts w:ascii="Arial" w:cs="Arial" w:eastAsia="Arial" w:hAnsi="Arial"/>
                <w:sz w:val="12"/>
                <w:szCs w:val="12"/>
                <w:color w:val="auto"/>
              </w:rPr>
              <w:t>Superior Digital Displays Holdings, Inc.</w:t>
            </w:r>
          </w:p>
        </w:tc>
        <w:tc>
          <w:tcPr>
            <w:tcW w:w="1200" w:type="dxa"/>
            <w:vAlign w:val="bottom"/>
            <w:tcBorders>
              <w:bottom w:val="single" w:sz="8" w:color="CCECFF"/>
            </w:tcBorders>
          </w:tcPr>
          <w:p>
            <w:pPr>
              <w:ind w:left="380"/>
              <w:spacing w:after="0"/>
              <w:rPr>
                <w:sz w:val="20"/>
                <w:szCs w:val="20"/>
                <w:color w:val="auto"/>
              </w:rPr>
            </w:pPr>
            <w:r>
              <w:rPr>
                <w:rFonts w:ascii="Arial" w:cs="Arial" w:eastAsia="Arial" w:hAnsi="Arial"/>
                <w:sz w:val="12"/>
                <w:szCs w:val="12"/>
                <w:color w:val="auto"/>
              </w:rPr>
              <w:t>—</w:t>
            </w:r>
          </w:p>
        </w:tc>
        <w:tc>
          <w:tcPr>
            <w:tcW w:w="1980" w:type="dxa"/>
            <w:vAlign w:val="bottom"/>
            <w:tcBorders>
              <w:bottom w:val="single" w:sz="8" w:color="CCECFF"/>
            </w:tcBorders>
          </w:tcPr>
          <w:p>
            <w:pPr>
              <w:jc w:val="center"/>
              <w:spacing w:after="0"/>
              <w:rPr>
                <w:sz w:val="20"/>
                <w:szCs w:val="20"/>
                <w:color w:val="auto"/>
              </w:rPr>
            </w:pPr>
            <w:r>
              <w:rPr>
                <w:rFonts w:ascii="Arial" w:cs="Arial" w:eastAsia="Arial" w:hAnsi="Arial"/>
                <w:sz w:val="12"/>
                <w:szCs w:val="12"/>
                <w:color w:val="auto"/>
                <w:w w:val="91"/>
              </w:rPr>
              <w:t>Media</w:t>
            </w:r>
          </w:p>
        </w:tc>
        <w:tc>
          <w:tcPr>
            <w:tcW w:w="1260" w:type="dxa"/>
            <w:vAlign w:val="bottom"/>
            <w:tcBorders>
              <w:bottom w:val="single" w:sz="8" w:color="CCECFF"/>
            </w:tcBorders>
            <w:gridSpan w:val="2"/>
          </w:tcPr>
          <w:p>
            <w:pPr>
              <w:jc w:val="right"/>
              <w:ind w:right="60"/>
              <w:spacing w:after="0"/>
              <w:rPr>
                <w:sz w:val="20"/>
                <w:szCs w:val="20"/>
                <w:color w:val="auto"/>
              </w:rPr>
            </w:pPr>
            <w:r>
              <w:rPr>
                <w:rFonts w:ascii="Arial" w:cs="Arial" w:eastAsia="Arial" w:hAnsi="Arial"/>
                <w:sz w:val="12"/>
                <w:szCs w:val="12"/>
                <w:color w:val="auto"/>
              </w:rPr>
              <w:t>15.00%</w:t>
            </w:r>
          </w:p>
        </w:tc>
        <w:tc>
          <w:tcPr>
            <w:tcW w:w="900" w:type="dxa"/>
            <w:vAlign w:val="bottom"/>
            <w:tcBorders>
              <w:bottom w:val="single" w:sz="8" w:color="CCECFF"/>
            </w:tcBorders>
            <w:gridSpan w:val="2"/>
          </w:tcPr>
          <w:p>
            <w:pPr>
              <w:jc w:val="right"/>
              <w:ind w:right="120"/>
              <w:spacing w:after="0"/>
              <w:rPr>
                <w:sz w:val="20"/>
                <w:szCs w:val="20"/>
                <w:color w:val="auto"/>
              </w:rPr>
            </w:pPr>
            <w:r>
              <w:rPr>
                <w:rFonts w:ascii="Arial" w:cs="Arial" w:eastAsia="Arial" w:hAnsi="Arial"/>
                <w:sz w:val="12"/>
                <w:szCs w:val="12"/>
                <w:color w:val="auto"/>
              </w:rPr>
              <w:t>—</w:t>
            </w:r>
          </w:p>
        </w:tc>
        <w:tc>
          <w:tcPr>
            <w:tcW w:w="800" w:type="dxa"/>
            <w:vAlign w:val="bottom"/>
            <w:tcBorders>
              <w:bottom w:val="single" w:sz="8" w:color="CCECFF"/>
            </w:tcBorders>
          </w:tcPr>
          <w:p>
            <w:pPr>
              <w:jc w:val="right"/>
              <w:spacing w:after="0"/>
              <w:rPr>
                <w:sz w:val="20"/>
                <w:szCs w:val="20"/>
                <w:color w:val="auto"/>
              </w:rPr>
            </w:pPr>
            <w:r>
              <w:rPr>
                <w:rFonts w:ascii="Arial" w:cs="Arial" w:eastAsia="Arial" w:hAnsi="Arial"/>
                <w:sz w:val="12"/>
                <w:szCs w:val="12"/>
                <w:color w:val="auto"/>
              </w:rPr>
              <w:t>516,204</w:t>
            </w:r>
          </w:p>
        </w:tc>
        <w:tc>
          <w:tcPr>
            <w:tcW w:w="220" w:type="dxa"/>
            <w:vAlign w:val="bottom"/>
            <w:tcBorders>
              <w:bottom w:val="single" w:sz="8" w:color="CCECFF"/>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19,331,027</w:t>
            </w:r>
          </w:p>
        </w:tc>
        <w:tc>
          <w:tcPr>
            <w:tcW w:w="240" w:type="dxa"/>
            <w:vAlign w:val="bottom"/>
            <w:tcBorders>
              <w:bottom w:val="single" w:sz="8" w:color="CCECFF"/>
            </w:tcBorders>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3,050,353</w:t>
            </w:r>
          </w:p>
        </w:tc>
        <w:tc>
          <w:tcPr>
            <w:tcW w:w="100" w:type="dxa"/>
            <w:vAlign w:val="bottom"/>
            <w:tcBorders>
              <w:bottom w:val="single" w:sz="8" w:color="CCECFF"/>
            </w:tcBorders>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2940" w:type="dxa"/>
            <w:vAlign w:val="bottom"/>
            <w:shd w:val="clear" w:color="auto" w:fill="CCECFF"/>
          </w:tcPr>
          <w:p>
            <w:pPr>
              <w:spacing w:after="0"/>
              <w:rPr>
                <w:sz w:val="20"/>
                <w:szCs w:val="20"/>
                <w:color w:val="auto"/>
              </w:rPr>
            </w:pPr>
            <w:r>
              <w:rPr>
                <w:rFonts w:ascii="Arial" w:cs="Arial" w:eastAsia="Arial" w:hAnsi="Arial"/>
                <w:sz w:val="12"/>
                <w:szCs w:val="12"/>
                <w:b w:val="1"/>
                <w:bCs w:val="1"/>
                <w:color w:val="auto"/>
              </w:rPr>
              <w:t>Total Preferred Equity</w:t>
            </w:r>
          </w:p>
        </w:tc>
        <w:tc>
          <w:tcPr>
            <w:tcW w:w="1200" w:type="dxa"/>
            <w:vAlign w:val="bottom"/>
            <w:shd w:val="clear" w:color="auto" w:fill="CCECFF"/>
          </w:tcPr>
          <w:p>
            <w:pPr>
              <w:spacing w:after="0"/>
              <w:rPr>
                <w:sz w:val="12"/>
                <w:szCs w:val="12"/>
                <w:color w:val="auto"/>
              </w:rPr>
            </w:pPr>
          </w:p>
        </w:tc>
        <w:tc>
          <w:tcPr>
            <w:tcW w:w="1980" w:type="dxa"/>
            <w:vAlign w:val="bottom"/>
            <w:shd w:val="clear" w:color="auto" w:fill="CCECFF"/>
          </w:tcPr>
          <w:p>
            <w:pPr>
              <w:spacing w:after="0"/>
              <w:rPr>
                <w:sz w:val="12"/>
                <w:szCs w:val="12"/>
                <w:color w:val="auto"/>
              </w:rPr>
            </w:pPr>
          </w:p>
        </w:tc>
        <w:tc>
          <w:tcPr>
            <w:tcW w:w="1100" w:type="dxa"/>
            <w:vAlign w:val="bottom"/>
            <w:shd w:val="clear" w:color="auto" w:fill="CCECFF"/>
          </w:tcPr>
          <w:p>
            <w:pPr>
              <w:spacing w:after="0"/>
              <w:rPr>
                <w:sz w:val="12"/>
                <w:szCs w:val="12"/>
                <w:color w:val="auto"/>
              </w:rPr>
            </w:pPr>
          </w:p>
        </w:tc>
        <w:tc>
          <w:tcPr>
            <w:tcW w:w="160" w:type="dxa"/>
            <w:vAlign w:val="bottom"/>
            <w:shd w:val="clear" w:color="auto" w:fill="CCECFF"/>
          </w:tcPr>
          <w:p>
            <w:pPr>
              <w:spacing w:after="0"/>
              <w:rPr>
                <w:sz w:val="12"/>
                <w:szCs w:val="12"/>
                <w:color w:val="auto"/>
              </w:rPr>
            </w:pPr>
          </w:p>
        </w:tc>
        <w:tc>
          <w:tcPr>
            <w:tcW w:w="800" w:type="dxa"/>
            <w:vAlign w:val="bottom"/>
            <w:shd w:val="clear" w:color="auto" w:fill="CCECFF"/>
          </w:tcPr>
          <w:p>
            <w:pPr>
              <w:spacing w:after="0"/>
              <w:rPr>
                <w:sz w:val="12"/>
                <w:szCs w:val="12"/>
                <w:color w:val="auto"/>
              </w:rPr>
            </w:pPr>
          </w:p>
        </w:tc>
        <w:tc>
          <w:tcPr>
            <w:tcW w:w="100" w:type="dxa"/>
            <w:vAlign w:val="bottom"/>
            <w:shd w:val="clear" w:color="auto" w:fill="CCECFF"/>
          </w:tcPr>
          <w:p>
            <w:pPr>
              <w:spacing w:after="0"/>
              <w:rPr>
                <w:sz w:val="12"/>
                <w:szCs w:val="12"/>
                <w:color w:val="auto"/>
              </w:rPr>
            </w:pPr>
          </w:p>
        </w:tc>
        <w:tc>
          <w:tcPr>
            <w:tcW w:w="800" w:type="dxa"/>
            <w:vAlign w:val="bottom"/>
            <w:shd w:val="clear" w:color="auto" w:fill="CCECFF"/>
          </w:tcPr>
          <w:p>
            <w:pPr>
              <w:spacing w:after="0"/>
              <w:rPr>
                <w:sz w:val="12"/>
                <w:szCs w:val="12"/>
                <w:color w:val="auto"/>
              </w:rPr>
            </w:pPr>
          </w:p>
        </w:tc>
        <w:tc>
          <w:tcPr>
            <w:tcW w:w="220" w:type="dxa"/>
            <w:vAlign w:val="bottom"/>
            <w:shd w:val="clear" w:color="auto" w:fill="CCECFF"/>
          </w:tcPr>
          <w:p>
            <w:pPr>
              <w:spacing w:after="0"/>
              <w:rPr>
                <w:sz w:val="12"/>
                <w:szCs w:val="12"/>
                <w:color w:val="auto"/>
              </w:rPr>
            </w:pPr>
          </w:p>
        </w:tc>
        <w:tc>
          <w:tcPr>
            <w:tcW w:w="100" w:type="dxa"/>
            <w:vAlign w:val="bottom"/>
            <w:tcBorders>
              <w:bottom w:val="single" w:sz="8" w:color="auto"/>
            </w:tcBorders>
            <w:shd w:val="clear" w:color="auto" w:fill="CCECFF"/>
          </w:tcPr>
          <w:p>
            <w:pPr>
              <w:spacing w:after="0"/>
              <w:rPr>
                <w:sz w:val="12"/>
                <w:szCs w:val="12"/>
                <w:color w:val="auto"/>
              </w:rPr>
            </w:pPr>
          </w:p>
        </w:tc>
        <w:tc>
          <w:tcPr>
            <w:tcW w:w="700" w:type="dxa"/>
            <w:vAlign w:val="bottom"/>
            <w:tcBorders>
              <w:bottom w:val="single" w:sz="8" w:color="auto"/>
            </w:tcBorders>
            <w:shd w:val="clear" w:color="auto" w:fill="CCECFF"/>
          </w:tcPr>
          <w:p>
            <w:pPr>
              <w:jc w:val="right"/>
              <w:spacing w:after="0"/>
              <w:rPr>
                <w:sz w:val="20"/>
                <w:szCs w:val="20"/>
                <w:color w:val="auto"/>
              </w:rPr>
            </w:pPr>
            <w:r>
              <w:rPr>
                <w:rFonts w:ascii="Arial" w:cs="Arial" w:eastAsia="Arial" w:hAnsi="Arial"/>
                <w:sz w:val="12"/>
                <w:szCs w:val="12"/>
                <w:color w:val="auto"/>
              </w:rPr>
              <w:t>33,649,352</w:t>
            </w:r>
          </w:p>
        </w:tc>
        <w:tc>
          <w:tcPr>
            <w:tcW w:w="240" w:type="dxa"/>
            <w:vAlign w:val="bottom"/>
            <w:shd w:val="clear" w:color="auto" w:fill="CCECFF"/>
          </w:tcPr>
          <w:p>
            <w:pPr>
              <w:spacing w:after="0"/>
              <w:rPr>
                <w:sz w:val="12"/>
                <w:szCs w:val="12"/>
                <w:color w:val="auto"/>
              </w:rPr>
            </w:pPr>
          </w:p>
        </w:tc>
        <w:tc>
          <w:tcPr>
            <w:tcW w:w="80" w:type="dxa"/>
            <w:vAlign w:val="bottom"/>
            <w:tcBorders>
              <w:bottom w:val="single" w:sz="8" w:color="auto"/>
            </w:tcBorders>
            <w:shd w:val="clear" w:color="auto" w:fill="CCECFF"/>
          </w:tcPr>
          <w:p>
            <w:pPr>
              <w:spacing w:after="0"/>
              <w:rPr>
                <w:sz w:val="12"/>
                <w:szCs w:val="12"/>
                <w:color w:val="auto"/>
              </w:rPr>
            </w:pPr>
          </w:p>
        </w:tc>
        <w:tc>
          <w:tcPr>
            <w:tcW w:w="720" w:type="dxa"/>
            <w:vAlign w:val="bottom"/>
            <w:tcBorders>
              <w:bottom w:val="single" w:sz="8" w:color="auto"/>
            </w:tcBorders>
            <w:shd w:val="clear" w:color="auto" w:fill="CCECFF"/>
          </w:tcPr>
          <w:p>
            <w:pPr>
              <w:jc w:val="right"/>
              <w:spacing w:after="0"/>
              <w:rPr>
                <w:sz w:val="20"/>
                <w:szCs w:val="20"/>
                <w:color w:val="auto"/>
              </w:rPr>
            </w:pPr>
            <w:r>
              <w:rPr>
                <w:rFonts w:ascii="Arial" w:cs="Arial" w:eastAsia="Arial" w:hAnsi="Arial"/>
                <w:sz w:val="12"/>
                <w:szCs w:val="12"/>
                <w:color w:val="auto"/>
              </w:rPr>
              <w:t>20,966,566</w:t>
            </w:r>
          </w:p>
        </w:tc>
        <w:tc>
          <w:tcPr>
            <w:tcW w:w="100" w:type="dxa"/>
            <w:vAlign w:val="bottom"/>
            <w:shd w:val="clear" w:color="auto" w:fill="CCECFF"/>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2940" w:type="dxa"/>
            <w:vAlign w:val="bottom"/>
          </w:tcPr>
          <w:p>
            <w:pPr>
              <w:spacing w:after="0"/>
              <w:rPr>
                <w:sz w:val="20"/>
                <w:szCs w:val="20"/>
                <w:color w:val="auto"/>
              </w:rPr>
            </w:pPr>
            <w:r>
              <w:rPr>
                <w:rFonts w:ascii="Arial" w:cs="Arial" w:eastAsia="Arial" w:hAnsi="Arial"/>
                <w:sz w:val="12"/>
                <w:szCs w:val="12"/>
                <w:b w:val="1"/>
                <w:bCs w:val="1"/>
                <w:color w:val="auto"/>
              </w:rPr>
              <w:t xml:space="preserve">Common Equity—0.3% </w:t>
            </w:r>
            <w:r>
              <w:rPr>
                <w:rFonts w:ascii="Arial" w:cs="Arial" w:eastAsia="Arial" w:hAnsi="Arial"/>
                <w:sz w:val="9"/>
                <w:szCs w:val="9"/>
                <w:b w:val="1"/>
                <w:bCs w:val="1"/>
                <w:color w:val="auto"/>
              </w:rPr>
              <w:t>(6)</w:t>
            </w:r>
          </w:p>
        </w:tc>
        <w:tc>
          <w:tcPr>
            <w:tcW w:w="1200" w:type="dxa"/>
            <w:vAlign w:val="bottom"/>
          </w:tcPr>
          <w:p>
            <w:pPr>
              <w:spacing w:after="0"/>
              <w:rPr>
                <w:sz w:val="12"/>
                <w:szCs w:val="12"/>
                <w:color w:val="auto"/>
              </w:rPr>
            </w:pPr>
          </w:p>
        </w:tc>
        <w:tc>
          <w:tcPr>
            <w:tcW w:w="198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940" w:type="dxa"/>
            <w:vAlign w:val="bottom"/>
            <w:shd w:val="clear" w:color="auto" w:fill="CCECFF"/>
          </w:tcPr>
          <w:p>
            <w:pPr>
              <w:spacing w:after="0"/>
              <w:rPr>
                <w:sz w:val="20"/>
                <w:szCs w:val="20"/>
                <w:color w:val="auto"/>
              </w:rPr>
            </w:pPr>
            <w:r>
              <w:rPr>
                <w:rFonts w:ascii="Arial" w:cs="Arial" w:eastAsia="Arial" w:hAnsi="Arial"/>
                <w:sz w:val="12"/>
                <w:szCs w:val="12"/>
                <w:color w:val="auto"/>
              </w:rPr>
              <w:t>MidOcean JF Holdings Corp.</w:t>
            </w:r>
          </w:p>
        </w:tc>
        <w:tc>
          <w:tcPr>
            <w:tcW w:w="1200" w:type="dxa"/>
            <w:vAlign w:val="bottom"/>
            <w:shd w:val="clear" w:color="auto" w:fill="CCECFF"/>
          </w:tcPr>
          <w:p>
            <w:pPr>
              <w:ind w:left="380"/>
              <w:spacing w:after="0"/>
              <w:rPr>
                <w:sz w:val="20"/>
                <w:szCs w:val="20"/>
                <w:color w:val="auto"/>
              </w:rPr>
            </w:pPr>
            <w:r>
              <w:rPr>
                <w:rFonts w:ascii="Arial" w:cs="Arial" w:eastAsia="Arial" w:hAnsi="Arial"/>
                <w:sz w:val="12"/>
                <w:szCs w:val="12"/>
                <w:color w:val="auto"/>
              </w:rPr>
              <w:t>—</w:t>
            </w:r>
          </w:p>
        </w:tc>
        <w:tc>
          <w:tcPr>
            <w:tcW w:w="1980" w:type="dxa"/>
            <w:vAlign w:val="bottom"/>
            <w:shd w:val="clear" w:color="auto" w:fill="CCECFF"/>
          </w:tcPr>
          <w:p>
            <w:pPr>
              <w:jc w:val="center"/>
              <w:spacing w:after="0"/>
              <w:rPr>
                <w:sz w:val="20"/>
                <w:szCs w:val="20"/>
                <w:color w:val="auto"/>
              </w:rPr>
            </w:pPr>
            <w:r>
              <w:rPr>
                <w:rFonts w:ascii="Arial" w:cs="Arial" w:eastAsia="Arial" w:hAnsi="Arial"/>
                <w:sz w:val="12"/>
                <w:szCs w:val="12"/>
                <w:color w:val="auto"/>
                <w:w w:val="93"/>
              </w:rPr>
              <w:t>Distribution</w:t>
            </w:r>
          </w:p>
        </w:tc>
        <w:tc>
          <w:tcPr>
            <w:tcW w:w="1260" w:type="dxa"/>
            <w:vAlign w:val="bottom"/>
            <w:gridSpan w:val="2"/>
            <w:shd w:val="clear" w:color="auto" w:fill="CCECFF"/>
          </w:tcPr>
          <w:p>
            <w:pPr>
              <w:jc w:val="right"/>
              <w:ind w:right="180"/>
              <w:spacing w:after="0"/>
              <w:rPr>
                <w:sz w:val="20"/>
                <w:szCs w:val="20"/>
                <w:color w:val="auto"/>
              </w:rPr>
            </w:pPr>
            <w:r>
              <w:rPr>
                <w:rFonts w:ascii="Arial" w:cs="Arial" w:eastAsia="Arial" w:hAnsi="Arial"/>
                <w:sz w:val="12"/>
                <w:szCs w:val="12"/>
                <w:color w:val="auto"/>
              </w:rPr>
              <w:t>—</w:t>
            </w:r>
          </w:p>
        </w:tc>
        <w:tc>
          <w:tcPr>
            <w:tcW w:w="900" w:type="dxa"/>
            <w:vAlign w:val="bottom"/>
            <w:gridSpan w:val="2"/>
            <w:shd w:val="clear" w:color="auto" w:fill="CCECFF"/>
          </w:tcPr>
          <w:p>
            <w:pPr>
              <w:jc w:val="right"/>
              <w:ind w:right="120"/>
              <w:spacing w:after="0"/>
              <w:rPr>
                <w:sz w:val="20"/>
                <w:szCs w:val="20"/>
                <w:color w:val="auto"/>
              </w:rPr>
            </w:pPr>
            <w:r>
              <w:rPr>
                <w:rFonts w:ascii="Arial" w:cs="Arial" w:eastAsia="Arial" w:hAnsi="Arial"/>
                <w:sz w:val="12"/>
                <w:szCs w:val="12"/>
                <w:color w:val="auto"/>
              </w:rPr>
              <w:t>—</w:t>
            </w:r>
          </w:p>
        </w:tc>
        <w:tc>
          <w:tcPr>
            <w:tcW w:w="800" w:type="dxa"/>
            <w:vAlign w:val="bottom"/>
            <w:shd w:val="clear" w:color="auto" w:fill="CCECFF"/>
          </w:tcPr>
          <w:p>
            <w:pPr>
              <w:jc w:val="right"/>
              <w:spacing w:after="0"/>
              <w:rPr>
                <w:sz w:val="20"/>
                <w:szCs w:val="20"/>
                <w:color w:val="auto"/>
              </w:rPr>
            </w:pPr>
            <w:r>
              <w:rPr>
                <w:rFonts w:ascii="Arial" w:cs="Arial" w:eastAsia="Arial" w:hAnsi="Arial"/>
                <w:sz w:val="12"/>
                <w:szCs w:val="12"/>
                <w:color w:val="auto"/>
              </w:rPr>
              <w:t>65,933</w:t>
            </w:r>
          </w:p>
        </w:tc>
        <w:tc>
          <w:tcPr>
            <w:tcW w:w="220" w:type="dxa"/>
            <w:vAlign w:val="bottom"/>
            <w:shd w:val="clear" w:color="auto" w:fill="CCECFF"/>
          </w:tcPr>
          <w:p>
            <w:pPr>
              <w:spacing w:after="0"/>
              <w:rPr>
                <w:sz w:val="12"/>
                <w:szCs w:val="12"/>
                <w:color w:val="auto"/>
              </w:rPr>
            </w:pPr>
          </w:p>
        </w:tc>
        <w:tc>
          <w:tcPr>
            <w:tcW w:w="100" w:type="dxa"/>
            <w:vAlign w:val="bottom"/>
            <w:shd w:val="clear" w:color="auto" w:fill="CCECFF"/>
          </w:tcPr>
          <w:p>
            <w:pPr>
              <w:spacing w:after="0"/>
              <w:rPr>
                <w:sz w:val="12"/>
                <w:szCs w:val="12"/>
                <w:color w:val="auto"/>
              </w:rPr>
            </w:pPr>
          </w:p>
        </w:tc>
        <w:tc>
          <w:tcPr>
            <w:tcW w:w="700" w:type="dxa"/>
            <w:vAlign w:val="bottom"/>
            <w:shd w:val="clear" w:color="auto" w:fill="CCECFF"/>
          </w:tcPr>
          <w:p>
            <w:pPr>
              <w:jc w:val="right"/>
              <w:spacing w:after="0"/>
              <w:rPr>
                <w:sz w:val="20"/>
                <w:szCs w:val="20"/>
                <w:color w:val="auto"/>
              </w:rPr>
            </w:pPr>
            <w:r>
              <w:rPr>
                <w:rFonts w:ascii="Arial" w:cs="Arial" w:eastAsia="Arial" w:hAnsi="Arial"/>
                <w:sz w:val="12"/>
                <w:szCs w:val="12"/>
                <w:color w:val="auto"/>
              </w:rPr>
              <w:t>24,761,831</w:t>
            </w:r>
          </w:p>
        </w:tc>
        <w:tc>
          <w:tcPr>
            <w:tcW w:w="240" w:type="dxa"/>
            <w:vAlign w:val="bottom"/>
            <w:shd w:val="clear" w:color="auto" w:fill="CCECFF"/>
          </w:tcPr>
          <w:p>
            <w:pPr>
              <w:spacing w:after="0"/>
              <w:rPr>
                <w:sz w:val="12"/>
                <w:szCs w:val="12"/>
                <w:color w:val="auto"/>
              </w:rPr>
            </w:pPr>
          </w:p>
        </w:tc>
        <w:tc>
          <w:tcPr>
            <w:tcW w:w="80" w:type="dxa"/>
            <w:vAlign w:val="bottom"/>
            <w:shd w:val="clear" w:color="auto" w:fill="CCECFF"/>
          </w:tcPr>
          <w:p>
            <w:pPr>
              <w:spacing w:after="0"/>
              <w:rPr>
                <w:sz w:val="12"/>
                <w:szCs w:val="12"/>
                <w:color w:val="auto"/>
              </w:rPr>
            </w:pPr>
          </w:p>
        </w:tc>
        <w:tc>
          <w:tcPr>
            <w:tcW w:w="720" w:type="dxa"/>
            <w:vAlign w:val="bottom"/>
            <w:shd w:val="clear" w:color="auto" w:fill="CCECFF"/>
          </w:tcPr>
          <w:p>
            <w:pPr>
              <w:jc w:val="right"/>
              <w:spacing w:after="0"/>
              <w:rPr>
                <w:sz w:val="20"/>
                <w:szCs w:val="20"/>
                <w:color w:val="auto"/>
              </w:rPr>
            </w:pPr>
            <w:r>
              <w:rPr>
                <w:rFonts w:ascii="Arial" w:cs="Arial" w:eastAsia="Arial" w:hAnsi="Arial"/>
                <w:sz w:val="12"/>
                <w:szCs w:val="12"/>
                <w:color w:val="auto"/>
              </w:rPr>
              <w:t>1,656,754</w:t>
            </w:r>
          </w:p>
        </w:tc>
        <w:tc>
          <w:tcPr>
            <w:tcW w:w="100" w:type="dxa"/>
            <w:vAlign w:val="bottom"/>
            <w:shd w:val="clear" w:color="auto" w:fill="CCEC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940" w:type="dxa"/>
            <w:vAlign w:val="bottom"/>
          </w:tcPr>
          <w:p>
            <w:pPr>
              <w:spacing w:after="0"/>
              <w:rPr>
                <w:sz w:val="20"/>
                <w:szCs w:val="20"/>
                <w:color w:val="auto"/>
              </w:rPr>
            </w:pPr>
            <w:r>
              <w:rPr>
                <w:rFonts w:ascii="Arial" w:cs="Arial" w:eastAsia="Arial" w:hAnsi="Arial"/>
                <w:sz w:val="12"/>
                <w:szCs w:val="12"/>
                <w:color w:val="auto"/>
              </w:rPr>
              <w:t>RAM Energy Holdings LLC</w:t>
            </w:r>
          </w:p>
        </w:tc>
        <w:tc>
          <w:tcPr>
            <w:tcW w:w="1200" w:type="dxa"/>
            <w:vAlign w:val="bottom"/>
          </w:tcPr>
          <w:p>
            <w:pPr>
              <w:ind w:left="380"/>
              <w:spacing w:after="0"/>
              <w:rPr>
                <w:sz w:val="20"/>
                <w:szCs w:val="20"/>
                <w:color w:val="auto"/>
              </w:rPr>
            </w:pPr>
            <w:r>
              <w:rPr>
                <w:rFonts w:ascii="Arial" w:cs="Arial" w:eastAsia="Arial" w:hAnsi="Arial"/>
                <w:sz w:val="12"/>
                <w:szCs w:val="12"/>
                <w:color w:val="auto"/>
              </w:rPr>
              <w:t>—</w:t>
            </w:r>
          </w:p>
        </w:tc>
        <w:tc>
          <w:tcPr>
            <w:tcW w:w="1980" w:type="dxa"/>
            <w:vAlign w:val="bottom"/>
          </w:tcPr>
          <w:p>
            <w:pPr>
              <w:jc w:val="center"/>
              <w:spacing w:after="0"/>
              <w:rPr>
                <w:sz w:val="20"/>
                <w:szCs w:val="20"/>
                <w:color w:val="auto"/>
              </w:rPr>
            </w:pPr>
            <w:r>
              <w:rPr>
                <w:rFonts w:ascii="Arial" w:cs="Arial" w:eastAsia="Arial" w:hAnsi="Arial"/>
                <w:sz w:val="12"/>
                <w:szCs w:val="12"/>
                <w:color w:val="auto"/>
                <w:w w:val="90"/>
              </w:rPr>
              <w:t>Energy and Utilities</w:t>
            </w:r>
          </w:p>
        </w:tc>
        <w:tc>
          <w:tcPr>
            <w:tcW w:w="1260" w:type="dxa"/>
            <w:vAlign w:val="bottom"/>
            <w:gridSpan w:val="2"/>
          </w:tcPr>
          <w:p>
            <w:pPr>
              <w:jc w:val="right"/>
              <w:ind w:right="180"/>
              <w:spacing w:after="0"/>
              <w:rPr>
                <w:sz w:val="20"/>
                <w:szCs w:val="20"/>
                <w:color w:val="auto"/>
              </w:rPr>
            </w:pPr>
            <w:r>
              <w:rPr>
                <w:rFonts w:ascii="Arial" w:cs="Arial" w:eastAsia="Arial" w:hAnsi="Arial"/>
                <w:sz w:val="12"/>
                <w:szCs w:val="12"/>
                <w:color w:val="auto"/>
              </w:rPr>
              <w:t>—</w:t>
            </w:r>
          </w:p>
        </w:tc>
        <w:tc>
          <w:tcPr>
            <w:tcW w:w="900" w:type="dxa"/>
            <w:vAlign w:val="bottom"/>
            <w:gridSpan w:val="2"/>
          </w:tcPr>
          <w:p>
            <w:pPr>
              <w:jc w:val="right"/>
              <w:ind w:right="120"/>
              <w:spacing w:after="0"/>
              <w:rPr>
                <w:sz w:val="20"/>
                <w:szCs w:val="20"/>
                <w:color w:val="auto"/>
              </w:rPr>
            </w:pPr>
            <w:r>
              <w:rPr>
                <w:rFonts w:ascii="Arial" w:cs="Arial" w:eastAsia="Arial" w:hAnsi="Arial"/>
                <w:sz w:val="12"/>
                <w:szCs w:val="12"/>
                <w:color w:val="auto"/>
              </w:rPr>
              <w:t>—</w:t>
            </w:r>
          </w:p>
        </w:tc>
        <w:tc>
          <w:tcPr>
            <w:tcW w:w="800" w:type="dxa"/>
            <w:vAlign w:val="bottom"/>
          </w:tcPr>
          <w:p>
            <w:pPr>
              <w:jc w:val="right"/>
              <w:spacing w:after="0"/>
              <w:rPr>
                <w:sz w:val="20"/>
                <w:szCs w:val="20"/>
                <w:color w:val="auto"/>
              </w:rPr>
            </w:pPr>
            <w:r>
              <w:rPr>
                <w:rFonts w:ascii="Arial" w:cs="Arial" w:eastAsia="Arial" w:hAnsi="Arial"/>
                <w:sz w:val="12"/>
                <w:szCs w:val="12"/>
                <w:color w:val="auto"/>
              </w:rPr>
              <w:t>23,141</w:t>
            </w: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00" w:type="dxa"/>
            <w:vAlign w:val="bottom"/>
          </w:tcPr>
          <w:p>
            <w:pPr>
              <w:jc w:val="right"/>
              <w:spacing w:after="0"/>
              <w:rPr>
                <w:sz w:val="20"/>
                <w:szCs w:val="20"/>
                <w:color w:val="auto"/>
              </w:rPr>
            </w:pPr>
            <w:r>
              <w:rPr>
                <w:rFonts w:ascii="Arial" w:cs="Arial" w:eastAsia="Arial" w:hAnsi="Arial"/>
                <w:sz w:val="12"/>
                <w:szCs w:val="12"/>
                <w:color w:val="auto"/>
              </w:rPr>
              <w:t>20,824,388</w:t>
            </w:r>
          </w:p>
        </w:tc>
        <w:tc>
          <w:tcPr>
            <w:tcW w:w="2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20" w:type="dxa"/>
            <w:vAlign w:val="bottom"/>
            <w:gridSpan w:val="2"/>
          </w:tcPr>
          <w:p>
            <w:pPr>
              <w:jc w:val="right"/>
              <w:ind w:right="79"/>
              <w:spacing w:after="0"/>
              <w:rPr>
                <w:sz w:val="20"/>
                <w:szCs w:val="20"/>
                <w:color w:val="auto"/>
              </w:rPr>
            </w:pPr>
            <w:r>
              <w:rPr>
                <w:rFonts w:ascii="Arial" w:cs="Arial" w:eastAsia="Arial" w:hAnsi="Arial"/>
                <w:sz w:val="12"/>
                <w:szCs w:val="12"/>
                <w:color w:val="auto"/>
              </w:rPr>
              <w:t>—</w:t>
            </w:r>
          </w:p>
        </w:tc>
        <w:tc>
          <w:tcPr>
            <w:tcW w:w="0" w:type="dxa"/>
            <w:vAlign w:val="bottom"/>
          </w:tcPr>
          <w:p>
            <w:pPr>
              <w:spacing w:after="0"/>
              <w:rPr>
                <w:sz w:val="1"/>
                <w:szCs w:val="1"/>
                <w:color w:val="auto"/>
              </w:rPr>
            </w:pPr>
          </w:p>
        </w:tc>
      </w:tr>
      <w:tr>
        <w:trPr>
          <w:trHeight w:val="148"/>
        </w:trPr>
        <w:tc>
          <w:tcPr>
            <w:tcW w:w="2940" w:type="dxa"/>
            <w:vAlign w:val="bottom"/>
            <w:shd w:val="clear" w:color="auto" w:fill="CCECFF"/>
          </w:tcPr>
          <w:p>
            <w:pPr>
              <w:spacing w:after="0"/>
              <w:rPr>
                <w:sz w:val="20"/>
                <w:szCs w:val="20"/>
                <w:color w:val="auto"/>
              </w:rPr>
            </w:pPr>
            <w:r>
              <w:rPr>
                <w:rFonts w:ascii="Arial" w:cs="Arial" w:eastAsia="Arial" w:hAnsi="Arial"/>
                <w:sz w:val="12"/>
                <w:szCs w:val="12"/>
                <w:color w:val="auto"/>
              </w:rPr>
              <w:t>Superior Digital Displays Holdings, Inc.</w:t>
            </w:r>
          </w:p>
        </w:tc>
        <w:tc>
          <w:tcPr>
            <w:tcW w:w="1200" w:type="dxa"/>
            <w:vAlign w:val="bottom"/>
            <w:shd w:val="clear" w:color="auto" w:fill="CCECFF"/>
          </w:tcPr>
          <w:p>
            <w:pPr>
              <w:ind w:left="380"/>
              <w:spacing w:after="0"/>
              <w:rPr>
                <w:sz w:val="20"/>
                <w:szCs w:val="20"/>
                <w:color w:val="auto"/>
              </w:rPr>
            </w:pPr>
            <w:r>
              <w:rPr>
                <w:rFonts w:ascii="Arial" w:cs="Arial" w:eastAsia="Arial" w:hAnsi="Arial"/>
                <w:sz w:val="12"/>
                <w:szCs w:val="12"/>
                <w:color w:val="auto"/>
              </w:rPr>
              <w:t>—</w:t>
            </w:r>
          </w:p>
        </w:tc>
        <w:tc>
          <w:tcPr>
            <w:tcW w:w="1980" w:type="dxa"/>
            <w:vAlign w:val="bottom"/>
            <w:shd w:val="clear" w:color="auto" w:fill="CCECFF"/>
          </w:tcPr>
          <w:p>
            <w:pPr>
              <w:jc w:val="center"/>
              <w:spacing w:after="0"/>
              <w:rPr>
                <w:sz w:val="20"/>
                <w:szCs w:val="20"/>
                <w:color w:val="auto"/>
              </w:rPr>
            </w:pPr>
            <w:r>
              <w:rPr>
                <w:rFonts w:ascii="Arial" w:cs="Arial" w:eastAsia="Arial" w:hAnsi="Arial"/>
                <w:sz w:val="12"/>
                <w:szCs w:val="12"/>
                <w:color w:val="auto"/>
                <w:w w:val="91"/>
              </w:rPr>
              <w:t>Media</w:t>
            </w:r>
          </w:p>
        </w:tc>
        <w:tc>
          <w:tcPr>
            <w:tcW w:w="1260" w:type="dxa"/>
            <w:vAlign w:val="bottom"/>
            <w:gridSpan w:val="2"/>
            <w:shd w:val="clear" w:color="auto" w:fill="CCECFF"/>
          </w:tcPr>
          <w:p>
            <w:pPr>
              <w:jc w:val="right"/>
              <w:ind w:right="180"/>
              <w:spacing w:after="0"/>
              <w:rPr>
                <w:sz w:val="20"/>
                <w:szCs w:val="20"/>
                <w:color w:val="auto"/>
              </w:rPr>
            </w:pPr>
            <w:r>
              <w:rPr>
                <w:rFonts w:ascii="Arial" w:cs="Arial" w:eastAsia="Arial" w:hAnsi="Arial"/>
                <w:sz w:val="12"/>
                <w:szCs w:val="12"/>
                <w:color w:val="auto"/>
              </w:rPr>
              <w:t>—</w:t>
            </w:r>
          </w:p>
        </w:tc>
        <w:tc>
          <w:tcPr>
            <w:tcW w:w="900" w:type="dxa"/>
            <w:vAlign w:val="bottom"/>
            <w:gridSpan w:val="2"/>
            <w:shd w:val="clear" w:color="auto" w:fill="CCECFF"/>
          </w:tcPr>
          <w:p>
            <w:pPr>
              <w:jc w:val="right"/>
              <w:ind w:right="120"/>
              <w:spacing w:after="0"/>
              <w:rPr>
                <w:sz w:val="20"/>
                <w:szCs w:val="20"/>
                <w:color w:val="auto"/>
              </w:rPr>
            </w:pPr>
            <w:r>
              <w:rPr>
                <w:rFonts w:ascii="Arial" w:cs="Arial" w:eastAsia="Arial" w:hAnsi="Arial"/>
                <w:sz w:val="12"/>
                <w:szCs w:val="12"/>
                <w:color w:val="auto"/>
              </w:rPr>
              <w:t>—</w:t>
            </w:r>
          </w:p>
        </w:tc>
        <w:tc>
          <w:tcPr>
            <w:tcW w:w="800" w:type="dxa"/>
            <w:vAlign w:val="bottom"/>
            <w:shd w:val="clear" w:color="auto" w:fill="CCECFF"/>
          </w:tcPr>
          <w:p>
            <w:pPr>
              <w:jc w:val="right"/>
              <w:spacing w:after="0"/>
              <w:rPr>
                <w:sz w:val="20"/>
                <w:szCs w:val="20"/>
                <w:color w:val="auto"/>
              </w:rPr>
            </w:pPr>
            <w:r>
              <w:rPr>
                <w:rFonts w:ascii="Arial" w:cs="Arial" w:eastAsia="Arial" w:hAnsi="Arial"/>
                <w:sz w:val="12"/>
                <w:szCs w:val="12"/>
                <w:color w:val="auto"/>
              </w:rPr>
              <w:t>11,100</w:t>
            </w:r>
          </w:p>
        </w:tc>
        <w:tc>
          <w:tcPr>
            <w:tcW w:w="220" w:type="dxa"/>
            <w:vAlign w:val="bottom"/>
            <w:shd w:val="clear" w:color="auto" w:fill="CCECFF"/>
          </w:tcPr>
          <w:p>
            <w:pPr>
              <w:spacing w:after="0"/>
              <w:rPr>
                <w:sz w:val="12"/>
                <w:szCs w:val="12"/>
                <w:color w:val="auto"/>
              </w:rPr>
            </w:pPr>
          </w:p>
        </w:tc>
        <w:tc>
          <w:tcPr>
            <w:tcW w:w="100" w:type="dxa"/>
            <w:vAlign w:val="bottom"/>
            <w:shd w:val="clear" w:color="auto" w:fill="CCECFF"/>
          </w:tcPr>
          <w:p>
            <w:pPr>
              <w:spacing w:after="0"/>
              <w:rPr>
                <w:sz w:val="12"/>
                <w:szCs w:val="12"/>
                <w:color w:val="auto"/>
              </w:rPr>
            </w:pPr>
          </w:p>
        </w:tc>
        <w:tc>
          <w:tcPr>
            <w:tcW w:w="700" w:type="dxa"/>
            <w:vAlign w:val="bottom"/>
            <w:shd w:val="clear" w:color="auto" w:fill="CCECFF"/>
          </w:tcPr>
          <w:p>
            <w:pPr>
              <w:jc w:val="right"/>
              <w:spacing w:after="0"/>
              <w:rPr>
                <w:sz w:val="20"/>
                <w:szCs w:val="20"/>
                <w:color w:val="auto"/>
              </w:rPr>
            </w:pPr>
            <w:r>
              <w:rPr>
                <w:rFonts w:ascii="Arial" w:cs="Arial" w:eastAsia="Arial" w:hAnsi="Arial"/>
                <w:sz w:val="12"/>
                <w:szCs w:val="12"/>
                <w:color w:val="auto"/>
              </w:rPr>
              <w:t>2,211,000</w:t>
            </w:r>
          </w:p>
        </w:tc>
        <w:tc>
          <w:tcPr>
            <w:tcW w:w="240" w:type="dxa"/>
            <w:vAlign w:val="bottom"/>
            <w:shd w:val="clear" w:color="auto" w:fill="CCECFF"/>
          </w:tcPr>
          <w:p>
            <w:pPr>
              <w:spacing w:after="0"/>
              <w:rPr>
                <w:sz w:val="12"/>
                <w:szCs w:val="12"/>
                <w:color w:val="auto"/>
              </w:rPr>
            </w:pPr>
          </w:p>
        </w:tc>
        <w:tc>
          <w:tcPr>
            <w:tcW w:w="80" w:type="dxa"/>
            <w:vAlign w:val="bottom"/>
            <w:shd w:val="clear" w:color="auto" w:fill="CCECFF"/>
          </w:tcPr>
          <w:p>
            <w:pPr>
              <w:spacing w:after="0"/>
              <w:rPr>
                <w:sz w:val="12"/>
                <w:szCs w:val="12"/>
                <w:color w:val="auto"/>
              </w:rPr>
            </w:pPr>
          </w:p>
        </w:tc>
        <w:tc>
          <w:tcPr>
            <w:tcW w:w="820" w:type="dxa"/>
            <w:vAlign w:val="bottom"/>
            <w:gridSpan w:val="2"/>
            <w:shd w:val="clear" w:color="auto" w:fill="CCECFF"/>
          </w:tcPr>
          <w:p>
            <w:pPr>
              <w:jc w:val="right"/>
              <w:ind w:right="79"/>
              <w:spacing w:after="0"/>
              <w:rPr>
                <w:sz w:val="20"/>
                <w:szCs w:val="20"/>
                <w:color w:val="auto"/>
              </w:rPr>
            </w:pPr>
            <w:r>
              <w:rPr>
                <w:rFonts w:ascii="Arial" w:cs="Arial" w:eastAsia="Arial" w:hAnsi="Arial"/>
                <w:sz w:val="12"/>
                <w:szCs w:val="12"/>
                <w:color w:val="auto"/>
              </w:rPr>
              <w:t>—</w:t>
            </w:r>
          </w:p>
        </w:tc>
        <w:tc>
          <w:tcPr>
            <w:tcW w:w="0" w:type="dxa"/>
            <w:vAlign w:val="bottom"/>
          </w:tcPr>
          <w:p>
            <w:pPr>
              <w:spacing w:after="0"/>
              <w:rPr>
                <w:sz w:val="1"/>
                <w:szCs w:val="1"/>
                <w:color w:val="auto"/>
              </w:rPr>
            </w:pPr>
          </w:p>
        </w:tc>
      </w:tr>
      <w:tr>
        <w:trPr>
          <w:trHeight w:val="142"/>
        </w:trPr>
        <w:tc>
          <w:tcPr>
            <w:tcW w:w="2940" w:type="dxa"/>
            <w:vAlign w:val="bottom"/>
            <w:tcBorders>
              <w:bottom w:val="single" w:sz="8" w:color="CCECFF"/>
            </w:tcBorders>
          </w:tcPr>
          <w:p>
            <w:pPr>
              <w:spacing w:after="0"/>
              <w:rPr>
                <w:sz w:val="20"/>
                <w:szCs w:val="20"/>
                <w:color w:val="auto"/>
              </w:rPr>
            </w:pPr>
            <w:r>
              <w:rPr>
                <w:rFonts w:ascii="Arial" w:cs="Arial" w:eastAsia="Arial" w:hAnsi="Arial"/>
                <w:sz w:val="12"/>
                <w:szCs w:val="12"/>
                <w:b w:val="1"/>
                <w:bCs w:val="1"/>
                <w:color w:val="auto"/>
              </w:rPr>
              <w:t>Total Common Equity</w:t>
            </w:r>
          </w:p>
        </w:tc>
        <w:tc>
          <w:tcPr>
            <w:tcW w:w="1200" w:type="dxa"/>
            <w:vAlign w:val="bottom"/>
            <w:tcBorders>
              <w:bottom w:val="single" w:sz="8" w:color="CCECFF"/>
            </w:tcBorders>
          </w:tcPr>
          <w:p>
            <w:pPr>
              <w:spacing w:after="0"/>
              <w:rPr>
                <w:sz w:val="12"/>
                <w:szCs w:val="12"/>
                <w:color w:val="auto"/>
              </w:rPr>
            </w:pPr>
          </w:p>
        </w:tc>
        <w:tc>
          <w:tcPr>
            <w:tcW w:w="1980" w:type="dxa"/>
            <w:vAlign w:val="bottom"/>
            <w:tcBorders>
              <w:bottom w:val="single" w:sz="8" w:color="CCECFF"/>
            </w:tcBorders>
          </w:tcPr>
          <w:p>
            <w:pPr>
              <w:spacing w:after="0"/>
              <w:rPr>
                <w:sz w:val="12"/>
                <w:szCs w:val="12"/>
                <w:color w:val="auto"/>
              </w:rPr>
            </w:pPr>
          </w:p>
        </w:tc>
        <w:tc>
          <w:tcPr>
            <w:tcW w:w="1100" w:type="dxa"/>
            <w:vAlign w:val="bottom"/>
            <w:tcBorders>
              <w:bottom w:val="single" w:sz="8" w:color="CCECFF"/>
            </w:tcBorders>
          </w:tcPr>
          <w:p>
            <w:pPr>
              <w:spacing w:after="0"/>
              <w:rPr>
                <w:sz w:val="12"/>
                <w:szCs w:val="12"/>
                <w:color w:val="auto"/>
              </w:rPr>
            </w:pPr>
          </w:p>
        </w:tc>
        <w:tc>
          <w:tcPr>
            <w:tcW w:w="160" w:type="dxa"/>
            <w:vAlign w:val="bottom"/>
            <w:tcBorders>
              <w:bottom w:val="single" w:sz="8" w:color="CCECFF"/>
            </w:tcBorders>
          </w:tcPr>
          <w:p>
            <w:pPr>
              <w:spacing w:after="0"/>
              <w:rPr>
                <w:sz w:val="12"/>
                <w:szCs w:val="12"/>
                <w:color w:val="auto"/>
              </w:rPr>
            </w:pPr>
          </w:p>
        </w:tc>
        <w:tc>
          <w:tcPr>
            <w:tcW w:w="800" w:type="dxa"/>
            <w:vAlign w:val="bottom"/>
            <w:tcBorders>
              <w:bottom w:val="single" w:sz="8" w:color="CCECFF"/>
            </w:tcBorders>
          </w:tcPr>
          <w:p>
            <w:pPr>
              <w:spacing w:after="0"/>
              <w:rPr>
                <w:sz w:val="12"/>
                <w:szCs w:val="12"/>
                <w:color w:val="auto"/>
              </w:rPr>
            </w:pPr>
          </w:p>
        </w:tc>
        <w:tc>
          <w:tcPr>
            <w:tcW w:w="100" w:type="dxa"/>
            <w:vAlign w:val="bottom"/>
            <w:tcBorders>
              <w:bottom w:val="single" w:sz="8" w:color="CCECFF"/>
            </w:tcBorders>
          </w:tcPr>
          <w:p>
            <w:pPr>
              <w:spacing w:after="0"/>
              <w:rPr>
                <w:sz w:val="12"/>
                <w:szCs w:val="12"/>
                <w:color w:val="auto"/>
              </w:rPr>
            </w:pPr>
          </w:p>
        </w:tc>
        <w:tc>
          <w:tcPr>
            <w:tcW w:w="800" w:type="dxa"/>
            <w:vAlign w:val="bottom"/>
            <w:tcBorders>
              <w:bottom w:val="single" w:sz="8" w:color="CCECFF"/>
            </w:tcBorders>
          </w:tcPr>
          <w:p>
            <w:pPr>
              <w:spacing w:after="0"/>
              <w:rPr>
                <w:sz w:val="12"/>
                <w:szCs w:val="12"/>
                <w:color w:val="auto"/>
              </w:rPr>
            </w:pPr>
          </w:p>
        </w:tc>
        <w:tc>
          <w:tcPr>
            <w:tcW w:w="220" w:type="dxa"/>
            <w:vAlign w:val="bottom"/>
            <w:tcBorders>
              <w:bottom w:val="single" w:sz="8" w:color="CCECFF"/>
            </w:tcBorders>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7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2"/>
                <w:szCs w:val="12"/>
                <w:color w:val="auto"/>
              </w:rPr>
              <w:t>47,797,219</w:t>
            </w:r>
          </w:p>
        </w:tc>
        <w:tc>
          <w:tcPr>
            <w:tcW w:w="240" w:type="dxa"/>
            <w:vAlign w:val="bottom"/>
            <w:tcBorders>
              <w:bottom w:val="single" w:sz="8" w:color="CCECFF"/>
            </w:tcBorders>
          </w:tcPr>
          <w:p>
            <w:pPr>
              <w:spacing w:after="0"/>
              <w:rPr>
                <w:sz w:val="12"/>
                <w:szCs w:val="12"/>
                <w:color w:val="auto"/>
              </w:rPr>
            </w:pPr>
          </w:p>
        </w:tc>
        <w:tc>
          <w:tcPr>
            <w:tcW w:w="80" w:type="dxa"/>
            <w:vAlign w:val="bottom"/>
            <w:tcBorders>
              <w:top w:val="single" w:sz="8" w:color="auto"/>
              <w:bottom w:val="single" w:sz="8" w:color="auto"/>
            </w:tcBorders>
          </w:tcPr>
          <w:p>
            <w:pPr>
              <w:spacing w:after="0"/>
              <w:rPr>
                <w:sz w:val="12"/>
                <w:szCs w:val="12"/>
                <w:color w:val="auto"/>
              </w:rPr>
            </w:pPr>
          </w:p>
        </w:tc>
        <w:tc>
          <w:tcPr>
            <w:tcW w:w="7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2"/>
                <w:szCs w:val="12"/>
                <w:color w:val="auto"/>
              </w:rPr>
              <w:t>1,656,754</w:t>
            </w:r>
          </w:p>
        </w:tc>
        <w:tc>
          <w:tcPr>
            <w:tcW w:w="100" w:type="dxa"/>
            <w:vAlign w:val="bottom"/>
            <w:tcBorders>
              <w:bottom w:val="single" w:sz="8" w:color="CCECFF"/>
            </w:tcBorders>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4140" w:type="dxa"/>
            <w:vAlign w:val="bottom"/>
            <w:gridSpan w:val="2"/>
            <w:shd w:val="clear" w:color="auto" w:fill="CCECFF"/>
          </w:tcPr>
          <w:p>
            <w:pPr>
              <w:spacing w:after="0"/>
              <w:rPr>
                <w:sz w:val="20"/>
                <w:szCs w:val="20"/>
                <w:color w:val="auto"/>
              </w:rPr>
            </w:pPr>
            <w:r>
              <w:rPr>
                <w:rFonts w:ascii="Arial" w:cs="Arial" w:eastAsia="Arial" w:hAnsi="Arial"/>
                <w:sz w:val="12"/>
                <w:szCs w:val="12"/>
                <w:b w:val="1"/>
                <w:bCs w:val="1"/>
                <w:color w:val="auto"/>
              </w:rPr>
              <w:t>Total Investments in Controlled, Affiliated Portfolio Companies</w:t>
            </w:r>
          </w:p>
        </w:tc>
        <w:tc>
          <w:tcPr>
            <w:tcW w:w="1980" w:type="dxa"/>
            <w:vAlign w:val="bottom"/>
            <w:shd w:val="clear" w:color="auto" w:fill="CCECFF"/>
          </w:tcPr>
          <w:p>
            <w:pPr>
              <w:spacing w:after="0"/>
              <w:rPr>
                <w:sz w:val="12"/>
                <w:szCs w:val="12"/>
                <w:color w:val="auto"/>
              </w:rPr>
            </w:pPr>
          </w:p>
        </w:tc>
        <w:tc>
          <w:tcPr>
            <w:tcW w:w="1100" w:type="dxa"/>
            <w:vAlign w:val="bottom"/>
            <w:shd w:val="clear" w:color="auto" w:fill="CCECFF"/>
          </w:tcPr>
          <w:p>
            <w:pPr>
              <w:spacing w:after="0"/>
              <w:rPr>
                <w:sz w:val="12"/>
                <w:szCs w:val="12"/>
                <w:color w:val="auto"/>
              </w:rPr>
            </w:pPr>
          </w:p>
        </w:tc>
        <w:tc>
          <w:tcPr>
            <w:tcW w:w="160" w:type="dxa"/>
            <w:vAlign w:val="bottom"/>
            <w:shd w:val="clear" w:color="auto" w:fill="CCECFF"/>
          </w:tcPr>
          <w:p>
            <w:pPr>
              <w:spacing w:after="0"/>
              <w:rPr>
                <w:sz w:val="12"/>
                <w:szCs w:val="12"/>
                <w:color w:val="auto"/>
              </w:rPr>
            </w:pPr>
          </w:p>
        </w:tc>
        <w:tc>
          <w:tcPr>
            <w:tcW w:w="800" w:type="dxa"/>
            <w:vAlign w:val="bottom"/>
            <w:shd w:val="clear" w:color="auto" w:fill="CCECFF"/>
          </w:tcPr>
          <w:p>
            <w:pPr>
              <w:spacing w:after="0"/>
              <w:rPr>
                <w:sz w:val="12"/>
                <w:szCs w:val="12"/>
                <w:color w:val="auto"/>
              </w:rPr>
            </w:pPr>
          </w:p>
        </w:tc>
        <w:tc>
          <w:tcPr>
            <w:tcW w:w="100" w:type="dxa"/>
            <w:vAlign w:val="bottom"/>
            <w:shd w:val="clear" w:color="auto" w:fill="CCECFF"/>
          </w:tcPr>
          <w:p>
            <w:pPr>
              <w:spacing w:after="0"/>
              <w:rPr>
                <w:sz w:val="12"/>
                <w:szCs w:val="12"/>
                <w:color w:val="auto"/>
              </w:rPr>
            </w:pPr>
          </w:p>
        </w:tc>
        <w:tc>
          <w:tcPr>
            <w:tcW w:w="800" w:type="dxa"/>
            <w:vAlign w:val="bottom"/>
            <w:shd w:val="clear" w:color="auto" w:fill="CCECFF"/>
          </w:tcPr>
          <w:p>
            <w:pPr>
              <w:spacing w:after="0"/>
              <w:rPr>
                <w:sz w:val="12"/>
                <w:szCs w:val="12"/>
                <w:color w:val="auto"/>
              </w:rPr>
            </w:pPr>
          </w:p>
        </w:tc>
        <w:tc>
          <w:tcPr>
            <w:tcW w:w="220" w:type="dxa"/>
            <w:vAlign w:val="bottom"/>
            <w:shd w:val="clear" w:color="auto" w:fill="CCECFF"/>
          </w:tcPr>
          <w:p>
            <w:pPr>
              <w:spacing w:after="0"/>
              <w:rPr>
                <w:sz w:val="12"/>
                <w:szCs w:val="12"/>
                <w:color w:val="auto"/>
              </w:rPr>
            </w:pPr>
          </w:p>
        </w:tc>
        <w:tc>
          <w:tcPr>
            <w:tcW w:w="100" w:type="dxa"/>
            <w:vAlign w:val="bottom"/>
            <w:tcBorders>
              <w:bottom w:val="single" w:sz="8" w:color="auto"/>
            </w:tcBorders>
            <w:shd w:val="clear" w:color="auto" w:fill="CCECFF"/>
          </w:tcPr>
          <w:p>
            <w:pPr>
              <w:spacing w:after="0"/>
              <w:rPr>
                <w:sz w:val="12"/>
                <w:szCs w:val="12"/>
                <w:color w:val="auto"/>
              </w:rPr>
            </w:pPr>
          </w:p>
        </w:tc>
        <w:tc>
          <w:tcPr>
            <w:tcW w:w="700" w:type="dxa"/>
            <w:vAlign w:val="bottom"/>
            <w:tcBorders>
              <w:bottom w:val="single" w:sz="8" w:color="auto"/>
            </w:tcBorders>
            <w:shd w:val="clear" w:color="auto" w:fill="CCECFF"/>
          </w:tcPr>
          <w:p>
            <w:pPr>
              <w:jc w:val="right"/>
              <w:spacing w:after="0"/>
              <w:rPr>
                <w:sz w:val="20"/>
                <w:szCs w:val="20"/>
                <w:color w:val="auto"/>
              </w:rPr>
            </w:pPr>
            <w:r>
              <w:rPr>
                <w:rFonts w:ascii="Arial" w:cs="Arial" w:eastAsia="Arial" w:hAnsi="Arial"/>
                <w:sz w:val="12"/>
                <w:szCs w:val="12"/>
                <w:color w:val="auto"/>
              </w:rPr>
              <w:t>199,972,502</w:t>
            </w:r>
          </w:p>
        </w:tc>
        <w:tc>
          <w:tcPr>
            <w:tcW w:w="240" w:type="dxa"/>
            <w:vAlign w:val="bottom"/>
            <w:shd w:val="clear" w:color="auto" w:fill="CCECFF"/>
          </w:tcPr>
          <w:p>
            <w:pPr>
              <w:spacing w:after="0"/>
              <w:rPr>
                <w:sz w:val="12"/>
                <w:szCs w:val="12"/>
                <w:color w:val="auto"/>
              </w:rPr>
            </w:pPr>
          </w:p>
        </w:tc>
        <w:tc>
          <w:tcPr>
            <w:tcW w:w="80" w:type="dxa"/>
            <w:vAlign w:val="bottom"/>
            <w:tcBorders>
              <w:bottom w:val="single" w:sz="8" w:color="auto"/>
            </w:tcBorders>
            <w:shd w:val="clear" w:color="auto" w:fill="CCECFF"/>
          </w:tcPr>
          <w:p>
            <w:pPr>
              <w:spacing w:after="0"/>
              <w:rPr>
                <w:sz w:val="12"/>
                <w:szCs w:val="12"/>
                <w:color w:val="auto"/>
              </w:rPr>
            </w:pPr>
          </w:p>
        </w:tc>
        <w:tc>
          <w:tcPr>
            <w:tcW w:w="720" w:type="dxa"/>
            <w:vAlign w:val="bottom"/>
            <w:tcBorders>
              <w:bottom w:val="single" w:sz="8" w:color="auto"/>
            </w:tcBorders>
            <w:shd w:val="clear" w:color="auto" w:fill="CCECFF"/>
          </w:tcPr>
          <w:p>
            <w:pPr>
              <w:jc w:val="right"/>
              <w:spacing w:after="0"/>
              <w:rPr>
                <w:sz w:val="20"/>
                <w:szCs w:val="20"/>
                <w:color w:val="auto"/>
              </w:rPr>
            </w:pPr>
            <w:r>
              <w:rPr>
                <w:rFonts w:ascii="Arial" w:cs="Arial" w:eastAsia="Arial" w:hAnsi="Arial"/>
                <w:sz w:val="12"/>
                <w:szCs w:val="12"/>
                <w:color w:val="auto"/>
              </w:rPr>
              <w:t>125,166,048</w:t>
            </w:r>
          </w:p>
        </w:tc>
        <w:tc>
          <w:tcPr>
            <w:tcW w:w="100" w:type="dxa"/>
            <w:vAlign w:val="bottom"/>
            <w:shd w:val="clear" w:color="auto" w:fill="CCECFF"/>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2940" w:type="dxa"/>
            <w:vAlign w:val="bottom"/>
            <w:tcBorders>
              <w:bottom w:val="single" w:sz="8" w:color="CCECFF"/>
            </w:tcBorders>
          </w:tcPr>
          <w:p>
            <w:pPr>
              <w:spacing w:after="0"/>
              <w:rPr>
                <w:sz w:val="20"/>
                <w:szCs w:val="20"/>
                <w:color w:val="auto"/>
              </w:rPr>
            </w:pPr>
            <w:r>
              <w:rPr>
                <w:rFonts w:ascii="Arial" w:cs="Arial" w:eastAsia="Arial" w:hAnsi="Arial"/>
                <w:sz w:val="12"/>
                <w:szCs w:val="12"/>
                <w:b w:val="1"/>
                <w:bCs w:val="1"/>
                <w:color w:val="auto"/>
              </w:rPr>
              <w:t>Total Investments—168.5%</w:t>
            </w:r>
          </w:p>
        </w:tc>
        <w:tc>
          <w:tcPr>
            <w:tcW w:w="1200" w:type="dxa"/>
            <w:vAlign w:val="bottom"/>
            <w:tcBorders>
              <w:bottom w:val="single" w:sz="8" w:color="CCECFF"/>
            </w:tcBorders>
          </w:tcPr>
          <w:p>
            <w:pPr>
              <w:spacing w:after="0"/>
              <w:rPr>
                <w:sz w:val="12"/>
                <w:szCs w:val="12"/>
                <w:color w:val="auto"/>
              </w:rPr>
            </w:pPr>
          </w:p>
        </w:tc>
        <w:tc>
          <w:tcPr>
            <w:tcW w:w="1980" w:type="dxa"/>
            <w:vAlign w:val="bottom"/>
            <w:tcBorders>
              <w:bottom w:val="single" w:sz="8" w:color="CCECFF"/>
            </w:tcBorders>
          </w:tcPr>
          <w:p>
            <w:pPr>
              <w:spacing w:after="0"/>
              <w:rPr>
                <w:sz w:val="12"/>
                <w:szCs w:val="12"/>
                <w:color w:val="auto"/>
              </w:rPr>
            </w:pPr>
          </w:p>
        </w:tc>
        <w:tc>
          <w:tcPr>
            <w:tcW w:w="1100" w:type="dxa"/>
            <w:vAlign w:val="bottom"/>
            <w:tcBorders>
              <w:bottom w:val="single" w:sz="8" w:color="CCECFF"/>
            </w:tcBorders>
          </w:tcPr>
          <w:p>
            <w:pPr>
              <w:spacing w:after="0"/>
              <w:rPr>
                <w:sz w:val="12"/>
                <w:szCs w:val="12"/>
                <w:color w:val="auto"/>
              </w:rPr>
            </w:pPr>
          </w:p>
        </w:tc>
        <w:tc>
          <w:tcPr>
            <w:tcW w:w="160" w:type="dxa"/>
            <w:vAlign w:val="bottom"/>
            <w:tcBorders>
              <w:bottom w:val="single" w:sz="8" w:color="CCECFF"/>
            </w:tcBorders>
          </w:tcPr>
          <w:p>
            <w:pPr>
              <w:spacing w:after="0"/>
              <w:rPr>
                <w:sz w:val="12"/>
                <w:szCs w:val="12"/>
                <w:color w:val="auto"/>
              </w:rPr>
            </w:pPr>
          </w:p>
        </w:tc>
        <w:tc>
          <w:tcPr>
            <w:tcW w:w="800" w:type="dxa"/>
            <w:vAlign w:val="bottom"/>
            <w:tcBorders>
              <w:bottom w:val="single" w:sz="8" w:color="CCECFF"/>
            </w:tcBorders>
          </w:tcPr>
          <w:p>
            <w:pPr>
              <w:spacing w:after="0"/>
              <w:rPr>
                <w:sz w:val="12"/>
                <w:szCs w:val="12"/>
                <w:color w:val="auto"/>
              </w:rPr>
            </w:pPr>
          </w:p>
        </w:tc>
        <w:tc>
          <w:tcPr>
            <w:tcW w:w="100" w:type="dxa"/>
            <w:vAlign w:val="bottom"/>
            <w:tcBorders>
              <w:bottom w:val="single" w:sz="8" w:color="CCECFF"/>
            </w:tcBorders>
          </w:tcPr>
          <w:p>
            <w:pPr>
              <w:spacing w:after="0"/>
              <w:rPr>
                <w:sz w:val="12"/>
                <w:szCs w:val="12"/>
                <w:color w:val="auto"/>
              </w:rPr>
            </w:pPr>
          </w:p>
        </w:tc>
        <w:tc>
          <w:tcPr>
            <w:tcW w:w="800" w:type="dxa"/>
            <w:vAlign w:val="bottom"/>
            <w:tcBorders>
              <w:bottom w:val="single" w:sz="8" w:color="CCECFF"/>
            </w:tcBorders>
          </w:tcPr>
          <w:p>
            <w:pPr>
              <w:spacing w:after="0"/>
              <w:rPr>
                <w:sz w:val="12"/>
                <w:szCs w:val="12"/>
                <w:color w:val="auto"/>
              </w:rPr>
            </w:pPr>
          </w:p>
        </w:tc>
        <w:tc>
          <w:tcPr>
            <w:tcW w:w="220" w:type="dxa"/>
            <w:vAlign w:val="bottom"/>
            <w:tcBorders>
              <w:bottom w:val="single" w:sz="8" w:color="CCECFF"/>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w w:val="88"/>
              </w:rPr>
              <w:t>1,155,474,260</w:t>
            </w:r>
          </w:p>
        </w:tc>
        <w:tc>
          <w:tcPr>
            <w:tcW w:w="240" w:type="dxa"/>
            <w:vAlign w:val="bottom"/>
            <w:tcBorders>
              <w:bottom w:val="single" w:sz="8" w:color="CCECFF"/>
            </w:tcBorders>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w w:val="88"/>
              </w:rPr>
              <w:t>1,098,924,260</w:t>
            </w:r>
          </w:p>
        </w:tc>
        <w:tc>
          <w:tcPr>
            <w:tcW w:w="100" w:type="dxa"/>
            <w:vAlign w:val="bottom"/>
            <w:tcBorders>
              <w:bottom w:val="single" w:sz="8" w:color="CCECFF"/>
            </w:tcBorders>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2940" w:type="dxa"/>
            <w:vAlign w:val="bottom"/>
            <w:shd w:val="clear" w:color="auto" w:fill="CCECFF"/>
          </w:tcPr>
          <w:p>
            <w:pPr>
              <w:spacing w:after="0"/>
              <w:rPr>
                <w:sz w:val="20"/>
                <w:szCs w:val="20"/>
                <w:color w:val="auto"/>
              </w:rPr>
            </w:pPr>
            <w:r>
              <w:rPr>
                <w:rFonts w:ascii="Arial" w:cs="Arial" w:eastAsia="Arial" w:hAnsi="Arial"/>
                <w:sz w:val="12"/>
                <w:szCs w:val="12"/>
                <w:b w:val="1"/>
                <w:bCs w:val="1"/>
                <w:color w:val="auto"/>
              </w:rPr>
              <w:t>Cash and Cash Equivalents—15.8%</w:t>
            </w:r>
          </w:p>
        </w:tc>
        <w:tc>
          <w:tcPr>
            <w:tcW w:w="1200" w:type="dxa"/>
            <w:vAlign w:val="bottom"/>
            <w:shd w:val="clear" w:color="auto" w:fill="CCECFF"/>
          </w:tcPr>
          <w:p>
            <w:pPr>
              <w:spacing w:after="0"/>
              <w:rPr>
                <w:sz w:val="12"/>
                <w:szCs w:val="12"/>
                <w:color w:val="auto"/>
              </w:rPr>
            </w:pPr>
          </w:p>
        </w:tc>
        <w:tc>
          <w:tcPr>
            <w:tcW w:w="1980" w:type="dxa"/>
            <w:vAlign w:val="bottom"/>
            <w:shd w:val="clear" w:color="auto" w:fill="CCECFF"/>
          </w:tcPr>
          <w:p>
            <w:pPr>
              <w:spacing w:after="0"/>
              <w:rPr>
                <w:sz w:val="12"/>
                <w:szCs w:val="12"/>
                <w:color w:val="auto"/>
              </w:rPr>
            </w:pPr>
          </w:p>
        </w:tc>
        <w:tc>
          <w:tcPr>
            <w:tcW w:w="1100" w:type="dxa"/>
            <w:vAlign w:val="bottom"/>
            <w:shd w:val="clear" w:color="auto" w:fill="CCECFF"/>
          </w:tcPr>
          <w:p>
            <w:pPr>
              <w:spacing w:after="0"/>
              <w:rPr>
                <w:sz w:val="12"/>
                <w:szCs w:val="12"/>
                <w:color w:val="auto"/>
              </w:rPr>
            </w:pPr>
          </w:p>
        </w:tc>
        <w:tc>
          <w:tcPr>
            <w:tcW w:w="160" w:type="dxa"/>
            <w:vAlign w:val="bottom"/>
            <w:shd w:val="clear" w:color="auto" w:fill="CCECFF"/>
          </w:tcPr>
          <w:p>
            <w:pPr>
              <w:spacing w:after="0"/>
              <w:rPr>
                <w:sz w:val="12"/>
                <w:szCs w:val="12"/>
                <w:color w:val="auto"/>
              </w:rPr>
            </w:pPr>
          </w:p>
        </w:tc>
        <w:tc>
          <w:tcPr>
            <w:tcW w:w="800" w:type="dxa"/>
            <w:vAlign w:val="bottom"/>
            <w:shd w:val="clear" w:color="auto" w:fill="CCECFF"/>
          </w:tcPr>
          <w:p>
            <w:pPr>
              <w:spacing w:after="0"/>
              <w:rPr>
                <w:sz w:val="12"/>
                <w:szCs w:val="12"/>
                <w:color w:val="auto"/>
              </w:rPr>
            </w:pPr>
          </w:p>
        </w:tc>
        <w:tc>
          <w:tcPr>
            <w:tcW w:w="100" w:type="dxa"/>
            <w:vAlign w:val="bottom"/>
            <w:shd w:val="clear" w:color="auto" w:fill="CCECFF"/>
          </w:tcPr>
          <w:p>
            <w:pPr>
              <w:spacing w:after="0"/>
              <w:rPr>
                <w:sz w:val="12"/>
                <w:szCs w:val="12"/>
                <w:color w:val="auto"/>
              </w:rPr>
            </w:pPr>
          </w:p>
        </w:tc>
        <w:tc>
          <w:tcPr>
            <w:tcW w:w="800" w:type="dxa"/>
            <w:vAlign w:val="bottom"/>
            <w:shd w:val="clear" w:color="auto" w:fill="CCECFF"/>
          </w:tcPr>
          <w:p>
            <w:pPr>
              <w:spacing w:after="0"/>
              <w:rPr>
                <w:sz w:val="12"/>
                <w:szCs w:val="12"/>
                <w:color w:val="auto"/>
              </w:rPr>
            </w:pPr>
          </w:p>
        </w:tc>
        <w:tc>
          <w:tcPr>
            <w:tcW w:w="220" w:type="dxa"/>
            <w:vAlign w:val="bottom"/>
            <w:shd w:val="clear" w:color="auto" w:fill="CCECFF"/>
          </w:tcPr>
          <w:p>
            <w:pPr>
              <w:spacing w:after="0"/>
              <w:rPr>
                <w:sz w:val="12"/>
                <w:szCs w:val="12"/>
                <w:color w:val="auto"/>
              </w:rPr>
            </w:pPr>
          </w:p>
        </w:tc>
        <w:tc>
          <w:tcPr>
            <w:tcW w:w="100" w:type="dxa"/>
            <w:vAlign w:val="bottom"/>
            <w:shd w:val="clear" w:color="auto" w:fill="CCECFF"/>
          </w:tcPr>
          <w:p>
            <w:pPr>
              <w:spacing w:after="0"/>
              <w:rPr>
                <w:sz w:val="12"/>
                <w:szCs w:val="12"/>
                <w:color w:val="auto"/>
              </w:rPr>
            </w:pPr>
          </w:p>
        </w:tc>
        <w:tc>
          <w:tcPr>
            <w:tcW w:w="700" w:type="dxa"/>
            <w:vAlign w:val="bottom"/>
            <w:shd w:val="clear" w:color="auto" w:fill="CCECFF"/>
          </w:tcPr>
          <w:p>
            <w:pPr>
              <w:spacing w:after="0"/>
              <w:rPr>
                <w:sz w:val="12"/>
                <w:szCs w:val="12"/>
                <w:color w:val="auto"/>
              </w:rPr>
            </w:pPr>
          </w:p>
        </w:tc>
        <w:tc>
          <w:tcPr>
            <w:tcW w:w="240" w:type="dxa"/>
            <w:vAlign w:val="bottom"/>
            <w:shd w:val="clear" w:color="auto" w:fill="CCECFF"/>
          </w:tcPr>
          <w:p>
            <w:pPr>
              <w:spacing w:after="0"/>
              <w:rPr>
                <w:sz w:val="12"/>
                <w:szCs w:val="12"/>
                <w:color w:val="auto"/>
              </w:rPr>
            </w:pPr>
          </w:p>
        </w:tc>
        <w:tc>
          <w:tcPr>
            <w:tcW w:w="80" w:type="dxa"/>
            <w:vAlign w:val="bottom"/>
            <w:shd w:val="clear" w:color="auto" w:fill="CCECFF"/>
          </w:tcPr>
          <w:p>
            <w:pPr>
              <w:spacing w:after="0"/>
              <w:rPr>
                <w:sz w:val="12"/>
                <w:szCs w:val="12"/>
                <w:color w:val="auto"/>
              </w:rPr>
            </w:pPr>
          </w:p>
        </w:tc>
        <w:tc>
          <w:tcPr>
            <w:tcW w:w="720" w:type="dxa"/>
            <w:vAlign w:val="bottom"/>
            <w:shd w:val="clear" w:color="auto" w:fill="CCECFF"/>
          </w:tcPr>
          <w:p>
            <w:pPr>
              <w:spacing w:after="0"/>
              <w:rPr>
                <w:sz w:val="12"/>
                <w:szCs w:val="12"/>
                <w:color w:val="auto"/>
              </w:rPr>
            </w:pPr>
          </w:p>
        </w:tc>
        <w:tc>
          <w:tcPr>
            <w:tcW w:w="100" w:type="dxa"/>
            <w:vAlign w:val="bottom"/>
            <w:shd w:val="clear" w:color="auto" w:fill="CCEC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940" w:type="dxa"/>
            <w:vAlign w:val="bottom"/>
          </w:tcPr>
          <w:p>
            <w:pPr>
              <w:spacing w:after="0"/>
              <w:rPr>
                <w:sz w:val="20"/>
                <w:szCs w:val="20"/>
                <w:color w:val="auto"/>
              </w:rPr>
            </w:pPr>
            <w:r>
              <w:rPr>
                <w:rFonts w:ascii="Arial" w:cs="Arial" w:eastAsia="Arial" w:hAnsi="Arial"/>
                <w:sz w:val="12"/>
                <w:szCs w:val="12"/>
                <w:color w:val="auto"/>
              </w:rPr>
              <w:t>BlackRock Federal FD Institutional 30</w:t>
            </w:r>
          </w:p>
        </w:tc>
        <w:tc>
          <w:tcPr>
            <w:tcW w:w="1200" w:type="dxa"/>
            <w:vAlign w:val="bottom"/>
          </w:tcPr>
          <w:p>
            <w:pPr>
              <w:spacing w:after="0"/>
              <w:rPr>
                <w:sz w:val="12"/>
                <w:szCs w:val="12"/>
                <w:color w:val="auto"/>
              </w:rPr>
            </w:pPr>
          </w:p>
        </w:tc>
        <w:tc>
          <w:tcPr>
            <w:tcW w:w="198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00" w:type="dxa"/>
            <w:vAlign w:val="bottom"/>
          </w:tcPr>
          <w:p>
            <w:pPr>
              <w:jc w:val="right"/>
              <w:spacing w:after="0"/>
              <w:rPr>
                <w:sz w:val="20"/>
                <w:szCs w:val="20"/>
                <w:color w:val="auto"/>
              </w:rPr>
            </w:pPr>
            <w:r>
              <w:rPr>
                <w:rFonts w:ascii="Arial" w:cs="Arial" w:eastAsia="Arial" w:hAnsi="Arial"/>
                <w:sz w:val="12"/>
                <w:szCs w:val="12"/>
                <w:color w:val="auto"/>
              </w:rPr>
              <w:t>33,492,976</w:t>
            </w:r>
          </w:p>
        </w:tc>
        <w:tc>
          <w:tcPr>
            <w:tcW w:w="2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20" w:type="dxa"/>
            <w:vAlign w:val="bottom"/>
          </w:tcPr>
          <w:p>
            <w:pPr>
              <w:jc w:val="right"/>
              <w:spacing w:after="0"/>
              <w:rPr>
                <w:sz w:val="20"/>
                <w:szCs w:val="20"/>
                <w:color w:val="auto"/>
              </w:rPr>
            </w:pPr>
            <w:r>
              <w:rPr>
                <w:rFonts w:ascii="Arial" w:cs="Arial" w:eastAsia="Arial" w:hAnsi="Arial"/>
                <w:sz w:val="12"/>
                <w:szCs w:val="12"/>
                <w:color w:val="auto"/>
              </w:rPr>
              <w:t>33,492,976</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940" w:type="dxa"/>
            <w:vAlign w:val="bottom"/>
            <w:shd w:val="clear" w:color="auto" w:fill="CCECFF"/>
          </w:tcPr>
          <w:p>
            <w:pPr>
              <w:spacing w:after="0"/>
              <w:rPr>
                <w:sz w:val="20"/>
                <w:szCs w:val="20"/>
                <w:color w:val="auto"/>
              </w:rPr>
            </w:pPr>
            <w:r>
              <w:rPr>
                <w:rFonts w:ascii="Arial" w:cs="Arial" w:eastAsia="Arial" w:hAnsi="Arial"/>
                <w:sz w:val="12"/>
                <w:szCs w:val="12"/>
                <w:color w:val="auto"/>
              </w:rPr>
              <w:t>BNY Mellon Cash Reserve and Cash</w:t>
            </w:r>
          </w:p>
        </w:tc>
        <w:tc>
          <w:tcPr>
            <w:tcW w:w="1200" w:type="dxa"/>
            <w:vAlign w:val="bottom"/>
            <w:shd w:val="clear" w:color="auto" w:fill="CCECFF"/>
          </w:tcPr>
          <w:p>
            <w:pPr>
              <w:spacing w:after="0"/>
              <w:rPr>
                <w:sz w:val="12"/>
                <w:szCs w:val="12"/>
                <w:color w:val="auto"/>
              </w:rPr>
            </w:pPr>
          </w:p>
        </w:tc>
        <w:tc>
          <w:tcPr>
            <w:tcW w:w="1980" w:type="dxa"/>
            <w:vAlign w:val="bottom"/>
            <w:shd w:val="clear" w:color="auto" w:fill="CCECFF"/>
          </w:tcPr>
          <w:p>
            <w:pPr>
              <w:spacing w:after="0"/>
              <w:rPr>
                <w:sz w:val="12"/>
                <w:szCs w:val="12"/>
                <w:color w:val="auto"/>
              </w:rPr>
            </w:pPr>
          </w:p>
        </w:tc>
        <w:tc>
          <w:tcPr>
            <w:tcW w:w="1100" w:type="dxa"/>
            <w:vAlign w:val="bottom"/>
            <w:shd w:val="clear" w:color="auto" w:fill="CCECFF"/>
          </w:tcPr>
          <w:p>
            <w:pPr>
              <w:spacing w:after="0"/>
              <w:rPr>
                <w:sz w:val="12"/>
                <w:szCs w:val="12"/>
                <w:color w:val="auto"/>
              </w:rPr>
            </w:pPr>
          </w:p>
        </w:tc>
        <w:tc>
          <w:tcPr>
            <w:tcW w:w="160" w:type="dxa"/>
            <w:vAlign w:val="bottom"/>
            <w:shd w:val="clear" w:color="auto" w:fill="CCECFF"/>
          </w:tcPr>
          <w:p>
            <w:pPr>
              <w:spacing w:after="0"/>
              <w:rPr>
                <w:sz w:val="12"/>
                <w:szCs w:val="12"/>
                <w:color w:val="auto"/>
              </w:rPr>
            </w:pPr>
          </w:p>
        </w:tc>
        <w:tc>
          <w:tcPr>
            <w:tcW w:w="800" w:type="dxa"/>
            <w:vAlign w:val="bottom"/>
            <w:shd w:val="clear" w:color="auto" w:fill="CCECFF"/>
          </w:tcPr>
          <w:p>
            <w:pPr>
              <w:spacing w:after="0"/>
              <w:rPr>
                <w:sz w:val="12"/>
                <w:szCs w:val="12"/>
                <w:color w:val="auto"/>
              </w:rPr>
            </w:pPr>
          </w:p>
        </w:tc>
        <w:tc>
          <w:tcPr>
            <w:tcW w:w="100" w:type="dxa"/>
            <w:vAlign w:val="bottom"/>
            <w:shd w:val="clear" w:color="auto" w:fill="CCECFF"/>
          </w:tcPr>
          <w:p>
            <w:pPr>
              <w:spacing w:after="0"/>
              <w:rPr>
                <w:sz w:val="12"/>
                <w:szCs w:val="12"/>
                <w:color w:val="auto"/>
              </w:rPr>
            </w:pPr>
          </w:p>
        </w:tc>
        <w:tc>
          <w:tcPr>
            <w:tcW w:w="800" w:type="dxa"/>
            <w:vAlign w:val="bottom"/>
            <w:shd w:val="clear" w:color="auto" w:fill="CCECFF"/>
          </w:tcPr>
          <w:p>
            <w:pPr>
              <w:spacing w:after="0"/>
              <w:rPr>
                <w:sz w:val="12"/>
                <w:szCs w:val="12"/>
                <w:color w:val="auto"/>
              </w:rPr>
            </w:pPr>
          </w:p>
        </w:tc>
        <w:tc>
          <w:tcPr>
            <w:tcW w:w="220" w:type="dxa"/>
            <w:vAlign w:val="bottom"/>
            <w:shd w:val="clear" w:color="auto" w:fill="CCECFF"/>
          </w:tcPr>
          <w:p>
            <w:pPr>
              <w:spacing w:after="0"/>
              <w:rPr>
                <w:sz w:val="12"/>
                <w:szCs w:val="12"/>
                <w:color w:val="auto"/>
              </w:rPr>
            </w:pPr>
          </w:p>
        </w:tc>
        <w:tc>
          <w:tcPr>
            <w:tcW w:w="100" w:type="dxa"/>
            <w:vAlign w:val="bottom"/>
            <w:tcBorders>
              <w:bottom w:val="single" w:sz="8" w:color="auto"/>
            </w:tcBorders>
            <w:shd w:val="clear" w:color="auto" w:fill="CCECFF"/>
          </w:tcPr>
          <w:p>
            <w:pPr>
              <w:spacing w:after="0"/>
              <w:rPr>
                <w:sz w:val="12"/>
                <w:szCs w:val="12"/>
                <w:color w:val="auto"/>
              </w:rPr>
            </w:pPr>
          </w:p>
        </w:tc>
        <w:tc>
          <w:tcPr>
            <w:tcW w:w="700" w:type="dxa"/>
            <w:vAlign w:val="bottom"/>
            <w:tcBorders>
              <w:bottom w:val="single" w:sz="8" w:color="auto"/>
            </w:tcBorders>
            <w:shd w:val="clear" w:color="auto" w:fill="CCECFF"/>
          </w:tcPr>
          <w:p>
            <w:pPr>
              <w:jc w:val="right"/>
              <w:spacing w:after="0"/>
              <w:rPr>
                <w:sz w:val="20"/>
                <w:szCs w:val="20"/>
                <w:color w:val="auto"/>
              </w:rPr>
            </w:pPr>
            <w:r>
              <w:rPr>
                <w:rFonts w:ascii="Arial" w:cs="Arial" w:eastAsia="Arial" w:hAnsi="Arial"/>
                <w:sz w:val="12"/>
                <w:szCs w:val="12"/>
                <w:color w:val="auto"/>
              </w:rPr>
              <w:t>69,606,653</w:t>
            </w:r>
          </w:p>
        </w:tc>
        <w:tc>
          <w:tcPr>
            <w:tcW w:w="240" w:type="dxa"/>
            <w:vAlign w:val="bottom"/>
            <w:shd w:val="clear" w:color="auto" w:fill="CCECFF"/>
          </w:tcPr>
          <w:p>
            <w:pPr>
              <w:spacing w:after="0"/>
              <w:rPr>
                <w:sz w:val="12"/>
                <w:szCs w:val="12"/>
                <w:color w:val="auto"/>
              </w:rPr>
            </w:pPr>
          </w:p>
        </w:tc>
        <w:tc>
          <w:tcPr>
            <w:tcW w:w="80" w:type="dxa"/>
            <w:vAlign w:val="bottom"/>
            <w:tcBorders>
              <w:bottom w:val="single" w:sz="8" w:color="auto"/>
            </w:tcBorders>
            <w:shd w:val="clear" w:color="auto" w:fill="CCECFF"/>
          </w:tcPr>
          <w:p>
            <w:pPr>
              <w:spacing w:after="0"/>
              <w:rPr>
                <w:sz w:val="12"/>
                <w:szCs w:val="12"/>
                <w:color w:val="auto"/>
              </w:rPr>
            </w:pPr>
          </w:p>
        </w:tc>
        <w:tc>
          <w:tcPr>
            <w:tcW w:w="720" w:type="dxa"/>
            <w:vAlign w:val="bottom"/>
            <w:tcBorders>
              <w:bottom w:val="single" w:sz="8" w:color="auto"/>
            </w:tcBorders>
            <w:shd w:val="clear" w:color="auto" w:fill="CCECFF"/>
          </w:tcPr>
          <w:p>
            <w:pPr>
              <w:jc w:val="right"/>
              <w:spacing w:after="0"/>
              <w:rPr>
                <w:sz w:val="20"/>
                <w:szCs w:val="20"/>
                <w:color w:val="auto"/>
              </w:rPr>
            </w:pPr>
            <w:r>
              <w:rPr>
                <w:rFonts w:ascii="Arial" w:cs="Arial" w:eastAsia="Arial" w:hAnsi="Arial"/>
                <w:sz w:val="12"/>
                <w:szCs w:val="12"/>
                <w:color w:val="auto"/>
              </w:rPr>
              <w:t>69,703,156</w:t>
            </w:r>
          </w:p>
        </w:tc>
        <w:tc>
          <w:tcPr>
            <w:tcW w:w="100" w:type="dxa"/>
            <w:vAlign w:val="bottom"/>
            <w:shd w:val="clear" w:color="auto" w:fill="CCECFF"/>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2940" w:type="dxa"/>
            <w:vAlign w:val="bottom"/>
            <w:tcBorders>
              <w:bottom w:val="single" w:sz="8" w:color="CCECFF"/>
            </w:tcBorders>
          </w:tcPr>
          <w:p>
            <w:pPr>
              <w:spacing w:after="0"/>
              <w:rPr>
                <w:sz w:val="20"/>
                <w:szCs w:val="20"/>
                <w:color w:val="auto"/>
              </w:rPr>
            </w:pPr>
            <w:r>
              <w:rPr>
                <w:rFonts w:ascii="Arial" w:cs="Arial" w:eastAsia="Arial" w:hAnsi="Arial"/>
                <w:sz w:val="12"/>
                <w:szCs w:val="12"/>
                <w:b w:val="1"/>
                <w:bCs w:val="1"/>
                <w:color w:val="auto"/>
              </w:rPr>
              <w:t>Total Cash and Cash Equivalents</w:t>
            </w:r>
          </w:p>
        </w:tc>
        <w:tc>
          <w:tcPr>
            <w:tcW w:w="1200" w:type="dxa"/>
            <w:vAlign w:val="bottom"/>
            <w:tcBorders>
              <w:bottom w:val="single" w:sz="8" w:color="CCECFF"/>
            </w:tcBorders>
          </w:tcPr>
          <w:p>
            <w:pPr>
              <w:spacing w:after="0"/>
              <w:rPr>
                <w:sz w:val="12"/>
                <w:szCs w:val="12"/>
                <w:color w:val="auto"/>
              </w:rPr>
            </w:pPr>
          </w:p>
        </w:tc>
        <w:tc>
          <w:tcPr>
            <w:tcW w:w="1980" w:type="dxa"/>
            <w:vAlign w:val="bottom"/>
            <w:tcBorders>
              <w:bottom w:val="single" w:sz="8" w:color="CCECFF"/>
            </w:tcBorders>
          </w:tcPr>
          <w:p>
            <w:pPr>
              <w:spacing w:after="0"/>
              <w:rPr>
                <w:sz w:val="12"/>
                <w:szCs w:val="12"/>
                <w:color w:val="auto"/>
              </w:rPr>
            </w:pPr>
          </w:p>
        </w:tc>
        <w:tc>
          <w:tcPr>
            <w:tcW w:w="1100" w:type="dxa"/>
            <w:vAlign w:val="bottom"/>
            <w:tcBorders>
              <w:bottom w:val="single" w:sz="8" w:color="CCECFF"/>
            </w:tcBorders>
          </w:tcPr>
          <w:p>
            <w:pPr>
              <w:spacing w:after="0"/>
              <w:rPr>
                <w:sz w:val="12"/>
                <w:szCs w:val="12"/>
                <w:color w:val="auto"/>
              </w:rPr>
            </w:pPr>
          </w:p>
        </w:tc>
        <w:tc>
          <w:tcPr>
            <w:tcW w:w="160" w:type="dxa"/>
            <w:vAlign w:val="bottom"/>
            <w:tcBorders>
              <w:bottom w:val="single" w:sz="8" w:color="CCECFF"/>
            </w:tcBorders>
          </w:tcPr>
          <w:p>
            <w:pPr>
              <w:spacing w:after="0"/>
              <w:rPr>
                <w:sz w:val="12"/>
                <w:szCs w:val="12"/>
                <w:color w:val="auto"/>
              </w:rPr>
            </w:pPr>
          </w:p>
        </w:tc>
        <w:tc>
          <w:tcPr>
            <w:tcW w:w="800" w:type="dxa"/>
            <w:vAlign w:val="bottom"/>
            <w:tcBorders>
              <w:bottom w:val="single" w:sz="8" w:color="CCECFF"/>
            </w:tcBorders>
          </w:tcPr>
          <w:p>
            <w:pPr>
              <w:spacing w:after="0"/>
              <w:rPr>
                <w:sz w:val="12"/>
                <w:szCs w:val="12"/>
                <w:color w:val="auto"/>
              </w:rPr>
            </w:pPr>
          </w:p>
        </w:tc>
        <w:tc>
          <w:tcPr>
            <w:tcW w:w="100" w:type="dxa"/>
            <w:vAlign w:val="bottom"/>
            <w:tcBorders>
              <w:bottom w:val="single" w:sz="8" w:color="CCECFF"/>
            </w:tcBorders>
          </w:tcPr>
          <w:p>
            <w:pPr>
              <w:spacing w:after="0"/>
              <w:rPr>
                <w:sz w:val="12"/>
                <w:szCs w:val="12"/>
                <w:color w:val="auto"/>
              </w:rPr>
            </w:pPr>
          </w:p>
        </w:tc>
        <w:tc>
          <w:tcPr>
            <w:tcW w:w="800" w:type="dxa"/>
            <w:vAlign w:val="bottom"/>
            <w:tcBorders>
              <w:bottom w:val="single" w:sz="8" w:color="CCECFF"/>
            </w:tcBorders>
          </w:tcPr>
          <w:p>
            <w:pPr>
              <w:spacing w:after="0"/>
              <w:rPr>
                <w:sz w:val="12"/>
                <w:szCs w:val="12"/>
                <w:color w:val="auto"/>
              </w:rPr>
            </w:pPr>
          </w:p>
        </w:tc>
        <w:tc>
          <w:tcPr>
            <w:tcW w:w="220" w:type="dxa"/>
            <w:vAlign w:val="bottom"/>
            <w:tcBorders>
              <w:bottom w:val="single" w:sz="8" w:color="CCECFF"/>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103,099,629</w:t>
            </w:r>
          </w:p>
        </w:tc>
        <w:tc>
          <w:tcPr>
            <w:tcW w:w="240" w:type="dxa"/>
            <w:vAlign w:val="bottom"/>
            <w:tcBorders>
              <w:bottom w:val="single" w:sz="8" w:color="CCECFF"/>
            </w:tcBorders>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103,196,132</w:t>
            </w:r>
          </w:p>
        </w:tc>
        <w:tc>
          <w:tcPr>
            <w:tcW w:w="100" w:type="dxa"/>
            <w:vAlign w:val="bottom"/>
            <w:tcBorders>
              <w:bottom w:val="single" w:sz="8" w:color="CCECFF"/>
            </w:tcBorders>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2940" w:type="dxa"/>
            <w:vAlign w:val="bottom"/>
            <w:shd w:val="clear" w:color="auto" w:fill="CCECFF"/>
          </w:tcPr>
          <w:p>
            <w:pPr>
              <w:spacing w:after="0"/>
              <w:rPr>
                <w:sz w:val="20"/>
                <w:szCs w:val="20"/>
                <w:color w:val="auto"/>
              </w:rPr>
            </w:pPr>
            <w:r>
              <w:rPr>
                <w:rFonts w:ascii="Arial" w:cs="Arial" w:eastAsia="Arial" w:hAnsi="Arial"/>
                <w:sz w:val="12"/>
                <w:szCs w:val="12"/>
                <w:b w:val="1"/>
                <w:bCs w:val="1"/>
                <w:color w:val="auto"/>
              </w:rPr>
              <w:t>Total Investments and Cash Equivalents—184.3%</w:t>
            </w:r>
          </w:p>
        </w:tc>
        <w:tc>
          <w:tcPr>
            <w:tcW w:w="1200" w:type="dxa"/>
            <w:vAlign w:val="bottom"/>
            <w:shd w:val="clear" w:color="auto" w:fill="CCECFF"/>
          </w:tcPr>
          <w:p>
            <w:pPr>
              <w:spacing w:after="0"/>
              <w:rPr>
                <w:sz w:val="12"/>
                <w:szCs w:val="12"/>
                <w:color w:val="auto"/>
              </w:rPr>
            </w:pPr>
          </w:p>
        </w:tc>
        <w:tc>
          <w:tcPr>
            <w:tcW w:w="1980" w:type="dxa"/>
            <w:vAlign w:val="bottom"/>
            <w:shd w:val="clear" w:color="auto" w:fill="CCECFF"/>
          </w:tcPr>
          <w:p>
            <w:pPr>
              <w:spacing w:after="0"/>
              <w:rPr>
                <w:sz w:val="12"/>
                <w:szCs w:val="12"/>
                <w:color w:val="auto"/>
              </w:rPr>
            </w:pPr>
          </w:p>
        </w:tc>
        <w:tc>
          <w:tcPr>
            <w:tcW w:w="1100" w:type="dxa"/>
            <w:vAlign w:val="bottom"/>
            <w:shd w:val="clear" w:color="auto" w:fill="CCECFF"/>
          </w:tcPr>
          <w:p>
            <w:pPr>
              <w:spacing w:after="0"/>
              <w:rPr>
                <w:sz w:val="12"/>
                <w:szCs w:val="12"/>
                <w:color w:val="auto"/>
              </w:rPr>
            </w:pPr>
          </w:p>
        </w:tc>
        <w:tc>
          <w:tcPr>
            <w:tcW w:w="160" w:type="dxa"/>
            <w:vAlign w:val="bottom"/>
            <w:shd w:val="clear" w:color="auto" w:fill="CCECFF"/>
          </w:tcPr>
          <w:p>
            <w:pPr>
              <w:spacing w:after="0"/>
              <w:rPr>
                <w:sz w:val="12"/>
                <w:szCs w:val="12"/>
                <w:color w:val="auto"/>
              </w:rPr>
            </w:pPr>
          </w:p>
        </w:tc>
        <w:tc>
          <w:tcPr>
            <w:tcW w:w="800" w:type="dxa"/>
            <w:vAlign w:val="bottom"/>
            <w:shd w:val="clear" w:color="auto" w:fill="CCECFF"/>
          </w:tcPr>
          <w:p>
            <w:pPr>
              <w:spacing w:after="0"/>
              <w:rPr>
                <w:sz w:val="12"/>
                <w:szCs w:val="12"/>
                <w:color w:val="auto"/>
              </w:rPr>
            </w:pPr>
          </w:p>
        </w:tc>
        <w:tc>
          <w:tcPr>
            <w:tcW w:w="100" w:type="dxa"/>
            <w:vAlign w:val="bottom"/>
            <w:shd w:val="clear" w:color="auto" w:fill="CCECFF"/>
          </w:tcPr>
          <w:p>
            <w:pPr>
              <w:spacing w:after="0"/>
              <w:rPr>
                <w:sz w:val="12"/>
                <w:szCs w:val="12"/>
                <w:color w:val="auto"/>
              </w:rPr>
            </w:pPr>
          </w:p>
        </w:tc>
        <w:tc>
          <w:tcPr>
            <w:tcW w:w="800" w:type="dxa"/>
            <w:vAlign w:val="bottom"/>
            <w:shd w:val="clear" w:color="auto" w:fill="CCECFF"/>
          </w:tcPr>
          <w:p>
            <w:pPr>
              <w:spacing w:after="0"/>
              <w:rPr>
                <w:sz w:val="12"/>
                <w:szCs w:val="12"/>
                <w:color w:val="auto"/>
              </w:rPr>
            </w:pPr>
          </w:p>
        </w:tc>
        <w:tc>
          <w:tcPr>
            <w:tcW w:w="320" w:type="dxa"/>
            <w:vAlign w:val="bottom"/>
            <w:gridSpan w:val="2"/>
            <w:shd w:val="clear" w:color="auto" w:fill="CCECFF"/>
          </w:tcPr>
          <w:p>
            <w:pPr>
              <w:jc w:val="right"/>
              <w:ind w:right="40"/>
              <w:spacing w:after="0"/>
              <w:rPr>
                <w:sz w:val="20"/>
                <w:szCs w:val="20"/>
                <w:color w:val="auto"/>
              </w:rPr>
            </w:pPr>
            <w:r>
              <w:rPr>
                <w:rFonts w:ascii="Arial" w:cs="Arial" w:eastAsia="Arial" w:hAnsi="Arial"/>
                <w:sz w:val="12"/>
                <w:szCs w:val="12"/>
                <w:color w:val="auto"/>
              </w:rPr>
              <w:t>$</w:t>
            </w:r>
          </w:p>
        </w:tc>
        <w:tc>
          <w:tcPr>
            <w:tcW w:w="700" w:type="dxa"/>
            <w:vAlign w:val="bottom"/>
            <w:shd w:val="clear" w:color="auto" w:fill="CCECFF"/>
          </w:tcPr>
          <w:p>
            <w:pPr>
              <w:jc w:val="right"/>
              <w:spacing w:after="0"/>
              <w:rPr>
                <w:sz w:val="20"/>
                <w:szCs w:val="20"/>
                <w:color w:val="auto"/>
              </w:rPr>
            </w:pPr>
            <w:r>
              <w:rPr>
                <w:rFonts w:ascii="Arial" w:cs="Arial" w:eastAsia="Arial" w:hAnsi="Arial"/>
                <w:sz w:val="12"/>
                <w:szCs w:val="12"/>
                <w:color w:val="auto"/>
                <w:w w:val="88"/>
              </w:rPr>
              <w:t>1,258,573,889</w:t>
            </w:r>
          </w:p>
        </w:tc>
        <w:tc>
          <w:tcPr>
            <w:tcW w:w="320" w:type="dxa"/>
            <w:vAlign w:val="bottom"/>
            <w:gridSpan w:val="2"/>
            <w:shd w:val="clear" w:color="auto" w:fill="CCECFF"/>
          </w:tcPr>
          <w:p>
            <w:pPr>
              <w:jc w:val="right"/>
              <w:spacing w:after="0"/>
              <w:rPr>
                <w:sz w:val="20"/>
                <w:szCs w:val="20"/>
                <w:color w:val="auto"/>
              </w:rPr>
            </w:pPr>
            <w:r>
              <w:rPr>
                <w:rFonts w:ascii="Arial" w:cs="Arial" w:eastAsia="Arial" w:hAnsi="Arial"/>
                <w:sz w:val="12"/>
                <w:szCs w:val="12"/>
                <w:color w:val="auto"/>
              </w:rPr>
              <w:t>$</w:t>
            </w:r>
          </w:p>
        </w:tc>
        <w:tc>
          <w:tcPr>
            <w:tcW w:w="720" w:type="dxa"/>
            <w:vAlign w:val="bottom"/>
            <w:shd w:val="clear" w:color="auto" w:fill="CCECFF"/>
          </w:tcPr>
          <w:p>
            <w:pPr>
              <w:jc w:val="right"/>
              <w:spacing w:after="0"/>
              <w:rPr>
                <w:sz w:val="20"/>
                <w:szCs w:val="20"/>
                <w:color w:val="auto"/>
              </w:rPr>
            </w:pPr>
            <w:r>
              <w:rPr>
                <w:rFonts w:ascii="Arial" w:cs="Arial" w:eastAsia="Arial" w:hAnsi="Arial"/>
                <w:sz w:val="12"/>
                <w:szCs w:val="12"/>
                <w:color w:val="auto"/>
                <w:w w:val="88"/>
              </w:rPr>
              <w:t>1,202,120,392</w:t>
            </w:r>
          </w:p>
        </w:tc>
        <w:tc>
          <w:tcPr>
            <w:tcW w:w="100" w:type="dxa"/>
            <w:vAlign w:val="bottom"/>
            <w:shd w:val="clear" w:color="auto" w:fill="CCECFF"/>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2940" w:type="dxa"/>
            <w:vAlign w:val="bottom"/>
            <w:tcBorders>
              <w:top w:val="single" w:sz="8" w:color="CCECFF"/>
              <w:bottom w:val="single" w:sz="8" w:color="CCECFF"/>
            </w:tcBorders>
            <w:vMerge w:val="restart"/>
          </w:tcPr>
          <w:p>
            <w:pPr>
              <w:spacing w:after="0"/>
              <w:rPr>
                <w:sz w:val="20"/>
                <w:szCs w:val="20"/>
                <w:color w:val="auto"/>
              </w:rPr>
            </w:pPr>
            <w:r>
              <w:rPr>
                <w:rFonts w:ascii="Arial" w:cs="Arial" w:eastAsia="Arial" w:hAnsi="Arial"/>
                <w:sz w:val="12"/>
                <w:szCs w:val="12"/>
                <w:b w:val="1"/>
                <w:bCs w:val="1"/>
                <w:color w:val="auto"/>
              </w:rPr>
              <w:t>Liabilities in Excess of Other Assets—(84.3%)</w:t>
            </w:r>
          </w:p>
        </w:tc>
        <w:tc>
          <w:tcPr>
            <w:tcW w:w="1200" w:type="dxa"/>
            <w:vAlign w:val="bottom"/>
            <w:tcBorders>
              <w:top w:val="single" w:sz="8" w:color="CCECFF"/>
            </w:tcBorders>
          </w:tcPr>
          <w:p>
            <w:pPr>
              <w:spacing w:after="0" w:line="20" w:lineRule="exact"/>
              <w:rPr>
                <w:sz w:val="1"/>
                <w:szCs w:val="1"/>
                <w:color w:val="auto"/>
              </w:rPr>
            </w:pPr>
          </w:p>
        </w:tc>
        <w:tc>
          <w:tcPr>
            <w:tcW w:w="1980" w:type="dxa"/>
            <w:vAlign w:val="bottom"/>
            <w:tcBorders>
              <w:top w:val="single" w:sz="8" w:color="CCECFF"/>
            </w:tcBorders>
          </w:tcPr>
          <w:p>
            <w:pPr>
              <w:spacing w:after="0" w:line="20" w:lineRule="exact"/>
              <w:rPr>
                <w:sz w:val="1"/>
                <w:szCs w:val="1"/>
                <w:color w:val="auto"/>
              </w:rPr>
            </w:pPr>
          </w:p>
        </w:tc>
        <w:tc>
          <w:tcPr>
            <w:tcW w:w="1100" w:type="dxa"/>
            <w:vAlign w:val="bottom"/>
            <w:tcBorders>
              <w:top w:val="single" w:sz="8" w:color="CCECFF"/>
            </w:tcBorders>
          </w:tcPr>
          <w:p>
            <w:pPr>
              <w:spacing w:after="0" w:line="20" w:lineRule="exact"/>
              <w:rPr>
                <w:sz w:val="1"/>
                <w:szCs w:val="1"/>
                <w:color w:val="auto"/>
              </w:rPr>
            </w:pPr>
          </w:p>
        </w:tc>
        <w:tc>
          <w:tcPr>
            <w:tcW w:w="160" w:type="dxa"/>
            <w:vAlign w:val="bottom"/>
            <w:tcBorders>
              <w:top w:val="single" w:sz="8" w:color="CCECFF"/>
            </w:tcBorders>
          </w:tcPr>
          <w:p>
            <w:pPr>
              <w:spacing w:after="0" w:line="20" w:lineRule="exact"/>
              <w:rPr>
                <w:sz w:val="1"/>
                <w:szCs w:val="1"/>
                <w:color w:val="auto"/>
              </w:rPr>
            </w:pPr>
          </w:p>
        </w:tc>
        <w:tc>
          <w:tcPr>
            <w:tcW w:w="800" w:type="dxa"/>
            <w:vAlign w:val="bottom"/>
            <w:tcBorders>
              <w:top w:val="single" w:sz="8" w:color="CCECFF"/>
            </w:tcBorders>
          </w:tcPr>
          <w:p>
            <w:pPr>
              <w:spacing w:after="0" w:line="20" w:lineRule="exact"/>
              <w:rPr>
                <w:sz w:val="1"/>
                <w:szCs w:val="1"/>
                <w:color w:val="auto"/>
              </w:rPr>
            </w:pPr>
          </w:p>
        </w:tc>
        <w:tc>
          <w:tcPr>
            <w:tcW w:w="100" w:type="dxa"/>
            <w:vAlign w:val="bottom"/>
            <w:tcBorders>
              <w:top w:val="single" w:sz="8" w:color="CCECFF"/>
            </w:tcBorders>
          </w:tcPr>
          <w:p>
            <w:pPr>
              <w:spacing w:after="0" w:line="20" w:lineRule="exact"/>
              <w:rPr>
                <w:sz w:val="1"/>
                <w:szCs w:val="1"/>
                <w:color w:val="auto"/>
              </w:rPr>
            </w:pPr>
          </w:p>
        </w:tc>
        <w:tc>
          <w:tcPr>
            <w:tcW w:w="800" w:type="dxa"/>
            <w:vAlign w:val="bottom"/>
            <w:tcBorders>
              <w:top w:val="single" w:sz="8" w:color="CCECFF"/>
            </w:tcBorders>
          </w:tcPr>
          <w:p>
            <w:pPr>
              <w:spacing w:after="0" w:line="20" w:lineRule="exact"/>
              <w:rPr>
                <w:sz w:val="1"/>
                <w:szCs w:val="1"/>
                <w:color w:val="auto"/>
              </w:rPr>
            </w:pPr>
          </w:p>
        </w:tc>
        <w:tc>
          <w:tcPr>
            <w:tcW w:w="220" w:type="dxa"/>
            <w:vAlign w:val="bottom"/>
            <w:tcBorders>
              <w:top w:val="single" w:sz="8" w:color="CCEC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CCECFF"/>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CFF"/>
              <w:bottom w:val="single" w:sz="8" w:color="CCECFF"/>
            </w:tcBorders>
            <w:vMerge w:val="restart"/>
          </w:tcPr>
          <w:p>
            <w:pPr>
              <w:jc w:val="right"/>
              <w:ind w:right="19"/>
              <w:spacing w:after="0"/>
              <w:rPr>
                <w:sz w:val="20"/>
                <w:szCs w:val="20"/>
                <w:color w:val="auto"/>
              </w:rPr>
            </w:pPr>
            <w:r>
              <w:rPr>
                <w:rFonts w:ascii="Arial" w:cs="Arial" w:eastAsia="Arial" w:hAnsi="Arial"/>
                <w:sz w:val="8"/>
                <w:szCs w:val="8"/>
                <w:color w:val="auto"/>
                <w:w w:val="73"/>
              </w:rPr>
              <w:t>)</w:t>
            </w:r>
          </w:p>
        </w:tc>
        <w:tc>
          <w:tcPr>
            <w:tcW w:w="0" w:type="dxa"/>
            <w:vAlign w:val="bottom"/>
          </w:tcPr>
          <w:p>
            <w:pPr>
              <w:spacing w:after="0" w:line="20" w:lineRule="exact"/>
              <w:rPr>
                <w:sz w:val="1"/>
                <w:szCs w:val="1"/>
                <w:color w:val="auto"/>
              </w:rPr>
            </w:pPr>
          </w:p>
        </w:tc>
      </w:tr>
      <w:tr>
        <w:trPr>
          <w:trHeight w:val="129"/>
        </w:trPr>
        <w:tc>
          <w:tcPr>
            <w:tcW w:w="2940" w:type="dxa"/>
            <w:vAlign w:val="bottom"/>
            <w:vMerge w:val="continue"/>
          </w:tcPr>
          <w:p>
            <w:pPr>
              <w:spacing w:after="0"/>
              <w:rPr>
                <w:sz w:val="11"/>
                <w:szCs w:val="11"/>
                <w:color w:val="auto"/>
              </w:rPr>
            </w:pPr>
          </w:p>
        </w:tc>
        <w:tc>
          <w:tcPr>
            <w:tcW w:w="1200" w:type="dxa"/>
            <w:vAlign w:val="bottom"/>
          </w:tcPr>
          <w:p>
            <w:pPr>
              <w:spacing w:after="0"/>
              <w:rPr>
                <w:sz w:val="11"/>
                <w:szCs w:val="11"/>
                <w:color w:val="auto"/>
              </w:rPr>
            </w:pPr>
          </w:p>
        </w:tc>
        <w:tc>
          <w:tcPr>
            <w:tcW w:w="19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20" w:type="dxa"/>
            <w:vAlign w:val="bottom"/>
          </w:tcPr>
          <w:p>
            <w:pPr>
              <w:jc w:val="right"/>
              <w:spacing w:after="0" w:line="129" w:lineRule="exact"/>
              <w:rPr>
                <w:sz w:val="20"/>
                <w:szCs w:val="20"/>
                <w:color w:val="auto"/>
              </w:rPr>
            </w:pPr>
            <w:r>
              <w:rPr>
                <w:rFonts w:ascii="Arial" w:cs="Arial" w:eastAsia="Arial" w:hAnsi="Arial"/>
                <w:sz w:val="12"/>
                <w:szCs w:val="12"/>
                <w:color w:val="auto"/>
                <w:w w:val="96"/>
              </w:rPr>
              <w:t>(549,944,610</w:t>
            </w:r>
          </w:p>
        </w:tc>
        <w:tc>
          <w:tcPr>
            <w:tcW w:w="10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48"/>
        </w:trPr>
        <w:tc>
          <w:tcPr>
            <w:tcW w:w="2940" w:type="dxa"/>
            <w:vAlign w:val="bottom"/>
            <w:shd w:val="clear" w:color="auto" w:fill="CCECFF"/>
          </w:tcPr>
          <w:p>
            <w:pPr>
              <w:spacing w:after="0"/>
              <w:rPr>
                <w:sz w:val="20"/>
                <w:szCs w:val="20"/>
                <w:color w:val="auto"/>
              </w:rPr>
            </w:pPr>
            <w:r>
              <w:rPr>
                <w:rFonts w:ascii="Arial" w:cs="Arial" w:eastAsia="Arial" w:hAnsi="Arial"/>
                <w:sz w:val="12"/>
                <w:szCs w:val="12"/>
                <w:b w:val="1"/>
                <w:bCs w:val="1"/>
                <w:color w:val="auto"/>
              </w:rPr>
              <w:t>Net Assets—100.0%</w:t>
            </w:r>
          </w:p>
        </w:tc>
        <w:tc>
          <w:tcPr>
            <w:tcW w:w="1200" w:type="dxa"/>
            <w:vAlign w:val="bottom"/>
            <w:shd w:val="clear" w:color="auto" w:fill="CCECFF"/>
          </w:tcPr>
          <w:p>
            <w:pPr>
              <w:spacing w:after="0"/>
              <w:rPr>
                <w:sz w:val="12"/>
                <w:szCs w:val="12"/>
                <w:color w:val="auto"/>
              </w:rPr>
            </w:pPr>
          </w:p>
        </w:tc>
        <w:tc>
          <w:tcPr>
            <w:tcW w:w="1980" w:type="dxa"/>
            <w:vAlign w:val="bottom"/>
            <w:shd w:val="clear" w:color="auto" w:fill="CCECFF"/>
          </w:tcPr>
          <w:p>
            <w:pPr>
              <w:spacing w:after="0"/>
              <w:rPr>
                <w:sz w:val="12"/>
                <w:szCs w:val="12"/>
                <w:color w:val="auto"/>
              </w:rPr>
            </w:pPr>
          </w:p>
        </w:tc>
        <w:tc>
          <w:tcPr>
            <w:tcW w:w="1100" w:type="dxa"/>
            <w:vAlign w:val="bottom"/>
            <w:shd w:val="clear" w:color="auto" w:fill="CCECFF"/>
          </w:tcPr>
          <w:p>
            <w:pPr>
              <w:spacing w:after="0"/>
              <w:rPr>
                <w:sz w:val="12"/>
                <w:szCs w:val="12"/>
                <w:color w:val="auto"/>
              </w:rPr>
            </w:pPr>
          </w:p>
        </w:tc>
        <w:tc>
          <w:tcPr>
            <w:tcW w:w="160" w:type="dxa"/>
            <w:vAlign w:val="bottom"/>
            <w:shd w:val="clear" w:color="auto" w:fill="CCECFF"/>
          </w:tcPr>
          <w:p>
            <w:pPr>
              <w:spacing w:after="0"/>
              <w:rPr>
                <w:sz w:val="12"/>
                <w:szCs w:val="12"/>
                <w:color w:val="auto"/>
              </w:rPr>
            </w:pPr>
          </w:p>
        </w:tc>
        <w:tc>
          <w:tcPr>
            <w:tcW w:w="800" w:type="dxa"/>
            <w:vAlign w:val="bottom"/>
            <w:shd w:val="clear" w:color="auto" w:fill="CCECFF"/>
          </w:tcPr>
          <w:p>
            <w:pPr>
              <w:spacing w:after="0"/>
              <w:rPr>
                <w:sz w:val="12"/>
                <w:szCs w:val="12"/>
                <w:color w:val="auto"/>
              </w:rPr>
            </w:pPr>
          </w:p>
        </w:tc>
        <w:tc>
          <w:tcPr>
            <w:tcW w:w="100" w:type="dxa"/>
            <w:vAlign w:val="bottom"/>
            <w:shd w:val="clear" w:color="auto" w:fill="CCECFF"/>
          </w:tcPr>
          <w:p>
            <w:pPr>
              <w:spacing w:after="0"/>
              <w:rPr>
                <w:sz w:val="12"/>
                <w:szCs w:val="12"/>
                <w:color w:val="auto"/>
              </w:rPr>
            </w:pPr>
          </w:p>
        </w:tc>
        <w:tc>
          <w:tcPr>
            <w:tcW w:w="800" w:type="dxa"/>
            <w:vAlign w:val="bottom"/>
            <w:shd w:val="clear" w:color="auto" w:fill="CCECFF"/>
          </w:tcPr>
          <w:p>
            <w:pPr>
              <w:spacing w:after="0"/>
              <w:rPr>
                <w:sz w:val="12"/>
                <w:szCs w:val="12"/>
                <w:color w:val="auto"/>
              </w:rPr>
            </w:pPr>
          </w:p>
        </w:tc>
        <w:tc>
          <w:tcPr>
            <w:tcW w:w="220" w:type="dxa"/>
            <w:vAlign w:val="bottom"/>
            <w:shd w:val="clear" w:color="auto" w:fill="CCECFF"/>
          </w:tcPr>
          <w:p>
            <w:pPr>
              <w:spacing w:after="0"/>
              <w:rPr>
                <w:sz w:val="12"/>
                <w:szCs w:val="12"/>
                <w:color w:val="auto"/>
              </w:rPr>
            </w:pPr>
          </w:p>
        </w:tc>
        <w:tc>
          <w:tcPr>
            <w:tcW w:w="100" w:type="dxa"/>
            <w:vAlign w:val="bottom"/>
            <w:shd w:val="clear" w:color="auto" w:fill="CCECFF"/>
          </w:tcPr>
          <w:p>
            <w:pPr>
              <w:spacing w:after="0"/>
              <w:rPr>
                <w:sz w:val="12"/>
                <w:szCs w:val="12"/>
                <w:color w:val="auto"/>
              </w:rPr>
            </w:pPr>
          </w:p>
        </w:tc>
        <w:tc>
          <w:tcPr>
            <w:tcW w:w="700" w:type="dxa"/>
            <w:vAlign w:val="bottom"/>
            <w:shd w:val="clear" w:color="auto" w:fill="CCECFF"/>
          </w:tcPr>
          <w:p>
            <w:pPr>
              <w:spacing w:after="0"/>
              <w:rPr>
                <w:sz w:val="12"/>
                <w:szCs w:val="12"/>
                <w:color w:val="auto"/>
              </w:rPr>
            </w:pPr>
          </w:p>
        </w:tc>
        <w:tc>
          <w:tcPr>
            <w:tcW w:w="320" w:type="dxa"/>
            <w:vAlign w:val="bottom"/>
            <w:gridSpan w:val="2"/>
            <w:shd w:val="clear" w:color="auto" w:fill="CCECFF"/>
          </w:tcPr>
          <w:p>
            <w:pPr>
              <w:jc w:val="right"/>
              <w:spacing w:after="0"/>
              <w:rPr>
                <w:sz w:val="20"/>
                <w:szCs w:val="20"/>
                <w:color w:val="auto"/>
              </w:rPr>
            </w:pPr>
            <w:r>
              <w:rPr>
                <w:rFonts w:ascii="Arial" w:cs="Arial" w:eastAsia="Arial" w:hAnsi="Arial"/>
                <w:sz w:val="12"/>
                <w:szCs w:val="12"/>
                <w:color w:val="auto"/>
              </w:rPr>
              <w:t>$</w:t>
            </w:r>
          </w:p>
        </w:tc>
        <w:tc>
          <w:tcPr>
            <w:tcW w:w="720" w:type="dxa"/>
            <w:vAlign w:val="bottom"/>
            <w:shd w:val="clear" w:color="auto" w:fill="CCECFF"/>
          </w:tcPr>
          <w:p>
            <w:pPr>
              <w:jc w:val="right"/>
              <w:spacing w:after="0"/>
              <w:rPr>
                <w:sz w:val="20"/>
                <w:szCs w:val="20"/>
                <w:color w:val="auto"/>
              </w:rPr>
            </w:pPr>
            <w:r>
              <w:rPr>
                <w:rFonts w:ascii="Arial" w:cs="Arial" w:eastAsia="Arial" w:hAnsi="Arial"/>
                <w:sz w:val="12"/>
                <w:szCs w:val="12"/>
                <w:color w:val="auto"/>
              </w:rPr>
              <w:t>652,175,782</w:t>
            </w:r>
          </w:p>
        </w:tc>
        <w:tc>
          <w:tcPr>
            <w:tcW w:w="100" w:type="dxa"/>
            <w:vAlign w:val="bottom"/>
            <w:shd w:val="clear" w:color="auto" w:fill="CCECFF"/>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2940" w:type="dxa"/>
            <w:vAlign w:val="bottom"/>
            <w:tcBorders>
              <w:top w:val="single" w:sz="8" w:color="CCECFF"/>
            </w:tcBorders>
          </w:tcPr>
          <w:p>
            <w:pPr>
              <w:spacing w:after="0" w:line="20" w:lineRule="exact"/>
              <w:rPr>
                <w:sz w:val="1"/>
                <w:szCs w:val="1"/>
                <w:color w:val="auto"/>
              </w:rPr>
            </w:pPr>
          </w:p>
        </w:tc>
        <w:tc>
          <w:tcPr>
            <w:tcW w:w="1200" w:type="dxa"/>
            <w:vAlign w:val="bottom"/>
            <w:tcBorders>
              <w:top w:val="single" w:sz="8" w:color="CCECFF"/>
            </w:tcBorders>
          </w:tcPr>
          <w:p>
            <w:pPr>
              <w:spacing w:after="0" w:line="20" w:lineRule="exact"/>
              <w:rPr>
                <w:sz w:val="1"/>
                <w:szCs w:val="1"/>
                <w:color w:val="auto"/>
              </w:rPr>
            </w:pPr>
          </w:p>
        </w:tc>
        <w:tc>
          <w:tcPr>
            <w:tcW w:w="1980" w:type="dxa"/>
            <w:vAlign w:val="bottom"/>
            <w:tcBorders>
              <w:top w:val="single" w:sz="8" w:color="CCECFF"/>
            </w:tcBorders>
          </w:tcPr>
          <w:p>
            <w:pPr>
              <w:spacing w:after="0" w:line="20" w:lineRule="exact"/>
              <w:rPr>
                <w:sz w:val="1"/>
                <w:szCs w:val="1"/>
                <w:color w:val="auto"/>
              </w:rPr>
            </w:pPr>
          </w:p>
        </w:tc>
        <w:tc>
          <w:tcPr>
            <w:tcW w:w="1100" w:type="dxa"/>
            <w:vAlign w:val="bottom"/>
            <w:tcBorders>
              <w:top w:val="single" w:sz="8" w:color="CCECFF"/>
            </w:tcBorders>
          </w:tcPr>
          <w:p>
            <w:pPr>
              <w:spacing w:after="0" w:line="20" w:lineRule="exact"/>
              <w:rPr>
                <w:sz w:val="1"/>
                <w:szCs w:val="1"/>
                <w:color w:val="auto"/>
              </w:rPr>
            </w:pPr>
          </w:p>
        </w:tc>
        <w:tc>
          <w:tcPr>
            <w:tcW w:w="160" w:type="dxa"/>
            <w:vAlign w:val="bottom"/>
            <w:tcBorders>
              <w:top w:val="single" w:sz="8" w:color="CCECFF"/>
            </w:tcBorders>
          </w:tcPr>
          <w:p>
            <w:pPr>
              <w:spacing w:after="0" w:line="20" w:lineRule="exact"/>
              <w:rPr>
                <w:sz w:val="1"/>
                <w:szCs w:val="1"/>
                <w:color w:val="auto"/>
              </w:rPr>
            </w:pPr>
          </w:p>
        </w:tc>
        <w:tc>
          <w:tcPr>
            <w:tcW w:w="800" w:type="dxa"/>
            <w:vAlign w:val="bottom"/>
            <w:tcBorders>
              <w:top w:val="single" w:sz="8" w:color="CCECFF"/>
            </w:tcBorders>
          </w:tcPr>
          <w:p>
            <w:pPr>
              <w:spacing w:after="0" w:line="20" w:lineRule="exact"/>
              <w:rPr>
                <w:sz w:val="1"/>
                <w:szCs w:val="1"/>
                <w:color w:val="auto"/>
              </w:rPr>
            </w:pPr>
          </w:p>
        </w:tc>
        <w:tc>
          <w:tcPr>
            <w:tcW w:w="100" w:type="dxa"/>
            <w:vAlign w:val="bottom"/>
            <w:tcBorders>
              <w:top w:val="single" w:sz="8" w:color="CCECFF"/>
            </w:tcBorders>
          </w:tcPr>
          <w:p>
            <w:pPr>
              <w:spacing w:after="0" w:line="20" w:lineRule="exact"/>
              <w:rPr>
                <w:sz w:val="1"/>
                <w:szCs w:val="1"/>
                <w:color w:val="auto"/>
              </w:rPr>
            </w:pPr>
          </w:p>
        </w:tc>
        <w:tc>
          <w:tcPr>
            <w:tcW w:w="800" w:type="dxa"/>
            <w:vAlign w:val="bottom"/>
            <w:tcBorders>
              <w:top w:val="single" w:sz="8" w:color="CCECFF"/>
            </w:tcBorders>
          </w:tcPr>
          <w:p>
            <w:pPr>
              <w:spacing w:after="0" w:line="20" w:lineRule="exact"/>
              <w:rPr>
                <w:sz w:val="1"/>
                <w:szCs w:val="1"/>
                <w:color w:val="auto"/>
              </w:rPr>
            </w:pPr>
          </w:p>
        </w:tc>
        <w:tc>
          <w:tcPr>
            <w:tcW w:w="220" w:type="dxa"/>
            <w:vAlign w:val="bottom"/>
            <w:tcBorders>
              <w:top w:val="single" w:sz="8" w:color="CCECFF"/>
            </w:tcBorders>
          </w:tcPr>
          <w:p>
            <w:pPr>
              <w:spacing w:after="0" w:line="20" w:lineRule="exact"/>
              <w:rPr>
                <w:sz w:val="1"/>
                <w:szCs w:val="1"/>
                <w:color w:val="auto"/>
              </w:rPr>
            </w:pPr>
          </w:p>
        </w:tc>
        <w:tc>
          <w:tcPr>
            <w:tcW w:w="100" w:type="dxa"/>
            <w:vAlign w:val="bottom"/>
            <w:tcBorders>
              <w:top w:val="single" w:sz="8" w:color="CCECFF"/>
            </w:tcBorders>
          </w:tcPr>
          <w:p>
            <w:pPr>
              <w:spacing w:after="0" w:line="20" w:lineRule="exact"/>
              <w:rPr>
                <w:sz w:val="1"/>
                <w:szCs w:val="1"/>
                <w:color w:val="auto"/>
              </w:rPr>
            </w:pPr>
          </w:p>
        </w:tc>
        <w:tc>
          <w:tcPr>
            <w:tcW w:w="700" w:type="dxa"/>
            <w:vAlign w:val="bottom"/>
            <w:tcBorders>
              <w:top w:val="single" w:sz="8" w:color="CCECFF"/>
            </w:tcBorders>
          </w:tcPr>
          <w:p>
            <w:pPr>
              <w:spacing w:after="0" w:line="20" w:lineRule="exact"/>
              <w:rPr>
                <w:sz w:val="1"/>
                <w:szCs w:val="1"/>
                <w:color w:val="auto"/>
              </w:rPr>
            </w:pPr>
          </w:p>
        </w:tc>
        <w:tc>
          <w:tcPr>
            <w:tcW w:w="240" w:type="dxa"/>
            <w:vAlign w:val="bottom"/>
            <w:tcBorders>
              <w:top w:val="single" w:sz="8" w:color="CCECFF"/>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C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120015</wp:posOffset>
            </wp:positionV>
            <wp:extent cx="1345565" cy="825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1345565" cy="8255"/>
                    </a:xfrm>
                    <a:prstGeom prst="rect">
                      <a:avLst/>
                    </a:prstGeom>
                    <a:noFill/>
                  </pic:spPr>
                </pic:pic>
              </a:graphicData>
            </a:graphic>
          </wp:anchor>
        </w:drawing>
      </w:r>
    </w:p>
    <w:p>
      <w:pPr>
        <w:spacing w:after="0" w:line="230" w:lineRule="exact"/>
        <w:rPr>
          <w:sz w:val="20"/>
          <w:szCs w:val="20"/>
          <w:color w:val="auto"/>
        </w:rPr>
      </w:pPr>
    </w:p>
    <w:p>
      <w:pPr>
        <w:ind w:left="380" w:hanging="372"/>
        <w:spacing w:after="0" w:line="243" w:lineRule="auto"/>
        <w:tabs>
          <w:tab w:leader="none" w:pos="380" w:val="left"/>
        </w:tabs>
        <w:numPr>
          <w:ilvl w:val="0"/>
          <w:numId w:val="3"/>
        </w:numPr>
        <w:rPr>
          <w:rFonts w:ascii="Arial" w:cs="Arial" w:eastAsia="Arial" w:hAnsi="Arial"/>
          <w:sz w:val="12"/>
          <w:szCs w:val="12"/>
          <w:color w:val="auto"/>
        </w:rPr>
      </w:pPr>
      <w:r>
        <w:rPr>
          <w:rFonts w:ascii="Arial" w:cs="Arial" w:eastAsia="Arial" w:hAnsi="Arial"/>
          <w:sz w:val="12"/>
          <w:szCs w:val="12"/>
          <w:color w:val="auto"/>
        </w:rPr>
        <w:t>The provisions of the 1940 Act classify investments based on the level of control that we maintain in a particular portfolio company. As defined in the 1940 Act, a company is generally presumed to be “non-controlled” when we own 25% or less of the portfolio company’s voting securities and “controlled” when we own more than 25% of the portfolio company’s voting securities.</w:t>
      </w:r>
    </w:p>
    <w:p>
      <w:pPr>
        <w:ind w:left="380" w:hanging="372"/>
        <w:spacing w:after="0" w:line="234" w:lineRule="auto"/>
        <w:tabs>
          <w:tab w:leader="none" w:pos="380" w:val="left"/>
        </w:tabs>
        <w:numPr>
          <w:ilvl w:val="0"/>
          <w:numId w:val="3"/>
        </w:numPr>
        <w:rPr>
          <w:rFonts w:ascii="Arial" w:cs="Arial" w:eastAsia="Arial" w:hAnsi="Arial"/>
          <w:sz w:val="12"/>
          <w:szCs w:val="12"/>
          <w:color w:val="auto"/>
        </w:rPr>
      </w:pPr>
      <w:r>
        <w:rPr>
          <w:rFonts w:ascii="Arial" w:cs="Arial" w:eastAsia="Arial" w:hAnsi="Arial"/>
          <w:sz w:val="12"/>
          <w:szCs w:val="12"/>
          <w:color w:val="auto"/>
        </w:rPr>
        <w:t>The provisions of the 1940 Act classify investments further based on the level of ownership that we maintain in a particular portfolio company. As defined in the 1940 Act, a company is generally deemed as “non-affiliated” when we own less than 5% of a portfolio company’s voting securities and “affiliated” when we own 5% or more of a portfolio company’s voting securities (see Note 6).</w:t>
      </w:r>
    </w:p>
    <w:p>
      <w:pPr>
        <w:ind w:left="380" w:hanging="372"/>
        <w:spacing w:after="0" w:line="234" w:lineRule="auto"/>
        <w:tabs>
          <w:tab w:leader="none" w:pos="380" w:val="left"/>
        </w:tabs>
        <w:numPr>
          <w:ilvl w:val="0"/>
          <w:numId w:val="3"/>
        </w:numPr>
        <w:rPr>
          <w:rFonts w:ascii="Arial" w:cs="Arial" w:eastAsia="Arial" w:hAnsi="Arial"/>
          <w:sz w:val="12"/>
          <w:szCs w:val="12"/>
          <w:color w:val="auto"/>
        </w:rPr>
      </w:pPr>
      <w:r>
        <w:rPr>
          <w:rFonts w:ascii="Arial" w:cs="Arial" w:eastAsia="Arial" w:hAnsi="Arial"/>
          <w:sz w:val="12"/>
          <w:szCs w:val="12"/>
          <w:color w:val="auto"/>
        </w:rPr>
        <w:t>Valued based on our accounting policy (See Note 2).</w:t>
      </w:r>
    </w:p>
    <w:p>
      <w:pPr>
        <w:ind w:left="380" w:right="180" w:hanging="372"/>
        <w:spacing w:after="0" w:line="234" w:lineRule="auto"/>
        <w:tabs>
          <w:tab w:leader="none" w:pos="380" w:val="left"/>
        </w:tabs>
        <w:numPr>
          <w:ilvl w:val="0"/>
          <w:numId w:val="3"/>
        </w:numPr>
        <w:rPr>
          <w:rFonts w:ascii="Arial" w:cs="Arial" w:eastAsia="Arial" w:hAnsi="Arial"/>
          <w:sz w:val="12"/>
          <w:szCs w:val="12"/>
          <w:color w:val="auto"/>
        </w:rPr>
      </w:pPr>
      <w:r>
        <w:rPr>
          <w:rFonts w:ascii="Arial" w:cs="Arial" w:eastAsia="Arial" w:hAnsi="Arial"/>
          <w:sz w:val="12"/>
          <w:szCs w:val="12"/>
          <w:color w:val="auto"/>
        </w:rPr>
        <w:t>Represents floating rate instruments that accrue interest at a predetermined spread relative to an index, typically the applicable London Interbank Offered Rate, or LIBOR or “L,” or Prime rate, or “P.” All securities are subject to a LIBOR or Prime rate floor where a spread is provided, unless noted. The spread provided includes payment-in-kind, or PIK, interest and other fee rates, if any.</w:t>
      </w:r>
    </w:p>
    <w:p>
      <w:pPr>
        <w:ind w:left="380" w:right="360" w:hanging="372"/>
        <w:spacing w:after="0" w:line="234" w:lineRule="auto"/>
        <w:tabs>
          <w:tab w:leader="none" w:pos="380" w:val="left"/>
        </w:tabs>
        <w:numPr>
          <w:ilvl w:val="0"/>
          <w:numId w:val="3"/>
        </w:numPr>
        <w:rPr>
          <w:rFonts w:ascii="Arial" w:cs="Arial" w:eastAsia="Arial" w:hAnsi="Arial"/>
          <w:sz w:val="12"/>
          <w:szCs w:val="12"/>
          <w:color w:val="auto"/>
        </w:rPr>
      </w:pPr>
      <w:r>
        <w:rPr>
          <w:rFonts w:ascii="Arial" w:cs="Arial" w:eastAsia="Arial" w:hAnsi="Arial"/>
          <w:sz w:val="12"/>
          <w:szCs w:val="12"/>
          <w:color w:val="auto"/>
        </w:rPr>
        <w:t>Security is exempt from registration under Rule 144A promulgated under the Securities Act of 1933, as amended, or the Securities Act. The security may be resold in transactions that are exempt from registration, normally to qualified institutional buyers.</w:t>
      </w:r>
    </w:p>
    <w:p>
      <w:pPr>
        <w:ind w:left="380" w:hanging="372"/>
        <w:spacing w:after="0" w:line="234" w:lineRule="auto"/>
        <w:tabs>
          <w:tab w:leader="none" w:pos="380" w:val="left"/>
        </w:tabs>
        <w:numPr>
          <w:ilvl w:val="0"/>
          <w:numId w:val="3"/>
        </w:numPr>
        <w:rPr>
          <w:rFonts w:ascii="Arial" w:cs="Arial" w:eastAsia="Arial" w:hAnsi="Arial"/>
          <w:sz w:val="12"/>
          <w:szCs w:val="12"/>
          <w:color w:val="auto"/>
        </w:rPr>
      </w:pPr>
      <w:r>
        <w:rPr>
          <w:rFonts w:ascii="Arial" w:cs="Arial" w:eastAsia="Arial" w:hAnsi="Arial"/>
          <w:sz w:val="12"/>
          <w:szCs w:val="12"/>
          <w:color w:val="auto"/>
        </w:rPr>
        <w:t>Non-income producing securities.</w:t>
      </w:r>
    </w:p>
    <w:p>
      <w:pPr>
        <w:ind w:left="380" w:hanging="372"/>
        <w:spacing w:after="0" w:line="234" w:lineRule="auto"/>
        <w:tabs>
          <w:tab w:leader="none" w:pos="380" w:val="left"/>
        </w:tabs>
        <w:numPr>
          <w:ilvl w:val="0"/>
          <w:numId w:val="3"/>
        </w:numPr>
        <w:rPr>
          <w:rFonts w:ascii="Arial" w:cs="Arial" w:eastAsia="Arial" w:hAnsi="Arial"/>
          <w:sz w:val="12"/>
          <w:szCs w:val="12"/>
          <w:color w:val="auto"/>
        </w:rPr>
      </w:pPr>
      <w:r>
        <w:rPr>
          <w:rFonts w:ascii="Arial" w:cs="Arial" w:eastAsia="Arial" w:hAnsi="Arial"/>
          <w:sz w:val="12"/>
          <w:szCs w:val="12"/>
          <w:color w:val="auto"/>
        </w:rPr>
        <w:t>Coupon is not subject to a LIBOR or Prime rate floor.</w:t>
      </w:r>
    </w:p>
    <w:p>
      <w:pPr>
        <w:ind w:left="380" w:hanging="372"/>
        <w:spacing w:after="0"/>
        <w:tabs>
          <w:tab w:leader="none" w:pos="380" w:val="left"/>
        </w:tabs>
        <w:numPr>
          <w:ilvl w:val="0"/>
          <w:numId w:val="3"/>
        </w:numPr>
        <w:rPr>
          <w:rFonts w:ascii="Arial" w:cs="Arial" w:eastAsia="Arial" w:hAnsi="Arial"/>
          <w:sz w:val="11"/>
          <w:szCs w:val="11"/>
          <w:color w:val="auto"/>
        </w:rPr>
      </w:pPr>
      <w:r>
        <w:rPr>
          <w:rFonts w:ascii="Arial" w:cs="Arial" w:eastAsia="Arial" w:hAnsi="Arial"/>
          <w:sz w:val="11"/>
          <w:szCs w:val="11"/>
          <w:color w:val="auto"/>
        </w:rPr>
        <w:t>Represents the purchase of a security with delayed settlement or a revolving line of credit that is currently an unfunded investment. This security does not earn a basis point spread above an index while it is unfunded.</w:t>
      </w:r>
    </w:p>
    <w:p>
      <w:pPr>
        <w:spacing w:after="0" w:line="8" w:lineRule="exact"/>
        <w:rPr>
          <w:rFonts w:ascii="Arial" w:cs="Arial" w:eastAsia="Arial" w:hAnsi="Arial"/>
          <w:sz w:val="11"/>
          <w:szCs w:val="11"/>
          <w:color w:val="auto"/>
        </w:rPr>
      </w:pPr>
    </w:p>
    <w:p>
      <w:pPr>
        <w:ind w:left="380" w:hanging="372"/>
        <w:spacing w:after="0" w:line="234" w:lineRule="auto"/>
        <w:tabs>
          <w:tab w:leader="none" w:pos="380" w:val="left"/>
        </w:tabs>
        <w:numPr>
          <w:ilvl w:val="0"/>
          <w:numId w:val="3"/>
        </w:numPr>
        <w:rPr>
          <w:rFonts w:ascii="Arial" w:cs="Arial" w:eastAsia="Arial" w:hAnsi="Arial"/>
          <w:sz w:val="12"/>
          <w:szCs w:val="12"/>
          <w:color w:val="auto"/>
        </w:rPr>
      </w:pPr>
      <w:r>
        <w:rPr>
          <w:rFonts w:ascii="Arial" w:cs="Arial" w:eastAsia="Arial" w:hAnsi="Arial"/>
          <w:sz w:val="12"/>
          <w:szCs w:val="12"/>
          <w:color w:val="auto"/>
        </w:rPr>
        <w:t>Non-U.S. company or principal place of business outside the U.S.</w:t>
      </w:r>
    </w:p>
    <w:p>
      <w:pPr>
        <w:ind w:left="380" w:hanging="372"/>
        <w:spacing w:after="0" w:line="234" w:lineRule="auto"/>
        <w:tabs>
          <w:tab w:leader="none" w:pos="380" w:val="left"/>
        </w:tabs>
        <w:numPr>
          <w:ilvl w:val="0"/>
          <w:numId w:val="3"/>
        </w:numPr>
        <w:rPr>
          <w:rFonts w:ascii="Arial" w:cs="Arial" w:eastAsia="Arial" w:hAnsi="Arial"/>
          <w:sz w:val="12"/>
          <w:szCs w:val="12"/>
          <w:color w:val="auto"/>
        </w:rPr>
      </w:pPr>
      <w:r>
        <w:rPr>
          <w:rFonts w:ascii="Arial" w:cs="Arial" w:eastAsia="Arial" w:hAnsi="Arial"/>
          <w:sz w:val="12"/>
          <w:szCs w:val="12"/>
          <w:color w:val="auto"/>
        </w:rPr>
        <w:t>Investment is held through our Taxable Subsidiaries (See Note 1).</w:t>
      </w:r>
    </w:p>
    <w:p>
      <w:pPr>
        <w:ind w:left="380" w:hanging="372"/>
        <w:spacing w:after="0" w:line="234" w:lineRule="auto"/>
        <w:tabs>
          <w:tab w:leader="none" w:pos="380" w:val="left"/>
        </w:tabs>
        <w:numPr>
          <w:ilvl w:val="0"/>
          <w:numId w:val="3"/>
        </w:numPr>
        <w:rPr>
          <w:rFonts w:ascii="Arial" w:cs="Arial" w:eastAsia="Arial" w:hAnsi="Arial"/>
          <w:sz w:val="12"/>
          <w:szCs w:val="12"/>
          <w:color w:val="auto"/>
        </w:rPr>
      </w:pPr>
      <w:r>
        <w:rPr>
          <w:rFonts w:ascii="Arial" w:cs="Arial" w:eastAsia="Arial" w:hAnsi="Arial"/>
          <w:sz w:val="12"/>
          <w:szCs w:val="12"/>
          <w:color w:val="auto"/>
        </w:rPr>
        <w:t>Par amount is denominated in British Pounds (£) or in Euros (€) as denoted.</w:t>
      </w:r>
    </w:p>
    <w:p>
      <w:pPr>
        <w:ind w:left="380" w:right="20" w:hanging="372"/>
        <w:spacing w:after="0" w:line="256" w:lineRule="auto"/>
        <w:tabs>
          <w:tab w:leader="none" w:pos="380" w:val="left"/>
        </w:tabs>
        <w:numPr>
          <w:ilvl w:val="0"/>
          <w:numId w:val="3"/>
        </w:numPr>
        <w:rPr>
          <w:rFonts w:ascii="Arial" w:cs="Arial" w:eastAsia="Arial" w:hAnsi="Arial"/>
          <w:sz w:val="11"/>
          <w:szCs w:val="11"/>
          <w:color w:val="auto"/>
        </w:rPr>
      </w:pPr>
      <w:r>
        <w:rPr>
          <w:rFonts w:ascii="Arial" w:cs="Arial" w:eastAsia="Arial" w:hAnsi="Arial"/>
          <w:sz w:val="11"/>
          <w:szCs w:val="11"/>
          <w:color w:val="auto"/>
        </w:rPr>
        <w:t>The investment is treated as a non-qualifying asset under Section 55(a) of the 1940 Act. Under the 1940 Act, we may not acquire any non-qualifying asset unless, at the time the acquisition is made, qualifying assets represent at least 70% of our total assets. As of June 30, 2017, qualifying assets represent 85% of the Company’s total assets and non-qualifying assets represent 15% of the Company’s total assets.</w:t>
      </w:r>
    </w:p>
    <w:p>
      <w:pPr>
        <w:ind w:left="380" w:hanging="372"/>
        <w:spacing w:after="0"/>
        <w:tabs>
          <w:tab w:leader="none" w:pos="380" w:val="left"/>
        </w:tabs>
        <w:numPr>
          <w:ilvl w:val="0"/>
          <w:numId w:val="3"/>
        </w:numPr>
        <w:rPr>
          <w:rFonts w:ascii="Arial" w:cs="Arial" w:eastAsia="Arial" w:hAnsi="Arial"/>
          <w:sz w:val="12"/>
          <w:szCs w:val="12"/>
          <w:color w:val="auto"/>
        </w:rPr>
      </w:pPr>
      <w:r>
        <w:rPr>
          <w:rFonts w:ascii="Arial" w:cs="Arial" w:eastAsia="Arial" w:hAnsi="Arial"/>
          <w:sz w:val="12"/>
          <w:szCs w:val="12"/>
          <w:color w:val="auto"/>
        </w:rPr>
        <w:t>Share amount is 70,443,882,243.</w:t>
      </w:r>
    </w:p>
    <w:p>
      <w:pPr>
        <w:spacing w:after="0" w:line="190"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SEE NOTES TO CONSOLIDATED FINANCIAL STATEMENTS</w:t>
      </w:r>
    </w:p>
    <w:p>
      <w:pPr>
        <w:spacing w:after="0" w:line="136"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72390</wp:posOffset>
            </wp:positionV>
            <wp:extent cx="7149465" cy="171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333" w:right="339" w:bottom="1440" w:gutter="0" w:footer="0" w:header="0"/>
        </w:sectPr>
      </w:pPr>
    </w:p>
    <w:bookmarkStart w:id="10" w:name="page11"/>
    <w:bookmarkEnd w:id="10"/>
    <w:p>
      <w:pPr>
        <w:jc w:val="center"/>
        <w:spacing w:after="0"/>
        <w:rPr>
          <w:sz w:val="20"/>
          <w:szCs w:val="20"/>
          <w:color w:val="auto"/>
        </w:rPr>
      </w:pPr>
      <w:r>
        <w:rPr>
          <w:rFonts w:ascii="Arial" w:cs="Arial" w:eastAsia="Arial" w:hAnsi="Arial"/>
          <w:sz w:val="14"/>
          <w:szCs w:val="14"/>
          <w:b w:val="1"/>
          <w:bCs w:val="1"/>
          <w:color w:val="auto"/>
        </w:rPr>
        <w:t>PENNANTPARK INVESTMENT CORPORATION AND SUBSIDIARIES</w:t>
      </w:r>
    </w:p>
    <w:p>
      <w:pPr>
        <w:jc w:val="center"/>
        <w:spacing w:after="0" w:line="226" w:lineRule="auto"/>
        <w:rPr>
          <w:sz w:val="20"/>
          <w:szCs w:val="20"/>
          <w:color w:val="auto"/>
        </w:rPr>
      </w:pPr>
      <w:r>
        <w:rPr>
          <w:rFonts w:ascii="Arial" w:cs="Arial" w:eastAsia="Arial" w:hAnsi="Arial"/>
          <w:sz w:val="14"/>
          <w:szCs w:val="14"/>
          <w:b w:val="1"/>
          <w:bCs w:val="1"/>
          <w:color w:val="auto"/>
        </w:rPr>
        <w:t>CONSOLIDATED SCHEDULE OF INVESTMENTS</w:t>
      </w:r>
    </w:p>
    <w:p>
      <w:pPr>
        <w:jc w:val="center"/>
        <w:spacing w:after="0"/>
        <w:rPr>
          <w:sz w:val="20"/>
          <w:szCs w:val="20"/>
          <w:color w:val="auto"/>
        </w:rPr>
      </w:pPr>
      <w:r>
        <w:rPr>
          <w:rFonts w:ascii="Arial" w:cs="Arial" w:eastAsia="Arial" w:hAnsi="Arial"/>
          <w:sz w:val="14"/>
          <w:szCs w:val="14"/>
          <w:b w:val="1"/>
          <w:bCs w:val="1"/>
          <w:color w:val="auto"/>
        </w:rPr>
        <w:t>SEPTEMBER 30, 2016</w:t>
      </w:r>
    </w:p>
    <w:p>
      <w:pPr>
        <w:spacing w:after="0" w:line="294" w:lineRule="exact"/>
        <w:rPr>
          <w:sz w:val="20"/>
          <w:szCs w:val="20"/>
          <w:color w:val="auto"/>
        </w:rPr>
      </w:pPr>
    </w:p>
    <w:tbl>
      <w:tblPr>
        <w:tblLayout w:type="fixed"/>
        <w:tblInd w:w="0" w:type="dxa"/>
        <w:tblCellMar>
          <w:top w:w="0" w:type="dxa"/>
          <w:left w:w="0" w:type="dxa"/>
          <w:bottom w:w="0" w:type="dxa"/>
          <w:right w:w="0" w:type="dxa"/>
        </w:tblCellMar>
      </w:tblPr>
      <w:tr>
        <w:trPr>
          <w:trHeight w:val="138"/>
        </w:trPr>
        <w:tc>
          <w:tcPr>
            <w:tcW w:w="300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26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80" w:type="dxa"/>
            <w:vAlign w:val="bottom"/>
          </w:tcPr>
          <w:p>
            <w:pPr>
              <w:jc w:val="center"/>
              <w:spacing w:after="0"/>
              <w:rPr>
                <w:sz w:val="20"/>
                <w:szCs w:val="20"/>
                <w:color w:val="auto"/>
              </w:rPr>
            </w:pPr>
            <w:r>
              <w:rPr>
                <w:rFonts w:ascii="Arial" w:cs="Arial" w:eastAsia="Arial" w:hAnsi="Arial"/>
                <w:sz w:val="12"/>
                <w:szCs w:val="12"/>
                <w:b w:val="1"/>
                <w:bCs w:val="1"/>
                <w:color w:val="auto"/>
                <w:w w:val="85"/>
              </w:rPr>
              <w:t>Basis Point</w:t>
            </w:r>
          </w:p>
        </w:tc>
        <w:tc>
          <w:tcPr>
            <w:tcW w:w="2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00" w:type="dxa"/>
            <w:vAlign w:val="bottom"/>
          </w:tcPr>
          <w:p>
            <w:pPr>
              <w:spacing w:after="0"/>
              <w:rPr>
                <w:sz w:val="12"/>
                <w:szCs w:val="12"/>
                <w:color w:val="auto"/>
              </w:rPr>
            </w:pPr>
          </w:p>
        </w:tc>
      </w:tr>
      <w:tr>
        <w:trPr>
          <w:trHeight w:val="135"/>
        </w:trPr>
        <w:tc>
          <w:tcPr>
            <w:tcW w:w="300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26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80" w:type="dxa"/>
            <w:vAlign w:val="bottom"/>
          </w:tcPr>
          <w:p>
            <w:pPr>
              <w:jc w:val="center"/>
              <w:spacing w:after="0" w:line="135" w:lineRule="exact"/>
              <w:rPr>
                <w:sz w:val="20"/>
                <w:szCs w:val="20"/>
                <w:color w:val="auto"/>
              </w:rPr>
            </w:pPr>
            <w:r>
              <w:rPr>
                <w:rFonts w:ascii="Arial" w:cs="Arial" w:eastAsia="Arial" w:hAnsi="Arial"/>
                <w:sz w:val="12"/>
                <w:szCs w:val="12"/>
                <w:b w:val="1"/>
                <w:bCs w:val="1"/>
                <w:color w:val="auto"/>
                <w:w w:val="88"/>
              </w:rPr>
              <w:t>Spread</w:t>
            </w:r>
          </w:p>
        </w:tc>
        <w:tc>
          <w:tcPr>
            <w:tcW w:w="2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00" w:type="dxa"/>
            <w:vAlign w:val="bottom"/>
          </w:tcPr>
          <w:p>
            <w:pPr>
              <w:spacing w:after="0"/>
              <w:rPr>
                <w:sz w:val="11"/>
                <w:szCs w:val="11"/>
                <w:color w:val="auto"/>
              </w:rPr>
            </w:pPr>
          </w:p>
        </w:tc>
      </w:tr>
      <w:tr>
        <w:trPr>
          <w:trHeight w:val="135"/>
        </w:trPr>
        <w:tc>
          <w:tcPr>
            <w:tcW w:w="3000" w:type="dxa"/>
            <w:vAlign w:val="bottom"/>
          </w:tcPr>
          <w:p>
            <w:pPr>
              <w:spacing w:after="0"/>
              <w:rPr>
                <w:sz w:val="11"/>
                <w:szCs w:val="11"/>
                <w:color w:val="auto"/>
              </w:rPr>
            </w:pPr>
          </w:p>
        </w:tc>
        <w:tc>
          <w:tcPr>
            <w:tcW w:w="920" w:type="dxa"/>
            <w:vAlign w:val="bottom"/>
          </w:tcPr>
          <w:p>
            <w:pPr>
              <w:ind w:left="140"/>
              <w:spacing w:after="0" w:line="135" w:lineRule="exact"/>
              <w:rPr>
                <w:sz w:val="20"/>
                <w:szCs w:val="20"/>
                <w:color w:val="auto"/>
              </w:rPr>
            </w:pPr>
            <w:r>
              <w:rPr>
                <w:rFonts w:ascii="Arial" w:cs="Arial" w:eastAsia="Arial" w:hAnsi="Arial"/>
                <w:sz w:val="12"/>
                <w:szCs w:val="12"/>
                <w:b w:val="1"/>
                <w:bCs w:val="1"/>
                <w:color w:val="auto"/>
              </w:rPr>
              <w:t>Maturity /</w:t>
            </w:r>
          </w:p>
        </w:tc>
        <w:tc>
          <w:tcPr>
            <w:tcW w:w="26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20" w:type="dxa"/>
            <w:vAlign w:val="bottom"/>
            <w:gridSpan w:val="2"/>
          </w:tcPr>
          <w:p>
            <w:pPr>
              <w:jc w:val="right"/>
              <w:ind w:right="280"/>
              <w:spacing w:after="0" w:line="135" w:lineRule="exact"/>
              <w:rPr>
                <w:sz w:val="20"/>
                <w:szCs w:val="20"/>
                <w:color w:val="auto"/>
              </w:rPr>
            </w:pPr>
            <w:r>
              <w:rPr>
                <w:rFonts w:ascii="Arial" w:cs="Arial" w:eastAsia="Arial" w:hAnsi="Arial"/>
                <w:sz w:val="12"/>
                <w:szCs w:val="12"/>
                <w:b w:val="1"/>
                <w:bCs w:val="1"/>
                <w:color w:val="auto"/>
              </w:rPr>
              <w:t>Current</w:t>
            </w:r>
          </w:p>
        </w:tc>
        <w:tc>
          <w:tcPr>
            <w:tcW w:w="140" w:type="dxa"/>
            <w:vAlign w:val="bottom"/>
          </w:tcPr>
          <w:p>
            <w:pPr>
              <w:spacing w:after="0"/>
              <w:rPr>
                <w:sz w:val="11"/>
                <w:szCs w:val="11"/>
                <w:color w:val="auto"/>
              </w:rPr>
            </w:pPr>
          </w:p>
        </w:tc>
        <w:tc>
          <w:tcPr>
            <w:tcW w:w="680" w:type="dxa"/>
            <w:vAlign w:val="bottom"/>
          </w:tcPr>
          <w:p>
            <w:pPr>
              <w:jc w:val="center"/>
              <w:spacing w:after="0" w:line="135" w:lineRule="exact"/>
              <w:rPr>
                <w:sz w:val="20"/>
                <w:szCs w:val="20"/>
                <w:color w:val="auto"/>
              </w:rPr>
            </w:pPr>
            <w:r>
              <w:rPr>
                <w:rFonts w:ascii="Arial" w:cs="Arial" w:eastAsia="Arial" w:hAnsi="Arial"/>
                <w:sz w:val="12"/>
                <w:szCs w:val="12"/>
                <w:b w:val="1"/>
                <w:bCs w:val="1"/>
                <w:color w:val="auto"/>
                <w:w w:val="87"/>
              </w:rPr>
              <w:t>Above</w:t>
            </w:r>
          </w:p>
        </w:tc>
        <w:tc>
          <w:tcPr>
            <w:tcW w:w="2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80" w:type="dxa"/>
            <w:vAlign w:val="bottom"/>
          </w:tcPr>
          <w:p>
            <w:pPr>
              <w:jc w:val="right"/>
              <w:ind w:right="162"/>
              <w:spacing w:after="0" w:line="135" w:lineRule="exact"/>
              <w:rPr>
                <w:sz w:val="20"/>
                <w:szCs w:val="20"/>
                <w:color w:val="auto"/>
              </w:rPr>
            </w:pPr>
            <w:r>
              <w:rPr>
                <w:rFonts w:ascii="Arial" w:cs="Arial" w:eastAsia="Arial" w:hAnsi="Arial"/>
                <w:sz w:val="12"/>
                <w:szCs w:val="12"/>
                <w:b w:val="1"/>
                <w:bCs w:val="1"/>
                <w:color w:val="auto"/>
              </w:rPr>
              <w:t>Par /</w:t>
            </w:r>
          </w:p>
        </w:tc>
        <w:tc>
          <w:tcPr>
            <w:tcW w:w="2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00" w:type="dxa"/>
            <w:vAlign w:val="bottom"/>
          </w:tcPr>
          <w:p>
            <w:pPr>
              <w:spacing w:after="0"/>
              <w:rPr>
                <w:sz w:val="11"/>
                <w:szCs w:val="11"/>
                <w:color w:val="auto"/>
              </w:rPr>
            </w:pPr>
          </w:p>
        </w:tc>
      </w:tr>
      <w:tr>
        <w:trPr>
          <w:trHeight w:val="143"/>
        </w:trPr>
        <w:tc>
          <w:tcPr>
            <w:tcW w:w="3000" w:type="dxa"/>
            <w:vAlign w:val="bottom"/>
            <w:tcBorders>
              <w:bottom w:val="single" w:sz="8" w:color="auto"/>
            </w:tcBorders>
          </w:tcPr>
          <w:p>
            <w:pPr>
              <w:spacing w:after="0"/>
              <w:rPr>
                <w:sz w:val="20"/>
                <w:szCs w:val="20"/>
                <w:color w:val="auto"/>
              </w:rPr>
            </w:pPr>
            <w:r>
              <w:rPr>
                <w:rFonts w:ascii="Arial" w:cs="Arial" w:eastAsia="Arial" w:hAnsi="Arial"/>
                <w:sz w:val="12"/>
                <w:szCs w:val="12"/>
                <w:b w:val="1"/>
                <w:bCs w:val="1"/>
                <w:color w:val="auto"/>
              </w:rPr>
              <w:t>Issuer Name</w:t>
            </w:r>
          </w:p>
        </w:tc>
        <w:tc>
          <w:tcPr>
            <w:tcW w:w="920" w:type="dxa"/>
            <w:vAlign w:val="bottom"/>
            <w:tcBorders>
              <w:bottom w:val="single" w:sz="8" w:color="auto"/>
            </w:tcBorders>
          </w:tcPr>
          <w:p>
            <w:pPr>
              <w:ind w:left="120"/>
              <w:spacing w:after="0"/>
              <w:rPr>
                <w:sz w:val="20"/>
                <w:szCs w:val="20"/>
                <w:color w:val="auto"/>
              </w:rPr>
            </w:pPr>
            <w:r>
              <w:rPr>
                <w:rFonts w:ascii="Arial" w:cs="Arial" w:eastAsia="Arial" w:hAnsi="Arial"/>
                <w:sz w:val="12"/>
                <w:szCs w:val="12"/>
                <w:b w:val="1"/>
                <w:bCs w:val="1"/>
                <w:color w:val="auto"/>
              </w:rPr>
              <w:t>Expiration</w:t>
            </w:r>
          </w:p>
        </w:tc>
        <w:tc>
          <w:tcPr>
            <w:tcW w:w="2640" w:type="dxa"/>
            <w:vAlign w:val="bottom"/>
            <w:tcBorders>
              <w:bottom w:val="single" w:sz="8" w:color="auto"/>
            </w:tcBorders>
          </w:tcPr>
          <w:p>
            <w:pPr>
              <w:jc w:val="center"/>
              <w:spacing w:after="0"/>
              <w:rPr>
                <w:sz w:val="20"/>
                <w:szCs w:val="20"/>
                <w:color w:val="auto"/>
              </w:rPr>
            </w:pPr>
            <w:r>
              <w:rPr>
                <w:rFonts w:ascii="Arial" w:cs="Arial" w:eastAsia="Arial" w:hAnsi="Arial"/>
                <w:sz w:val="12"/>
                <w:szCs w:val="12"/>
                <w:b w:val="1"/>
                <w:bCs w:val="1"/>
                <w:color w:val="auto"/>
                <w:w w:val="92"/>
              </w:rPr>
              <w:t>Industry</w:t>
            </w:r>
          </w:p>
        </w:tc>
        <w:tc>
          <w:tcPr>
            <w:tcW w:w="120" w:type="dxa"/>
            <w:vAlign w:val="bottom"/>
            <w:tcBorders>
              <w:bottom w:val="single" w:sz="8" w:color="CCECFF"/>
            </w:tcBorders>
          </w:tcPr>
          <w:p>
            <w:pPr>
              <w:spacing w:after="0"/>
              <w:rPr>
                <w:sz w:val="12"/>
                <w:szCs w:val="12"/>
                <w:color w:val="auto"/>
              </w:rPr>
            </w:pPr>
          </w:p>
        </w:tc>
        <w:tc>
          <w:tcPr>
            <w:tcW w:w="680" w:type="dxa"/>
            <w:vAlign w:val="bottom"/>
            <w:tcBorders>
              <w:bottom w:val="single" w:sz="8" w:color="auto"/>
            </w:tcBorders>
          </w:tcPr>
          <w:p>
            <w:pPr>
              <w:jc w:val="right"/>
              <w:ind w:right="102"/>
              <w:spacing w:after="0"/>
              <w:rPr>
                <w:sz w:val="20"/>
                <w:szCs w:val="20"/>
                <w:color w:val="auto"/>
              </w:rPr>
            </w:pPr>
            <w:r>
              <w:rPr>
                <w:rFonts w:ascii="Arial" w:cs="Arial" w:eastAsia="Arial" w:hAnsi="Arial"/>
                <w:sz w:val="12"/>
                <w:szCs w:val="12"/>
                <w:b w:val="1"/>
                <w:bCs w:val="1"/>
                <w:color w:val="auto"/>
              </w:rPr>
              <w:t>Coupon</w:t>
            </w:r>
          </w:p>
        </w:tc>
        <w:tc>
          <w:tcPr>
            <w:tcW w:w="140" w:type="dxa"/>
            <w:vAlign w:val="bottom"/>
            <w:tcBorders>
              <w:bottom w:val="single" w:sz="8" w:color="CCECFF"/>
            </w:tcBorders>
          </w:tcPr>
          <w:p>
            <w:pPr>
              <w:spacing w:after="0"/>
              <w:rPr>
                <w:sz w:val="12"/>
                <w:szCs w:val="12"/>
                <w:color w:val="auto"/>
              </w:rPr>
            </w:pPr>
          </w:p>
        </w:tc>
        <w:tc>
          <w:tcPr>
            <w:tcW w:w="140" w:type="dxa"/>
            <w:vAlign w:val="bottom"/>
            <w:tcBorders>
              <w:bottom w:val="single" w:sz="8" w:color="CCECFF"/>
            </w:tcBorders>
          </w:tcPr>
          <w:p>
            <w:pPr>
              <w:spacing w:after="0"/>
              <w:rPr>
                <w:sz w:val="12"/>
                <w:szCs w:val="12"/>
                <w:color w:val="auto"/>
              </w:rPr>
            </w:pPr>
          </w:p>
        </w:tc>
        <w:tc>
          <w:tcPr>
            <w:tcW w:w="680" w:type="dxa"/>
            <w:vAlign w:val="bottom"/>
            <w:tcBorders>
              <w:bottom w:val="single" w:sz="8" w:color="auto"/>
            </w:tcBorders>
          </w:tcPr>
          <w:p>
            <w:pPr>
              <w:jc w:val="center"/>
              <w:spacing w:after="0"/>
              <w:rPr>
                <w:sz w:val="20"/>
                <w:szCs w:val="20"/>
                <w:color w:val="auto"/>
              </w:rPr>
            </w:pPr>
            <w:r>
              <w:rPr>
                <w:rFonts w:ascii="Arial" w:cs="Arial" w:eastAsia="Arial" w:hAnsi="Arial"/>
                <w:sz w:val="12"/>
                <w:szCs w:val="12"/>
                <w:b w:val="1"/>
                <w:bCs w:val="1"/>
                <w:color w:val="auto"/>
                <w:w w:val="96"/>
              </w:rPr>
              <w:t xml:space="preserve">Index </w:t>
            </w:r>
            <w:r>
              <w:rPr>
                <w:rFonts w:ascii="Arial" w:cs="Arial" w:eastAsia="Arial" w:hAnsi="Arial"/>
                <w:sz w:val="9"/>
                <w:szCs w:val="9"/>
                <w:b w:val="1"/>
                <w:bCs w:val="1"/>
                <w:color w:val="auto"/>
                <w:w w:val="96"/>
              </w:rPr>
              <w:t>(4)</w:t>
            </w:r>
          </w:p>
        </w:tc>
        <w:tc>
          <w:tcPr>
            <w:tcW w:w="240" w:type="dxa"/>
            <w:vAlign w:val="bottom"/>
            <w:tcBorders>
              <w:bottom w:val="single" w:sz="8" w:color="CCECFF"/>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580" w:type="dxa"/>
            <w:vAlign w:val="bottom"/>
            <w:tcBorders>
              <w:bottom w:val="single" w:sz="8" w:color="auto"/>
            </w:tcBorders>
          </w:tcPr>
          <w:p>
            <w:pPr>
              <w:jc w:val="right"/>
              <w:ind w:right="122"/>
              <w:spacing w:after="0"/>
              <w:rPr>
                <w:sz w:val="20"/>
                <w:szCs w:val="20"/>
                <w:color w:val="auto"/>
              </w:rPr>
            </w:pPr>
            <w:r>
              <w:rPr>
                <w:rFonts w:ascii="Arial" w:cs="Arial" w:eastAsia="Arial" w:hAnsi="Arial"/>
                <w:sz w:val="12"/>
                <w:szCs w:val="12"/>
                <w:b w:val="1"/>
                <w:bCs w:val="1"/>
                <w:color w:val="auto"/>
                <w:w w:val="94"/>
              </w:rPr>
              <w:t>Shares</w:t>
            </w:r>
          </w:p>
        </w:tc>
        <w:tc>
          <w:tcPr>
            <w:tcW w:w="240" w:type="dxa"/>
            <w:vAlign w:val="bottom"/>
            <w:tcBorders>
              <w:bottom w:val="single" w:sz="8" w:color="CCECFF"/>
            </w:tcBorders>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620" w:type="dxa"/>
            <w:vAlign w:val="bottom"/>
            <w:tcBorders>
              <w:bottom w:val="single" w:sz="8" w:color="auto"/>
            </w:tcBorders>
          </w:tcPr>
          <w:p>
            <w:pPr>
              <w:jc w:val="right"/>
              <w:ind w:right="182"/>
              <w:spacing w:after="0"/>
              <w:rPr>
                <w:sz w:val="20"/>
                <w:szCs w:val="20"/>
                <w:color w:val="auto"/>
              </w:rPr>
            </w:pPr>
            <w:r>
              <w:rPr>
                <w:rFonts w:ascii="Arial" w:cs="Arial" w:eastAsia="Arial" w:hAnsi="Arial"/>
                <w:sz w:val="12"/>
                <w:szCs w:val="12"/>
                <w:b w:val="1"/>
                <w:bCs w:val="1"/>
                <w:color w:val="auto"/>
              </w:rPr>
              <w:t>Cost</w:t>
            </w:r>
          </w:p>
        </w:tc>
        <w:tc>
          <w:tcPr>
            <w:tcW w:w="240" w:type="dxa"/>
            <w:vAlign w:val="bottom"/>
            <w:tcBorders>
              <w:bottom w:val="single" w:sz="8" w:color="CCECFF"/>
            </w:tcBorders>
          </w:tcPr>
          <w:p>
            <w:pPr>
              <w:spacing w:after="0"/>
              <w:rPr>
                <w:sz w:val="12"/>
                <w:szCs w:val="12"/>
                <w:color w:val="auto"/>
              </w:rPr>
            </w:pPr>
          </w:p>
        </w:tc>
        <w:tc>
          <w:tcPr>
            <w:tcW w:w="720" w:type="dxa"/>
            <w:vAlign w:val="bottom"/>
            <w:tcBorders>
              <w:bottom w:val="single" w:sz="8" w:color="auto"/>
            </w:tcBorders>
            <w:gridSpan w:val="2"/>
          </w:tcPr>
          <w:p>
            <w:pPr>
              <w:jc w:val="right"/>
              <w:spacing w:after="0"/>
              <w:rPr>
                <w:sz w:val="20"/>
                <w:szCs w:val="20"/>
                <w:color w:val="auto"/>
              </w:rPr>
            </w:pPr>
            <w:r>
              <w:rPr>
                <w:rFonts w:ascii="Arial" w:cs="Arial" w:eastAsia="Arial" w:hAnsi="Arial"/>
                <w:sz w:val="12"/>
                <w:szCs w:val="12"/>
                <w:b w:val="1"/>
                <w:bCs w:val="1"/>
                <w:color w:val="auto"/>
                <w:w w:val="91"/>
              </w:rPr>
              <w:t xml:space="preserve">Fair Value </w:t>
            </w:r>
            <w:r>
              <w:rPr>
                <w:rFonts w:ascii="Arial" w:cs="Arial" w:eastAsia="Arial" w:hAnsi="Arial"/>
                <w:sz w:val="9"/>
                <w:szCs w:val="9"/>
                <w:b w:val="1"/>
                <w:bCs w:val="1"/>
                <w:color w:val="auto"/>
                <w:w w:val="91"/>
              </w:rPr>
              <w:t>(3)</w:t>
            </w:r>
          </w:p>
        </w:tc>
        <w:tc>
          <w:tcPr>
            <w:tcW w:w="100" w:type="dxa"/>
            <w:vAlign w:val="bottom"/>
            <w:tcBorders>
              <w:bottom w:val="single" w:sz="8" w:color="CCECFF"/>
            </w:tcBorders>
          </w:tcPr>
          <w:p>
            <w:pPr>
              <w:spacing w:after="0"/>
              <w:rPr>
                <w:sz w:val="12"/>
                <w:szCs w:val="12"/>
                <w:color w:val="auto"/>
              </w:rPr>
            </w:pPr>
          </w:p>
        </w:tc>
      </w:tr>
      <w:tr>
        <w:trPr>
          <w:trHeight w:val="142"/>
        </w:trPr>
        <w:tc>
          <w:tcPr>
            <w:tcW w:w="6680" w:type="dxa"/>
            <w:vAlign w:val="bottom"/>
            <w:gridSpan w:val="4"/>
            <w:shd w:val="clear" w:color="auto" w:fill="CCECFF"/>
          </w:tcPr>
          <w:p>
            <w:pPr>
              <w:spacing w:after="0"/>
              <w:rPr>
                <w:sz w:val="20"/>
                <w:szCs w:val="20"/>
                <w:color w:val="auto"/>
              </w:rPr>
            </w:pPr>
            <w:r>
              <w:rPr>
                <w:rFonts w:ascii="Arial" w:cs="Arial" w:eastAsia="Arial" w:hAnsi="Arial"/>
                <w:sz w:val="12"/>
                <w:szCs w:val="12"/>
                <w:b w:val="1"/>
                <w:bCs w:val="1"/>
                <w:color w:val="auto"/>
              </w:rPr>
              <w:t xml:space="preserve">Investments in Non-Controlled, Non-Affiliated Portfolio Companies—126.4% </w:t>
            </w:r>
            <w:r>
              <w:rPr>
                <w:rFonts w:ascii="Arial" w:cs="Arial" w:eastAsia="Arial" w:hAnsi="Arial"/>
                <w:sz w:val="9"/>
                <w:szCs w:val="9"/>
                <w:b w:val="1"/>
                <w:bCs w:val="1"/>
                <w:color w:val="auto"/>
              </w:rPr>
              <w:t>(1), (2)</w:t>
            </w:r>
          </w:p>
        </w:tc>
        <w:tc>
          <w:tcPr>
            <w:tcW w:w="680" w:type="dxa"/>
            <w:vAlign w:val="bottom"/>
            <w:shd w:val="clear" w:color="auto" w:fill="CCECFF"/>
          </w:tcPr>
          <w:p>
            <w:pPr>
              <w:spacing w:after="0"/>
              <w:rPr>
                <w:sz w:val="12"/>
                <w:szCs w:val="12"/>
                <w:color w:val="auto"/>
              </w:rPr>
            </w:pPr>
          </w:p>
        </w:tc>
        <w:tc>
          <w:tcPr>
            <w:tcW w:w="140" w:type="dxa"/>
            <w:vAlign w:val="bottom"/>
            <w:shd w:val="clear" w:color="auto" w:fill="CCECFF"/>
          </w:tcPr>
          <w:p>
            <w:pPr>
              <w:spacing w:after="0"/>
              <w:rPr>
                <w:sz w:val="12"/>
                <w:szCs w:val="12"/>
                <w:color w:val="auto"/>
              </w:rPr>
            </w:pPr>
          </w:p>
        </w:tc>
        <w:tc>
          <w:tcPr>
            <w:tcW w:w="140" w:type="dxa"/>
            <w:vAlign w:val="bottom"/>
            <w:shd w:val="clear" w:color="auto" w:fill="CCECFF"/>
          </w:tcPr>
          <w:p>
            <w:pPr>
              <w:spacing w:after="0"/>
              <w:rPr>
                <w:sz w:val="12"/>
                <w:szCs w:val="12"/>
                <w:color w:val="auto"/>
              </w:rPr>
            </w:pPr>
          </w:p>
        </w:tc>
        <w:tc>
          <w:tcPr>
            <w:tcW w:w="680" w:type="dxa"/>
            <w:vAlign w:val="bottom"/>
            <w:shd w:val="clear" w:color="auto" w:fill="CCECFF"/>
          </w:tcPr>
          <w:p>
            <w:pPr>
              <w:spacing w:after="0"/>
              <w:rPr>
                <w:sz w:val="12"/>
                <w:szCs w:val="12"/>
                <w:color w:val="auto"/>
              </w:rPr>
            </w:pPr>
          </w:p>
        </w:tc>
        <w:tc>
          <w:tcPr>
            <w:tcW w:w="240" w:type="dxa"/>
            <w:vAlign w:val="bottom"/>
            <w:shd w:val="clear" w:color="auto" w:fill="CCECFF"/>
          </w:tcPr>
          <w:p>
            <w:pPr>
              <w:spacing w:after="0"/>
              <w:rPr>
                <w:sz w:val="12"/>
                <w:szCs w:val="12"/>
                <w:color w:val="auto"/>
              </w:rPr>
            </w:pPr>
          </w:p>
        </w:tc>
        <w:tc>
          <w:tcPr>
            <w:tcW w:w="100" w:type="dxa"/>
            <w:vAlign w:val="bottom"/>
            <w:shd w:val="clear" w:color="auto" w:fill="CCECFF"/>
          </w:tcPr>
          <w:p>
            <w:pPr>
              <w:spacing w:after="0"/>
              <w:rPr>
                <w:sz w:val="12"/>
                <w:szCs w:val="12"/>
                <w:color w:val="auto"/>
              </w:rPr>
            </w:pPr>
          </w:p>
        </w:tc>
        <w:tc>
          <w:tcPr>
            <w:tcW w:w="580" w:type="dxa"/>
            <w:vAlign w:val="bottom"/>
            <w:shd w:val="clear" w:color="auto" w:fill="CCECFF"/>
          </w:tcPr>
          <w:p>
            <w:pPr>
              <w:spacing w:after="0"/>
              <w:rPr>
                <w:sz w:val="12"/>
                <w:szCs w:val="12"/>
                <w:color w:val="auto"/>
              </w:rPr>
            </w:pPr>
          </w:p>
        </w:tc>
        <w:tc>
          <w:tcPr>
            <w:tcW w:w="240" w:type="dxa"/>
            <w:vAlign w:val="bottom"/>
            <w:shd w:val="clear" w:color="auto" w:fill="CCECFF"/>
          </w:tcPr>
          <w:p>
            <w:pPr>
              <w:spacing w:after="0"/>
              <w:rPr>
                <w:sz w:val="12"/>
                <w:szCs w:val="12"/>
                <w:color w:val="auto"/>
              </w:rPr>
            </w:pPr>
          </w:p>
        </w:tc>
        <w:tc>
          <w:tcPr>
            <w:tcW w:w="80" w:type="dxa"/>
            <w:vAlign w:val="bottom"/>
            <w:shd w:val="clear" w:color="auto" w:fill="CCECFF"/>
          </w:tcPr>
          <w:p>
            <w:pPr>
              <w:spacing w:after="0"/>
              <w:rPr>
                <w:sz w:val="12"/>
                <w:szCs w:val="12"/>
                <w:color w:val="auto"/>
              </w:rPr>
            </w:pPr>
          </w:p>
        </w:tc>
        <w:tc>
          <w:tcPr>
            <w:tcW w:w="620" w:type="dxa"/>
            <w:vAlign w:val="bottom"/>
            <w:shd w:val="clear" w:color="auto" w:fill="CCECFF"/>
          </w:tcPr>
          <w:p>
            <w:pPr>
              <w:spacing w:after="0"/>
              <w:rPr>
                <w:sz w:val="12"/>
                <w:szCs w:val="12"/>
                <w:color w:val="auto"/>
              </w:rPr>
            </w:pPr>
          </w:p>
        </w:tc>
        <w:tc>
          <w:tcPr>
            <w:tcW w:w="240" w:type="dxa"/>
            <w:vAlign w:val="bottom"/>
            <w:shd w:val="clear" w:color="auto" w:fill="CCECFF"/>
          </w:tcPr>
          <w:p>
            <w:pPr>
              <w:spacing w:after="0"/>
              <w:rPr>
                <w:sz w:val="12"/>
                <w:szCs w:val="12"/>
                <w:color w:val="auto"/>
              </w:rPr>
            </w:pPr>
          </w:p>
        </w:tc>
        <w:tc>
          <w:tcPr>
            <w:tcW w:w="80" w:type="dxa"/>
            <w:vAlign w:val="bottom"/>
            <w:shd w:val="clear" w:color="auto" w:fill="CCECFF"/>
          </w:tcPr>
          <w:p>
            <w:pPr>
              <w:spacing w:after="0"/>
              <w:rPr>
                <w:sz w:val="12"/>
                <w:szCs w:val="12"/>
                <w:color w:val="auto"/>
              </w:rPr>
            </w:pPr>
          </w:p>
        </w:tc>
        <w:tc>
          <w:tcPr>
            <w:tcW w:w="640" w:type="dxa"/>
            <w:vAlign w:val="bottom"/>
            <w:shd w:val="clear" w:color="auto" w:fill="CCECFF"/>
          </w:tcPr>
          <w:p>
            <w:pPr>
              <w:spacing w:after="0"/>
              <w:rPr>
                <w:sz w:val="12"/>
                <w:szCs w:val="12"/>
                <w:color w:val="auto"/>
              </w:rPr>
            </w:pPr>
          </w:p>
        </w:tc>
        <w:tc>
          <w:tcPr>
            <w:tcW w:w="100" w:type="dxa"/>
            <w:vAlign w:val="bottom"/>
            <w:shd w:val="clear" w:color="auto" w:fill="CCECFF"/>
          </w:tcPr>
          <w:p>
            <w:pPr>
              <w:spacing w:after="0"/>
              <w:rPr>
                <w:sz w:val="12"/>
                <w:szCs w:val="12"/>
                <w:color w:val="auto"/>
              </w:rPr>
            </w:pPr>
          </w:p>
        </w:tc>
      </w:tr>
      <w:tr>
        <w:trPr>
          <w:trHeight w:val="148"/>
        </w:trPr>
        <w:tc>
          <w:tcPr>
            <w:tcW w:w="3000" w:type="dxa"/>
            <w:vAlign w:val="bottom"/>
          </w:tcPr>
          <w:p>
            <w:pPr>
              <w:spacing w:after="0"/>
              <w:rPr>
                <w:sz w:val="20"/>
                <w:szCs w:val="20"/>
                <w:color w:val="auto"/>
              </w:rPr>
            </w:pPr>
            <w:r>
              <w:rPr>
                <w:rFonts w:ascii="Arial" w:cs="Arial" w:eastAsia="Arial" w:hAnsi="Arial"/>
                <w:sz w:val="12"/>
                <w:szCs w:val="12"/>
                <w:b w:val="1"/>
                <w:bCs w:val="1"/>
                <w:color w:val="auto"/>
              </w:rPr>
              <w:t>First Lien Secured Debt—38.7%</w:t>
            </w:r>
          </w:p>
        </w:tc>
        <w:tc>
          <w:tcPr>
            <w:tcW w:w="920" w:type="dxa"/>
            <w:vAlign w:val="bottom"/>
          </w:tcPr>
          <w:p>
            <w:pPr>
              <w:spacing w:after="0"/>
              <w:rPr>
                <w:sz w:val="12"/>
                <w:szCs w:val="12"/>
                <w:color w:val="auto"/>
              </w:rPr>
            </w:pPr>
          </w:p>
        </w:tc>
        <w:tc>
          <w:tcPr>
            <w:tcW w:w="26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00" w:type="dxa"/>
            <w:vAlign w:val="bottom"/>
          </w:tcPr>
          <w:p>
            <w:pPr>
              <w:spacing w:after="0"/>
              <w:rPr>
                <w:sz w:val="12"/>
                <w:szCs w:val="12"/>
                <w:color w:val="auto"/>
              </w:rPr>
            </w:pPr>
          </w:p>
        </w:tc>
      </w:tr>
      <w:tr>
        <w:trPr>
          <w:trHeight w:val="148"/>
        </w:trPr>
        <w:tc>
          <w:tcPr>
            <w:tcW w:w="3000" w:type="dxa"/>
            <w:vAlign w:val="bottom"/>
            <w:shd w:val="clear" w:color="auto" w:fill="CCECFF"/>
          </w:tcPr>
          <w:p>
            <w:pPr>
              <w:spacing w:after="0"/>
              <w:rPr>
                <w:sz w:val="20"/>
                <w:szCs w:val="20"/>
                <w:color w:val="auto"/>
              </w:rPr>
            </w:pPr>
            <w:r>
              <w:rPr>
                <w:rFonts w:ascii="Arial" w:cs="Arial" w:eastAsia="Arial" w:hAnsi="Arial"/>
                <w:sz w:val="12"/>
                <w:szCs w:val="12"/>
                <w:color w:val="auto"/>
              </w:rPr>
              <w:t>AP Gaming I, LLC</w:t>
            </w:r>
          </w:p>
        </w:tc>
        <w:tc>
          <w:tcPr>
            <w:tcW w:w="920" w:type="dxa"/>
            <w:vAlign w:val="bottom"/>
            <w:shd w:val="clear" w:color="auto" w:fill="CCECFF"/>
          </w:tcPr>
          <w:p>
            <w:pPr>
              <w:ind w:left="120"/>
              <w:spacing w:after="0"/>
              <w:rPr>
                <w:sz w:val="20"/>
                <w:szCs w:val="20"/>
                <w:color w:val="auto"/>
              </w:rPr>
            </w:pPr>
            <w:r>
              <w:rPr>
                <w:rFonts w:ascii="Arial" w:cs="Arial" w:eastAsia="Arial" w:hAnsi="Arial"/>
                <w:sz w:val="12"/>
                <w:szCs w:val="12"/>
                <w:color w:val="auto"/>
              </w:rPr>
              <w:t>12/21/2020</w:t>
            </w:r>
          </w:p>
        </w:tc>
        <w:tc>
          <w:tcPr>
            <w:tcW w:w="2760" w:type="dxa"/>
            <w:vAlign w:val="bottom"/>
            <w:gridSpan w:val="2"/>
            <w:shd w:val="clear" w:color="auto" w:fill="CCECFF"/>
          </w:tcPr>
          <w:p>
            <w:pPr>
              <w:jc w:val="center"/>
              <w:ind w:right="160"/>
              <w:spacing w:after="0"/>
              <w:rPr>
                <w:sz w:val="20"/>
                <w:szCs w:val="20"/>
                <w:color w:val="auto"/>
              </w:rPr>
            </w:pPr>
            <w:r>
              <w:rPr>
                <w:rFonts w:ascii="Arial" w:cs="Arial" w:eastAsia="Arial" w:hAnsi="Arial"/>
                <w:sz w:val="12"/>
                <w:szCs w:val="12"/>
                <w:color w:val="auto"/>
                <w:w w:val="89"/>
              </w:rPr>
              <w:t>Hotels, Motels, Inns and Gaming</w:t>
            </w:r>
          </w:p>
        </w:tc>
        <w:tc>
          <w:tcPr>
            <w:tcW w:w="820" w:type="dxa"/>
            <w:vAlign w:val="bottom"/>
            <w:gridSpan w:val="2"/>
            <w:shd w:val="clear" w:color="auto" w:fill="CCECFF"/>
          </w:tcPr>
          <w:p>
            <w:pPr>
              <w:jc w:val="right"/>
              <w:ind w:right="60"/>
              <w:spacing w:after="0"/>
              <w:rPr>
                <w:sz w:val="20"/>
                <w:szCs w:val="20"/>
                <w:color w:val="auto"/>
              </w:rPr>
            </w:pPr>
            <w:r>
              <w:rPr>
                <w:rFonts w:ascii="Arial" w:cs="Arial" w:eastAsia="Arial" w:hAnsi="Arial"/>
                <w:sz w:val="12"/>
                <w:szCs w:val="12"/>
                <w:color w:val="auto"/>
              </w:rPr>
              <w:t>9.25%</w:t>
            </w:r>
          </w:p>
        </w:tc>
        <w:tc>
          <w:tcPr>
            <w:tcW w:w="140" w:type="dxa"/>
            <w:vAlign w:val="bottom"/>
            <w:shd w:val="clear" w:color="auto" w:fill="CCECFF"/>
          </w:tcPr>
          <w:p>
            <w:pPr>
              <w:spacing w:after="0"/>
              <w:rPr>
                <w:sz w:val="12"/>
                <w:szCs w:val="12"/>
                <w:color w:val="auto"/>
              </w:rPr>
            </w:pPr>
          </w:p>
        </w:tc>
        <w:tc>
          <w:tcPr>
            <w:tcW w:w="680" w:type="dxa"/>
            <w:vAlign w:val="bottom"/>
            <w:shd w:val="clear" w:color="auto" w:fill="CCECFF"/>
          </w:tcPr>
          <w:p>
            <w:pPr>
              <w:jc w:val="right"/>
              <w:spacing w:after="0"/>
              <w:rPr>
                <w:sz w:val="20"/>
                <w:szCs w:val="20"/>
                <w:color w:val="auto"/>
              </w:rPr>
            </w:pPr>
            <w:r>
              <w:rPr>
                <w:rFonts w:ascii="Arial" w:cs="Arial" w:eastAsia="Arial" w:hAnsi="Arial"/>
                <w:sz w:val="12"/>
                <w:szCs w:val="12"/>
                <w:color w:val="auto"/>
              </w:rPr>
              <w:t>L+825</w:t>
            </w:r>
          </w:p>
        </w:tc>
        <w:tc>
          <w:tcPr>
            <w:tcW w:w="240" w:type="dxa"/>
            <w:vAlign w:val="bottom"/>
            <w:shd w:val="clear" w:color="auto" w:fill="CCECFF"/>
          </w:tcPr>
          <w:p>
            <w:pPr>
              <w:spacing w:after="0"/>
              <w:rPr>
                <w:sz w:val="12"/>
                <w:szCs w:val="12"/>
                <w:color w:val="auto"/>
              </w:rPr>
            </w:pPr>
          </w:p>
        </w:tc>
        <w:tc>
          <w:tcPr>
            <w:tcW w:w="100" w:type="dxa"/>
            <w:vAlign w:val="bottom"/>
            <w:shd w:val="clear" w:color="auto" w:fill="CCECFF"/>
          </w:tcPr>
          <w:p>
            <w:pPr>
              <w:spacing w:after="0"/>
              <w:rPr>
                <w:sz w:val="12"/>
                <w:szCs w:val="12"/>
                <w:color w:val="auto"/>
              </w:rPr>
            </w:pPr>
          </w:p>
        </w:tc>
        <w:tc>
          <w:tcPr>
            <w:tcW w:w="580" w:type="dxa"/>
            <w:vAlign w:val="bottom"/>
            <w:shd w:val="clear" w:color="auto" w:fill="CCECFF"/>
          </w:tcPr>
          <w:p>
            <w:pPr>
              <w:jc w:val="right"/>
              <w:spacing w:after="0"/>
              <w:rPr>
                <w:sz w:val="20"/>
                <w:szCs w:val="20"/>
                <w:color w:val="auto"/>
              </w:rPr>
            </w:pPr>
            <w:r>
              <w:rPr>
                <w:rFonts w:ascii="Arial" w:cs="Arial" w:eastAsia="Arial" w:hAnsi="Arial"/>
                <w:sz w:val="12"/>
                <w:szCs w:val="12"/>
                <w:color w:val="auto"/>
                <w:w w:val="89"/>
              </w:rPr>
              <w:t>23,333,361</w:t>
            </w:r>
          </w:p>
        </w:tc>
        <w:tc>
          <w:tcPr>
            <w:tcW w:w="320" w:type="dxa"/>
            <w:vAlign w:val="bottom"/>
            <w:gridSpan w:val="2"/>
            <w:shd w:val="clear" w:color="auto" w:fill="CCECFF"/>
          </w:tcPr>
          <w:p>
            <w:pPr>
              <w:jc w:val="right"/>
              <w:ind w:right="20"/>
              <w:spacing w:after="0"/>
              <w:rPr>
                <w:sz w:val="20"/>
                <w:szCs w:val="20"/>
                <w:color w:val="auto"/>
              </w:rPr>
            </w:pPr>
            <w:r>
              <w:rPr>
                <w:rFonts w:ascii="Arial" w:cs="Arial" w:eastAsia="Arial" w:hAnsi="Arial"/>
                <w:sz w:val="12"/>
                <w:szCs w:val="12"/>
                <w:color w:val="auto"/>
              </w:rPr>
              <w:t>$</w:t>
            </w:r>
          </w:p>
        </w:tc>
        <w:tc>
          <w:tcPr>
            <w:tcW w:w="620" w:type="dxa"/>
            <w:vAlign w:val="bottom"/>
            <w:shd w:val="clear" w:color="auto" w:fill="CCECFF"/>
          </w:tcPr>
          <w:p>
            <w:pPr>
              <w:jc w:val="right"/>
              <w:spacing w:after="0"/>
              <w:rPr>
                <w:sz w:val="20"/>
                <w:szCs w:val="20"/>
                <w:color w:val="auto"/>
              </w:rPr>
            </w:pPr>
            <w:r>
              <w:rPr>
                <w:rFonts w:ascii="Arial" w:cs="Arial" w:eastAsia="Arial" w:hAnsi="Arial"/>
                <w:sz w:val="12"/>
                <w:szCs w:val="12"/>
                <w:color w:val="auto"/>
                <w:w w:val="99"/>
              </w:rPr>
              <w:t>23,071,460</w:t>
            </w:r>
          </w:p>
        </w:tc>
        <w:tc>
          <w:tcPr>
            <w:tcW w:w="320" w:type="dxa"/>
            <w:vAlign w:val="bottom"/>
            <w:gridSpan w:val="2"/>
            <w:shd w:val="clear" w:color="auto" w:fill="CCECFF"/>
          </w:tcPr>
          <w:p>
            <w:pPr>
              <w:jc w:val="right"/>
              <w:spacing w:after="0"/>
              <w:rPr>
                <w:sz w:val="20"/>
                <w:szCs w:val="20"/>
                <w:color w:val="auto"/>
              </w:rPr>
            </w:pPr>
            <w:r>
              <w:rPr>
                <w:rFonts w:ascii="Arial" w:cs="Arial" w:eastAsia="Arial" w:hAnsi="Arial"/>
                <w:sz w:val="12"/>
                <w:szCs w:val="12"/>
                <w:color w:val="auto"/>
              </w:rPr>
              <w:t>$</w:t>
            </w:r>
          </w:p>
        </w:tc>
        <w:tc>
          <w:tcPr>
            <w:tcW w:w="640" w:type="dxa"/>
            <w:vAlign w:val="bottom"/>
            <w:shd w:val="clear" w:color="auto" w:fill="CCECFF"/>
          </w:tcPr>
          <w:p>
            <w:pPr>
              <w:jc w:val="right"/>
              <w:spacing w:after="0"/>
              <w:rPr>
                <w:sz w:val="20"/>
                <w:szCs w:val="20"/>
                <w:color w:val="auto"/>
              </w:rPr>
            </w:pPr>
            <w:r>
              <w:rPr>
                <w:rFonts w:ascii="Arial" w:cs="Arial" w:eastAsia="Arial" w:hAnsi="Arial"/>
                <w:sz w:val="12"/>
                <w:szCs w:val="12"/>
                <w:color w:val="auto"/>
                <w:w w:val="99"/>
              </w:rPr>
              <w:t>22,210,559</w:t>
            </w:r>
          </w:p>
        </w:tc>
        <w:tc>
          <w:tcPr>
            <w:tcW w:w="100" w:type="dxa"/>
            <w:vAlign w:val="bottom"/>
            <w:shd w:val="clear" w:color="auto" w:fill="CCECFF"/>
          </w:tcPr>
          <w:p>
            <w:pPr>
              <w:spacing w:after="0"/>
              <w:rPr>
                <w:sz w:val="12"/>
                <w:szCs w:val="12"/>
                <w:color w:val="auto"/>
              </w:rPr>
            </w:pPr>
          </w:p>
        </w:tc>
      </w:tr>
      <w:tr>
        <w:trPr>
          <w:trHeight w:val="149"/>
        </w:trPr>
        <w:tc>
          <w:tcPr>
            <w:tcW w:w="3000" w:type="dxa"/>
            <w:vAlign w:val="bottom"/>
          </w:tcPr>
          <w:p>
            <w:pPr>
              <w:spacing w:after="0"/>
              <w:rPr>
                <w:sz w:val="20"/>
                <w:szCs w:val="20"/>
                <w:color w:val="auto"/>
              </w:rPr>
            </w:pPr>
            <w:r>
              <w:rPr>
                <w:rFonts w:ascii="Arial" w:cs="Arial" w:eastAsia="Arial" w:hAnsi="Arial"/>
                <w:sz w:val="12"/>
                <w:szCs w:val="12"/>
                <w:color w:val="auto"/>
              </w:rPr>
              <w:t>Broder Bros., Co., Tranche A</w:t>
            </w:r>
          </w:p>
        </w:tc>
        <w:tc>
          <w:tcPr>
            <w:tcW w:w="920" w:type="dxa"/>
            <w:vAlign w:val="bottom"/>
          </w:tcPr>
          <w:p>
            <w:pPr>
              <w:ind w:left="120"/>
              <w:spacing w:after="0"/>
              <w:rPr>
                <w:sz w:val="20"/>
                <w:szCs w:val="20"/>
                <w:color w:val="auto"/>
              </w:rPr>
            </w:pPr>
            <w:r>
              <w:rPr>
                <w:rFonts w:ascii="Arial" w:cs="Arial" w:eastAsia="Arial" w:hAnsi="Arial"/>
                <w:sz w:val="12"/>
                <w:szCs w:val="12"/>
                <w:color w:val="auto"/>
              </w:rPr>
              <w:t>06/03/2021</w:t>
            </w:r>
          </w:p>
        </w:tc>
        <w:tc>
          <w:tcPr>
            <w:tcW w:w="2760" w:type="dxa"/>
            <w:vAlign w:val="bottom"/>
            <w:gridSpan w:val="2"/>
          </w:tcPr>
          <w:p>
            <w:pPr>
              <w:jc w:val="center"/>
              <w:ind w:right="160"/>
              <w:spacing w:after="0"/>
              <w:rPr>
                <w:sz w:val="20"/>
                <w:szCs w:val="20"/>
                <w:color w:val="auto"/>
              </w:rPr>
            </w:pPr>
            <w:r>
              <w:rPr>
                <w:rFonts w:ascii="Arial" w:cs="Arial" w:eastAsia="Arial" w:hAnsi="Arial"/>
                <w:sz w:val="12"/>
                <w:szCs w:val="12"/>
                <w:color w:val="auto"/>
                <w:w w:val="86"/>
              </w:rPr>
              <w:t>Consumer Products</w:t>
            </w:r>
          </w:p>
        </w:tc>
        <w:tc>
          <w:tcPr>
            <w:tcW w:w="820" w:type="dxa"/>
            <w:vAlign w:val="bottom"/>
            <w:gridSpan w:val="2"/>
          </w:tcPr>
          <w:p>
            <w:pPr>
              <w:jc w:val="right"/>
              <w:ind w:right="60"/>
              <w:spacing w:after="0"/>
              <w:rPr>
                <w:sz w:val="20"/>
                <w:szCs w:val="20"/>
                <w:color w:val="auto"/>
              </w:rPr>
            </w:pPr>
            <w:r>
              <w:rPr>
                <w:rFonts w:ascii="Arial" w:cs="Arial" w:eastAsia="Arial" w:hAnsi="Arial"/>
                <w:sz w:val="12"/>
                <w:szCs w:val="12"/>
                <w:color w:val="auto"/>
              </w:rPr>
              <w:t>7.00%</w:t>
            </w:r>
          </w:p>
        </w:tc>
        <w:tc>
          <w:tcPr>
            <w:tcW w:w="140" w:type="dxa"/>
            <w:vAlign w:val="bottom"/>
          </w:tcPr>
          <w:p>
            <w:pPr>
              <w:spacing w:after="0"/>
              <w:rPr>
                <w:sz w:val="12"/>
                <w:szCs w:val="12"/>
                <w:color w:val="auto"/>
              </w:rPr>
            </w:pPr>
          </w:p>
        </w:tc>
        <w:tc>
          <w:tcPr>
            <w:tcW w:w="680" w:type="dxa"/>
            <w:vAlign w:val="bottom"/>
          </w:tcPr>
          <w:p>
            <w:pPr>
              <w:jc w:val="right"/>
              <w:spacing w:after="0"/>
              <w:rPr>
                <w:sz w:val="20"/>
                <w:szCs w:val="20"/>
                <w:color w:val="auto"/>
              </w:rPr>
            </w:pPr>
            <w:r>
              <w:rPr>
                <w:rFonts w:ascii="Arial" w:cs="Arial" w:eastAsia="Arial" w:hAnsi="Arial"/>
                <w:sz w:val="12"/>
                <w:szCs w:val="12"/>
                <w:color w:val="auto"/>
              </w:rPr>
              <w:t>L+575</w:t>
            </w:r>
          </w:p>
        </w:tc>
        <w:tc>
          <w:tcPr>
            <w:tcW w:w="2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80" w:type="dxa"/>
            <w:vAlign w:val="bottom"/>
          </w:tcPr>
          <w:p>
            <w:pPr>
              <w:jc w:val="right"/>
              <w:spacing w:after="0"/>
              <w:rPr>
                <w:sz w:val="20"/>
                <w:szCs w:val="20"/>
                <w:color w:val="auto"/>
              </w:rPr>
            </w:pPr>
            <w:r>
              <w:rPr>
                <w:rFonts w:ascii="Arial" w:cs="Arial" w:eastAsia="Arial" w:hAnsi="Arial"/>
                <w:sz w:val="12"/>
                <w:szCs w:val="12"/>
                <w:color w:val="auto"/>
              </w:rPr>
              <w:t>9,150,000</w:t>
            </w:r>
          </w:p>
        </w:tc>
        <w:tc>
          <w:tcPr>
            <w:tcW w:w="2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20" w:type="dxa"/>
            <w:vAlign w:val="bottom"/>
          </w:tcPr>
          <w:p>
            <w:pPr>
              <w:jc w:val="right"/>
              <w:spacing w:after="0"/>
              <w:rPr>
                <w:sz w:val="20"/>
                <w:szCs w:val="20"/>
                <w:color w:val="auto"/>
              </w:rPr>
            </w:pPr>
            <w:r>
              <w:rPr>
                <w:rFonts w:ascii="Arial" w:cs="Arial" w:eastAsia="Arial" w:hAnsi="Arial"/>
                <w:sz w:val="12"/>
                <w:szCs w:val="12"/>
                <w:color w:val="auto"/>
              </w:rPr>
              <w:t>8,989,610</w:t>
            </w:r>
          </w:p>
        </w:tc>
        <w:tc>
          <w:tcPr>
            <w:tcW w:w="2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40" w:type="dxa"/>
            <w:vAlign w:val="bottom"/>
          </w:tcPr>
          <w:p>
            <w:pPr>
              <w:jc w:val="right"/>
              <w:spacing w:after="0"/>
              <w:rPr>
                <w:sz w:val="20"/>
                <w:szCs w:val="20"/>
                <w:color w:val="auto"/>
              </w:rPr>
            </w:pPr>
            <w:r>
              <w:rPr>
                <w:rFonts w:ascii="Arial" w:cs="Arial" w:eastAsia="Arial" w:hAnsi="Arial"/>
                <w:sz w:val="12"/>
                <w:szCs w:val="12"/>
                <w:color w:val="auto"/>
              </w:rPr>
              <w:t>9,085,577</w:t>
            </w:r>
          </w:p>
        </w:tc>
        <w:tc>
          <w:tcPr>
            <w:tcW w:w="100" w:type="dxa"/>
            <w:vAlign w:val="bottom"/>
          </w:tcPr>
          <w:p>
            <w:pPr>
              <w:spacing w:after="0"/>
              <w:rPr>
                <w:sz w:val="12"/>
                <w:szCs w:val="12"/>
                <w:color w:val="auto"/>
              </w:rPr>
            </w:pPr>
          </w:p>
        </w:tc>
      </w:tr>
      <w:tr>
        <w:trPr>
          <w:trHeight w:val="148"/>
        </w:trPr>
        <w:tc>
          <w:tcPr>
            <w:tcW w:w="3000" w:type="dxa"/>
            <w:vAlign w:val="bottom"/>
            <w:shd w:val="clear" w:color="auto" w:fill="CCECFF"/>
          </w:tcPr>
          <w:p>
            <w:pPr>
              <w:spacing w:after="0"/>
              <w:rPr>
                <w:sz w:val="20"/>
                <w:szCs w:val="20"/>
                <w:color w:val="auto"/>
              </w:rPr>
            </w:pPr>
            <w:r>
              <w:rPr>
                <w:rFonts w:ascii="Arial" w:cs="Arial" w:eastAsia="Arial" w:hAnsi="Arial"/>
                <w:sz w:val="12"/>
                <w:szCs w:val="12"/>
                <w:color w:val="auto"/>
              </w:rPr>
              <w:t>Broder Bros., Co., Tranche B</w:t>
            </w:r>
          </w:p>
        </w:tc>
        <w:tc>
          <w:tcPr>
            <w:tcW w:w="920" w:type="dxa"/>
            <w:vAlign w:val="bottom"/>
            <w:shd w:val="clear" w:color="auto" w:fill="CCECFF"/>
          </w:tcPr>
          <w:p>
            <w:pPr>
              <w:ind w:left="120"/>
              <w:spacing w:after="0"/>
              <w:rPr>
                <w:sz w:val="20"/>
                <w:szCs w:val="20"/>
                <w:color w:val="auto"/>
              </w:rPr>
            </w:pPr>
            <w:r>
              <w:rPr>
                <w:rFonts w:ascii="Arial" w:cs="Arial" w:eastAsia="Arial" w:hAnsi="Arial"/>
                <w:sz w:val="12"/>
                <w:szCs w:val="12"/>
                <w:color w:val="auto"/>
              </w:rPr>
              <w:t>06/03/2021</w:t>
            </w:r>
          </w:p>
        </w:tc>
        <w:tc>
          <w:tcPr>
            <w:tcW w:w="2760" w:type="dxa"/>
            <w:vAlign w:val="bottom"/>
            <w:gridSpan w:val="2"/>
            <w:shd w:val="clear" w:color="auto" w:fill="CCECFF"/>
          </w:tcPr>
          <w:p>
            <w:pPr>
              <w:jc w:val="center"/>
              <w:ind w:right="160"/>
              <w:spacing w:after="0"/>
              <w:rPr>
                <w:sz w:val="20"/>
                <w:szCs w:val="20"/>
                <w:color w:val="auto"/>
              </w:rPr>
            </w:pPr>
            <w:r>
              <w:rPr>
                <w:rFonts w:ascii="Arial" w:cs="Arial" w:eastAsia="Arial" w:hAnsi="Arial"/>
                <w:sz w:val="12"/>
                <w:szCs w:val="12"/>
                <w:color w:val="auto"/>
                <w:w w:val="86"/>
              </w:rPr>
              <w:t>Consumer Products</w:t>
            </w:r>
          </w:p>
        </w:tc>
        <w:tc>
          <w:tcPr>
            <w:tcW w:w="820" w:type="dxa"/>
            <w:vAlign w:val="bottom"/>
            <w:gridSpan w:val="2"/>
            <w:shd w:val="clear" w:color="auto" w:fill="CCECFF"/>
          </w:tcPr>
          <w:p>
            <w:pPr>
              <w:jc w:val="right"/>
              <w:ind w:right="60"/>
              <w:spacing w:after="0"/>
              <w:rPr>
                <w:sz w:val="20"/>
                <w:szCs w:val="20"/>
                <w:color w:val="auto"/>
              </w:rPr>
            </w:pPr>
            <w:r>
              <w:rPr>
                <w:rFonts w:ascii="Arial" w:cs="Arial" w:eastAsia="Arial" w:hAnsi="Arial"/>
                <w:sz w:val="12"/>
                <w:szCs w:val="12"/>
                <w:color w:val="auto"/>
              </w:rPr>
              <w:t>13.50%</w:t>
            </w:r>
          </w:p>
        </w:tc>
        <w:tc>
          <w:tcPr>
            <w:tcW w:w="140" w:type="dxa"/>
            <w:vAlign w:val="bottom"/>
            <w:shd w:val="clear" w:color="auto" w:fill="CCECFF"/>
          </w:tcPr>
          <w:p>
            <w:pPr>
              <w:spacing w:after="0"/>
              <w:rPr>
                <w:sz w:val="12"/>
                <w:szCs w:val="12"/>
                <w:color w:val="auto"/>
              </w:rPr>
            </w:pPr>
          </w:p>
        </w:tc>
        <w:tc>
          <w:tcPr>
            <w:tcW w:w="680" w:type="dxa"/>
            <w:vAlign w:val="bottom"/>
            <w:shd w:val="clear" w:color="auto" w:fill="CCECFF"/>
          </w:tcPr>
          <w:p>
            <w:pPr>
              <w:jc w:val="right"/>
              <w:spacing w:after="0"/>
              <w:rPr>
                <w:sz w:val="20"/>
                <w:szCs w:val="20"/>
                <w:color w:val="auto"/>
              </w:rPr>
            </w:pPr>
            <w:r>
              <w:rPr>
                <w:rFonts w:ascii="Arial" w:cs="Arial" w:eastAsia="Arial" w:hAnsi="Arial"/>
                <w:sz w:val="12"/>
                <w:szCs w:val="12"/>
                <w:color w:val="auto"/>
              </w:rPr>
              <w:t>L+1,225</w:t>
            </w:r>
          </w:p>
        </w:tc>
        <w:tc>
          <w:tcPr>
            <w:tcW w:w="240" w:type="dxa"/>
            <w:vAlign w:val="bottom"/>
            <w:shd w:val="clear" w:color="auto" w:fill="CCECFF"/>
          </w:tcPr>
          <w:p>
            <w:pPr>
              <w:spacing w:after="0"/>
              <w:rPr>
                <w:sz w:val="12"/>
                <w:szCs w:val="12"/>
                <w:color w:val="auto"/>
              </w:rPr>
            </w:pPr>
          </w:p>
        </w:tc>
        <w:tc>
          <w:tcPr>
            <w:tcW w:w="100" w:type="dxa"/>
            <w:vAlign w:val="bottom"/>
            <w:shd w:val="clear" w:color="auto" w:fill="CCECFF"/>
          </w:tcPr>
          <w:p>
            <w:pPr>
              <w:spacing w:after="0"/>
              <w:rPr>
                <w:sz w:val="12"/>
                <w:szCs w:val="12"/>
                <w:color w:val="auto"/>
              </w:rPr>
            </w:pPr>
          </w:p>
        </w:tc>
        <w:tc>
          <w:tcPr>
            <w:tcW w:w="580" w:type="dxa"/>
            <w:vAlign w:val="bottom"/>
            <w:shd w:val="clear" w:color="auto" w:fill="CCECFF"/>
          </w:tcPr>
          <w:p>
            <w:pPr>
              <w:jc w:val="right"/>
              <w:spacing w:after="0"/>
              <w:rPr>
                <w:sz w:val="20"/>
                <w:szCs w:val="20"/>
                <w:color w:val="auto"/>
              </w:rPr>
            </w:pPr>
            <w:r>
              <w:rPr>
                <w:rFonts w:ascii="Arial" w:cs="Arial" w:eastAsia="Arial" w:hAnsi="Arial"/>
                <w:sz w:val="12"/>
                <w:szCs w:val="12"/>
                <w:color w:val="auto"/>
              </w:rPr>
              <w:t>9,225,000</w:t>
            </w:r>
          </w:p>
        </w:tc>
        <w:tc>
          <w:tcPr>
            <w:tcW w:w="240" w:type="dxa"/>
            <w:vAlign w:val="bottom"/>
            <w:shd w:val="clear" w:color="auto" w:fill="CCECFF"/>
          </w:tcPr>
          <w:p>
            <w:pPr>
              <w:spacing w:after="0"/>
              <w:rPr>
                <w:sz w:val="12"/>
                <w:szCs w:val="12"/>
                <w:color w:val="auto"/>
              </w:rPr>
            </w:pPr>
          </w:p>
        </w:tc>
        <w:tc>
          <w:tcPr>
            <w:tcW w:w="80" w:type="dxa"/>
            <w:vAlign w:val="bottom"/>
            <w:shd w:val="clear" w:color="auto" w:fill="CCECFF"/>
          </w:tcPr>
          <w:p>
            <w:pPr>
              <w:spacing w:after="0"/>
              <w:rPr>
                <w:sz w:val="12"/>
                <w:szCs w:val="12"/>
                <w:color w:val="auto"/>
              </w:rPr>
            </w:pPr>
          </w:p>
        </w:tc>
        <w:tc>
          <w:tcPr>
            <w:tcW w:w="620" w:type="dxa"/>
            <w:vAlign w:val="bottom"/>
            <w:shd w:val="clear" w:color="auto" w:fill="CCECFF"/>
          </w:tcPr>
          <w:p>
            <w:pPr>
              <w:jc w:val="right"/>
              <w:spacing w:after="0"/>
              <w:rPr>
                <w:sz w:val="20"/>
                <w:szCs w:val="20"/>
                <w:color w:val="auto"/>
              </w:rPr>
            </w:pPr>
            <w:r>
              <w:rPr>
                <w:rFonts w:ascii="Arial" w:cs="Arial" w:eastAsia="Arial" w:hAnsi="Arial"/>
                <w:sz w:val="12"/>
                <w:szCs w:val="12"/>
                <w:color w:val="auto"/>
              </w:rPr>
              <w:t>9,058,699</w:t>
            </w:r>
          </w:p>
        </w:tc>
        <w:tc>
          <w:tcPr>
            <w:tcW w:w="240" w:type="dxa"/>
            <w:vAlign w:val="bottom"/>
            <w:shd w:val="clear" w:color="auto" w:fill="CCECFF"/>
          </w:tcPr>
          <w:p>
            <w:pPr>
              <w:spacing w:after="0"/>
              <w:rPr>
                <w:sz w:val="12"/>
                <w:szCs w:val="12"/>
                <w:color w:val="auto"/>
              </w:rPr>
            </w:pPr>
          </w:p>
        </w:tc>
        <w:tc>
          <w:tcPr>
            <w:tcW w:w="80" w:type="dxa"/>
            <w:vAlign w:val="bottom"/>
            <w:shd w:val="clear" w:color="auto" w:fill="CCECFF"/>
          </w:tcPr>
          <w:p>
            <w:pPr>
              <w:spacing w:after="0"/>
              <w:rPr>
                <w:sz w:val="12"/>
                <w:szCs w:val="12"/>
                <w:color w:val="auto"/>
              </w:rPr>
            </w:pPr>
          </w:p>
        </w:tc>
        <w:tc>
          <w:tcPr>
            <w:tcW w:w="640" w:type="dxa"/>
            <w:vAlign w:val="bottom"/>
            <w:shd w:val="clear" w:color="auto" w:fill="CCECFF"/>
          </w:tcPr>
          <w:p>
            <w:pPr>
              <w:jc w:val="right"/>
              <w:spacing w:after="0"/>
              <w:rPr>
                <w:sz w:val="20"/>
                <w:szCs w:val="20"/>
                <w:color w:val="auto"/>
              </w:rPr>
            </w:pPr>
            <w:r>
              <w:rPr>
                <w:rFonts w:ascii="Arial" w:cs="Arial" w:eastAsia="Arial" w:hAnsi="Arial"/>
                <w:sz w:val="12"/>
                <w:szCs w:val="12"/>
                <w:color w:val="auto"/>
              </w:rPr>
              <w:t>9,160,048</w:t>
            </w:r>
          </w:p>
        </w:tc>
        <w:tc>
          <w:tcPr>
            <w:tcW w:w="100" w:type="dxa"/>
            <w:vAlign w:val="bottom"/>
            <w:shd w:val="clear" w:color="auto" w:fill="CCECFF"/>
          </w:tcPr>
          <w:p>
            <w:pPr>
              <w:spacing w:after="0"/>
              <w:rPr>
                <w:sz w:val="12"/>
                <w:szCs w:val="12"/>
                <w:color w:val="auto"/>
              </w:rPr>
            </w:pPr>
          </w:p>
        </w:tc>
      </w:tr>
      <w:tr>
        <w:trPr>
          <w:trHeight w:val="148"/>
        </w:trPr>
        <w:tc>
          <w:tcPr>
            <w:tcW w:w="3000" w:type="dxa"/>
            <w:vAlign w:val="bottom"/>
          </w:tcPr>
          <w:p>
            <w:pPr>
              <w:spacing w:after="0"/>
              <w:rPr>
                <w:sz w:val="20"/>
                <w:szCs w:val="20"/>
                <w:color w:val="auto"/>
              </w:rPr>
            </w:pPr>
            <w:r>
              <w:rPr>
                <w:rFonts w:ascii="Arial" w:cs="Arial" w:eastAsia="Arial" w:hAnsi="Arial"/>
                <w:sz w:val="12"/>
                <w:szCs w:val="12"/>
                <w:color w:val="auto"/>
              </w:rPr>
              <w:t>Hollander Sleep Products, LLC</w:t>
            </w:r>
          </w:p>
        </w:tc>
        <w:tc>
          <w:tcPr>
            <w:tcW w:w="920" w:type="dxa"/>
            <w:vAlign w:val="bottom"/>
          </w:tcPr>
          <w:p>
            <w:pPr>
              <w:ind w:left="120"/>
              <w:spacing w:after="0"/>
              <w:rPr>
                <w:sz w:val="20"/>
                <w:szCs w:val="20"/>
                <w:color w:val="auto"/>
              </w:rPr>
            </w:pPr>
            <w:r>
              <w:rPr>
                <w:rFonts w:ascii="Arial" w:cs="Arial" w:eastAsia="Arial" w:hAnsi="Arial"/>
                <w:sz w:val="12"/>
                <w:szCs w:val="12"/>
                <w:color w:val="auto"/>
              </w:rPr>
              <w:t>10/21/2020</w:t>
            </w:r>
          </w:p>
        </w:tc>
        <w:tc>
          <w:tcPr>
            <w:tcW w:w="2760" w:type="dxa"/>
            <w:vAlign w:val="bottom"/>
            <w:gridSpan w:val="2"/>
          </w:tcPr>
          <w:p>
            <w:pPr>
              <w:jc w:val="center"/>
              <w:ind w:right="160"/>
              <w:spacing w:after="0"/>
              <w:rPr>
                <w:sz w:val="20"/>
                <w:szCs w:val="20"/>
                <w:color w:val="auto"/>
              </w:rPr>
            </w:pPr>
            <w:r>
              <w:rPr>
                <w:rFonts w:ascii="Arial" w:cs="Arial" w:eastAsia="Arial" w:hAnsi="Arial"/>
                <w:sz w:val="12"/>
                <w:szCs w:val="12"/>
                <w:color w:val="auto"/>
                <w:w w:val="86"/>
              </w:rPr>
              <w:t>Consumer Products</w:t>
            </w:r>
          </w:p>
        </w:tc>
        <w:tc>
          <w:tcPr>
            <w:tcW w:w="820" w:type="dxa"/>
            <w:vAlign w:val="bottom"/>
            <w:gridSpan w:val="2"/>
          </w:tcPr>
          <w:p>
            <w:pPr>
              <w:jc w:val="right"/>
              <w:ind w:right="60"/>
              <w:spacing w:after="0"/>
              <w:rPr>
                <w:sz w:val="20"/>
                <w:szCs w:val="20"/>
                <w:color w:val="auto"/>
              </w:rPr>
            </w:pPr>
            <w:r>
              <w:rPr>
                <w:rFonts w:ascii="Arial" w:cs="Arial" w:eastAsia="Arial" w:hAnsi="Arial"/>
                <w:sz w:val="12"/>
                <w:szCs w:val="12"/>
                <w:color w:val="auto"/>
              </w:rPr>
              <w:t>9.00%</w:t>
            </w:r>
          </w:p>
        </w:tc>
        <w:tc>
          <w:tcPr>
            <w:tcW w:w="140" w:type="dxa"/>
            <w:vAlign w:val="bottom"/>
          </w:tcPr>
          <w:p>
            <w:pPr>
              <w:spacing w:after="0"/>
              <w:rPr>
                <w:sz w:val="12"/>
                <w:szCs w:val="12"/>
                <w:color w:val="auto"/>
              </w:rPr>
            </w:pPr>
          </w:p>
        </w:tc>
        <w:tc>
          <w:tcPr>
            <w:tcW w:w="680" w:type="dxa"/>
            <w:vAlign w:val="bottom"/>
          </w:tcPr>
          <w:p>
            <w:pPr>
              <w:jc w:val="right"/>
              <w:spacing w:after="0"/>
              <w:rPr>
                <w:sz w:val="20"/>
                <w:szCs w:val="20"/>
                <w:color w:val="auto"/>
              </w:rPr>
            </w:pPr>
            <w:r>
              <w:rPr>
                <w:rFonts w:ascii="Arial" w:cs="Arial" w:eastAsia="Arial" w:hAnsi="Arial"/>
                <w:sz w:val="12"/>
                <w:szCs w:val="12"/>
                <w:color w:val="auto"/>
              </w:rPr>
              <w:t>L+800</w:t>
            </w:r>
          </w:p>
        </w:tc>
        <w:tc>
          <w:tcPr>
            <w:tcW w:w="2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80" w:type="dxa"/>
            <w:vAlign w:val="bottom"/>
          </w:tcPr>
          <w:p>
            <w:pPr>
              <w:jc w:val="right"/>
              <w:spacing w:after="0"/>
              <w:rPr>
                <w:sz w:val="20"/>
                <w:szCs w:val="20"/>
                <w:color w:val="auto"/>
              </w:rPr>
            </w:pPr>
            <w:r>
              <w:rPr>
                <w:rFonts w:ascii="Arial" w:cs="Arial" w:eastAsia="Arial" w:hAnsi="Arial"/>
                <w:sz w:val="12"/>
                <w:szCs w:val="12"/>
                <w:color w:val="auto"/>
              </w:rPr>
              <w:t>4,372,074</w:t>
            </w:r>
          </w:p>
        </w:tc>
        <w:tc>
          <w:tcPr>
            <w:tcW w:w="2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20" w:type="dxa"/>
            <w:vAlign w:val="bottom"/>
          </w:tcPr>
          <w:p>
            <w:pPr>
              <w:jc w:val="right"/>
              <w:spacing w:after="0"/>
              <w:rPr>
                <w:sz w:val="20"/>
                <w:szCs w:val="20"/>
                <w:color w:val="auto"/>
              </w:rPr>
            </w:pPr>
            <w:r>
              <w:rPr>
                <w:rFonts w:ascii="Arial" w:cs="Arial" w:eastAsia="Arial" w:hAnsi="Arial"/>
                <w:sz w:val="12"/>
                <w:szCs w:val="12"/>
                <w:color w:val="auto"/>
              </w:rPr>
              <w:t>4,323,938</w:t>
            </w:r>
          </w:p>
        </w:tc>
        <w:tc>
          <w:tcPr>
            <w:tcW w:w="2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40" w:type="dxa"/>
            <w:vAlign w:val="bottom"/>
          </w:tcPr>
          <w:p>
            <w:pPr>
              <w:jc w:val="right"/>
              <w:spacing w:after="0"/>
              <w:rPr>
                <w:sz w:val="20"/>
                <w:szCs w:val="20"/>
                <w:color w:val="auto"/>
              </w:rPr>
            </w:pPr>
            <w:r>
              <w:rPr>
                <w:rFonts w:ascii="Arial" w:cs="Arial" w:eastAsia="Arial" w:hAnsi="Arial"/>
                <w:sz w:val="12"/>
                <w:szCs w:val="12"/>
                <w:color w:val="auto"/>
              </w:rPr>
              <w:t>4,284,632</w:t>
            </w:r>
          </w:p>
        </w:tc>
        <w:tc>
          <w:tcPr>
            <w:tcW w:w="100" w:type="dxa"/>
            <w:vAlign w:val="bottom"/>
          </w:tcPr>
          <w:p>
            <w:pPr>
              <w:spacing w:after="0"/>
              <w:rPr>
                <w:sz w:val="12"/>
                <w:szCs w:val="12"/>
                <w:color w:val="auto"/>
              </w:rPr>
            </w:pPr>
          </w:p>
        </w:tc>
      </w:tr>
      <w:tr>
        <w:trPr>
          <w:trHeight w:val="148"/>
        </w:trPr>
        <w:tc>
          <w:tcPr>
            <w:tcW w:w="3000" w:type="dxa"/>
            <w:vAlign w:val="bottom"/>
            <w:shd w:val="clear" w:color="auto" w:fill="CCECFF"/>
          </w:tcPr>
          <w:p>
            <w:pPr>
              <w:spacing w:after="0"/>
              <w:rPr>
                <w:sz w:val="20"/>
                <w:szCs w:val="20"/>
                <w:color w:val="auto"/>
              </w:rPr>
            </w:pPr>
            <w:r>
              <w:rPr>
                <w:rFonts w:ascii="Arial" w:cs="Arial" w:eastAsia="Arial" w:hAnsi="Arial"/>
                <w:sz w:val="12"/>
                <w:szCs w:val="12"/>
                <w:color w:val="auto"/>
              </w:rPr>
              <w:t>Interior Specialists, Inc.</w:t>
            </w:r>
          </w:p>
        </w:tc>
        <w:tc>
          <w:tcPr>
            <w:tcW w:w="920" w:type="dxa"/>
            <w:vAlign w:val="bottom"/>
            <w:shd w:val="clear" w:color="auto" w:fill="CCECFF"/>
          </w:tcPr>
          <w:p>
            <w:pPr>
              <w:ind w:left="120"/>
              <w:spacing w:after="0"/>
              <w:rPr>
                <w:sz w:val="20"/>
                <w:szCs w:val="20"/>
                <w:color w:val="auto"/>
              </w:rPr>
            </w:pPr>
            <w:r>
              <w:rPr>
                <w:rFonts w:ascii="Arial" w:cs="Arial" w:eastAsia="Arial" w:hAnsi="Arial"/>
                <w:sz w:val="12"/>
                <w:szCs w:val="12"/>
                <w:color w:val="auto"/>
              </w:rPr>
              <w:t>06/30/2020</w:t>
            </w:r>
          </w:p>
        </w:tc>
        <w:tc>
          <w:tcPr>
            <w:tcW w:w="2760" w:type="dxa"/>
            <w:vAlign w:val="bottom"/>
            <w:gridSpan w:val="2"/>
            <w:shd w:val="clear" w:color="auto" w:fill="CCECFF"/>
          </w:tcPr>
          <w:p>
            <w:pPr>
              <w:jc w:val="center"/>
              <w:ind w:right="160"/>
              <w:spacing w:after="0"/>
              <w:rPr>
                <w:sz w:val="20"/>
                <w:szCs w:val="20"/>
                <w:color w:val="auto"/>
              </w:rPr>
            </w:pPr>
            <w:r>
              <w:rPr>
                <w:rFonts w:ascii="Arial" w:cs="Arial" w:eastAsia="Arial" w:hAnsi="Arial"/>
                <w:sz w:val="12"/>
                <w:szCs w:val="12"/>
                <w:color w:val="auto"/>
                <w:w w:val="92"/>
              </w:rPr>
              <w:t>Building Materials</w:t>
            </w:r>
          </w:p>
        </w:tc>
        <w:tc>
          <w:tcPr>
            <w:tcW w:w="820" w:type="dxa"/>
            <w:vAlign w:val="bottom"/>
            <w:gridSpan w:val="2"/>
            <w:shd w:val="clear" w:color="auto" w:fill="CCECFF"/>
          </w:tcPr>
          <w:p>
            <w:pPr>
              <w:jc w:val="right"/>
              <w:ind w:right="60"/>
              <w:spacing w:after="0"/>
              <w:rPr>
                <w:sz w:val="20"/>
                <w:szCs w:val="20"/>
                <w:color w:val="auto"/>
              </w:rPr>
            </w:pPr>
            <w:r>
              <w:rPr>
                <w:rFonts w:ascii="Arial" w:cs="Arial" w:eastAsia="Arial" w:hAnsi="Arial"/>
                <w:sz w:val="12"/>
                <w:szCs w:val="12"/>
                <w:color w:val="auto"/>
              </w:rPr>
              <w:t>9.00%</w:t>
            </w:r>
          </w:p>
        </w:tc>
        <w:tc>
          <w:tcPr>
            <w:tcW w:w="140" w:type="dxa"/>
            <w:vAlign w:val="bottom"/>
            <w:shd w:val="clear" w:color="auto" w:fill="CCECFF"/>
          </w:tcPr>
          <w:p>
            <w:pPr>
              <w:spacing w:after="0"/>
              <w:rPr>
                <w:sz w:val="12"/>
                <w:szCs w:val="12"/>
                <w:color w:val="auto"/>
              </w:rPr>
            </w:pPr>
          </w:p>
        </w:tc>
        <w:tc>
          <w:tcPr>
            <w:tcW w:w="680" w:type="dxa"/>
            <w:vAlign w:val="bottom"/>
            <w:shd w:val="clear" w:color="auto" w:fill="CCECFF"/>
          </w:tcPr>
          <w:p>
            <w:pPr>
              <w:jc w:val="right"/>
              <w:spacing w:after="0"/>
              <w:rPr>
                <w:sz w:val="20"/>
                <w:szCs w:val="20"/>
                <w:color w:val="auto"/>
              </w:rPr>
            </w:pPr>
            <w:r>
              <w:rPr>
                <w:rFonts w:ascii="Arial" w:cs="Arial" w:eastAsia="Arial" w:hAnsi="Arial"/>
                <w:sz w:val="12"/>
                <w:szCs w:val="12"/>
                <w:color w:val="auto"/>
              </w:rPr>
              <w:t>L+800</w:t>
            </w:r>
          </w:p>
        </w:tc>
        <w:tc>
          <w:tcPr>
            <w:tcW w:w="240" w:type="dxa"/>
            <w:vAlign w:val="bottom"/>
            <w:shd w:val="clear" w:color="auto" w:fill="CCECFF"/>
          </w:tcPr>
          <w:p>
            <w:pPr>
              <w:spacing w:after="0"/>
              <w:rPr>
                <w:sz w:val="12"/>
                <w:szCs w:val="12"/>
                <w:color w:val="auto"/>
              </w:rPr>
            </w:pPr>
          </w:p>
        </w:tc>
        <w:tc>
          <w:tcPr>
            <w:tcW w:w="100" w:type="dxa"/>
            <w:vAlign w:val="bottom"/>
            <w:shd w:val="clear" w:color="auto" w:fill="CCECFF"/>
          </w:tcPr>
          <w:p>
            <w:pPr>
              <w:spacing w:after="0"/>
              <w:rPr>
                <w:sz w:val="12"/>
                <w:szCs w:val="12"/>
                <w:color w:val="auto"/>
              </w:rPr>
            </w:pPr>
          </w:p>
        </w:tc>
        <w:tc>
          <w:tcPr>
            <w:tcW w:w="580" w:type="dxa"/>
            <w:vAlign w:val="bottom"/>
            <w:shd w:val="clear" w:color="auto" w:fill="CCECFF"/>
          </w:tcPr>
          <w:p>
            <w:pPr>
              <w:jc w:val="right"/>
              <w:spacing w:after="0"/>
              <w:rPr>
                <w:sz w:val="20"/>
                <w:szCs w:val="20"/>
                <w:color w:val="auto"/>
              </w:rPr>
            </w:pPr>
            <w:r>
              <w:rPr>
                <w:rFonts w:ascii="Arial" w:cs="Arial" w:eastAsia="Arial" w:hAnsi="Arial"/>
                <w:sz w:val="12"/>
                <w:szCs w:val="12"/>
                <w:color w:val="auto"/>
                <w:w w:val="89"/>
              </w:rPr>
              <w:t>24,985,195</w:t>
            </w:r>
          </w:p>
        </w:tc>
        <w:tc>
          <w:tcPr>
            <w:tcW w:w="240" w:type="dxa"/>
            <w:vAlign w:val="bottom"/>
            <w:shd w:val="clear" w:color="auto" w:fill="CCECFF"/>
          </w:tcPr>
          <w:p>
            <w:pPr>
              <w:spacing w:after="0"/>
              <w:rPr>
                <w:sz w:val="12"/>
                <w:szCs w:val="12"/>
                <w:color w:val="auto"/>
              </w:rPr>
            </w:pPr>
          </w:p>
        </w:tc>
        <w:tc>
          <w:tcPr>
            <w:tcW w:w="80" w:type="dxa"/>
            <w:vAlign w:val="bottom"/>
            <w:shd w:val="clear" w:color="auto" w:fill="CCECFF"/>
          </w:tcPr>
          <w:p>
            <w:pPr>
              <w:spacing w:after="0"/>
              <w:rPr>
                <w:sz w:val="12"/>
                <w:szCs w:val="12"/>
                <w:color w:val="auto"/>
              </w:rPr>
            </w:pPr>
          </w:p>
        </w:tc>
        <w:tc>
          <w:tcPr>
            <w:tcW w:w="620" w:type="dxa"/>
            <w:vAlign w:val="bottom"/>
            <w:shd w:val="clear" w:color="auto" w:fill="CCECFF"/>
          </w:tcPr>
          <w:p>
            <w:pPr>
              <w:jc w:val="right"/>
              <w:spacing w:after="0"/>
              <w:rPr>
                <w:sz w:val="20"/>
                <w:szCs w:val="20"/>
                <w:color w:val="auto"/>
              </w:rPr>
            </w:pPr>
            <w:r>
              <w:rPr>
                <w:rFonts w:ascii="Arial" w:cs="Arial" w:eastAsia="Arial" w:hAnsi="Arial"/>
                <w:sz w:val="12"/>
                <w:szCs w:val="12"/>
                <w:color w:val="auto"/>
                <w:w w:val="99"/>
              </w:rPr>
              <w:t>24,786,989</w:t>
            </w:r>
          </w:p>
        </w:tc>
        <w:tc>
          <w:tcPr>
            <w:tcW w:w="240" w:type="dxa"/>
            <w:vAlign w:val="bottom"/>
            <w:shd w:val="clear" w:color="auto" w:fill="CCECFF"/>
          </w:tcPr>
          <w:p>
            <w:pPr>
              <w:spacing w:after="0"/>
              <w:rPr>
                <w:sz w:val="12"/>
                <w:szCs w:val="12"/>
                <w:color w:val="auto"/>
              </w:rPr>
            </w:pPr>
          </w:p>
        </w:tc>
        <w:tc>
          <w:tcPr>
            <w:tcW w:w="80" w:type="dxa"/>
            <w:vAlign w:val="bottom"/>
            <w:shd w:val="clear" w:color="auto" w:fill="CCECFF"/>
          </w:tcPr>
          <w:p>
            <w:pPr>
              <w:spacing w:after="0"/>
              <w:rPr>
                <w:sz w:val="12"/>
                <w:szCs w:val="12"/>
                <w:color w:val="auto"/>
              </w:rPr>
            </w:pPr>
          </w:p>
        </w:tc>
        <w:tc>
          <w:tcPr>
            <w:tcW w:w="640" w:type="dxa"/>
            <w:vAlign w:val="bottom"/>
            <w:shd w:val="clear" w:color="auto" w:fill="CCECFF"/>
          </w:tcPr>
          <w:p>
            <w:pPr>
              <w:jc w:val="right"/>
              <w:spacing w:after="0"/>
              <w:rPr>
                <w:sz w:val="20"/>
                <w:szCs w:val="20"/>
                <w:color w:val="auto"/>
              </w:rPr>
            </w:pPr>
            <w:r>
              <w:rPr>
                <w:rFonts w:ascii="Arial" w:cs="Arial" w:eastAsia="Arial" w:hAnsi="Arial"/>
                <w:sz w:val="12"/>
                <w:szCs w:val="12"/>
                <w:color w:val="auto"/>
                <w:w w:val="99"/>
              </w:rPr>
              <w:t>24,985,195</w:t>
            </w:r>
          </w:p>
        </w:tc>
        <w:tc>
          <w:tcPr>
            <w:tcW w:w="100" w:type="dxa"/>
            <w:vAlign w:val="bottom"/>
            <w:shd w:val="clear" w:color="auto" w:fill="CCECFF"/>
          </w:tcPr>
          <w:p>
            <w:pPr>
              <w:spacing w:after="0"/>
              <w:rPr>
                <w:sz w:val="12"/>
                <w:szCs w:val="12"/>
                <w:color w:val="auto"/>
              </w:rPr>
            </w:pPr>
          </w:p>
        </w:tc>
      </w:tr>
      <w:tr>
        <w:trPr>
          <w:trHeight w:val="148"/>
        </w:trPr>
        <w:tc>
          <w:tcPr>
            <w:tcW w:w="3000" w:type="dxa"/>
            <w:vAlign w:val="bottom"/>
          </w:tcPr>
          <w:p>
            <w:pPr>
              <w:spacing w:after="0"/>
              <w:rPr>
                <w:sz w:val="20"/>
                <w:szCs w:val="20"/>
                <w:color w:val="auto"/>
              </w:rPr>
            </w:pPr>
            <w:r>
              <w:rPr>
                <w:rFonts w:ascii="Arial" w:cs="Arial" w:eastAsia="Arial" w:hAnsi="Arial"/>
                <w:sz w:val="12"/>
                <w:szCs w:val="12"/>
                <w:color w:val="auto"/>
              </w:rPr>
              <w:t>K2 Pure Solutions NoCal, L.P.</w:t>
            </w:r>
          </w:p>
        </w:tc>
        <w:tc>
          <w:tcPr>
            <w:tcW w:w="920" w:type="dxa"/>
            <w:vAlign w:val="bottom"/>
          </w:tcPr>
          <w:p>
            <w:pPr>
              <w:ind w:left="120"/>
              <w:spacing w:after="0"/>
              <w:rPr>
                <w:sz w:val="20"/>
                <w:szCs w:val="20"/>
                <w:color w:val="auto"/>
              </w:rPr>
            </w:pPr>
            <w:r>
              <w:rPr>
                <w:rFonts w:ascii="Arial" w:cs="Arial" w:eastAsia="Arial" w:hAnsi="Arial"/>
                <w:sz w:val="12"/>
                <w:szCs w:val="12"/>
                <w:color w:val="auto"/>
              </w:rPr>
              <w:t>02/19/2021</w:t>
            </w:r>
          </w:p>
        </w:tc>
        <w:tc>
          <w:tcPr>
            <w:tcW w:w="2760" w:type="dxa"/>
            <w:vAlign w:val="bottom"/>
            <w:gridSpan w:val="2"/>
          </w:tcPr>
          <w:p>
            <w:pPr>
              <w:jc w:val="center"/>
              <w:ind w:right="160"/>
              <w:spacing w:after="0"/>
              <w:rPr>
                <w:sz w:val="20"/>
                <w:szCs w:val="20"/>
                <w:color w:val="auto"/>
              </w:rPr>
            </w:pPr>
            <w:r>
              <w:rPr>
                <w:rFonts w:ascii="Arial" w:cs="Arial" w:eastAsia="Arial" w:hAnsi="Arial"/>
                <w:sz w:val="12"/>
                <w:szCs w:val="12"/>
                <w:color w:val="auto"/>
                <w:w w:val="87"/>
              </w:rPr>
              <w:t>Chemicals, Plastics and Rubber</w:t>
            </w:r>
          </w:p>
        </w:tc>
        <w:tc>
          <w:tcPr>
            <w:tcW w:w="820" w:type="dxa"/>
            <w:vAlign w:val="bottom"/>
            <w:gridSpan w:val="2"/>
          </w:tcPr>
          <w:p>
            <w:pPr>
              <w:jc w:val="right"/>
              <w:ind w:right="60"/>
              <w:spacing w:after="0"/>
              <w:rPr>
                <w:sz w:val="20"/>
                <w:szCs w:val="20"/>
                <w:color w:val="auto"/>
              </w:rPr>
            </w:pPr>
            <w:r>
              <w:rPr>
                <w:rFonts w:ascii="Arial" w:cs="Arial" w:eastAsia="Arial" w:hAnsi="Arial"/>
                <w:sz w:val="12"/>
                <w:szCs w:val="12"/>
                <w:color w:val="auto"/>
              </w:rPr>
              <w:t>10.00%</w:t>
            </w:r>
          </w:p>
        </w:tc>
        <w:tc>
          <w:tcPr>
            <w:tcW w:w="140" w:type="dxa"/>
            <w:vAlign w:val="bottom"/>
          </w:tcPr>
          <w:p>
            <w:pPr>
              <w:spacing w:after="0"/>
              <w:rPr>
                <w:sz w:val="12"/>
                <w:szCs w:val="12"/>
                <w:color w:val="auto"/>
              </w:rPr>
            </w:pPr>
          </w:p>
        </w:tc>
        <w:tc>
          <w:tcPr>
            <w:tcW w:w="680" w:type="dxa"/>
            <w:vAlign w:val="bottom"/>
          </w:tcPr>
          <w:p>
            <w:pPr>
              <w:jc w:val="right"/>
              <w:spacing w:after="0"/>
              <w:rPr>
                <w:sz w:val="20"/>
                <w:szCs w:val="20"/>
                <w:color w:val="auto"/>
              </w:rPr>
            </w:pPr>
            <w:r>
              <w:rPr>
                <w:rFonts w:ascii="Arial" w:cs="Arial" w:eastAsia="Arial" w:hAnsi="Arial"/>
                <w:sz w:val="12"/>
                <w:szCs w:val="12"/>
                <w:color w:val="auto"/>
              </w:rPr>
              <w:t>L+900</w:t>
            </w:r>
          </w:p>
        </w:tc>
        <w:tc>
          <w:tcPr>
            <w:tcW w:w="2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80" w:type="dxa"/>
            <w:vAlign w:val="bottom"/>
          </w:tcPr>
          <w:p>
            <w:pPr>
              <w:jc w:val="right"/>
              <w:spacing w:after="0"/>
              <w:rPr>
                <w:sz w:val="20"/>
                <w:szCs w:val="20"/>
                <w:color w:val="auto"/>
              </w:rPr>
            </w:pPr>
            <w:r>
              <w:rPr>
                <w:rFonts w:ascii="Arial" w:cs="Arial" w:eastAsia="Arial" w:hAnsi="Arial"/>
                <w:sz w:val="12"/>
                <w:szCs w:val="12"/>
                <w:color w:val="auto"/>
                <w:w w:val="89"/>
              </w:rPr>
              <w:t>14,522,529</w:t>
            </w:r>
          </w:p>
        </w:tc>
        <w:tc>
          <w:tcPr>
            <w:tcW w:w="2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20" w:type="dxa"/>
            <w:vAlign w:val="bottom"/>
          </w:tcPr>
          <w:p>
            <w:pPr>
              <w:jc w:val="right"/>
              <w:spacing w:after="0"/>
              <w:rPr>
                <w:sz w:val="20"/>
                <w:szCs w:val="20"/>
                <w:color w:val="auto"/>
              </w:rPr>
            </w:pPr>
            <w:r>
              <w:rPr>
                <w:rFonts w:ascii="Arial" w:cs="Arial" w:eastAsia="Arial" w:hAnsi="Arial"/>
                <w:sz w:val="12"/>
                <w:szCs w:val="12"/>
                <w:color w:val="auto"/>
                <w:w w:val="99"/>
              </w:rPr>
              <w:t>14,273,869</w:t>
            </w:r>
          </w:p>
        </w:tc>
        <w:tc>
          <w:tcPr>
            <w:tcW w:w="2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40" w:type="dxa"/>
            <w:vAlign w:val="bottom"/>
          </w:tcPr>
          <w:p>
            <w:pPr>
              <w:jc w:val="right"/>
              <w:spacing w:after="0"/>
              <w:rPr>
                <w:sz w:val="20"/>
                <w:szCs w:val="20"/>
                <w:color w:val="auto"/>
              </w:rPr>
            </w:pPr>
            <w:r>
              <w:rPr>
                <w:rFonts w:ascii="Arial" w:cs="Arial" w:eastAsia="Arial" w:hAnsi="Arial"/>
                <w:sz w:val="12"/>
                <w:szCs w:val="12"/>
                <w:color w:val="auto"/>
                <w:w w:val="99"/>
              </w:rPr>
              <w:t>14,244,486</w:t>
            </w:r>
          </w:p>
        </w:tc>
        <w:tc>
          <w:tcPr>
            <w:tcW w:w="100" w:type="dxa"/>
            <w:vAlign w:val="bottom"/>
          </w:tcPr>
          <w:p>
            <w:pPr>
              <w:spacing w:after="0"/>
              <w:rPr>
                <w:sz w:val="12"/>
                <w:szCs w:val="12"/>
                <w:color w:val="auto"/>
              </w:rPr>
            </w:pPr>
          </w:p>
        </w:tc>
      </w:tr>
      <w:tr>
        <w:trPr>
          <w:trHeight w:val="148"/>
        </w:trPr>
        <w:tc>
          <w:tcPr>
            <w:tcW w:w="3000" w:type="dxa"/>
            <w:vAlign w:val="bottom"/>
            <w:shd w:val="clear" w:color="auto" w:fill="CCECFF"/>
          </w:tcPr>
          <w:p>
            <w:pPr>
              <w:spacing w:after="0"/>
              <w:rPr>
                <w:sz w:val="20"/>
                <w:szCs w:val="20"/>
                <w:color w:val="auto"/>
              </w:rPr>
            </w:pPr>
            <w:r>
              <w:rPr>
                <w:rFonts w:ascii="Arial" w:cs="Arial" w:eastAsia="Arial" w:hAnsi="Arial"/>
                <w:sz w:val="12"/>
                <w:szCs w:val="12"/>
                <w:color w:val="auto"/>
              </w:rPr>
              <w:t>LSF9 Atlantis Holdings, LLC</w:t>
            </w:r>
          </w:p>
        </w:tc>
        <w:tc>
          <w:tcPr>
            <w:tcW w:w="920" w:type="dxa"/>
            <w:vAlign w:val="bottom"/>
            <w:shd w:val="clear" w:color="auto" w:fill="CCECFF"/>
          </w:tcPr>
          <w:p>
            <w:pPr>
              <w:ind w:left="120"/>
              <w:spacing w:after="0"/>
              <w:rPr>
                <w:sz w:val="20"/>
                <w:szCs w:val="20"/>
                <w:color w:val="auto"/>
              </w:rPr>
            </w:pPr>
            <w:r>
              <w:rPr>
                <w:rFonts w:ascii="Arial" w:cs="Arial" w:eastAsia="Arial" w:hAnsi="Arial"/>
                <w:sz w:val="12"/>
                <w:szCs w:val="12"/>
                <w:color w:val="auto"/>
              </w:rPr>
              <w:t>01/15/2021</w:t>
            </w:r>
          </w:p>
        </w:tc>
        <w:tc>
          <w:tcPr>
            <w:tcW w:w="2760" w:type="dxa"/>
            <w:vAlign w:val="bottom"/>
            <w:gridSpan w:val="2"/>
            <w:shd w:val="clear" w:color="auto" w:fill="CCECFF"/>
          </w:tcPr>
          <w:p>
            <w:pPr>
              <w:jc w:val="center"/>
              <w:ind w:right="160"/>
              <w:spacing w:after="0"/>
              <w:rPr>
                <w:sz w:val="20"/>
                <w:szCs w:val="20"/>
                <w:color w:val="auto"/>
              </w:rPr>
            </w:pPr>
            <w:r>
              <w:rPr>
                <w:rFonts w:ascii="Arial" w:cs="Arial" w:eastAsia="Arial" w:hAnsi="Arial"/>
                <w:sz w:val="12"/>
                <w:szCs w:val="12"/>
                <w:color w:val="auto"/>
                <w:w w:val="91"/>
              </w:rPr>
              <w:t>Retail</w:t>
            </w:r>
          </w:p>
        </w:tc>
        <w:tc>
          <w:tcPr>
            <w:tcW w:w="820" w:type="dxa"/>
            <w:vAlign w:val="bottom"/>
            <w:gridSpan w:val="2"/>
            <w:shd w:val="clear" w:color="auto" w:fill="CCECFF"/>
          </w:tcPr>
          <w:p>
            <w:pPr>
              <w:jc w:val="right"/>
              <w:ind w:right="60"/>
              <w:spacing w:after="0"/>
              <w:rPr>
                <w:sz w:val="20"/>
                <w:szCs w:val="20"/>
                <w:color w:val="auto"/>
              </w:rPr>
            </w:pPr>
            <w:r>
              <w:rPr>
                <w:rFonts w:ascii="Arial" w:cs="Arial" w:eastAsia="Arial" w:hAnsi="Arial"/>
                <w:sz w:val="12"/>
                <w:szCs w:val="12"/>
                <w:color w:val="auto"/>
              </w:rPr>
              <w:t>10.00%</w:t>
            </w:r>
          </w:p>
        </w:tc>
        <w:tc>
          <w:tcPr>
            <w:tcW w:w="140" w:type="dxa"/>
            <w:vAlign w:val="bottom"/>
            <w:shd w:val="clear" w:color="auto" w:fill="CCECFF"/>
          </w:tcPr>
          <w:p>
            <w:pPr>
              <w:spacing w:after="0"/>
              <w:rPr>
                <w:sz w:val="12"/>
                <w:szCs w:val="12"/>
                <w:color w:val="auto"/>
              </w:rPr>
            </w:pPr>
          </w:p>
        </w:tc>
        <w:tc>
          <w:tcPr>
            <w:tcW w:w="680" w:type="dxa"/>
            <w:vAlign w:val="bottom"/>
            <w:shd w:val="clear" w:color="auto" w:fill="CCECFF"/>
          </w:tcPr>
          <w:p>
            <w:pPr>
              <w:jc w:val="right"/>
              <w:spacing w:after="0"/>
              <w:rPr>
                <w:sz w:val="20"/>
                <w:szCs w:val="20"/>
                <w:color w:val="auto"/>
              </w:rPr>
            </w:pPr>
            <w:r>
              <w:rPr>
                <w:rFonts w:ascii="Arial" w:cs="Arial" w:eastAsia="Arial" w:hAnsi="Arial"/>
                <w:sz w:val="12"/>
                <w:szCs w:val="12"/>
                <w:color w:val="auto"/>
              </w:rPr>
              <w:t>L+900</w:t>
            </w:r>
          </w:p>
        </w:tc>
        <w:tc>
          <w:tcPr>
            <w:tcW w:w="240" w:type="dxa"/>
            <w:vAlign w:val="bottom"/>
            <w:shd w:val="clear" w:color="auto" w:fill="CCECFF"/>
          </w:tcPr>
          <w:p>
            <w:pPr>
              <w:spacing w:after="0"/>
              <w:rPr>
                <w:sz w:val="12"/>
                <w:szCs w:val="12"/>
                <w:color w:val="auto"/>
              </w:rPr>
            </w:pPr>
          </w:p>
        </w:tc>
        <w:tc>
          <w:tcPr>
            <w:tcW w:w="100" w:type="dxa"/>
            <w:vAlign w:val="bottom"/>
            <w:shd w:val="clear" w:color="auto" w:fill="CCECFF"/>
          </w:tcPr>
          <w:p>
            <w:pPr>
              <w:spacing w:after="0"/>
              <w:rPr>
                <w:sz w:val="12"/>
                <w:szCs w:val="12"/>
                <w:color w:val="auto"/>
              </w:rPr>
            </w:pPr>
          </w:p>
        </w:tc>
        <w:tc>
          <w:tcPr>
            <w:tcW w:w="580" w:type="dxa"/>
            <w:vAlign w:val="bottom"/>
            <w:shd w:val="clear" w:color="auto" w:fill="CCECFF"/>
          </w:tcPr>
          <w:p>
            <w:pPr>
              <w:jc w:val="right"/>
              <w:spacing w:after="0"/>
              <w:rPr>
                <w:sz w:val="20"/>
                <w:szCs w:val="20"/>
                <w:color w:val="auto"/>
              </w:rPr>
            </w:pPr>
            <w:r>
              <w:rPr>
                <w:rFonts w:ascii="Arial" w:cs="Arial" w:eastAsia="Arial" w:hAnsi="Arial"/>
                <w:sz w:val="12"/>
                <w:szCs w:val="12"/>
                <w:color w:val="auto"/>
                <w:w w:val="89"/>
              </w:rPr>
              <w:t>38,391,045</w:t>
            </w:r>
          </w:p>
        </w:tc>
        <w:tc>
          <w:tcPr>
            <w:tcW w:w="240" w:type="dxa"/>
            <w:vAlign w:val="bottom"/>
            <w:shd w:val="clear" w:color="auto" w:fill="CCECFF"/>
          </w:tcPr>
          <w:p>
            <w:pPr>
              <w:spacing w:after="0"/>
              <w:rPr>
                <w:sz w:val="12"/>
                <w:szCs w:val="12"/>
                <w:color w:val="auto"/>
              </w:rPr>
            </w:pPr>
          </w:p>
        </w:tc>
        <w:tc>
          <w:tcPr>
            <w:tcW w:w="80" w:type="dxa"/>
            <w:vAlign w:val="bottom"/>
            <w:shd w:val="clear" w:color="auto" w:fill="CCECFF"/>
          </w:tcPr>
          <w:p>
            <w:pPr>
              <w:spacing w:after="0"/>
              <w:rPr>
                <w:sz w:val="12"/>
                <w:szCs w:val="12"/>
                <w:color w:val="auto"/>
              </w:rPr>
            </w:pPr>
          </w:p>
        </w:tc>
        <w:tc>
          <w:tcPr>
            <w:tcW w:w="620" w:type="dxa"/>
            <w:vAlign w:val="bottom"/>
            <w:shd w:val="clear" w:color="auto" w:fill="CCECFF"/>
          </w:tcPr>
          <w:p>
            <w:pPr>
              <w:jc w:val="right"/>
              <w:spacing w:after="0"/>
              <w:rPr>
                <w:sz w:val="20"/>
                <w:szCs w:val="20"/>
                <w:color w:val="auto"/>
              </w:rPr>
            </w:pPr>
            <w:r>
              <w:rPr>
                <w:rFonts w:ascii="Arial" w:cs="Arial" w:eastAsia="Arial" w:hAnsi="Arial"/>
                <w:sz w:val="12"/>
                <w:szCs w:val="12"/>
                <w:color w:val="auto"/>
                <w:w w:val="99"/>
              </w:rPr>
              <w:t>37,888,445</w:t>
            </w:r>
          </w:p>
        </w:tc>
        <w:tc>
          <w:tcPr>
            <w:tcW w:w="240" w:type="dxa"/>
            <w:vAlign w:val="bottom"/>
            <w:shd w:val="clear" w:color="auto" w:fill="CCECFF"/>
          </w:tcPr>
          <w:p>
            <w:pPr>
              <w:spacing w:after="0"/>
              <w:rPr>
                <w:sz w:val="12"/>
                <w:szCs w:val="12"/>
                <w:color w:val="auto"/>
              </w:rPr>
            </w:pPr>
          </w:p>
        </w:tc>
        <w:tc>
          <w:tcPr>
            <w:tcW w:w="80" w:type="dxa"/>
            <w:vAlign w:val="bottom"/>
            <w:shd w:val="clear" w:color="auto" w:fill="CCECFF"/>
          </w:tcPr>
          <w:p>
            <w:pPr>
              <w:spacing w:after="0"/>
              <w:rPr>
                <w:sz w:val="12"/>
                <w:szCs w:val="12"/>
                <w:color w:val="auto"/>
              </w:rPr>
            </w:pPr>
          </w:p>
        </w:tc>
        <w:tc>
          <w:tcPr>
            <w:tcW w:w="640" w:type="dxa"/>
            <w:vAlign w:val="bottom"/>
            <w:shd w:val="clear" w:color="auto" w:fill="CCECFF"/>
          </w:tcPr>
          <w:p>
            <w:pPr>
              <w:jc w:val="right"/>
              <w:spacing w:after="0"/>
              <w:rPr>
                <w:sz w:val="20"/>
                <w:szCs w:val="20"/>
                <w:color w:val="auto"/>
              </w:rPr>
            </w:pPr>
            <w:r>
              <w:rPr>
                <w:rFonts w:ascii="Arial" w:cs="Arial" w:eastAsia="Arial" w:hAnsi="Arial"/>
                <w:sz w:val="12"/>
                <w:szCs w:val="12"/>
                <w:color w:val="auto"/>
                <w:w w:val="99"/>
              </w:rPr>
              <w:t>38,391,045</w:t>
            </w:r>
          </w:p>
        </w:tc>
        <w:tc>
          <w:tcPr>
            <w:tcW w:w="100" w:type="dxa"/>
            <w:vAlign w:val="bottom"/>
            <w:shd w:val="clear" w:color="auto" w:fill="CCECFF"/>
          </w:tcPr>
          <w:p>
            <w:pPr>
              <w:spacing w:after="0"/>
              <w:rPr>
                <w:sz w:val="12"/>
                <w:szCs w:val="12"/>
                <w:color w:val="auto"/>
              </w:rPr>
            </w:pPr>
          </w:p>
        </w:tc>
      </w:tr>
      <w:tr>
        <w:trPr>
          <w:trHeight w:val="149"/>
        </w:trPr>
        <w:tc>
          <w:tcPr>
            <w:tcW w:w="3000" w:type="dxa"/>
            <w:vAlign w:val="bottom"/>
          </w:tcPr>
          <w:p>
            <w:pPr>
              <w:spacing w:after="0"/>
              <w:rPr>
                <w:sz w:val="20"/>
                <w:szCs w:val="20"/>
                <w:color w:val="auto"/>
              </w:rPr>
            </w:pPr>
            <w:r>
              <w:rPr>
                <w:rFonts w:ascii="Arial" w:cs="Arial" w:eastAsia="Arial" w:hAnsi="Arial"/>
                <w:sz w:val="12"/>
                <w:szCs w:val="12"/>
                <w:color w:val="auto"/>
              </w:rPr>
              <w:t xml:space="preserve">Prince Mineral Holding Corp. </w:t>
            </w:r>
            <w:r>
              <w:rPr>
                <w:rFonts w:ascii="Arial" w:cs="Arial" w:eastAsia="Arial" w:hAnsi="Arial"/>
                <w:sz w:val="9"/>
                <w:szCs w:val="9"/>
                <w:color w:val="auto"/>
              </w:rPr>
              <w:t>(5)</w:t>
            </w:r>
          </w:p>
        </w:tc>
        <w:tc>
          <w:tcPr>
            <w:tcW w:w="920" w:type="dxa"/>
            <w:vAlign w:val="bottom"/>
          </w:tcPr>
          <w:p>
            <w:pPr>
              <w:ind w:left="120"/>
              <w:spacing w:after="0"/>
              <w:rPr>
                <w:sz w:val="20"/>
                <w:szCs w:val="20"/>
                <w:color w:val="auto"/>
              </w:rPr>
            </w:pPr>
            <w:r>
              <w:rPr>
                <w:rFonts w:ascii="Arial" w:cs="Arial" w:eastAsia="Arial" w:hAnsi="Arial"/>
                <w:sz w:val="12"/>
                <w:szCs w:val="12"/>
                <w:color w:val="auto"/>
              </w:rPr>
              <w:t>12/16/2019</w:t>
            </w:r>
          </w:p>
        </w:tc>
        <w:tc>
          <w:tcPr>
            <w:tcW w:w="2760" w:type="dxa"/>
            <w:vAlign w:val="bottom"/>
            <w:gridSpan w:val="2"/>
          </w:tcPr>
          <w:p>
            <w:pPr>
              <w:jc w:val="center"/>
              <w:ind w:right="160"/>
              <w:spacing w:after="0"/>
              <w:rPr>
                <w:sz w:val="20"/>
                <w:szCs w:val="20"/>
                <w:color w:val="auto"/>
              </w:rPr>
            </w:pPr>
            <w:r>
              <w:rPr>
                <w:rFonts w:ascii="Arial" w:cs="Arial" w:eastAsia="Arial" w:hAnsi="Arial"/>
                <w:sz w:val="12"/>
                <w:szCs w:val="12"/>
                <w:color w:val="auto"/>
                <w:w w:val="90"/>
              </w:rPr>
              <w:t>Mining, Steel, Iron and Non-Precious Metals</w:t>
            </w:r>
          </w:p>
        </w:tc>
        <w:tc>
          <w:tcPr>
            <w:tcW w:w="820" w:type="dxa"/>
            <w:vAlign w:val="bottom"/>
            <w:gridSpan w:val="2"/>
          </w:tcPr>
          <w:p>
            <w:pPr>
              <w:jc w:val="right"/>
              <w:ind w:right="60"/>
              <w:spacing w:after="0"/>
              <w:rPr>
                <w:sz w:val="20"/>
                <w:szCs w:val="20"/>
                <w:color w:val="auto"/>
              </w:rPr>
            </w:pPr>
            <w:r>
              <w:rPr>
                <w:rFonts w:ascii="Arial" w:cs="Arial" w:eastAsia="Arial" w:hAnsi="Arial"/>
                <w:sz w:val="12"/>
                <w:szCs w:val="12"/>
                <w:color w:val="auto"/>
              </w:rPr>
              <w:t>11.50%</w:t>
            </w:r>
          </w:p>
        </w:tc>
        <w:tc>
          <w:tcPr>
            <w:tcW w:w="140" w:type="dxa"/>
            <w:vAlign w:val="bottom"/>
          </w:tcPr>
          <w:p>
            <w:pPr>
              <w:spacing w:after="0"/>
              <w:rPr>
                <w:sz w:val="12"/>
                <w:szCs w:val="12"/>
                <w:color w:val="auto"/>
              </w:rPr>
            </w:pPr>
          </w:p>
        </w:tc>
        <w:tc>
          <w:tcPr>
            <w:tcW w:w="680" w:type="dxa"/>
            <w:vAlign w:val="bottom"/>
          </w:tcPr>
          <w:p>
            <w:pPr>
              <w:jc w:val="right"/>
              <w:spacing w:after="0"/>
              <w:rPr>
                <w:sz w:val="20"/>
                <w:szCs w:val="20"/>
                <w:color w:val="auto"/>
              </w:rPr>
            </w:pPr>
            <w:r>
              <w:rPr>
                <w:rFonts w:ascii="Arial" w:cs="Arial" w:eastAsia="Arial" w:hAnsi="Arial"/>
                <w:sz w:val="12"/>
                <w:szCs w:val="12"/>
                <w:color w:val="auto"/>
              </w:rPr>
              <w:t>—</w:t>
            </w:r>
          </w:p>
        </w:tc>
        <w:tc>
          <w:tcPr>
            <w:tcW w:w="2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80" w:type="dxa"/>
            <w:vAlign w:val="bottom"/>
          </w:tcPr>
          <w:p>
            <w:pPr>
              <w:jc w:val="right"/>
              <w:spacing w:after="0"/>
              <w:rPr>
                <w:sz w:val="20"/>
                <w:szCs w:val="20"/>
                <w:color w:val="auto"/>
              </w:rPr>
            </w:pPr>
            <w:r>
              <w:rPr>
                <w:rFonts w:ascii="Arial" w:cs="Arial" w:eastAsia="Arial" w:hAnsi="Arial"/>
                <w:sz w:val="12"/>
                <w:szCs w:val="12"/>
                <w:color w:val="auto"/>
                <w:w w:val="89"/>
              </w:rPr>
              <w:t>14,250,000</w:t>
            </w:r>
          </w:p>
        </w:tc>
        <w:tc>
          <w:tcPr>
            <w:tcW w:w="2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20" w:type="dxa"/>
            <w:vAlign w:val="bottom"/>
          </w:tcPr>
          <w:p>
            <w:pPr>
              <w:jc w:val="right"/>
              <w:spacing w:after="0"/>
              <w:rPr>
                <w:sz w:val="20"/>
                <w:szCs w:val="20"/>
                <w:color w:val="auto"/>
              </w:rPr>
            </w:pPr>
            <w:r>
              <w:rPr>
                <w:rFonts w:ascii="Arial" w:cs="Arial" w:eastAsia="Arial" w:hAnsi="Arial"/>
                <w:sz w:val="12"/>
                <w:szCs w:val="12"/>
                <w:color w:val="auto"/>
                <w:w w:val="99"/>
              </w:rPr>
              <w:t>14,156,176</w:t>
            </w:r>
          </w:p>
        </w:tc>
        <w:tc>
          <w:tcPr>
            <w:tcW w:w="2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40" w:type="dxa"/>
            <w:vAlign w:val="bottom"/>
          </w:tcPr>
          <w:p>
            <w:pPr>
              <w:jc w:val="right"/>
              <w:spacing w:after="0"/>
              <w:rPr>
                <w:sz w:val="20"/>
                <w:szCs w:val="20"/>
                <w:color w:val="auto"/>
              </w:rPr>
            </w:pPr>
            <w:r>
              <w:rPr>
                <w:rFonts w:ascii="Arial" w:cs="Arial" w:eastAsia="Arial" w:hAnsi="Arial"/>
                <w:sz w:val="12"/>
                <w:szCs w:val="12"/>
                <w:color w:val="auto"/>
                <w:w w:val="99"/>
              </w:rPr>
              <w:t>13,359,375</w:t>
            </w:r>
          </w:p>
        </w:tc>
        <w:tc>
          <w:tcPr>
            <w:tcW w:w="100" w:type="dxa"/>
            <w:vAlign w:val="bottom"/>
          </w:tcPr>
          <w:p>
            <w:pPr>
              <w:spacing w:after="0"/>
              <w:rPr>
                <w:sz w:val="12"/>
                <w:szCs w:val="12"/>
                <w:color w:val="auto"/>
              </w:rPr>
            </w:pPr>
          </w:p>
        </w:tc>
      </w:tr>
      <w:tr>
        <w:trPr>
          <w:trHeight w:val="148"/>
        </w:trPr>
        <w:tc>
          <w:tcPr>
            <w:tcW w:w="3000" w:type="dxa"/>
            <w:vAlign w:val="bottom"/>
            <w:shd w:val="clear" w:color="auto" w:fill="CCECFF"/>
          </w:tcPr>
          <w:p>
            <w:pPr>
              <w:spacing w:after="0"/>
              <w:rPr>
                <w:sz w:val="20"/>
                <w:szCs w:val="20"/>
                <w:color w:val="auto"/>
              </w:rPr>
            </w:pPr>
            <w:r>
              <w:rPr>
                <w:rFonts w:ascii="Arial" w:cs="Arial" w:eastAsia="Arial" w:hAnsi="Arial"/>
                <w:sz w:val="12"/>
                <w:szCs w:val="12"/>
                <w:color w:val="auto"/>
              </w:rPr>
              <w:t>Robertshaw US Holding Corp.</w:t>
            </w:r>
          </w:p>
        </w:tc>
        <w:tc>
          <w:tcPr>
            <w:tcW w:w="920" w:type="dxa"/>
            <w:vAlign w:val="bottom"/>
            <w:shd w:val="clear" w:color="auto" w:fill="CCECFF"/>
          </w:tcPr>
          <w:p>
            <w:pPr>
              <w:ind w:left="120"/>
              <w:spacing w:after="0"/>
              <w:rPr>
                <w:sz w:val="20"/>
                <w:szCs w:val="20"/>
                <w:color w:val="auto"/>
              </w:rPr>
            </w:pPr>
            <w:r>
              <w:rPr>
                <w:rFonts w:ascii="Arial" w:cs="Arial" w:eastAsia="Arial" w:hAnsi="Arial"/>
                <w:sz w:val="12"/>
                <w:szCs w:val="12"/>
                <w:color w:val="auto"/>
              </w:rPr>
              <w:t>06/18/2019</w:t>
            </w:r>
          </w:p>
        </w:tc>
        <w:tc>
          <w:tcPr>
            <w:tcW w:w="2760" w:type="dxa"/>
            <w:vAlign w:val="bottom"/>
            <w:gridSpan w:val="2"/>
            <w:shd w:val="clear" w:color="auto" w:fill="CCECFF"/>
          </w:tcPr>
          <w:p>
            <w:pPr>
              <w:jc w:val="center"/>
              <w:ind w:right="160"/>
              <w:spacing w:after="0"/>
              <w:rPr>
                <w:sz w:val="20"/>
                <w:szCs w:val="20"/>
                <w:color w:val="auto"/>
              </w:rPr>
            </w:pPr>
            <w:r>
              <w:rPr>
                <w:rFonts w:ascii="Arial" w:cs="Arial" w:eastAsia="Arial" w:hAnsi="Arial"/>
                <w:sz w:val="12"/>
                <w:szCs w:val="12"/>
                <w:color w:val="auto"/>
                <w:w w:val="88"/>
              </w:rPr>
              <w:t>Electronics</w:t>
            </w:r>
          </w:p>
        </w:tc>
        <w:tc>
          <w:tcPr>
            <w:tcW w:w="820" w:type="dxa"/>
            <w:vAlign w:val="bottom"/>
            <w:gridSpan w:val="2"/>
            <w:shd w:val="clear" w:color="auto" w:fill="CCECFF"/>
          </w:tcPr>
          <w:p>
            <w:pPr>
              <w:jc w:val="right"/>
              <w:ind w:right="60"/>
              <w:spacing w:after="0"/>
              <w:rPr>
                <w:sz w:val="20"/>
                <w:szCs w:val="20"/>
                <w:color w:val="auto"/>
              </w:rPr>
            </w:pPr>
            <w:r>
              <w:rPr>
                <w:rFonts w:ascii="Arial" w:cs="Arial" w:eastAsia="Arial" w:hAnsi="Arial"/>
                <w:sz w:val="12"/>
                <w:szCs w:val="12"/>
                <w:color w:val="auto"/>
              </w:rPr>
              <w:t>8.50%</w:t>
            </w:r>
          </w:p>
        </w:tc>
        <w:tc>
          <w:tcPr>
            <w:tcW w:w="140" w:type="dxa"/>
            <w:vAlign w:val="bottom"/>
            <w:shd w:val="clear" w:color="auto" w:fill="CCECFF"/>
          </w:tcPr>
          <w:p>
            <w:pPr>
              <w:spacing w:after="0"/>
              <w:rPr>
                <w:sz w:val="12"/>
                <w:szCs w:val="12"/>
                <w:color w:val="auto"/>
              </w:rPr>
            </w:pPr>
          </w:p>
        </w:tc>
        <w:tc>
          <w:tcPr>
            <w:tcW w:w="680" w:type="dxa"/>
            <w:vAlign w:val="bottom"/>
            <w:shd w:val="clear" w:color="auto" w:fill="CCECFF"/>
          </w:tcPr>
          <w:p>
            <w:pPr>
              <w:jc w:val="right"/>
              <w:spacing w:after="0"/>
              <w:rPr>
                <w:sz w:val="20"/>
                <w:szCs w:val="20"/>
                <w:color w:val="auto"/>
              </w:rPr>
            </w:pPr>
            <w:r>
              <w:rPr>
                <w:rFonts w:ascii="Arial" w:cs="Arial" w:eastAsia="Arial" w:hAnsi="Arial"/>
                <w:sz w:val="12"/>
                <w:szCs w:val="12"/>
                <w:color w:val="auto"/>
              </w:rPr>
              <w:t>L+700</w:t>
            </w:r>
          </w:p>
        </w:tc>
        <w:tc>
          <w:tcPr>
            <w:tcW w:w="240" w:type="dxa"/>
            <w:vAlign w:val="bottom"/>
            <w:shd w:val="clear" w:color="auto" w:fill="CCECFF"/>
          </w:tcPr>
          <w:p>
            <w:pPr>
              <w:spacing w:after="0"/>
              <w:rPr>
                <w:sz w:val="12"/>
                <w:szCs w:val="12"/>
                <w:color w:val="auto"/>
              </w:rPr>
            </w:pPr>
          </w:p>
        </w:tc>
        <w:tc>
          <w:tcPr>
            <w:tcW w:w="100" w:type="dxa"/>
            <w:vAlign w:val="bottom"/>
            <w:shd w:val="clear" w:color="auto" w:fill="CCECFF"/>
          </w:tcPr>
          <w:p>
            <w:pPr>
              <w:spacing w:after="0"/>
              <w:rPr>
                <w:sz w:val="12"/>
                <w:szCs w:val="12"/>
                <w:color w:val="auto"/>
              </w:rPr>
            </w:pPr>
          </w:p>
        </w:tc>
        <w:tc>
          <w:tcPr>
            <w:tcW w:w="580" w:type="dxa"/>
            <w:vAlign w:val="bottom"/>
            <w:shd w:val="clear" w:color="auto" w:fill="CCECFF"/>
          </w:tcPr>
          <w:p>
            <w:pPr>
              <w:jc w:val="right"/>
              <w:spacing w:after="0"/>
              <w:rPr>
                <w:sz w:val="20"/>
                <w:szCs w:val="20"/>
                <w:color w:val="auto"/>
              </w:rPr>
            </w:pPr>
            <w:r>
              <w:rPr>
                <w:rFonts w:ascii="Arial" w:cs="Arial" w:eastAsia="Arial" w:hAnsi="Arial"/>
                <w:sz w:val="12"/>
                <w:szCs w:val="12"/>
                <w:color w:val="auto"/>
                <w:w w:val="89"/>
              </w:rPr>
              <w:t>15,948,113</w:t>
            </w:r>
          </w:p>
        </w:tc>
        <w:tc>
          <w:tcPr>
            <w:tcW w:w="240" w:type="dxa"/>
            <w:vAlign w:val="bottom"/>
            <w:shd w:val="clear" w:color="auto" w:fill="CCECFF"/>
          </w:tcPr>
          <w:p>
            <w:pPr>
              <w:spacing w:after="0"/>
              <w:rPr>
                <w:sz w:val="12"/>
                <w:szCs w:val="12"/>
                <w:color w:val="auto"/>
              </w:rPr>
            </w:pPr>
          </w:p>
        </w:tc>
        <w:tc>
          <w:tcPr>
            <w:tcW w:w="80" w:type="dxa"/>
            <w:vAlign w:val="bottom"/>
            <w:shd w:val="clear" w:color="auto" w:fill="CCECFF"/>
          </w:tcPr>
          <w:p>
            <w:pPr>
              <w:spacing w:after="0"/>
              <w:rPr>
                <w:sz w:val="12"/>
                <w:szCs w:val="12"/>
                <w:color w:val="auto"/>
              </w:rPr>
            </w:pPr>
          </w:p>
        </w:tc>
        <w:tc>
          <w:tcPr>
            <w:tcW w:w="620" w:type="dxa"/>
            <w:vAlign w:val="bottom"/>
            <w:shd w:val="clear" w:color="auto" w:fill="CCECFF"/>
          </w:tcPr>
          <w:p>
            <w:pPr>
              <w:jc w:val="right"/>
              <w:spacing w:after="0"/>
              <w:rPr>
                <w:sz w:val="20"/>
                <w:szCs w:val="20"/>
                <w:color w:val="auto"/>
              </w:rPr>
            </w:pPr>
            <w:r>
              <w:rPr>
                <w:rFonts w:ascii="Arial" w:cs="Arial" w:eastAsia="Arial" w:hAnsi="Arial"/>
                <w:sz w:val="12"/>
                <w:szCs w:val="12"/>
                <w:color w:val="auto"/>
                <w:w w:val="99"/>
              </w:rPr>
              <w:t>15,875,684</w:t>
            </w:r>
          </w:p>
        </w:tc>
        <w:tc>
          <w:tcPr>
            <w:tcW w:w="240" w:type="dxa"/>
            <w:vAlign w:val="bottom"/>
            <w:shd w:val="clear" w:color="auto" w:fill="CCECFF"/>
          </w:tcPr>
          <w:p>
            <w:pPr>
              <w:spacing w:after="0"/>
              <w:rPr>
                <w:sz w:val="12"/>
                <w:szCs w:val="12"/>
                <w:color w:val="auto"/>
              </w:rPr>
            </w:pPr>
          </w:p>
        </w:tc>
        <w:tc>
          <w:tcPr>
            <w:tcW w:w="80" w:type="dxa"/>
            <w:vAlign w:val="bottom"/>
            <w:shd w:val="clear" w:color="auto" w:fill="CCECFF"/>
          </w:tcPr>
          <w:p>
            <w:pPr>
              <w:spacing w:after="0"/>
              <w:rPr>
                <w:sz w:val="12"/>
                <w:szCs w:val="12"/>
                <w:color w:val="auto"/>
              </w:rPr>
            </w:pPr>
          </w:p>
        </w:tc>
        <w:tc>
          <w:tcPr>
            <w:tcW w:w="640" w:type="dxa"/>
            <w:vAlign w:val="bottom"/>
            <w:shd w:val="clear" w:color="auto" w:fill="CCECFF"/>
          </w:tcPr>
          <w:p>
            <w:pPr>
              <w:jc w:val="right"/>
              <w:spacing w:after="0"/>
              <w:rPr>
                <w:sz w:val="20"/>
                <w:szCs w:val="20"/>
                <w:color w:val="auto"/>
              </w:rPr>
            </w:pPr>
            <w:r>
              <w:rPr>
                <w:rFonts w:ascii="Arial" w:cs="Arial" w:eastAsia="Arial" w:hAnsi="Arial"/>
                <w:sz w:val="12"/>
                <w:szCs w:val="12"/>
                <w:color w:val="auto"/>
                <w:w w:val="99"/>
              </w:rPr>
              <w:t>15,970,121</w:t>
            </w:r>
          </w:p>
        </w:tc>
        <w:tc>
          <w:tcPr>
            <w:tcW w:w="100" w:type="dxa"/>
            <w:vAlign w:val="bottom"/>
            <w:shd w:val="clear" w:color="auto" w:fill="CCECFF"/>
          </w:tcPr>
          <w:p>
            <w:pPr>
              <w:spacing w:after="0"/>
              <w:rPr>
                <w:sz w:val="12"/>
                <w:szCs w:val="12"/>
                <w:color w:val="auto"/>
              </w:rPr>
            </w:pPr>
          </w:p>
        </w:tc>
      </w:tr>
      <w:tr>
        <w:trPr>
          <w:trHeight w:val="148"/>
        </w:trPr>
        <w:tc>
          <w:tcPr>
            <w:tcW w:w="3000" w:type="dxa"/>
            <w:vAlign w:val="bottom"/>
          </w:tcPr>
          <w:p>
            <w:pPr>
              <w:spacing w:after="0"/>
              <w:rPr>
                <w:sz w:val="20"/>
                <w:szCs w:val="20"/>
                <w:color w:val="auto"/>
              </w:rPr>
            </w:pPr>
            <w:r>
              <w:rPr>
                <w:rFonts w:ascii="Arial" w:cs="Arial" w:eastAsia="Arial" w:hAnsi="Arial"/>
                <w:sz w:val="12"/>
                <w:szCs w:val="12"/>
                <w:color w:val="auto"/>
              </w:rPr>
              <w:t>Sotera Defense Solutions, Inc.</w:t>
            </w:r>
          </w:p>
        </w:tc>
        <w:tc>
          <w:tcPr>
            <w:tcW w:w="920" w:type="dxa"/>
            <w:vAlign w:val="bottom"/>
          </w:tcPr>
          <w:p>
            <w:pPr>
              <w:ind w:left="120"/>
              <w:spacing w:after="0"/>
              <w:rPr>
                <w:sz w:val="20"/>
                <w:szCs w:val="20"/>
                <w:color w:val="auto"/>
              </w:rPr>
            </w:pPr>
            <w:r>
              <w:rPr>
                <w:rFonts w:ascii="Arial" w:cs="Arial" w:eastAsia="Arial" w:hAnsi="Arial"/>
                <w:sz w:val="12"/>
                <w:szCs w:val="12"/>
                <w:color w:val="auto"/>
              </w:rPr>
              <w:t>04/21/2017</w:t>
            </w:r>
          </w:p>
        </w:tc>
        <w:tc>
          <w:tcPr>
            <w:tcW w:w="2760" w:type="dxa"/>
            <w:vAlign w:val="bottom"/>
            <w:gridSpan w:val="2"/>
          </w:tcPr>
          <w:p>
            <w:pPr>
              <w:jc w:val="center"/>
              <w:ind w:right="160"/>
              <w:spacing w:after="0"/>
              <w:rPr>
                <w:sz w:val="20"/>
                <w:szCs w:val="20"/>
                <w:color w:val="auto"/>
              </w:rPr>
            </w:pPr>
            <w:r>
              <w:rPr>
                <w:rFonts w:ascii="Arial" w:cs="Arial" w:eastAsia="Arial" w:hAnsi="Arial"/>
                <w:sz w:val="12"/>
                <w:szCs w:val="12"/>
                <w:color w:val="auto"/>
                <w:w w:val="86"/>
              </w:rPr>
              <w:t>Aerospace and Defense</w:t>
            </w:r>
          </w:p>
        </w:tc>
        <w:tc>
          <w:tcPr>
            <w:tcW w:w="820" w:type="dxa"/>
            <w:vAlign w:val="bottom"/>
            <w:gridSpan w:val="2"/>
          </w:tcPr>
          <w:p>
            <w:pPr>
              <w:jc w:val="right"/>
              <w:ind w:right="60"/>
              <w:spacing w:after="0"/>
              <w:rPr>
                <w:sz w:val="20"/>
                <w:szCs w:val="20"/>
                <w:color w:val="auto"/>
              </w:rPr>
            </w:pPr>
            <w:r>
              <w:rPr>
                <w:rFonts w:ascii="Arial" w:cs="Arial" w:eastAsia="Arial" w:hAnsi="Arial"/>
                <w:sz w:val="12"/>
                <w:szCs w:val="12"/>
                <w:color w:val="auto"/>
              </w:rPr>
              <w:t>9.00%</w:t>
            </w:r>
          </w:p>
        </w:tc>
        <w:tc>
          <w:tcPr>
            <w:tcW w:w="140" w:type="dxa"/>
            <w:vAlign w:val="bottom"/>
          </w:tcPr>
          <w:p>
            <w:pPr>
              <w:spacing w:after="0"/>
              <w:rPr>
                <w:sz w:val="12"/>
                <w:szCs w:val="12"/>
                <w:color w:val="auto"/>
              </w:rPr>
            </w:pPr>
          </w:p>
        </w:tc>
        <w:tc>
          <w:tcPr>
            <w:tcW w:w="680" w:type="dxa"/>
            <w:vAlign w:val="bottom"/>
          </w:tcPr>
          <w:p>
            <w:pPr>
              <w:jc w:val="right"/>
              <w:spacing w:after="0"/>
              <w:rPr>
                <w:sz w:val="20"/>
                <w:szCs w:val="20"/>
                <w:color w:val="auto"/>
              </w:rPr>
            </w:pPr>
            <w:r>
              <w:rPr>
                <w:rFonts w:ascii="Arial" w:cs="Arial" w:eastAsia="Arial" w:hAnsi="Arial"/>
                <w:sz w:val="12"/>
                <w:szCs w:val="12"/>
                <w:color w:val="auto"/>
              </w:rPr>
              <w:t>L+750</w:t>
            </w:r>
          </w:p>
        </w:tc>
        <w:tc>
          <w:tcPr>
            <w:tcW w:w="2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80" w:type="dxa"/>
            <w:vAlign w:val="bottom"/>
          </w:tcPr>
          <w:p>
            <w:pPr>
              <w:jc w:val="right"/>
              <w:spacing w:after="0"/>
              <w:rPr>
                <w:sz w:val="20"/>
                <w:szCs w:val="20"/>
                <w:color w:val="auto"/>
              </w:rPr>
            </w:pPr>
            <w:r>
              <w:rPr>
                <w:rFonts w:ascii="Arial" w:cs="Arial" w:eastAsia="Arial" w:hAnsi="Arial"/>
                <w:sz w:val="12"/>
                <w:szCs w:val="12"/>
                <w:color w:val="auto"/>
                <w:w w:val="89"/>
              </w:rPr>
              <w:t>18,306,549</w:t>
            </w:r>
          </w:p>
        </w:tc>
        <w:tc>
          <w:tcPr>
            <w:tcW w:w="2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20" w:type="dxa"/>
            <w:vAlign w:val="bottom"/>
          </w:tcPr>
          <w:p>
            <w:pPr>
              <w:jc w:val="right"/>
              <w:spacing w:after="0"/>
              <w:rPr>
                <w:sz w:val="20"/>
                <w:szCs w:val="20"/>
                <w:color w:val="auto"/>
              </w:rPr>
            </w:pPr>
            <w:r>
              <w:rPr>
                <w:rFonts w:ascii="Arial" w:cs="Arial" w:eastAsia="Arial" w:hAnsi="Arial"/>
                <w:sz w:val="12"/>
                <w:szCs w:val="12"/>
                <w:color w:val="auto"/>
                <w:w w:val="99"/>
              </w:rPr>
              <w:t>18,075,370</w:t>
            </w:r>
          </w:p>
        </w:tc>
        <w:tc>
          <w:tcPr>
            <w:tcW w:w="2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40" w:type="dxa"/>
            <w:vAlign w:val="bottom"/>
          </w:tcPr>
          <w:p>
            <w:pPr>
              <w:jc w:val="right"/>
              <w:spacing w:after="0"/>
              <w:rPr>
                <w:sz w:val="20"/>
                <w:szCs w:val="20"/>
                <w:color w:val="auto"/>
              </w:rPr>
            </w:pPr>
            <w:r>
              <w:rPr>
                <w:rFonts w:ascii="Arial" w:cs="Arial" w:eastAsia="Arial" w:hAnsi="Arial"/>
                <w:sz w:val="12"/>
                <w:szCs w:val="12"/>
                <w:color w:val="auto"/>
                <w:w w:val="99"/>
              </w:rPr>
              <w:t>18,215,016</w:t>
            </w:r>
          </w:p>
        </w:tc>
        <w:tc>
          <w:tcPr>
            <w:tcW w:w="100" w:type="dxa"/>
            <w:vAlign w:val="bottom"/>
          </w:tcPr>
          <w:p>
            <w:pPr>
              <w:spacing w:after="0"/>
              <w:rPr>
                <w:sz w:val="12"/>
                <w:szCs w:val="12"/>
                <w:color w:val="auto"/>
              </w:rPr>
            </w:pPr>
          </w:p>
        </w:tc>
      </w:tr>
      <w:tr>
        <w:trPr>
          <w:trHeight w:val="148"/>
        </w:trPr>
        <w:tc>
          <w:tcPr>
            <w:tcW w:w="3000" w:type="dxa"/>
            <w:vAlign w:val="bottom"/>
            <w:shd w:val="clear" w:color="auto" w:fill="CCECFF"/>
          </w:tcPr>
          <w:p>
            <w:pPr>
              <w:spacing w:after="0"/>
              <w:rPr>
                <w:sz w:val="20"/>
                <w:szCs w:val="20"/>
                <w:color w:val="auto"/>
              </w:rPr>
            </w:pPr>
            <w:r>
              <w:rPr>
                <w:rFonts w:ascii="Arial" w:cs="Arial" w:eastAsia="Arial" w:hAnsi="Arial"/>
                <w:sz w:val="12"/>
                <w:szCs w:val="12"/>
                <w:color w:val="auto"/>
              </w:rPr>
              <w:t>Triad Manufacturing, Inc.</w:t>
            </w:r>
          </w:p>
        </w:tc>
        <w:tc>
          <w:tcPr>
            <w:tcW w:w="920" w:type="dxa"/>
            <w:vAlign w:val="bottom"/>
            <w:shd w:val="clear" w:color="auto" w:fill="CCECFF"/>
          </w:tcPr>
          <w:p>
            <w:pPr>
              <w:ind w:left="120"/>
              <w:spacing w:after="0"/>
              <w:rPr>
                <w:sz w:val="20"/>
                <w:szCs w:val="20"/>
                <w:color w:val="auto"/>
              </w:rPr>
            </w:pPr>
            <w:r>
              <w:rPr>
                <w:rFonts w:ascii="Arial" w:cs="Arial" w:eastAsia="Arial" w:hAnsi="Arial"/>
                <w:sz w:val="12"/>
                <w:szCs w:val="12"/>
                <w:color w:val="auto"/>
              </w:rPr>
              <w:t>12/28/2020</w:t>
            </w:r>
          </w:p>
        </w:tc>
        <w:tc>
          <w:tcPr>
            <w:tcW w:w="2760" w:type="dxa"/>
            <w:vAlign w:val="bottom"/>
            <w:gridSpan w:val="2"/>
            <w:shd w:val="clear" w:color="auto" w:fill="CCECFF"/>
          </w:tcPr>
          <w:p>
            <w:pPr>
              <w:jc w:val="center"/>
              <w:ind w:right="160"/>
              <w:spacing w:after="0"/>
              <w:rPr>
                <w:sz w:val="20"/>
                <w:szCs w:val="20"/>
                <w:color w:val="auto"/>
              </w:rPr>
            </w:pPr>
            <w:r>
              <w:rPr>
                <w:rFonts w:ascii="Arial" w:cs="Arial" w:eastAsia="Arial" w:hAnsi="Arial"/>
                <w:sz w:val="12"/>
                <w:szCs w:val="12"/>
                <w:color w:val="auto"/>
                <w:w w:val="88"/>
              </w:rPr>
              <w:t>Manufacturing / Basic Industries</w:t>
            </w:r>
          </w:p>
        </w:tc>
        <w:tc>
          <w:tcPr>
            <w:tcW w:w="820" w:type="dxa"/>
            <w:vAlign w:val="bottom"/>
            <w:gridSpan w:val="2"/>
            <w:shd w:val="clear" w:color="auto" w:fill="CCECFF"/>
          </w:tcPr>
          <w:p>
            <w:pPr>
              <w:jc w:val="right"/>
              <w:ind w:right="60"/>
              <w:spacing w:after="0"/>
              <w:rPr>
                <w:sz w:val="20"/>
                <w:szCs w:val="20"/>
                <w:color w:val="auto"/>
              </w:rPr>
            </w:pPr>
            <w:r>
              <w:rPr>
                <w:rFonts w:ascii="Arial" w:cs="Arial" w:eastAsia="Arial" w:hAnsi="Arial"/>
                <w:sz w:val="12"/>
                <w:szCs w:val="12"/>
                <w:color w:val="auto"/>
              </w:rPr>
              <w:t>11.27%</w:t>
            </w:r>
          </w:p>
        </w:tc>
        <w:tc>
          <w:tcPr>
            <w:tcW w:w="140" w:type="dxa"/>
            <w:vAlign w:val="bottom"/>
            <w:shd w:val="clear" w:color="auto" w:fill="CCECFF"/>
          </w:tcPr>
          <w:p>
            <w:pPr>
              <w:spacing w:after="0"/>
              <w:rPr>
                <w:sz w:val="12"/>
                <w:szCs w:val="12"/>
                <w:color w:val="auto"/>
              </w:rPr>
            </w:pPr>
          </w:p>
        </w:tc>
        <w:tc>
          <w:tcPr>
            <w:tcW w:w="680" w:type="dxa"/>
            <w:vAlign w:val="bottom"/>
            <w:shd w:val="clear" w:color="auto" w:fill="CCECFF"/>
          </w:tcPr>
          <w:p>
            <w:pPr>
              <w:jc w:val="right"/>
              <w:spacing w:after="0"/>
              <w:rPr>
                <w:sz w:val="20"/>
                <w:szCs w:val="20"/>
                <w:color w:val="auto"/>
              </w:rPr>
            </w:pPr>
            <w:r>
              <w:rPr>
                <w:rFonts w:ascii="Arial" w:cs="Arial" w:eastAsia="Arial" w:hAnsi="Arial"/>
                <w:sz w:val="12"/>
                <w:szCs w:val="12"/>
                <w:color w:val="auto"/>
              </w:rPr>
              <w:t>L+1,075</w:t>
            </w:r>
          </w:p>
        </w:tc>
        <w:tc>
          <w:tcPr>
            <w:tcW w:w="240" w:type="dxa"/>
            <w:vAlign w:val="bottom"/>
            <w:shd w:val="clear" w:color="auto" w:fill="CCECFF"/>
          </w:tcPr>
          <w:p>
            <w:pPr>
              <w:jc w:val="right"/>
              <w:spacing w:after="0"/>
              <w:rPr>
                <w:sz w:val="20"/>
                <w:szCs w:val="20"/>
                <w:color w:val="auto"/>
              </w:rPr>
            </w:pPr>
            <w:r>
              <w:rPr>
                <w:rFonts w:ascii="Arial" w:cs="Arial" w:eastAsia="Arial" w:hAnsi="Arial"/>
                <w:sz w:val="10"/>
                <w:szCs w:val="10"/>
                <w:color w:val="auto"/>
              </w:rPr>
              <w:t>(7)</w:t>
            </w:r>
          </w:p>
        </w:tc>
        <w:tc>
          <w:tcPr>
            <w:tcW w:w="100" w:type="dxa"/>
            <w:vAlign w:val="bottom"/>
            <w:shd w:val="clear" w:color="auto" w:fill="CCECFF"/>
          </w:tcPr>
          <w:p>
            <w:pPr>
              <w:spacing w:after="0"/>
              <w:rPr>
                <w:sz w:val="12"/>
                <w:szCs w:val="12"/>
                <w:color w:val="auto"/>
              </w:rPr>
            </w:pPr>
          </w:p>
        </w:tc>
        <w:tc>
          <w:tcPr>
            <w:tcW w:w="580" w:type="dxa"/>
            <w:vAlign w:val="bottom"/>
            <w:shd w:val="clear" w:color="auto" w:fill="CCECFF"/>
          </w:tcPr>
          <w:p>
            <w:pPr>
              <w:jc w:val="right"/>
              <w:spacing w:after="0"/>
              <w:rPr>
                <w:sz w:val="20"/>
                <w:szCs w:val="20"/>
                <w:color w:val="auto"/>
              </w:rPr>
            </w:pPr>
            <w:r>
              <w:rPr>
                <w:rFonts w:ascii="Arial" w:cs="Arial" w:eastAsia="Arial" w:hAnsi="Arial"/>
                <w:sz w:val="12"/>
                <w:szCs w:val="12"/>
                <w:color w:val="auto"/>
                <w:w w:val="89"/>
              </w:rPr>
              <w:t>28,859,421</w:t>
            </w:r>
          </w:p>
        </w:tc>
        <w:tc>
          <w:tcPr>
            <w:tcW w:w="240" w:type="dxa"/>
            <w:vAlign w:val="bottom"/>
            <w:shd w:val="clear" w:color="auto" w:fill="CCECFF"/>
          </w:tcPr>
          <w:p>
            <w:pPr>
              <w:spacing w:after="0"/>
              <w:rPr>
                <w:sz w:val="12"/>
                <w:szCs w:val="12"/>
                <w:color w:val="auto"/>
              </w:rPr>
            </w:pPr>
          </w:p>
        </w:tc>
        <w:tc>
          <w:tcPr>
            <w:tcW w:w="80" w:type="dxa"/>
            <w:vAlign w:val="bottom"/>
            <w:shd w:val="clear" w:color="auto" w:fill="CCECFF"/>
          </w:tcPr>
          <w:p>
            <w:pPr>
              <w:spacing w:after="0"/>
              <w:rPr>
                <w:sz w:val="12"/>
                <w:szCs w:val="12"/>
                <w:color w:val="auto"/>
              </w:rPr>
            </w:pPr>
          </w:p>
        </w:tc>
        <w:tc>
          <w:tcPr>
            <w:tcW w:w="620" w:type="dxa"/>
            <w:vAlign w:val="bottom"/>
            <w:shd w:val="clear" w:color="auto" w:fill="CCECFF"/>
          </w:tcPr>
          <w:p>
            <w:pPr>
              <w:jc w:val="right"/>
              <w:spacing w:after="0"/>
              <w:rPr>
                <w:sz w:val="20"/>
                <w:szCs w:val="20"/>
                <w:color w:val="auto"/>
              </w:rPr>
            </w:pPr>
            <w:r>
              <w:rPr>
                <w:rFonts w:ascii="Arial" w:cs="Arial" w:eastAsia="Arial" w:hAnsi="Arial"/>
                <w:sz w:val="12"/>
                <w:szCs w:val="12"/>
                <w:color w:val="auto"/>
                <w:w w:val="99"/>
              </w:rPr>
              <w:t>28,349,720</w:t>
            </w:r>
          </w:p>
        </w:tc>
        <w:tc>
          <w:tcPr>
            <w:tcW w:w="240" w:type="dxa"/>
            <w:vAlign w:val="bottom"/>
            <w:shd w:val="clear" w:color="auto" w:fill="CCECFF"/>
          </w:tcPr>
          <w:p>
            <w:pPr>
              <w:spacing w:after="0"/>
              <w:rPr>
                <w:sz w:val="12"/>
                <w:szCs w:val="12"/>
                <w:color w:val="auto"/>
              </w:rPr>
            </w:pPr>
          </w:p>
        </w:tc>
        <w:tc>
          <w:tcPr>
            <w:tcW w:w="80" w:type="dxa"/>
            <w:vAlign w:val="bottom"/>
            <w:shd w:val="clear" w:color="auto" w:fill="CCECFF"/>
          </w:tcPr>
          <w:p>
            <w:pPr>
              <w:spacing w:after="0"/>
              <w:rPr>
                <w:sz w:val="12"/>
                <w:szCs w:val="12"/>
                <w:color w:val="auto"/>
              </w:rPr>
            </w:pPr>
          </w:p>
        </w:tc>
        <w:tc>
          <w:tcPr>
            <w:tcW w:w="640" w:type="dxa"/>
            <w:vAlign w:val="bottom"/>
            <w:shd w:val="clear" w:color="auto" w:fill="CCECFF"/>
          </w:tcPr>
          <w:p>
            <w:pPr>
              <w:jc w:val="right"/>
              <w:spacing w:after="0"/>
              <w:rPr>
                <w:sz w:val="20"/>
                <w:szCs w:val="20"/>
                <w:color w:val="auto"/>
              </w:rPr>
            </w:pPr>
            <w:r>
              <w:rPr>
                <w:rFonts w:ascii="Arial" w:cs="Arial" w:eastAsia="Arial" w:hAnsi="Arial"/>
                <w:sz w:val="12"/>
                <w:szCs w:val="12"/>
                <w:color w:val="auto"/>
                <w:w w:val="99"/>
              </w:rPr>
              <w:t>28,859,421</w:t>
            </w:r>
          </w:p>
        </w:tc>
        <w:tc>
          <w:tcPr>
            <w:tcW w:w="100" w:type="dxa"/>
            <w:vAlign w:val="bottom"/>
            <w:shd w:val="clear" w:color="auto" w:fill="CCECFF"/>
          </w:tcPr>
          <w:p>
            <w:pPr>
              <w:spacing w:after="0"/>
              <w:rPr>
                <w:sz w:val="12"/>
                <w:szCs w:val="12"/>
                <w:color w:val="auto"/>
              </w:rPr>
            </w:pPr>
          </w:p>
        </w:tc>
      </w:tr>
      <w:tr>
        <w:trPr>
          <w:trHeight w:val="148"/>
        </w:trPr>
        <w:tc>
          <w:tcPr>
            <w:tcW w:w="3000" w:type="dxa"/>
            <w:vAlign w:val="bottom"/>
          </w:tcPr>
          <w:p>
            <w:pPr>
              <w:spacing w:after="0"/>
              <w:rPr>
                <w:sz w:val="20"/>
                <w:szCs w:val="20"/>
                <w:color w:val="auto"/>
              </w:rPr>
            </w:pPr>
            <w:r>
              <w:rPr>
                <w:rFonts w:ascii="Arial" w:cs="Arial" w:eastAsia="Arial" w:hAnsi="Arial"/>
                <w:sz w:val="12"/>
                <w:szCs w:val="12"/>
                <w:color w:val="auto"/>
              </w:rPr>
              <w:t xml:space="preserve">Trust Inns Limited </w:t>
            </w:r>
            <w:r>
              <w:rPr>
                <w:rFonts w:ascii="Arial" w:cs="Arial" w:eastAsia="Arial" w:hAnsi="Arial"/>
                <w:sz w:val="9"/>
                <w:szCs w:val="9"/>
                <w:color w:val="auto"/>
              </w:rPr>
              <w:t>(9), (11), (12)</w:t>
            </w:r>
          </w:p>
        </w:tc>
        <w:tc>
          <w:tcPr>
            <w:tcW w:w="920" w:type="dxa"/>
            <w:vAlign w:val="bottom"/>
          </w:tcPr>
          <w:p>
            <w:pPr>
              <w:ind w:left="120"/>
              <w:spacing w:after="0"/>
              <w:rPr>
                <w:sz w:val="20"/>
                <w:szCs w:val="20"/>
                <w:color w:val="auto"/>
              </w:rPr>
            </w:pPr>
            <w:r>
              <w:rPr>
                <w:rFonts w:ascii="Arial" w:cs="Arial" w:eastAsia="Arial" w:hAnsi="Arial"/>
                <w:sz w:val="12"/>
                <w:szCs w:val="12"/>
                <w:color w:val="auto"/>
              </w:rPr>
              <w:t>02/12/2020</w:t>
            </w:r>
          </w:p>
        </w:tc>
        <w:tc>
          <w:tcPr>
            <w:tcW w:w="2760" w:type="dxa"/>
            <w:vAlign w:val="bottom"/>
            <w:gridSpan w:val="2"/>
          </w:tcPr>
          <w:p>
            <w:pPr>
              <w:jc w:val="center"/>
              <w:ind w:right="160"/>
              <w:spacing w:after="0"/>
              <w:rPr>
                <w:sz w:val="20"/>
                <w:szCs w:val="20"/>
                <w:color w:val="auto"/>
              </w:rPr>
            </w:pPr>
            <w:r>
              <w:rPr>
                <w:rFonts w:ascii="Arial" w:cs="Arial" w:eastAsia="Arial" w:hAnsi="Arial"/>
                <w:sz w:val="12"/>
                <w:szCs w:val="12"/>
                <w:color w:val="auto"/>
                <w:w w:val="87"/>
              </w:rPr>
              <w:t>Buildings and Real Estate</w:t>
            </w:r>
          </w:p>
        </w:tc>
        <w:tc>
          <w:tcPr>
            <w:tcW w:w="820" w:type="dxa"/>
            <w:vAlign w:val="bottom"/>
            <w:gridSpan w:val="2"/>
          </w:tcPr>
          <w:p>
            <w:pPr>
              <w:jc w:val="right"/>
              <w:ind w:right="60"/>
              <w:spacing w:after="0"/>
              <w:rPr>
                <w:sz w:val="20"/>
                <w:szCs w:val="20"/>
                <w:color w:val="auto"/>
              </w:rPr>
            </w:pPr>
            <w:r>
              <w:rPr>
                <w:rFonts w:ascii="Arial" w:cs="Arial" w:eastAsia="Arial" w:hAnsi="Arial"/>
                <w:sz w:val="12"/>
                <w:szCs w:val="12"/>
                <w:color w:val="auto"/>
              </w:rPr>
              <w:t>10.88%</w:t>
            </w:r>
          </w:p>
        </w:tc>
        <w:tc>
          <w:tcPr>
            <w:tcW w:w="140" w:type="dxa"/>
            <w:vAlign w:val="bottom"/>
          </w:tcPr>
          <w:p>
            <w:pPr>
              <w:spacing w:after="0"/>
              <w:rPr>
                <w:sz w:val="12"/>
                <w:szCs w:val="12"/>
                <w:color w:val="auto"/>
              </w:rPr>
            </w:pPr>
          </w:p>
        </w:tc>
        <w:tc>
          <w:tcPr>
            <w:tcW w:w="680" w:type="dxa"/>
            <w:vAlign w:val="bottom"/>
          </w:tcPr>
          <w:p>
            <w:pPr>
              <w:jc w:val="right"/>
              <w:spacing w:after="0"/>
              <w:rPr>
                <w:sz w:val="20"/>
                <w:szCs w:val="20"/>
                <w:color w:val="auto"/>
              </w:rPr>
            </w:pPr>
            <w:r>
              <w:rPr>
                <w:rFonts w:ascii="Arial" w:cs="Arial" w:eastAsia="Arial" w:hAnsi="Arial"/>
                <w:sz w:val="12"/>
                <w:szCs w:val="12"/>
                <w:color w:val="auto"/>
              </w:rPr>
              <w:t>L+1,050</w:t>
            </w:r>
          </w:p>
        </w:tc>
        <w:tc>
          <w:tcPr>
            <w:tcW w:w="340" w:type="dxa"/>
            <w:vAlign w:val="bottom"/>
            <w:gridSpan w:val="2"/>
          </w:tcPr>
          <w:p>
            <w:pPr>
              <w:jc w:val="right"/>
              <w:ind w:right="40"/>
              <w:spacing w:after="0"/>
              <w:rPr>
                <w:sz w:val="20"/>
                <w:szCs w:val="20"/>
                <w:color w:val="auto"/>
              </w:rPr>
            </w:pPr>
            <w:r>
              <w:rPr>
                <w:rFonts w:ascii="Arial" w:cs="Arial" w:eastAsia="Arial" w:hAnsi="Arial"/>
                <w:sz w:val="10"/>
                <w:szCs w:val="10"/>
                <w:color w:val="auto"/>
              </w:rPr>
              <w:t xml:space="preserve">(7) </w:t>
            </w:r>
            <w:r>
              <w:rPr>
                <w:rFonts w:ascii="Arial" w:cs="Arial" w:eastAsia="Arial" w:hAnsi="Arial"/>
                <w:sz w:val="11"/>
                <w:szCs w:val="11"/>
                <w:color w:val="auto"/>
              </w:rPr>
              <w:t>£</w:t>
            </w:r>
          </w:p>
        </w:tc>
        <w:tc>
          <w:tcPr>
            <w:tcW w:w="580" w:type="dxa"/>
            <w:vAlign w:val="bottom"/>
          </w:tcPr>
          <w:p>
            <w:pPr>
              <w:jc w:val="right"/>
              <w:spacing w:after="0"/>
              <w:rPr>
                <w:sz w:val="20"/>
                <w:szCs w:val="20"/>
                <w:color w:val="auto"/>
              </w:rPr>
            </w:pPr>
            <w:r>
              <w:rPr>
                <w:rFonts w:ascii="Arial" w:cs="Arial" w:eastAsia="Arial" w:hAnsi="Arial"/>
                <w:sz w:val="12"/>
                <w:szCs w:val="12"/>
                <w:color w:val="auto"/>
                <w:w w:val="89"/>
              </w:rPr>
              <w:t>22,512,751</w:t>
            </w:r>
          </w:p>
        </w:tc>
        <w:tc>
          <w:tcPr>
            <w:tcW w:w="2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20" w:type="dxa"/>
            <w:vAlign w:val="bottom"/>
          </w:tcPr>
          <w:p>
            <w:pPr>
              <w:jc w:val="right"/>
              <w:spacing w:after="0"/>
              <w:rPr>
                <w:sz w:val="20"/>
                <w:szCs w:val="20"/>
                <w:color w:val="auto"/>
              </w:rPr>
            </w:pPr>
            <w:r>
              <w:rPr>
                <w:rFonts w:ascii="Arial" w:cs="Arial" w:eastAsia="Arial" w:hAnsi="Arial"/>
                <w:sz w:val="12"/>
                <w:szCs w:val="12"/>
                <w:color w:val="auto"/>
                <w:w w:val="99"/>
              </w:rPr>
              <w:t>35,990,065</w:t>
            </w:r>
          </w:p>
        </w:tc>
        <w:tc>
          <w:tcPr>
            <w:tcW w:w="2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40" w:type="dxa"/>
            <w:vAlign w:val="bottom"/>
          </w:tcPr>
          <w:p>
            <w:pPr>
              <w:jc w:val="right"/>
              <w:spacing w:after="0"/>
              <w:rPr>
                <w:sz w:val="20"/>
                <w:szCs w:val="20"/>
                <w:color w:val="auto"/>
              </w:rPr>
            </w:pPr>
            <w:r>
              <w:rPr>
                <w:rFonts w:ascii="Arial" w:cs="Arial" w:eastAsia="Arial" w:hAnsi="Arial"/>
                <w:sz w:val="12"/>
                <w:szCs w:val="12"/>
                <w:color w:val="auto"/>
                <w:w w:val="99"/>
              </w:rPr>
              <w:t>28,703,752</w:t>
            </w:r>
          </w:p>
        </w:tc>
        <w:tc>
          <w:tcPr>
            <w:tcW w:w="100" w:type="dxa"/>
            <w:vAlign w:val="bottom"/>
          </w:tcPr>
          <w:p>
            <w:pPr>
              <w:spacing w:after="0"/>
              <w:rPr>
                <w:sz w:val="12"/>
                <w:szCs w:val="12"/>
                <w:color w:val="auto"/>
              </w:rPr>
            </w:pPr>
          </w:p>
        </w:tc>
      </w:tr>
      <w:tr>
        <w:trPr>
          <w:trHeight w:val="149"/>
        </w:trPr>
        <w:tc>
          <w:tcPr>
            <w:tcW w:w="3000" w:type="dxa"/>
            <w:vAlign w:val="bottom"/>
            <w:shd w:val="clear" w:color="auto" w:fill="CCECFF"/>
          </w:tcPr>
          <w:p>
            <w:pPr>
              <w:spacing w:after="0"/>
              <w:rPr>
                <w:sz w:val="20"/>
                <w:szCs w:val="20"/>
                <w:color w:val="auto"/>
              </w:rPr>
            </w:pPr>
            <w:r>
              <w:rPr>
                <w:rFonts w:ascii="Arial" w:cs="Arial" w:eastAsia="Arial" w:hAnsi="Arial"/>
                <w:sz w:val="12"/>
                <w:szCs w:val="12"/>
                <w:color w:val="auto"/>
              </w:rPr>
              <w:t>US Med Acquisition, Inc.</w:t>
            </w:r>
          </w:p>
        </w:tc>
        <w:tc>
          <w:tcPr>
            <w:tcW w:w="920" w:type="dxa"/>
            <w:vAlign w:val="bottom"/>
            <w:shd w:val="clear" w:color="auto" w:fill="CCECFF"/>
          </w:tcPr>
          <w:p>
            <w:pPr>
              <w:ind w:left="120"/>
              <w:spacing w:after="0"/>
              <w:rPr>
                <w:sz w:val="20"/>
                <w:szCs w:val="20"/>
                <w:color w:val="auto"/>
              </w:rPr>
            </w:pPr>
            <w:r>
              <w:rPr>
                <w:rFonts w:ascii="Arial" w:cs="Arial" w:eastAsia="Arial" w:hAnsi="Arial"/>
                <w:sz w:val="12"/>
                <w:szCs w:val="12"/>
                <w:color w:val="auto"/>
              </w:rPr>
              <w:t>08/13/2021</w:t>
            </w:r>
          </w:p>
        </w:tc>
        <w:tc>
          <w:tcPr>
            <w:tcW w:w="2760" w:type="dxa"/>
            <w:vAlign w:val="bottom"/>
            <w:gridSpan w:val="2"/>
            <w:shd w:val="clear" w:color="auto" w:fill="CCECFF"/>
          </w:tcPr>
          <w:p>
            <w:pPr>
              <w:jc w:val="center"/>
              <w:ind w:right="160"/>
              <w:spacing w:after="0"/>
              <w:rPr>
                <w:sz w:val="20"/>
                <w:szCs w:val="20"/>
                <w:color w:val="auto"/>
              </w:rPr>
            </w:pPr>
            <w:r>
              <w:rPr>
                <w:rFonts w:ascii="Arial" w:cs="Arial" w:eastAsia="Arial" w:hAnsi="Arial"/>
                <w:sz w:val="12"/>
                <w:szCs w:val="12"/>
                <w:color w:val="auto"/>
                <w:w w:val="87"/>
              </w:rPr>
              <w:t>Healthcare, Education and Childcare</w:t>
            </w:r>
          </w:p>
        </w:tc>
        <w:tc>
          <w:tcPr>
            <w:tcW w:w="820" w:type="dxa"/>
            <w:vAlign w:val="bottom"/>
            <w:gridSpan w:val="2"/>
            <w:shd w:val="clear" w:color="auto" w:fill="CCECFF"/>
          </w:tcPr>
          <w:p>
            <w:pPr>
              <w:jc w:val="right"/>
              <w:ind w:right="60"/>
              <w:spacing w:after="0"/>
              <w:rPr>
                <w:sz w:val="20"/>
                <w:szCs w:val="20"/>
                <w:color w:val="auto"/>
              </w:rPr>
            </w:pPr>
            <w:r>
              <w:rPr>
                <w:rFonts w:ascii="Arial" w:cs="Arial" w:eastAsia="Arial" w:hAnsi="Arial"/>
                <w:sz w:val="12"/>
                <w:szCs w:val="12"/>
                <w:color w:val="auto"/>
              </w:rPr>
              <w:t>10.00%</w:t>
            </w:r>
          </w:p>
        </w:tc>
        <w:tc>
          <w:tcPr>
            <w:tcW w:w="140" w:type="dxa"/>
            <w:vAlign w:val="bottom"/>
            <w:shd w:val="clear" w:color="auto" w:fill="CCECFF"/>
          </w:tcPr>
          <w:p>
            <w:pPr>
              <w:spacing w:after="0"/>
              <w:rPr>
                <w:sz w:val="12"/>
                <w:szCs w:val="12"/>
                <w:color w:val="auto"/>
              </w:rPr>
            </w:pPr>
          </w:p>
        </w:tc>
        <w:tc>
          <w:tcPr>
            <w:tcW w:w="680" w:type="dxa"/>
            <w:vAlign w:val="bottom"/>
            <w:shd w:val="clear" w:color="auto" w:fill="CCECFF"/>
          </w:tcPr>
          <w:p>
            <w:pPr>
              <w:jc w:val="right"/>
              <w:spacing w:after="0"/>
              <w:rPr>
                <w:sz w:val="20"/>
                <w:szCs w:val="20"/>
                <w:color w:val="auto"/>
              </w:rPr>
            </w:pPr>
            <w:r>
              <w:rPr>
                <w:rFonts w:ascii="Arial" w:cs="Arial" w:eastAsia="Arial" w:hAnsi="Arial"/>
                <w:sz w:val="12"/>
                <w:szCs w:val="12"/>
                <w:color w:val="auto"/>
              </w:rPr>
              <w:t>L+900</w:t>
            </w:r>
          </w:p>
        </w:tc>
        <w:tc>
          <w:tcPr>
            <w:tcW w:w="240" w:type="dxa"/>
            <w:vAlign w:val="bottom"/>
            <w:shd w:val="clear" w:color="auto" w:fill="CCECFF"/>
          </w:tcPr>
          <w:p>
            <w:pPr>
              <w:spacing w:after="0"/>
              <w:rPr>
                <w:sz w:val="12"/>
                <w:szCs w:val="12"/>
                <w:color w:val="auto"/>
              </w:rPr>
            </w:pPr>
          </w:p>
        </w:tc>
        <w:tc>
          <w:tcPr>
            <w:tcW w:w="100" w:type="dxa"/>
            <w:vAlign w:val="bottom"/>
            <w:shd w:val="clear" w:color="auto" w:fill="CCECFF"/>
          </w:tcPr>
          <w:p>
            <w:pPr>
              <w:spacing w:after="0"/>
              <w:rPr>
                <w:sz w:val="12"/>
                <w:szCs w:val="12"/>
                <w:color w:val="auto"/>
              </w:rPr>
            </w:pPr>
          </w:p>
        </w:tc>
        <w:tc>
          <w:tcPr>
            <w:tcW w:w="580" w:type="dxa"/>
            <w:vAlign w:val="bottom"/>
            <w:shd w:val="clear" w:color="auto" w:fill="CCECFF"/>
          </w:tcPr>
          <w:p>
            <w:pPr>
              <w:jc w:val="right"/>
              <w:spacing w:after="0"/>
              <w:rPr>
                <w:sz w:val="20"/>
                <w:szCs w:val="20"/>
                <w:color w:val="auto"/>
              </w:rPr>
            </w:pPr>
            <w:r>
              <w:rPr>
                <w:rFonts w:ascii="Arial" w:cs="Arial" w:eastAsia="Arial" w:hAnsi="Arial"/>
                <w:sz w:val="12"/>
                <w:szCs w:val="12"/>
                <w:color w:val="auto"/>
              </w:rPr>
              <w:t>8,651,563</w:t>
            </w:r>
          </w:p>
        </w:tc>
        <w:tc>
          <w:tcPr>
            <w:tcW w:w="240" w:type="dxa"/>
            <w:vAlign w:val="bottom"/>
            <w:shd w:val="clear" w:color="auto" w:fill="CCECFF"/>
          </w:tcPr>
          <w:p>
            <w:pPr>
              <w:spacing w:after="0"/>
              <w:rPr>
                <w:sz w:val="12"/>
                <w:szCs w:val="12"/>
                <w:color w:val="auto"/>
              </w:rPr>
            </w:pPr>
          </w:p>
        </w:tc>
        <w:tc>
          <w:tcPr>
            <w:tcW w:w="80" w:type="dxa"/>
            <w:vAlign w:val="bottom"/>
            <w:shd w:val="clear" w:color="auto" w:fill="CCECFF"/>
          </w:tcPr>
          <w:p>
            <w:pPr>
              <w:spacing w:after="0"/>
              <w:rPr>
                <w:sz w:val="12"/>
                <w:szCs w:val="12"/>
                <w:color w:val="auto"/>
              </w:rPr>
            </w:pPr>
          </w:p>
        </w:tc>
        <w:tc>
          <w:tcPr>
            <w:tcW w:w="620" w:type="dxa"/>
            <w:vAlign w:val="bottom"/>
            <w:shd w:val="clear" w:color="auto" w:fill="CCECFF"/>
          </w:tcPr>
          <w:p>
            <w:pPr>
              <w:jc w:val="right"/>
              <w:spacing w:after="0"/>
              <w:rPr>
                <w:sz w:val="20"/>
                <w:szCs w:val="20"/>
                <w:color w:val="auto"/>
              </w:rPr>
            </w:pPr>
            <w:r>
              <w:rPr>
                <w:rFonts w:ascii="Arial" w:cs="Arial" w:eastAsia="Arial" w:hAnsi="Arial"/>
                <w:sz w:val="12"/>
                <w:szCs w:val="12"/>
                <w:color w:val="auto"/>
              </w:rPr>
              <w:t>8,651,563</w:t>
            </w:r>
          </w:p>
        </w:tc>
        <w:tc>
          <w:tcPr>
            <w:tcW w:w="240" w:type="dxa"/>
            <w:vAlign w:val="bottom"/>
            <w:shd w:val="clear" w:color="auto" w:fill="CCECFF"/>
          </w:tcPr>
          <w:p>
            <w:pPr>
              <w:spacing w:after="0"/>
              <w:rPr>
                <w:sz w:val="12"/>
                <w:szCs w:val="12"/>
                <w:color w:val="auto"/>
              </w:rPr>
            </w:pPr>
          </w:p>
        </w:tc>
        <w:tc>
          <w:tcPr>
            <w:tcW w:w="80" w:type="dxa"/>
            <w:vAlign w:val="bottom"/>
            <w:shd w:val="clear" w:color="auto" w:fill="CCECFF"/>
          </w:tcPr>
          <w:p>
            <w:pPr>
              <w:spacing w:after="0"/>
              <w:rPr>
                <w:sz w:val="12"/>
                <w:szCs w:val="12"/>
                <w:color w:val="auto"/>
              </w:rPr>
            </w:pPr>
          </w:p>
        </w:tc>
        <w:tc>
          <w:tcPr>
            <w:tcW w:w="640" w:type="dxa"/>
            <w:vAlign w:val="bottom"/>
            <w:shd w:val="clear" w:color="auto" w:fill="CCECFF"/>
          </w:tcPr>
          <w:p>
            <w:pPr>
              <w:jc w:val="right"/>
              <w:spacing w:after="0"/>
              <w:rPr>
                <w:sz w:val="20"/>
                <w:szCs w:val="20"/>
                <w:color w:val="auto"/>
              </w:rPr>
            </w:pPr>
            <w:r>
              <w:rPr>
                <w:rFonts w:ascii="Arial" w:cs="Arial" w:eastAsia="Arial" w:hAnsi="Arial"/>
                <w:sz w:val="12"/>
                <w:szCs w:val="12"/>
                <w:color w:val="auto"/>
              </w:rPr>
              <w:t>8,651,563</w:t>
            </w:r>
          </w:p>
        </w:tc>
        <w:tc>
          <w:tcPr>
            <w:tcW w:w="100" w:type="dxa"/>
            <w:vAlign w:val="bottom"/>
            <w:shd w:val="clear" w:color="auto" w:fill="CCECFF"/>
          </w:tcPr>
          <w:p>
            <w:pPr>
              <w:spacing w:after="0"/>
              <w:rPr>
                <w:sz w:val="12"/>
                <w:szCs w:val="12"/>
                <w:color w:val="auto"/>
              </w:rPr>
            </w:pPr>
          </w:p>
        </w:tc>
      </w:tr>
      <w:tr>
        <w:trPr>
          <w:trHeight w:val="155"/>
        </w:trPr>
        <w:tc>
          <w:tcPr>
            <w:tcW w:w="3000" w:type="dxa"/>
            <w:vAlign w:val="bottom"/>
          </w:tcPr>
          <w:p>
            <w:pPr>
              <w:spacing w:after="0"/>
              <w:rPr>
                <w:sz w:val="20"/>
                <w:szCs w:val="20"/>
                <w:color w:val="auto"/>
              </w:rPr>
            </w:pPr>
            <w:r>
              <w:rPr>
                <w:rFonts w:ascii="Arial" w:cs="Arial" w:eastAsia="Arial" w:hAnsi="Arial"/>
                <w:sz w:val="12"/>
                <w:szCs w:val="12"/>
                <w:color w:val="auto"/>
              </w:rPr>
              <w:t>U.S. Well Services, LLC</w:t>
            </w:r>
          </w:p>
        </w:tc>
        <w:tc>
          <w:tcPr>
            <w:tcW w:w="920" w:type="dxa"/>
            <w:vAlign w:val="bottom"/>
          </w:tcPr>
          <w:p>
            <w:pPr>
              <w:ind w:left="120"/>
              <w:spacing w:after="0"/>
              <w:rPr>
                <w:sz w:val="20"/>
                <w:szCs w:val="20"/>
                <w:color w:val="auto"/>
              </w:rPr>
            </w:pPr>
            <w:r>
              <w:rPr>
                <w:rFonts w:ascii="Arial" w:cs="Arial" w:eastAsia="Arial" w:hAnsi="Arial"/>
                <w:sz w:val="12"/>
                <w:szCs w:val="12"/>
                <w:color w:val="auto"/>
              </w:rPr>
              <w:t>05/02/2019</w:t>
            </w:r>
          </w:p>
        </w:tc>
        <w:tc>
          <w:tcPr>
            <w:tcW w:w="2760" w:type="dxa"/>
            <w:vAlign w:val="bottom"/>
            <w:gridSpan w:val="2"/>
          </w:tcPr>
          <w:p>
            <w:pPr>
              <w:jc w:val="center"/>
              <w:ind w:right="160"/>
              <w:spacing w:after="0"/>
              <w:rPr>
                <w:sz w:val="20"/>
                <w:szCs w:val="20"/>
                <w:color w:val="auto"/>
              </w:rPr>
            </w:pPr>
            <w:r>
              <w:rPr>
                <w:rFonts w:ascii="Arial" w:cs="Arial" w:eastAsia="Arial" w:hAnsi="Arial"/>
                <w:sz w:val="12"/>
                <w:szCs w:val="12"/>
                <w:color w:val="auto"/>
                <w:w w:val="88"/>
              </w:rPr>
              <w:t>Oil and Gas</w:t>
            </w:r>
          </w:p>
        </w:tc>
        <w:tc>
          <w:tcPr>
            <w:tcW w:w="820" w:type="dxa"/>
            <w:vAlign w:val="bottom"/>
            <w:gridSpan w:val="2"/>
          </w:tcPr>
          <w:p>
            <w:pPr>
              <w:jc w:val="right"/>
              <w:ind w:right="60"/>
              <w:spacing w:after="0"/>
              <w:rPr>
                <w:sz w:val="20"/>
                <w:szCs w:val="20"/>
                <w:color w:val="auto"/>
              </w:rPr>
            </w:pPr>
            <w:r>
              <w:rPr>
                <w:rFonts w:ascii="Arial" w:cs="Arial" w:eastAsia="Arial" w:hAnsi="Arial"/>
                <w:sz w:val="12"/>
                <w:szCs w:val="12"/>
                <w:color w:val="auto"/>
              </w:rPr>
              <w:t>14.02%</w:t>
            </w:r>
          </w:p>
        </w:tc>
        <w:tc>
          <w:tcPr>
            <w:tcW w:w="140" w:type="dxa"/>
            <w:vAlign w:val="bottom"/>
          </w:tcPr>
          <w:p>
            <w:pPr>
              <w:spacing w:after="0"/>
              <w:rPr>
                <w:sz w:val="13"/>
                <w:szCs w:val="13"/>
                <w:color w:val="auto"/>
              </w:rPr>
            </w:pPr>
          </w:p>
        </w:tc>
        <w:tc>
          <w:tcPr>
            <w:tcW w:w="680" w:type="dxa"/>
            <w:vAlign w:val="bottom"/>
          </w:tcPr>
          <w:p>
            <w:pPr>
              <w:jc w:val="right"/>
              <w:spacing w:after="0"/>
              <w:rPr>
                <w:sz w:val="20"/>
                <w:szCs w:val="20"/>
                <w:color w:val="auto"/>
              </w:rPr>
            </w:pPr>
            <w:r>
              <w:rPr>
                <w:rFonts w:ascii="Arial" w:cs="Arial" w:eastAsia="Arial" w:hAnsi="Arial"/>
                <w:sz w:val="12"/>
                <w:szCs w:val="12"/>
                <w:color w:val="auto"/>
              </w:rPr>
              <w:t>L+1,350</w:t>
            </w:r>
          </w:p>
        </w:tc>
        <w:tc>
          <w:tcPr>
            <w:tcW w:w="240" w:type="dxa"/>
            <w:vAlign w:val="bottom"/>
          </w:tcPr>
          <w:p>
            <w:pPr>
              <w:jc w:val="right"/>
              <w:spacing w:after="0"/>
              <w:rPr>
                <w:sz w:val="20"/>
                <w:szCs w:val="20"/>
                <w:color w:val="auto"/>
              </w:rPr>
            </w:pPr>
            <w:r>
              <w:rPr>
                <w:rFonts w:ascii="Arial" w:cs="Arial" w:eastAsia="Arial" w:hAnsi="Arial"/>
                <w:sz w:val="10"/>
                <w:szCs w:val="10"/>
                <w:color w:val="auto"/>
              </w:rPr>
              <w:t>(7)</w:t>
            </w:r>
          </w:p>
        </w:tc>
        <w:tc>
          <w:tcPr>
            <w:tcW w:w="100" w:type="dxa"/>
            <w:vAlign w:val="bottom"/>
          </w:tcPr>
          <w:p>
            <w:pPr>
              <w:spacing w:after="0"/>
              <w:rPr>
                <w:sz w:val="13"/>
                <w:szCs w:val="13"/>
                <w:color w:val="auto"/>
              </w:rPr>
            </w:pPr>
          </w:p>
        </w:tc>
        <w:tc>
          <w:tcPr>
            <w:tcW w:w="580" w:type="dxa"/>
            <w:vAlign w:val="bottom"/>
          </w:tcPr>
          <w:p>
            <w:pPr>
              <w:jc w:val="right"/>
              <w:spacing w:after="0"/>
              <w:rPr>
                <w:sz w:val="20"/>
                <w:szCs w:val="20"/>
                <w:color w:val="auto"/>
              </w:rPr>
            </w:pPr>
            <w:r>
              <w:rPr>
                <w:rFonts w:ascii="Arial" w:cs="Arial" w:eastAsia="Arial" w:hAnsi="Arial"/>
                <w:sz w:val="12"/>
                <w:szCs w:val="12"/>
                <w:color w:val="auto"/>
                <w:w w:val="89"/>
              </w:rPr>
              <w:t>14,988,321</w:t>
            </w:r>
          </w:p>
        </w:tc>
        <w:tc>
          <w:tcPr>
            <w:tcW w:w="2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20" w:type="dxa"/>
            <w:vAlign w:val="bottom"/>
          </w:tcPr>
          <w:p>
            <w:pPr>
              <w:jc w:val="right"/>
              <w:spacing w:after="0"/>
              <w:rPr>
                <w:sz w:val="20"/>
                <w:szCs w:val="20"/>
                <w:color w:val="auto"/>
              </w:rPr>
            </w:pPr>
            <w:r>
              <w:rPr>
                <w:rFonts w:ascii="Arial" w:cs="Arial" w:eastAsia="Arial" w:hAnsi="Arial"/>
                <w:sz w:val="12"/>
                <w:szCs w:val="12"/>
                <w:color w:val="auto"/>
                <w:w w:val="99"/>
              </w:rPr>
              <w:t>14,796,715</w:t>
            </w:r>
          </w:p>
        </w:tc>
        <w:tc>
          <w:tcPr>
            <w:tcW w:w="2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40" w:type="dxa"/>
            <w:vAlign w:val="bottom"/>
          </w:tcPr>
          <w:p>
            <w:pPr>
              <w:jc w:val="right"/>
              <w:spacing w:after="0"/>
              <w:rPr>
                <w:sz w:val="20"/>
                <w:szCs w:val="20"/>
                <w:color w:val="auto"/>
              </w:rPr>
            </w:pPr>
            <w:r>
              <w:rPr>
                <w:rFonts w:ascii="Arial" w:cs="Arial" w:eastAsia="Arial" w:hAnsi="Arial"/>
                <w:sz w:val="12"/>
                <w:szCs w:val="12"/>
                <w:color w:val="auto"/>
                <w:w w:val="99"/>
              </w:rPr>
              <w:t>12,912,527</w:t>
            </w:r>
          </w:p>
        </w:tc>
        <w:tc>
          <w:tcPr>
            <w:tcW w:w="100" w:type="dxa"/>
            <w:vAlign w:val="bottom"/>
          </w:tcPr>
          <w:p>
            <w:pPr>
              <w:spacing w:after="0"/>
              <w:rPr>
                <w:sz w:val="13"/>
                <w:szCs w:val="13"/>
                <w:color w:val="auto"/>
              </w:rPr>
            </w:pPr>
          </w:p>
        </w:tc>
      </w:tr>
      <w:tr>
        <w:trPr>
          <w:trHeight w:val="142"/>
        </w:trPr>
        <w:tc>
          <w:tcPr>
            <w:tcW w:w="3000" w:type="dxa"/>
            <w:vAlign w:val="bottom"/>
            <w:tcBorders>
              <w:bottom w:val="single" w:sz="8" w:color="CCECFF"/>
            </w:tcBorders>
          </w:tcPr>
          <w:p>
            <w:pPr>
              <w:spacing w:after="0"/>
              <w:rPr>
                <w:sz w:val="12"/>
                <w:szCs w:val="12"/>
                <w:color w:val="auto"/>
              </w:rPr>
            </w:pPr>
          </w:p>
        </w:tc>
        <w:tc>
          <w:tcPr>
            <w:tcW w:w="920" w:type="dxa"/>
            <w:vAlign w:val="bottom"/>
            <w:tcBorders>
              <w:bottom w:val="single" w:sz="8" w:color="CCECFF"/>
            </w:tcBorders>
          </w:tcPr>
          <w:p>
            <w:pPr>
              <w:spacing w:after="0"/>
              <w:rPr>
                <w:sz w:val="12"/>
                <w:szCs w:val="12"/>
                <w:color w:val="auto"/>
              </w:rPr>
            </w:pPr>
          </w:p>
        </w:tc>
        <w:tc>
          <w:tcPr>
            <w:tcW w:w="2640" w:type="dxa"/>
            <w:vAlign w:val="bottom"/>
            <w:tcBorders>
              <w:bottom w:val="single" w:sz="8" w:color="CCECFF"/>
            </w:tcBorders>
          </w:tcPr>
          <w:p>
            <w:pPr>
              <w:spacing w:after="0"/>
              <w:rPr>
                <w:sz w:val="12"/>
                <w:szCs w:val="12"/>
                <w:color w:val="auto"/>
              </w:rPr>
            </w:pPr>
          </w:p>
        </w:tc>
        <w:tc>
          <w:tcPr>
            <w:tcW w:w="120" w:type="dxa"/>
            <w:vAlign w:val="bottom"/>
            <w:tcBorders>
              <w:bottom w:val="single" w:sz="8" w:color="CCECFF"/>
            </w:tcBorders>
          </w:tcPr>
          <w:p>
            <w:pPr>
              <w:spacing w:after="0"/>
              <w:rPr>
                <w:sz w:val="12"/>
                <w:szCs w:val="12"/>
                <w:color w:val="auto"/>
              </w:rPr>
            </w:pPr>
          </w:p>
        </w:tc>
        <w:tc>
          <w:tcPr>
            <w:tcW w:w="820" w:type="dxa"/>
            <w:vAlign w:val="bottom"/>
            <w:tcBorders>
              <w:bottom w:val="single" w:sz="8" w:color="CCECFF"/>
            </w:tcBorders>
            <w:gridSpan w:val="2"/>
          </w:tcPr>
          <w:p>
            <w:pPr>
              <w:jc w:val="right"/>
              <w:ind w:right="20"/>
              <w:spacing w:after="0"/>
              <w:rPr>
                <w:sz w:val="20"/>
                <w:szCs w:val="20"/>
                <w:color w:val="auto"/>
              </w:rPr>
            </w:pPr>
            <w:r>
              <w:rPr>
                <w:rFonts w:ascii="Arial" w:cs="Arial" w:eastAsia="Arial" w:hAnsi="Arial"/>
                <w:sz w:val="12"/>
                <w:szCs w:val="12"/>
                <w:color w:val="auto"/>
              </w:rPr>
              <w:t>(PIK 14.02%)</w:t>
            </w:r>
          </w:p>
        </w:tc>
        <w:tc>
          <w:tcPr>
            <w:tcW w:w="140" w:type="dxa"/>
            <w:vAlign w:val="bottom"/>
            <w:tcBorders>
              <w:bottom w:val="single" w:sz="8" w:color="CCECFF"/>
            </w:tcBorders>
          </w:tcPr>
          <w:p>
            <w:pPr>
              <w:spacing w:after="0"/>
              <w:rPr>
                <w:sz w:val="12"/>
                <w:szCs w:val="12"/>
                <w:color w:val="auto"/>
              </w:rPr>
            </w:pPr>
          </w:p>
        </w:tc>
        <w:tc>
          <w:tcPr>
            <w:tcW w:w="680" w:type="dxa"/>
            <w:vAlign w:val="bottom"/>
            <w:tcBorders>
              <w:bottom w:val="single" w:sz="8" w:color="CCECFF"/>
            </w:tcBorders>
          </w:tcPr>
          <w:p>
            <w:pPr>
              <w:spacing w:after="0"/>
              <w:rPr>
                <w:sz w:val="12"/>
                <w:szCs w:val="12"/>
                <w:color w:val="auto"/>
              </w:rPr>
            </w:pPr>
          </w:p>
        </w:tc>
        <w:tc>
          <w:tcPr>
            <w:tcW w:w="240" w:type="dxa"/>
            <w:vAlign w:val="bottom"/>
            <w:tcBorders>
              <w:bottom w:val="single" w:sz="8" w:color="CCECFF"/>
            </w:tcBorders>
          </w:tcPr>
          <w:p>
            <w:pPr>
              <w:spacing w:after="0"/>
              <w:rPr>
                <w:sz w:val="12"/>
                <w:szCs w:val="12"/>
                <w:color w:val="auto"/>
              </w:rPr>
            </w:pPr>
          </w:p>
        </w:tc>
        <w:tc>
          <w:tcPr>
            <w:tcW w:w="100" w:type="dxa"/>
            <w:vAlign w:val="bottom"/>
            <w:tcBorders>
              <w:bottom w:val="single" w:sz="8" w:color="CCECFF"/>
            </w:tcBorders>
          </w:tcPr>
          <w:p>
            <w:pPr>
              <w:spacing w:after="0"/>
              <w:rPr>
                <w:sz w:val="12"/>
                <w:szCs w:val="12"/>
                <w:color w:val="auto"/>
              </w:rPr>
            </w:pPr>
          </w:p>
        </w:tc>
        <w:tc>
          <w:tcPr>
            <w:tcW w:w="580" w:type="dxa"/>
            <w:vAlign w:val="bottom"/>
            <w:tcBorders>
              <w:bottom w:val="single" w:sz="8" w:color="CCECFF"/>
            </w:tcBorders>
          </w:tcPr>
          <w:p>
            <w:pPr>
              <w:spacing w:after="0"/>
              <w:rPr>
                <w:sz w:val="12"/>
                <w:szCs w:val="12"/>
                <w:color w:val="auto"/>
              </w:rPr>
            </w:pPr>
          </w:p>
        </w:tc>
        <w:tc>
          <w:tcPr>
            <w:tcW w:w="240" w:type="dxa"/>
            <w:vAlign w:val="bottom"/>
            <w:tcBorders>
              <w:bottom w:val="single" w:sz="8" w:color="CCECFF"/>
            </w:tcBorders>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620" w:type="dxa"/>
            <w:vAlign w:val="bottom"/>
            <w:tcBorders>
              <w:bottom w:val="single" w:sz="8" w:color="auto"/>
            </w:tcBorders>
          </w:tcPr>
          <w:p>
            <w:pPr>
              <w:spacing w:after="0"/>
              <w:rPr>
                <w:sz w:val="12"/>
                <w:szCs w:val="12"/>
                <w:color w:val="auto"/>
              </w:rPr>
            </w:pPr>
          </w:p>
        </w:tc>
        <w:tc>
          <w:tcPr>
            <w:tcW w:w="240" w:type="dxa"/>
            <w:vAlign w:val="bottom"/>
            <w:tcBorders>
              <w:bottom w:val="single" w:sz="8" w:color="CCECFF"/>
            </w:tcBorders>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640" w:type="dxa"/>
            <w:vAlign w:val="bottom"/>
            <w:tcBorders>
              <w:bottom w:val="single" w:sz="8" w:color="auto"/>
            </w:tcBorders>
          </w:tcPr>
          <w:p>
            <w:pPr>
              <w:spacing w:after="0"/>
              <w:rPr>
                <w:sz w:val="12"/>
                <w:szCs w:val="12"/>
                <w:color w:val="auto"/>
              </w:rPr>
            </w:pPr>
          </w:p>
        </w:tc>
        <w:tc>
          <w:tcPr>
            <w:tcW w:w="100" w:type="dxa"/>
            <w:vAlign w:val="bottom"/>
            <w:tcBorders>
              <w:bottom w:val="single" w:sz="8" w:color="CCECFF"/>
            </w:tcBorders>
          </w:tcPr>
          <w:p>
            <w:pPr>
              <w:spacing w:after="0"/>
              <w:rPr>
                <w:sz w:val="12"/>
                <w:szCs w:val="12"/>
                <w:color w:val="auto"/>
              </w:rPr>
            </w:pPr>
          </w:p>
        </w:tc>
      </w:tr>
      <w:tr>
        <w:trPr>
          <w:trHeight w:val="142"/>
        </w:trPr>
        <w:tc>
          <w:tcPr>
            <w:tcW w:w="3000" w:type="dxa"/>
            <w:vAlign w:val="bottom"/>
            <w:shd w:val="clear" w:color="auto" w:fill="CCECFF"/>
          </w:tcPr>
          <w:p>
            <w:pPr>
              <w:spacing w:after="0"/>
              <w:rPr>
                <w:sz w:val="20"/>
                <w:szCs w:val="20"/>
                <w:color w:val="auto"/>
              </w:rPr>
            </w:pPr>
            <w:r>
              <w:rPr>
                <w:rFonts w:ascii="Arial" w:cs="Arial" w:eastAsia="Arial" w:hAnsi="Arial"/>
                <w:sz w:val="12"/>
                <w:szCs w:val="12"/>
                <w:b w:val="1"/>
                <w:bCs w:val="1"/>
                <w:color w:val="auto"/>
              </w:rPr>
              <w:t>Total First Lien Secured Debt</w:t>
            </w:r>
          </w:p>
        </w:tc>
        <w:tc>
          <w:tcPr>
            <w:tcW w:w="920" w:type="dxa"/>
            <w:vAlign w:val="bottom"/>
            <w:shd w:val="clear" w:color="auto" w:fill="CCECFF"/>
          </w:tcPr>
          <w:p>
            <w:pPr>
              <w:spacing w:after="0"/>
              <w:rPr>
                <w:sz w:val="12"/>
                <w:szCs w:val="12"/>
                <w:color w:val="auto"/>
              </w:rPr>
            </w:pPr>
          </w:p>
        </w:tc>
        <w:tc>
          <w:tcPr>
            <w:tcW w:w="2640" w:type="dxa"/>
            <w:vAlign w:val="bottom"/>
            <w:shd w:val="clear" w:color="auto" w:fill="CCECFF"/>
          </w:tcPr>
          <w:p>
            <w:pPr>
              <w:spacing w:after="0"/>
              <w:rPr>
                <w:sz w:val="12"/>
                <w:szCs w:val="12"/>
                <w:color w:val="auto"/>
              </w:rPr>
            </w:pPr>
          </w:p>
        </w:tc>
        <w:tc>
          <w:tcPr>
            <w:tcW w:w="120" w:type="dxa"/>
            <w:vAlign w:val="bottom"/>
            <w:shd w:val="clear" w:color="auto" w:fill="CCECFF"/>
          </w:tcPr>
          <w:p>
            <w:pPr>
              <w:spacing w:after="0"/>
              <w:rPr>
                <w:sz w:val="12"/>
                <w:szCs w:val="12"/>
                <w:color w:val="auto"/>
              </w:rPr>
            </w:pPr>
          </w:p>
        </w:tc>
        <w:tc>
          <w:tcPr>
            <w:tcW w:w="680" w:type="dxa"/>
            <w:vAlign w:val="bottom"/>
            <w:shd w:val="clear" w:color="auto" w:fill="CCECFF"/>
          </w:tcPr>
          <w:p>
            <w:pPr>
              <w:spacing w:after="0"/>
              <w:rPr>
                <w:sz w:val="12"/>
                <w:szCs w:val="12"/>
                <w:color w:val="auto"/>
              </w:rPr>
            </w:pPr>
          </w:p>
        </w:tc>
        <w:tc>
          <w:tcPr>
            <w:tcW w:w="140" w:type="dxa"/>
            <w:vAlign w:val="bottom"/>
            <w:shd w:val="clear" w:color="auto" w:fill="CCECFF"/>
          </w:tcPr>
          <w:p>
            <w:pPr>
              <w:spacing w:after="0"/>
              <w:rPr>
                <w:sz w:val="12"/>
                <w:szCs w:val="12"/>
                <w:color w:val="auto"/>
              </w:rPr>
            </w:pPr>
          </w:p>
        </w:tc>
        <w:tc>
          <w:tcPr>
            <w:tcW w:w="140" w:type="dxa"/>
            <w:vAlign w:val="bottom"/>
            <w:shd w:val="clear" w:color="auto" w:fill="CCECFF"/>
          </w:tcPr>
          <w:p>
            <w:pPr>
              <w:spacing w:after="0"/>
              <w:rPr>
                <w:sz w:val="12"/>
                <w:szCs w:val="12"/>
                <w:color w:val="auto"/>
              </w:rPr>
            </w:pPr>
          </w:p>
        </w:tc>
        <w:tc>
          <w:tcPr>
            <w:tcW w:w="680" w:type="dxa"/>
            <w:vAlign w:val="bottom"/>
            <w:shd w:val="clear" w:color="auto" w:fill="CCECFF"/>
          </w:tcPr>
          <w:p>
            <w:pPr>
              <w:spacing w:after="0"/>
              <w:rPr>
                <w:sz w:val="12"/>
                <w:szCs w:val="12"/>
                <w:color w:val="auto"/>
              </w:rPr>
            </w:pPr>
          </w:p>
        </w:tc>
        <w:tc>
          <w:tcPr>
            <w:tcW w:w="240" w:type="dxa"/>
            <w:vAlign w:val="bottom"/>
            <w:shd w:val="clear" w:color="auto" w:fill="CCECFF"/>
          </w:tcPr>
          <w:p>
            <w:pPr>
              <w:spacing w:after="0"/>
              <w:rPr>
                <w:sz w:val="12"/>
                <w:szCs w:val="12"/>
                <w:color w:val="auto"/>
              </w:rPr>
            </w:pPr>
          </w:p>
        </w:tc>
        <w:tc>
          <w:tcPr>
            <w:tcW w:w="100" w:type="dxa"/>
            <w:vAlign w:val="bottom"/>
            <w:shd w:val="clear" w:color="auto" w:fill="CCECFF"/>
          </w:tcPr>
          <w:p>
            <w:pPr>
              <w:spacing w:after="0"/>
              <w:rPr>
                <w:sz w:val="12"/>
                <w:szCs w:val="12"/>
                <w:color w:val="auto"/>
              </w:rPr>
            </w:pPr>
          </w:p>
        </w:tc>
        <w:tc>
          <w:tcPr>
            <w:tcW w:w="580" w:type="dxa"/>
            <w:vAlign w:val="bottom"/>
            <w:shd w:val="clear" w:color="auto" w:fill="CCECFF"/>
          </w:tcPr>
          <w:p>
            <w:pPr>
              <w:spacing w:after="0"/>
              <w:rPr>
                <w:sz w:val="12"/>
                <w:szCs w:val="12"/>
                <w:color w:val="auto"/>
              </w:rPr>
            </w:pPr>
          </w:p>
        </w:tc>
        <w:tc>
          <w:tcPr>
            <w:tcW w:w="240" w:type="dxa"/>
            <w:vAlign w:val="bottom"/>
            <w:shd w:val="clear" w:color="auto" w:fill="CCECFF"/>
          </w:tcPr>
          <w:p>
            <w:pPr>
              <w:spacing w:after="0"/>
              <w:rPr>
                <w:sz w:val="12"/>
                <w:szCs w:val="12"/>
                <w:color w:val="auto"/>
              </w:rPr>
            </w:pPr>
          </w:p>
        </w:tc>
        <w:tc>
          <w:tcPr>
            <w:tcW w:w="80" w:type="dxa"/>
            <w:vAlign w:val="bottom"/>
            <w:tcBorders>
              <w:bottom w:val="single" w:sz="8" w:color="auto"/>
            </w:tcBorders>
            <w:shd w:val="clear" w:color="auto" w:fill="CCECFF"/>
          </w:tcPr>
          <w:p>
            <w:pPr>
              <w:spacing w:after="0"/>
              <w:rPr>
                <w:sz w:val="12"/>
                <w:szCs w:val="12"/>
                <w:color w:val="auto"/>
              </w:rPr>
            </w:pPr>
          </w:p>
        </w:tc>
        <w:tc>
          <w:tcPr>
            <w:tcW w:w="620" w:type="dxa"/>
            <w:vAlign w:val="bottom"/>
            <w:tcBorders>
              <w:bottom w:val="single" w:sz="8" w:color="auto"/>
            </w:tcBorders>
            <w:shd w:val="clear" w:color="auto" w:fill="CCECFF"/>
          </w:tcPr>
          <w:p>
            <w:pPr>
              <w:jc w:val="right"/>
              <w:spacing w:after="0"/>
              <w:rPr>
                <w:sz w:val="20"/>
                <w:szCs w:val="20"/>
                <w:color w:val="auto"/>
              </w:rPr>
            </w:pPr>
            <w:r>
              <w:rPr>
                <w:rFonts w:ascii="Arial" w:cs="Arial" w:eastAsia="Arial" w:hAnsi="Arial"/>
                <w:sz w:val="12"/>
                <w:szCs w:val="12"/>
                <w:color w:val="auto"/>
                <w:w w:val="89"/>
              </w:rPr>
              <w:t>258,288,303</w:t>
            </w:r>
          </w:p>
        </w:tc>
        <w:tc>
          <w:tcPr>
            <w:tcW w:w="240" w:type="dxa"/>
            <w:vAlign w:val="bottom"/>
            <w:shd w:val="clear" w:color="auto" w:fill="CCECFF"/>
          </w:tcPr>
          <w:p>
            <w:pPr>
              <w:spacing w:after="0"/>
              <w:rPr>
                <w:sz w:val="12"/>
                <w:szCs w:val="12"/>
                <w:color w:val="auto"/>
              </w:rPr>
            </w:pPr>
          </w:p>
        </w:tc>
        <w:tc>
          <w:tcPr>
            <w:tcW w:w="80" w:type="dxa"/>
            <w:vAlign w:val="bottom"/>
            <w:tcBorders>
              <w:bottom w:val="single" w:sz="8" w:color="auto"/>
            </w:tcBorders>
            <w:shd w:val="clear" w:color="auto" w:fill="CCECFF"/>
          </w:tcPr>
          <w:p>
            <w:pPr>
              <w:spacing w:after="0"/>
              <w:rPr>
                <w:sz w:val="12"/>
                <w:szCs w:val="12"/>
                <w:color w:val="auto"/>
              </w:rPr>
            </w:pPr>
          </w:p>
        </w:tc>
        <w:tc>
          <w:tcPr>
            <w:tcW w:w="640" w:type="dxa"/>
            <w:vAlign w:val="bottom"/>
            <w:tcBorders>
              <w:bottom w:val="single" w:sz="8" w:color="auto"/>
            </w:tcBorders>
            <w:shd w:val="clear" w:color="auto" w:fill="CCECFF"/>
          </w:tcPr>
          <w:p>
            <w:pPr>
              <w:jc w:val="right"/>
              <w:spacing w:after="0"/>
              <w:rPr>
                <w:sz w:val="20"/>
                <w:szCs w:val="20"/>
                <w:color w:val="auto"/>
              </w:rPr>
            </w:pPr>
            <w:r>
              <w:rPr>
                <w:rFonts w:ascii="Arial" w:cs="Arial" w:eastAsia="Arial" w:hAnsi="Arial"/>
                <w:sz w:val="12"/>
                <w:szCs w:val="12"/>
                <w:color w:val="auto"/>
                <w:w w:val="89"/>
              </w:rPr>
              <w:t>249,033,317</w:t>
            </w:r>
          </w:p>
        </w:tc>
        <w:tc>
          <w:tcPr>
            <w:tcW w:w="100" w:type="dxa"/>
            <w:vAlign w:val="bottom"/>
            <w:shd w:val="clear" w:color="auto" w:fill="CCECFF"/>
          </w:tcPr>
          <w:p>
            <w:pPr>
              <w:spacing w:after="0"/>
              <w:rPr>
                <w:sz w:val="12"/>
                <w:szCs w:val="12"/>
                <w:color w:val="auto"/>
              </w:rPr>
            </w:pPr>
          </w:p>
        </w:tc>
      </w:tr>
      <w:tr>
        <w:trPr>
          <w:trHeight w:val="142"/>
        </w:trPr>
        <w:tc>
          <w:tcPr>
            <w:tcW w:w="3000" w:type="dxa"/>
            <w:vAlign w:val="bottom"/>
          </w:tcPr>
          <w:p>
            <w:pPr>
              <w:spacing w:after="0"/>
              <w:rPr>
                <w:sz w:val="20"/>
                <w:szCs w:val="20"/>
                <w:color w:val="auto"/>
              </w:rPr>
            </w:pPr>
            <w:r>
              <w:rPr>
                <w:rFonts w:ascii="Arial" w:cs="Arial" w:eastAsia="Arial" w:hAnsi="Arial"/>
                <w:sz w:val="12"/>
                <w:szCs w:val="12"/>
                <w:b w:val="1"/>
                <w:bCs w:val="1"/>
                <w:color w:val="auto"/>
              </w:rPr>
              <w:t>Second Lien Secured Debt—61.0%</w:t>
            </w:r>
          </w:p>
        </w:tc>
        <w:tc>
          <w:tcPr>
            <w:tcW w:w="920" w:type="dxa"/>
            <w:vAlign w:val="bottom"/>
          </w:tcPr>
          <w:p>
            <w:pPr>
              <w:spacing w:after="0"/>
              <w:rPr>
                <w:sz w:val="12"/>
                <w:szCs w:val="12"/>
                <w:color w:val="auto"/>
              </w:rPr>
            </w:pPr>
          </w:p>
        </w:tc>
        <w:tc>
          <w:tcPr>
            <w:tcW w:w="26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00" w:type="dxa"/>
            <w:vAlign w:val="bottom"/>
          </w:tcPr>
          <w:p>
            <w:pPr>
              <w:spacing w:after="0"/>
              <w:rPr>
                <w:sz w:val="12"/>
                <w:szCs w:val="12"/>
                <w:color w:val="auto"/>
              </w:rPr>
            </w:pPr>
          </w:p>
        </w:tc>
      </w:tr>
      <w:tr>
        <w:trPr>
          <w:trHeight w:val="142"/>
        </w:trPr>
        <w:tc>
          <w:tcPr>
            <w:tcW w:w="3000" w:type="dxa"/>
            <w:vAlign w:val="bottom"/>
            <w:shd w:val="clear" w:color="auto" w:fill="CCECFF"/>
          </w:tcPr>
          <w:p>
            <w:pPr>
              <w:spacing w:after="0"/>
              <w:rPr>
                <w:sz w:val="20"/>
                <w:szCs w:val="20"/>
                <w:color w:val="auto"/>
              </w:rPr>
            </w:pPr>
            <w:r>
              <w:rPr>
                <w:rFonts w:ascii="Arial" w:cs="Arial" w:eastAsia="Arial" w:hAnsi="Arial"/>
                <w:sz w:val="12"/>
                <w:szCs w:val="12"/>
                <w:color w:val="auto"/>
              </w:rPr>
              <w:t xml:space="preserve">American Gilsonite Company </w:t>
            </w:r>
            <w:r>
              <w:rPr>
                <w:rFonts w:ascii="Arial" w:cs="Arial" w:eastAsia="Arial" w:hAnsi="Arial"/>
                <w:sz w:val="9"/>
                <w:szCs w:val="9"/>
                <w:color w:val="auto"/>
              </w:rPr>
              <w:t>(5)</w:t>
            </w:r>
          </w:p>
        </w:tc>
        <w:tc>
          <w:tcPr>
            <w:tcW w:w="920" w:type="dxa"/>
            <w:vAlign w:val="bottom"/>
            <w:shd w:val="clear" w:color="auto" w:fill="CCECFF"/>
          </w:tcPr>
          <w:p>
            <w:pPr>
              <w:ind w:left="120"/>
              <w:spacing w:after="0"/>
              <w:rPr>
                <w:sz w:val="20"/>
                <w:szCs w:val="20"/>
                <w:color w:val="auto"/>
              </w:rPr>
            </w:pPr>
            <w:r>
              <w:rPr>
                <w:rFonts w:ascii="Arial" w:cs="Arial" w:eastAsia="Arial" w:hAnsi="Arial"/>
                <w:sz w:val="12"/>
                <w:szCs w:val="12"/>
                <w:color w:val="auto"/>
              </w:rPr>
              <w:t>09/01/2017</w:t>
            </w:r>
          </w:p>
        </w:tc>
        <w:tc>
          <w:tcPr>
            <w:tcW w:w="2760" w:type="dxa"/>
            <w:vAlign w:val="bottom"/>
            <w:gridSpan w:val="2"/>
            <w:shd w:val="clear" w:color="auto" w:fill="CCECFF"/>
          </w:tcPr>
          <w:p>
            <w:pPr>
              <w:jc w:val="center"/>
              <w:ind w:right="160"/>
              <w:spacing w:after="0"/>
              <w:rPr>
                <w:sz w:val="20"/>
                <w:szCs w:val="20"/>
                <w:color w:val="auto"/>
              </w:rPr>
            </w:pPr>
            <w:r>
              <w:rPr>
                <w:rFonts w:ascii="Arial" w:cs="Arial" w:eastAsia="Arial" w:hAnsi="Arial"/>
                <w:sz w:val="12"/>
                <w:szCs w:val="12"/>
                <w:color w:val="auto"/>
                <w:w w:val="88"/>
              </w:rPr>
              <w:t>Diversified Natural Resources, Precious</w:t>
            </w:r>
          </w:p>
        </w:tc>
        <w:tc>
          <w:tcPr>
            <w:tcW w:w="820" w:type="dxa"/>
            <w:vAlign w:val="bottom"/>
            <w:gridSpan w:val="2"/>
            <w:shd w:val="clear" w:color="auto" w:fill="CCECFF"/>
          </w:tcPr>
          <w:p>
            <w:pPr>
              <w:jc w:val="right"/>
              <w:ind w:right="160"/>
              <w:spacing w:after="0"/>
              <w:rPr>
                <w:sz w:val="20"/>
                <w:szCs w:val="20"/>
                <w:color w:val="auto"/>
              </w:rPr>
            </w:pPr>
            <w:r>
              <w:rPr>
                <w:rFonts w:ascii="Arial" w:cs="Arial" w:eastAsia="Arial" w:hAnsi="Arial"/>
                <w:sz w:val="12"/>
                <w:szCs w:val="12"/>
                <w:color w:val="auto"/>
              </w:rPr>
              <w:t>—</w:t>
            </w:r>
          </w:p>
        </w:tc>
        <w:tc>
          <w:tcPr>
            <w:tcW w:w="140" w:type="dxa"/>
            <w:vAlign w:val="bottom"/>
            <w:shd w:val="clear" w:color="auto" w:fill="CCECFF"/>
          </w:tcPr>
          <w:p>
            <w:pPr>
              <w:jc w:val="right"/>
              <w:spacing w:after="0"/>
              <w:rPr>
                <w:sz w:val="20"/>
                <w:szCs w:val="20"/>
                <w:color w:val="auto"/>
              </w:rPr>
            </w:pPr>
            <w:r>
              <w:rPr>
                <w:rFonts w:ascii="Arial" w:cs="Arial" w:eastAsia="Arial" w:hAnsi="Arial"/>
                <w:sz w:val="10"/>
                <w:szCs w:val="10"/>
                <w:color w:val="auto"/>
                <w:w w:val="81"/>
              </w:rPr>
              <w:t>(6)</w:t>
            </w:r>
          </w:p>
        </w:tc>
        <w:tc>
          <w:tcPr>
            <w:tcW w:w="680" w:type="dxa"/>
            <w:vAlign w:val="bottom"/>
            <w:shd w:val="clear" w:color="auto" w:fill="CCECFF"/>
          </w:tcPr>
          <w:p>
            <w:pPr>
              <w:jc w:val="right"/>
              <w:spacing w:after="0"/>
              <w:rPr>
                <w:sz w:val="20"/>
                <w:szCs w:val="20"/>
                <w:color w:val="auto"/>
              </w:rPr>
            </w:pPr>
            <w:r>
              <w:rPr>
                <w:rFonts w:ascii="Arial" w:cs="Arial" w:eastAsia="Arial" w:hAnsi="Arial"/>
                <w:sz w:val="12"/>
                <w:szCs w:val="12"/>
                <w:color w:val="auto"/>
              </w:rPr>
              <w:t>—</w:t>
            </w:r>
          </w:p>
        </w:tc>
        <w:tc>
          <w:tcPr>
            <w:tcW w:w="240" w:type="dxa"/>
            <w:vAlign w:val="bottom"/>
            <w:shd w:val="clear" w:color="auto" w:fill="CCECFF"/>
          </w:tcPr>
          <w:p>
            <w:pPr>
              <w:spacing w:after="0"/>
              <w:rPr>
                <w:sz w:val="12"/>
                <w:szCs w:val="12"/>
                <w:color w:val="auto"/>
              </w:rPr>
            </w:pPr>
          </w:p>
        </w:tc>
        <w:tc>
          <w:tcPr>
            <w:tcW w:w="100" w:type="dxa"/>
            <w:vAlign w:val="bottom"/>
            <w:shd w:val="clear" w:color="auto" w:fill="CCECFF"/>
          </w:tcPr>
          <w:p>
            <w:pPr>
              <w:spacing w:after="0"/>
              <w:rPr>
                <w:sz w:val="12"/>
                <w:szCs w:val="12"/>
                <w:color w:val="auto"/>
              </w:rPr>
            </w:pPr>
          </w:p>
        </w:tc>
        <w:tc>
          <w:tcPr>
            <w:tcW w:w="580" w:type="dxa"/>
            <w:vAlign w:val="bottom"/>
            <w:shd w:val="clear" w:color="auto" w:fill="CCECFF"/>
          </w:tcPr>
          <w:p>
            <w:pPr>
              <w:jc w:val="right"/>
              <w:spacing w:after="0"/>
              <w:rPr>
                <w:sz w:val="20"/>
                <w:szCs w:val="20"/>
                <w:color w:val="auto"/>
              </w:rPr>
            </w:pPr>
            <w:r>
              <w:rPr>
                <w:rFonts w:ascii="Arial" w:cs="Arial" w:eastAsia="Arial" w:hAnsi="Arial"/>
                <w:sz w:val="12"/>
                <w:szCs w:val="12"/>
                <w:color w:val="auto"/>
                <w:w w:val="89"/>
              </w:rPr>
              <w:t>25,400,000</w:t>
            </w:r>
          </w:p>
        </w:tc>
        <w:tc>
          <w:tcPr>
            <w:tcW w:w="240" w:type="dxa"/>
            <w:vAlign w:val="bottom"/>
            <w:shd w:val="clear" w:color="auto" w:fill="CCECFF"/>
          </w:tcPr>
          <w:p>
            <w:pPr>
              <w:spacing w:after="0"/>
              <w:rPr>
                <w:sz w:val="12"/>
                <w:szCs w:val="12"/>
                <w:color w:val="auto"/>
              </w:rPr>
            </w:pPr>
          </w:p>
        </w:tc>
        <w:tc>
          <w:tcPr>
            <w:tcW w:w="80" w:type="dxa"/>
            <w:vAlign w:val="bottom"/>
            <w:shd w:val="clear" w:color="auto" w:fill="CCECFF"/>
          </w:tcPr>
          <w:p>
            <w:pPr>
              <w:spacing w:after="0"/>
              <w:rPr>
                <w:sz w:val="12"/>
                <w:szCs w:val="12"/>
                <w:color w:val="auto"/>
              </w:rPr>
            </w:pPr>
          </w:p>
        </w:tc>
        <w:tc>
          <w:tcPr>
            <w:tcW w:w="620" w:type="dxa"/>
            <w:vAlign w:val="bottom"/>
            <w:shd w:val="clear" w:color="auto" w:fill="CCECFF"/>
          </w:tcPr>
          <w:p>
            <w:pPr>
              <w:jc w:val="right"/>
              <w:spacing w:after="0"/>
              <w:rPr>
                <w:sz w:val="20"/>
                <w:szCs w:val="20"/>
                <w:color w:val="auto"/>
              </w:rPr>
            </w:pPr>
            <w:r>
              <w:rPr>
                <w:rFonts w:ascii="Arial" w:cs="Arial" w:eastAsia="Arial" w:hAnsi="Arial"/>
                <w:sz w:val="12"/>
                <w:szCs w:val="12"/>
                <w:color w:val="auto"/>
                <w:w w:val="99"/>
              </w:rPr>
              <w:t>25,400,000</w:t>
            </w:r>
          </w:p>
        </w:tc>
        <w:tc>
          <w:tcPr>
            <w:tcW w:w="240" w:type="dxa"/>
            <w:vAlign w:val="bottom"/>
            <w:shd w:val="clear" w:color="auto" w:fill="CCECFF"/>
          </w:tcPr>
          <w:p>
            <w:pPr>
              <w:spacing w:after="0"/>
              <w:rPr>
                <w:sz w:val="12"/>
                <w:szCs w:val="12"/>
                <w:color w:val="auto"/>
              </w:rPr>
            </w:pPr>
          </w:p>
        </w:tc>
        <w:tc>
          <w:tcPr>
            <w:tcW w:w="80" w:type="dxa"/>
            <w:vAlign w:val="bottom"/>
            <w:shd w:val="clear" w:color="auto" w:fill="CCECFF"/>
          </w:tcPr>
          <w:p>
            <w:pPr>
              <w:spacing w:after="0"/>
              <w:rPr>
                <w:sz w:val="12"/>
                <w:szCs w:val="12"/>
                <w:color w:val="auto"/>
              </w:rPr>
            </w:pPr>
          </w:p>
        </w:tc>
        <w:tc>
          <w:tcPr>
            <w:tcW w:w="640" w:type="dxa"/>
            <w:vAlign w:val="bottom"/>
            <w:shd w:val="clear" w:color="auto" w:fill="CCECFF"/>
          </w:tcPr>
          <w:p>
            <w:pPr>
              <w:jc w:val="right"/>
              <w:spacing w:after="0"/>
              <w:rPr>
                <w:sz w:val="20"/>
                <w:szCs w:val="20"/>
                <w:color w:val="auto"/>
              </w:rPr>
            </w:pPr>
            <w:r>
              <w:rPr>
                <w:rFonts w:ascii="Arial" w:cs="Arial" w:eastAsia="Arial" w:hAnsi="Arial"/>
                <w:sz w:val="12"/>
                <w:szCs w:val="12"/>
                <w:color w:val="auto"/>
                <w:w w:val="99"/>
              </w:rPr>
              <w:t>17,780,000</w:t>
            </w:r>
          </w:p>
        </w:tc>
        <w:tc>
          <w:tcPr>
            <w:tcW w:w="100" w:type="dxa"/>
            <w:vAlign w:val="bottom"/>
            <w:shd w:val="clear" w:color="auto" w:fill="CCECFF"/>
          </w:tcPr>
          <w:p>
            <w:pPr>
              <w:spacing w:after="0"/>
              <w:rPr>
                <w:sz w:val="12"/>
                <w:szCs w:val="12"/>
                <w:color w:val="auto"/>
              </w:rPr>
            </w:pPr>
          </w:p>
        </w:tc>
      </w:tr>
      <w:tr>
        <w:trPr>
          <w:trHeight w:val="141"/>
        </w:trPr>
        <w:tc>
          <w:tcPr>
            <w:tcW w:w="3000" w:type="dxa"/>
            <w:vAlign w:val="bottom"/>
            <w:shd w:val="clear" w:color="auto" w:fill="CCECFF"/>
          </w:tcPr>
          <w:p>
            <w:pPr>
              <w:spacing w:after="0"/>
              <w:rPr>
                <w:sz w:val="12"/>
                <w:szCs w:val="12"/>
                <w:color w:val="auto"/>
              </w:rPr>
            </w:pPr>
          </w:p>
        </w:tc>
        <w:tc>
          <w:tcPr>
            <w:tcW w:w="920" w:type="dxa"/>
            <w:vAlign w:val="bottom"/>
            <w:shd w:val="clear" w:color="auto" w:fill="CCECFF"/>
          </w:tcPr>
          <w:p>
            <w:pPr>
              <w:spacing w:after="0"/>
              <w:rPr>
                <w:sz w:val="12"/>
                <w:szCs w:val="12"/>
                <w:color w:val="auto"/>
              </w:rPr>
            </w:pPr>
          </w:p>
        </w:tc>
        <w:tc>
          <w:tcPr>
            <w:tcW w:w="2760" w:type="dxa"/>
            <w:vAlign w:val="bottom"/>
            <w:gridSpan w:val="2"/>
            <w:shd w:val="clear" w:color="auto" w:fill="CCECFF"/>
          </w:tcPr>
          <w:p>
            <w:pPr>
              <w:jc w:val="center"/>
              <w:ind w:right="160"/>
              <w:spacing w:after="0"/>
              <w:rPr>
                <w:sz w:val="20"/>
                <w:szCs w:val="20"/>
                <w:color w:val="auto"/>
              </w:rPr>
            </w:pPr>
            <w:r>
              <w:rPr>
                <w:rFonts w:ascii="Arial" w:cs="Arial" w:eastAsia="Arial" w:hAnsi="Arial"/>
                <w:sz w:val="12"/>
                <w:szCs w:val="12"/>
                <w:color w:val="auto"/>
                <w:w w:val="89"/>
              </w:rPr>
              <w:t>Metals and Minerals</w:t>
            </w:r>
          </w:p>
        </w:tc>
        <w:tc>
          <w:tcPr>
            <w:tcW w:w="680" w:type="dxa"/>
            <w:vAlign w:val="bottom"/>
            <w:shd w:val="clear" w:color="auto" w:fill="CCECFF"/>
          </w:tcPr>
          <w:p>
            <w:pPr>
              <w:spacing w:after="0"/>
              <w:rPr>
                <w:sz w:val="12"/>
                <w:szCs w:val="12"/>
                <w:color w:val="auto"/>
              </w:rPr>
            </w:pPr>
          </w:p>
        </w:tc>
        <w:tc>
          <w:tcPr>
            <w:tcW w:w="140" w:type="dxa"/>
            <w:vAlign w:val="bottom"/>
            <w:shd w:val="clear" w:color="auto" w:fill="CCECFF"/>
          </w:tcPr>
          <w:p>
            <w:pPr>
              <w:spacing w:after="0"/>
              <w:rPr>
                <w:sz w:val="12"/>
                <w:szCs w:val="12"/>
                <w:color w:val="auto"/>
              </w:rPr>
            </w:pPr>
          </w:p>
        </w:tc>
        <w:tc>
          <w:tcPr>
            <w:tcW w:w="140" w:type="dxa"/>
            <w:vAlign w:val="bottom"/>
            <w:shd w:val="clear" w:color="auto" w:fill="CCECFF"/>
          </w:tcPr>
          <w:p>
            <w:pPr>
              <w:spacing w:after="0"/>
              <w:rPr>
                <w:sz w:val="12"/>
                <w:szCs w:val="12"/>
                <w:color w:val="auto"/>
              </w:rPr>
            </w:pPr>
          </w:p>
        </w:tc>
        <w:tc>
          <w:tcPr>
            <w:tcW w:w="680" w:type="dxa"/>
            <w:vAlign w:val="bottom"/>
            <w:shd w:val="clear" w:color="auto" w:fill="CCECFF"/>
          </w:tcPr>
          <w:p>
            <w:pPr>
              <w:spacing w:after="0"/>
              <w:rPr>
                <w:sz w:val="12"/>
                <w:szCs w:val="12"/>
                <w:color w:val="auto"/>
              </w:rPr>
            </w:pPr>
          </w:p>
        </w:tc>
        <w:tc>
          <w:tcPr>
            <w:tcW w:w="240" w:type="dxa"/>
            <w:vAlign w:val="bottom"/>
            <w:shd w:val="clear" w:color="auto" w:fill="CCECFF"/>
          </w:tcPr>
          <w:p>
            <w:pPr>
              <w:spacing w:after="0"/>
              <w:rPr>
                <w:sz w:val="12"/>
                <w:szCs w:val="12"/>
                <w:color w:val="auto"/>
              </w:rPr>
            </w:pPr>
          </w:p>
        </w:tc>
        <w:tc>
          <w:tcPr>
            <w:tcW w:w="100" w:type="dxa"/>
            <w:vAlign w:val="bottom"/>
            <w:shd w:val="clear" w:color="auto" w:fill="CCECFF"/>
          </w:tcPr>
          <w:p>
            <w:pPr>
              <w:spacing w:after="0"/>
              <w:rPr>
                <w:sz w:val="12"/>
                <w:szCs w:val="12"/>
                <w:color w:val="auto"/>
              </w:rPr>
            </w:pPr>
          </w:p>
        </w:tc>
        <w:tc>
          <w:tcPr>
            <w:tcW w:w="580" w:type="dxa"/>
            <w:vAlign w:val="bottom"/>
            <w:shd w:val="clear" w:color="auto" w:fill="CCECFF"/>
          </w:tcPr>
          <w:p>
            <w:pPr>
              <w:spacing w:after="0"/>
              <w:rPr>
                <w:sz w:val="12"/>
                <w:szCs w:val="12"/>
                <w:color w:val="auto"/>
              </w:rPr>
            </w:pPr>
          </w:p>
        </w:tc>
        <w:tc>
          <w:tcPr>
            <w:tcW w:w="240" w:type="dxa"/>
            <w:vAlign w:val="bottom"/>
            <w:shd w:val="clear" w:color="auto" w:fill="CCECFF"/>
          </w:tcPr>
          <w:p>
            <w:pPr>
              <w:spacing w:after="0"/>
              <w:rPr>
                <w:sz w:val="12"/>
                <w:szCs w:val="12"/>
                <w:color w:val="auto"/>
              </w:rPr>
            </w:pPr>
          </w:p>
        </w:tc>
        <w:tc>
          <w:tcPr>
            <w:tcW w:w="80" w:type="dxa"/>
            <w:vAlign w:val="bottom"/>
            <w:shd w:val="clear" w:color="auto" w:fill="CCECFF"/>
          </w:tcPr>
          <w:p>
            <w:pPr>
              <w:spacing w:after="0"/>
              <w:rPr>
                <w:sz w:val="12"/>
                <w:szCs w:val="12"/>
                <w:color w:val="auto"/>
              </w:rPr>
            </w:pPr>
          </w:p>
        </w:tc>
        <w:tc>
          <w:tcPr>
            <w:tcW w:w="620" w:type="dxa"/>
            <w:vAlign w:val="bottom"/>
            <w:shd w:val="clear" w:color="auto" w:fill="CCECFF"/>
          </w:tcPr>
          <w:p>
            <w:pPr>
              <w:spacing w:after="0"/>
              <w:rPr>
                <w:sz w:val="12"/>
                <w:szCs w:val="12"/>
                <w:color w:val="auto"/>
              </w:rPr>
            </w:pPr>
          </w:p>
        </w:tc>
        <w:tc>
          <w:tcPr>
            <w:tcW w:w="240" w:type="dxa"/>
            <w:vAlign w:val="bottom"/>
            <w:shd w:val="clear" w:color="auto" w:fill="CCECFF"/>
          </w:tcPr>
          <w:p>
            <w:pPr>
              <w:spacing w:after="0"/>
              <w:rPr>
                <w:sz w:val="12"/>
                <w:szCs w:val="12"/>
                <w:color w:val="auto"/>
              </w:rPr>
            </w:pPr>
          </w:p>
        </w:tc>
        <w:tc>
          <w:tcPr>
            <w:tcW w:w="80" w:type="dxa"/>
            <w:vAlign w:val="bottom"/>
            <w:shd w:val="clear" w:color="auto" w:fill="CCECFF"/>
          </w:tcPr>
          <w:p>
            <w:pPr>
              <w:spacing w:after="0"/>
              <w:rPr>
                <w:sz w:val="12"/>
                <w:szCs w:val="12"/>
                <w:color w:val="auto"/>
              </w:rPr>
            </w:pPr>
          </w:p>
        </w:tc>
        <w:tc>
          <w:tcPr>
            <w:tcW w:w="640" w:type="dxa"/>
            <w:vAlign w:val="bottom"/>
            <w:shd w:val="clear" w:color="auto" w:fill="CCECFF"/>
          </w:tcPr>
          <w:p>
            <w:pPr>
              <w:spacing w:after="0"/>
              <w:rPr>
                <w:sz w:val="12"/>
                <w:szCs w:val="12"/>
                <w:color w:val="auto"/>
              </w:rPr>
            </w:pPr>
          </w:p>
        </w:tc>
        <w:tc>
          <w:tcPr>
            <w:tcW w:w="100" w:type="dxa"/>
            <w:vAlign w:val="bottom"/>
            <w:shd w:val="clear" w:color="auto" w:fill="CCECFF"/>
          </w:tcPr>
          <w:p>
            <w:pPr>
              <w:spacing w:after="0"/>
              <w:rPr>
                <w:sz w:val="12"/>
                <w:szCs w:val="12"/>
                <w:color w:val="auto"/>
              </w:rPr>
            </w:pPr>
          </w:p>
        </w:tc>
      </w:tr>
      <w:tr>
        <w:trPr>
          <w:trHeight w:val="148"/>
        </w:trPr>
        <w:tc>
          <w:tcPr>
            <w:tcW w:w="3000" w:type="dxa"/>
            <w:vAlign w:val="bottom"/>
          </w:tcPr>
          <w:p>
            <w:pPr>
              <w:spacing w:after="0"/>
              <w:rPr>
                <w:sz w:val="20"/>
                <w:szCs w:val="20"/>
                <w:color w:val="auto"/>
              </w:rPr>
            </w:pPr>
            <w:r>
              <w:rPr>
                <w:rFonts w:ascii="Arial" w:cs="Arial" w:eastAsia="Arial" w:hAnsi="Arial"/>
                <w:sz w:val="12"/>
                <w:szCs w:val="12"/>
                <w:color w:val="auto"/>
              </w:rPr>
              <w:t xml:space="preserve">Balboa Capital Corporation </w:t>
            </w:r>
            <w:r>
              <w:rPr>
                <w:rFonts w:ascii="Arial" w:cs="Arial" w:eastAsia="Arial" w:hAnsi="Arial"/>
                <w:sz w:val="9"/>
                <w:szCs w:val="9"/>
                <w:color w:val="auto"/>
              </w:rPr>
              <w:t>(12)</w:t>
            </w:r>
          </w:p>
        </w:tc>
        <w:tc>
          <w:tcPr>
            <w:tcW w:w="920" w:type="dxa"/>
            <w:vAlign w:val="bottom"/>
          </w:tcPr>
          <w:p>
            <w:pPr>
              <w:ind w:left="120"/>
              <w:spacing w:after="0"/>
              <w:rPr>
                <w:sz w:val="20"/>
                <w:szCs w:val="20"/>
                <w:color w:val="auto"/>
              </w:rPr>
            </w:pPr>
            <w:r>
              <w:rPr>
                <w:rFonts w:ascii="Arial" w:cs="Arial" w:eastAsia="Arial" w:hAnsi="Arial"/>
                <w:sz w:val="12"/>
                <w:szCs w:val="12"/>
                <w:color w:val="auto"/>
              </w:rPr>
              <w:t>03/04/2022</w:t>
            </w:r>
          </w:p>
        </w:tc>
        <w:tc>
          <w:tcPr>
            <w:tcW w:w="2760" w:type="dxa"/>
            <w:vAlign w:val="bottom"/>
            <w:gridSpan w:val="2"/>
          </w:tcPr>
          <w:p>
            <w:pPr>
              <w:jc w:val="center"/>
              <w:ind w:right="180"/>
              <w:spacing w:after="0"/>
              <w:rPr>
                <w:sz w:val="20"/>
                <w:szCs w:val="20"/>
                <w:color w:val="auto"/>
              </w:rPr>
            </w:pPr>
            <w:r>
              <w:rPr>
                <w:rFonts w:ascii="Arial" w:cs="Arial" w:eastAsia="Arial" w:hAnsi="Arial"/>
                <w:sz w:val="12"/>
                <w:szCs w:val="12"/>
                <w:color w:val="auto"/>
                <w:w w:val="88"/>
              </w:rPr>
              <w:t>Financial Services</w:t>
            </w:r>
          </w:p>
        </w:tc>
        <w:tc>
          <w:tcPr>
            <w:tcW w:w="820" w:type="dxa"/>
            <w:vAlign w:val="bottom"/>
            <w:gridSpan w:val="2"/>
          </w:tcPr>
          <w:p>
            <w:pPr>
              <w:jc w:val="right"/>
              <w:ind w:right="60"/>
              <w:spacing w:after="0"/>
              <w:rPr>
                <w:sz w:val="20"/>
                <w:szCs w:val="20"/>
                <w:color w:val="auto"/>
              </w:rPr>
            </w:pPr>
            <w:r>
              <w:rPr>
                <w:rFonts w:ascii="Arial" w:cs="Arial" w:eastAsia="Arial" w:hAnsi="Arial"/>
                <w:sz w:val="12"/>
                <w:szCs w:val="12"/>
                <w:color w:val="auto"/>
              </w:rPr>
              <w:t>13.75%</w:t>
            </w:r>
          </w:p>
        </w:tc>
        <w:tc>
          <w:tcPr>
            <w:tcW w:w="140" w:type="dxa"/>
            <w:vAlign w:val="bottom"/>
          </w:tcPr>
          <w:p>
            <w:pPr>
              <w:spacing w:after="0"/>
              <w:rPr>
                <w:sz w:val="12"/>
                <w:szCs w:val="12"/>
                <w:color w:val="auto"/>
              </w:rPr>
            </w:pPr>
          </w:p>
        </w:tc>
        <w:tc>
          <w:tcPr>
            <w:tcW w:w="680" w:type="dxa"/>
            <w:vAlign w:val="bottom"/>
          </w:tcPr>
          <w:p>
            <w:pPr>
              <w:jc w:val="right"/>
              <w:spacing w:after="0"/>
              <w:rPr>
                <w:sz w:val="20"/>
                <w:szCs w:val="20"/>
                <w:color w:val="auto"/>
              </w:rPr>
            </w:pPr>
            <w:r>
              <w:rPr>
                <w:rFonts w:ascii="Arial" w:cs="Arial" w:eastAsia="Arial" w:hAnsi="Arial"/>
                <w:sz w:val="12"/>
                <w:szCs w:val="12"/>
                <w:color w:val="auto"/>
              </w:rPr>
              <w:t>—</w:t>
            </w:r>
          </w:p>
        </w:tc>
        <w:tc>
          <w:tcPr>
            <w:tcW w:w="2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80" w:type="dxa"/>
            <w:vAlign w:val="bottom"/>
          </w:tcPr>
          <w:p>
            <w:pPr>
              <w:jc w:val="right"/>
              <w:spacing w:after="0"/>
              <w:rPr>
                <w:sz w:val="20"/>
                <w:szCs w:val="20"/>
                <w:color w:val="auto"/>
              </w:rPr>
            </w:pPr>
            <w:r>
              <w:rPr>
                <w:rFonts w:ascii="Arial" w:cs="Arial" w:eastAsia="Arial" w:hAnsi="Arial"/>
                <w:sz w:val="12"/>
                <w:szCs w:val="12"/>
                <w:color w:val="auto"/>
                <w:w w:val="89"/>
              </w:rPr>
              <w:t>28,500,000</w:t>
            </w:r>
          </w:p>
        </w:tc>
        <w:tc>
          <w:tcPr>
            <w:tcW w:w="2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20" w:type="dxa"/>
            <w:vAlign w:val="bottom"/>
          </w:tcPr>
          <w:p>
            <w:pPr>
              <w:jc w:val="right"/>
              <w:spacing w:after="0"/>
              <w:rPr>
                <w:sz w:val="20"/>
                <w:szCs w:val="20"/>
                <w:color w:val="auto"/>
              </w:rPr>
            </w:pPr>
            <w:r>
              <w:rPr>
                <w:rFonts w:ascii="Arial" w:cs="Arial" w:eastAsia="Arial" w:hAnsi="Arial"/>
                <w:sz w:val="12"/>
                <w:szCs w:val="12"/>
                <w:color w:val="auto"/>
                <w:w w:val="99"/>
              </w:rPr>
              <w:t>28,253,554</w:t>
            </w:r>
          </w:p>
        </w:tc>
        <w:tc>
          <w:tcPr>
            <w:tcW w:w="2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40" w:type="dxa"/>
            <w:vAlign w:val="bottom"/>
          </w:tcPr>
          <w:p>
            <w:pPr>
              <w:jc w:val="right"/>
              <w:spacing w:after="0"/>
              <w:rPr>
                <w:sz w:val="20"/>
                <w:szCs w:val="20"/>
                <w:color w:val="auto"/>
              </w:rPr>
            </w:pPr>
            <w:r>
              <w:rPr>
                <w:rFonts w:ascii="Arial" w:cs="Arial" w:eastAsia="Arial" w:hAnsi="Arial"/>
                <w:sz w:val="12"/>
                <w:szCs w:val="12"/>
                <w:color w:val="auto"/>
                <w:w w:val="99"/>
              </w:rPr>
              <w:t>28,500,000</w:t>
            </w:r>
          </w:p>
        </w:tc>
        <w:tc>
          <w:tcPr>
            <w:tcW w:w="100" w:type="dxa"/>
            <w:vAlign w:val="bottom"/>
          </w:tcPr>
          <w:p>
            <w:pPr>
              <w:spacing w:after="0"/>
              <w:rPr>
                <w:sz w:val="12"/>
                <w:szCs w:val="12"/>
                <w:color w:val="auto"/>
              </w:rPr>
            </w:pPr>
          </w:p>
        </w:tc>
      </w:tr>
      <w:tr>
        <w:trPr>
          <w:trHeight w:val="148"/>
        </w:trPr>
        <w:tc>
          <w:tcPr>
            <w:tcW w:w="3000" w:type="dxa"/>
            <w:vAlign w:val="bottom"/>
            <w:shd w:val="clear" w:color="auto" w:fill="CCECFF"/>
          </w:tcPr>
          <w:p>
            <w:pPr>
              <w:spacing w:after="0"/>
              <w:rPr>
                <w:sz w:val="20"/>
                <w:szCs w:val="20"/>
                <w:color w:val="auto"/>
              </w:rPr>
            </w:pPr>
            <w:r>
              <w:rPr>
                <w:rFonts w:ascii="Arial" w:cs="Arial" w:eastAsia="Arial" w:hAnsi="Arial"/>
                <w:sz w:val="12"/>
                <w:szCs w:val="12"/>
                <w:color w:val="auto"/>
              </w:rPr>
              <w:t>Bennu Oil &amp; Gas, LLC</w:t>
            </w:r>
          </w:p>
        </w:tc>
        <w:tc>
          <w:tcPr>
            <w:tcW w:w="920" w:type="dxa"/>
            <w:vAlign w:val="bottom"/>
            <w:shd w:val="clear" w:color="auto" w:fill="CCECFF"/>
          </w:tcPr>
          <w:p>
            <w:pPr>
              <w:ind w:left="120"/>
              <w:spacing w:after="0"/>
              <w:rPr>
                <w:sz w:val="20"/>
                <w:szCs w:val="20"/>
                <w:color w:val="auto"/>
              </w:rPr>
            </w:pPr>
            <w:r>
              <w:rPr>
                <w:rFonts w:ascii="Arial" w:cs="Arial" w:eastAsia="Arial" w:hAnsi="Arial"/>
                <w:sz w:val="12"/>
                <w:szCs w:val="12"/>
                <w:color w:val="auto"/>
              </w:rPr>
              <w:t>11/01/2018</w:t>
            </w:r>
          </w:p>
        </w:tc>
        <w:tc>
          <w:tcPr>
            <w:tcW w:w="2760" w:type="dxa"/>
            <w:vAlign w:val="bottom"/>
            <w:gridSpan w:val="2"/>
            <w:shd w:val="clear" w:color="auto" w:fill="CCECFF"/>
          </w:tcPr>
          <w:p>
            <w:pPr>
              <w:jc w:val="center"/>
              <w:ind w:right="160"/>
              <w:spacing w:after="0"/>
              <w:rPr>
                <w:sz w:val="20"/>
                <w:szCs w:val="20"/>
                <w:color w:val="auto"/>
              </w:rPr>
            </w:pPr>
            <w:r>
              <w:rPr>
                <w:rFonts w:ascii="Arial" w:cs="Arial" w:eastAsia="Arial" w:hAnsi="Arial"/>
                <w:sz w:val="12"/>
                <w:szCs w:val="12"/>
                <w:color w:val="auto"/>
                <w:w w:val="88"/>
              </w:rPr>
              <w:t>Oil and Gas</w:t>
            </w:r>
          </w:p>
        </w:tc>
        <w:tc>
          <w:tcPr>
            <w:tcW w:w="820" w:type="dxa"/>
            <w:vAlign w:val="bottom"/>
            <w:gridSpan w:val="2"/>
            <w:shd w:val="clear" w:color="auto" w:fill="CCECFF"/>
          </w:tcPr>
          <w:p>
            <w:pPr>
              <w:jc w:val="right"/>
              <w:ind w:right="160"/>
              <w:spacing w:after="0"/>
              <w:rPr>
                <w:sz w:val="20"/>
                <w:szCs w:val="20"/>
                <w:color w:val="auto"/>
              </w:rPr>
            </w:pPr>
            <w:r>
              <w:rPr>
                <w:rFonts w:ascii="Arial" w:cs="Arial" w:eastAsia="Arial" w:hAnsi="Arial"/>
                <w:sz w:val="12"/>
                <w:szCs w:val="12"/>
                <w:color w:val="auto"/>
              </w:rPr>
              <w:t>—</w:t>
            </w:r>
          </w:p>
        </w:tc>
        <w:tc>
          <w:tcPr>
            <w:tcW w:w="140" w:type="dxa"/>
            <w:vAlign w:val="bottom"/>
            <w:shd w:val="clear" w:color="auto" w:fill="CCECFF"/>
          </w:tcPr>
          <w:p>
            <w:pPr>
              <w:jc w:val="right"/>
              <w:spacing w:after="0"/>
              <w:rPr>
                <w:sz w:val="20"/>
                <w:szCs w:val="20"/>
                <w:color w:val="auto"/>
              </w:rPr>
            </w:pPr>
            <w:r>
              <w:rPr>
                <w:rFonts w:ascii="Arial" w:cs="Arial" w:eastAsia="Arial" w:hAnsi="Arial"/>
                <w:sz w:val="10"/>
                <w:szCs w:val="10"/>
                <w:color w:val="auto"/>
                <w:w w:val="81"/>
              </w:rPr>
              <w:t>(6)</w:t>
            </w:r>
          </w:p>
        </w:tc>
        <w:tc>
          <w:tcPr>
            <w:tcW w:w="680" w:type="dxa"/>
            <w:vAlign w:val="bottom"/>
            <w:shd w:val="clear" w:color="auto" w:fill="CCECFF"/>
          </w:tcPr>
          <w:p>
            <w:pPr>
              <w:jc w:val="right"/>
              <w:spacing w:after="0"/>
              <w:rPr>
                <w:sz w:val="20"/>
                <w:szCs w:val="20"/>
                <w:color w:val="auto"/>
              </w:rPr>
            </w:pPr>
            <w:r>
              <w:rPr>
                <w:rFonts w:ascii="Arial" w:cs="Arial" w:eastAsia="Arial" w:hAnsi="Arial"/>
                <w:sz w:val="12"/>
                <w:szCs w:val="12"/>
                <w:color w:val="auto"/>
              </w:rPr>
              <w:t>—</w:t>
            </w:r>
          </w:p>
        </w:tc>
        <w:tc>
          <w:tcPr>
            <w:tcW w:w="240" w:type="dxa"/>
            <w:vAlign w:val="bottom"/>
            <w:shd w:val="clear" w:color="auto" w:fill="CCECFF"/>
          </w:tcPr>
          <w:p>
            <w:pPr>
              <w:spacing w:after="0"/>
              <w:rPr>
                <w:sz w:val="12"/>
                <w:szCs w:val="12"/>
                <w:color w:val="auto"/>
              </w:rPr>
            </w:pPr>
          </w:p>
        </w:tc>
        <w:tc>
          <w:tcPr>
            <w:tcW w:w="100" w:type="dxa"/>
            <w:vAlign w:val="bottom"/>
            <w:shd w:val="clear" w:color="auto" w:fill="CCECFF"/>
          </w:tcPr>
          <w:p>
            <w:pPr>
              <w:spacing w:after="0"/>
              <w:rPr>
                <w:sz w:val="12"/>
                <w:szCs w:val="12"/>
                <w:color w:val="auto"/>
              </w:rPr>
            </w:pPr>
          </w:p>
        </w:tc>
        <w:tc>
          <w:tcPr>
            <w:tcW w:w="580" w:type="dxa"/>
            <w:vAlign w:val="bottom"/>
            <w:shd w:val="clear" w:color="auto" w:fill="CCECFF"/>
          </w:tcPr>
          <w:p>
            <w:pPr>
              <w:jc w:val="right"/>
              <w:spacing w:after="0"/>
              <w:rPr>
                <w:sz w:val="20"/>
                <w:szCs w:val="20"/>
                <w:color w:val="auto"/>
              </w:rPr>
            </w:pPr>
            <w:r>
              <w:rPr>
                <w:rFonts w:ascii="Arial" w:cs="Arial" w:eastAsia="Arial" w:hAnsi="Arial"/>
                <w:sz w:val="12"/>
                <w:szCs w:val="12"/>
                <w:color w:val="auto"/>
                <w:w w:val="89"/>
              </w:rPr>
              <w:t>26,979,281</w:t>
            </w:r>
          </w:p>
        </w:tc>
        <w:tc>
          <w:tcPr>
            <w:tcW w:w="240" w:type="dxa"/>
            <w:vAlign w:val="bottom"/>
            <w:shd w:val="clear" w:color="auto" w:fill="CCECFF"/>
          </w:tcPr>
          <w:p>
            <w:pPr>
              <w:spacing w:after="0"/>
              <w:rPr>
                <w:sz w:val="12"/>
                <w:szCs w:val="12"/>
                <w:color w:val="auto"/>
              </w:rPr>
            </w:pPr>
          </w:p>
        </w:tc>
        <w:tc>
          <w:tcPr>
            <w:tcW w:w="80" w:type="dxa"/>
            <w:vAlign w:val="bottom"/>
            <w:shd w:val="clear" w:color="auto" w:fill="CCECFF"/>
          </w:tcPr>
          <w:p>
            <w:pPr>
              <w:spacing w:after="0"/>
              <w:rPr>
                <w:sz w:val="12"/>
                <w:szCs w:val="12"/>
                <w:color w:val="auto"/>
              </w:rPr>
            </w:pPr>
          </w:p>
        </w:tc>
        <w:tc>
          <w:tcPr>
            <w:tcW w:w="620" w:type="dxa"/>
            <w:vAlign w:val="bottom"/>
            <w:shd w:val="clear" w:color="auto" w:fill="CCECFF"/>
          </w:tcPr>
          <w:p>
            <w:pPr>
              <w:jc w:val="right"/>
              <w:spacing w:after="0"/>
              <w:rPr>
                <w:sz w:val="20"/>
                <w:szCs w:val="20"/>
                <w:color w:val="auto"/>
              </w:rPr>
            </w:pPr>
            <w:r>
              <w:rPr>
                <w:rFonts w:ascii="Arial" w:cs="Arial" w:eastAsia="Arial" w:hAnsi="Arial"/>
                <w:sz w:val="12"/>
                <w:szCs w:val="12"/>
                <w:color w:val="auto"/>
                <w:w w:val="99"/>
              </w:rPr>
              <w:t>25,422,260</w:t>
            </w:r>
          </w:p>
        </w:tc>
        <w:tc>
          <w:tcPr>
            <w:tcW w:w="240" w:type="dxa"/>
            <w:vAlign w:val="bottom"/>
            <w:shd w:val="clear" w:color="auto" w:fill="CCECFF"/>
          </w:tcPr>
          <w:p>
            <w:pPr>
              <w:spacing w:after="0"/>
              <w:rPr>
                <w:sz w:val="12"/>
                <w:szCs w:val="12"/>
                <w:color w:val="auto"/>
              </w:rPr>
            </w:pPr>
          </w:p>
        </w:tc>
        <w:tc>
          <w:tcPr>
            <w:tcW w:w="80" w:type="dxa"/>
            <w:vAlign w:val="bottom"/>
            <w:shd w:val="clear" w:color="auto" w:fill="CCECFF"/>
          </w:tcPr>
          <w:p>
            <w:pPr>
              <w:spacing w:after="0"/>
              <w:rPr>
                <w:sz w:val="12"/>
                <w:szCs w:val="12"/>
                <w:color w:val="auto"/>
              </w:rPr>
            </w:pPr>
          </w:p>
        </w:tc>
        <w:tc>
          <w:tcPr>
            <w:tcW w:w="640" w:type="dxa"/>
            <w:vAlign w:val="bottom"/>
            <w:shd w:val="clear" w:color="auto" w:fill="CCECFF"/>
          </w:tcPr>
          <w:p>
            <w:pPr>
              <w:jc w:val="right"/>
              <w:spacing w:after="0"/>
              <w:rPr>
                <w:sz w:val="20"/>
                <w:szCs w:val="20"/>
                <w:color w:val="auto"/>
              </w:rPr>
            </w:pPr>
            <w:r>
              <w:rPr>
                <w:rFonts w:ascii="Arial" w:cs="Arial" w:eastAsia="Arial" w:hAnsi="Arial"/>
                <w:sz w:val="12"/>
                <w:szCs w:val="12"/>
                <w:color w:val="auto"/>
              </w:rPr>
              <w:t>8,633,370</w:t>
            </w:r>
          </w:p>
        </w:tc>
        <w:tc>
          <w:tcPr>
            <w:tcW w:w="100" w:type="dxa"/>
            <w:vAlign w:val="bottom"/>
            <w:shd w:val="clear" w:color="auto" w:fill="CCECFF"/>
          </w:tcPr>
          <w:p>
            <w:pPr>
              <w:spacing w:after="0"/>
              <w:rPr>
                <w:sz w:val="12"/>
                <w:szCs w:val="12"/>
                <w:color w:val="auto"/>
              </w:rPr>
            </w:pPr>
          </w:p>
        </w:tc>
      </w:tr>
      <w:tr>
        <w:trPr>
          <w:trHeight w:val="148"/>
        </w:trPr>
        <w:tc>
          <w:tcPr>
            <w:tcW w:w="3000" w:type="dxa"/>
            <w:vAlign w:val="bottom"/>
          </w:tcPr>
          <w:p>
            <w:pPr>
              <w:spacing w:after="0"/>
              <w:rPr>
                <w:sz w:val="20"/>
                <w:szCs w:val="20"/>
                <w:color w:val="auto"/>
              </w:rPr>
            </w:pPr>
            <w:r>
              <w:rPr>
                <w:rFonts w:ascii="Arial" w:cs="Arial" w:eastAsia="Arial" w:hAnsi="Arial"/>
                <w:sz w:val="12"/>
                <w:szCs w:val="12"/>
                <w:color w:val="auto"/>
              </w:rPr>
              <w:t>Howard Berger Co. LLC</w:t>
            </w:r>
          </w:p>
        </w:tc>
        <w:tc>
          <w:tcPr>
            <w:tcW w:w="920" w:type="dxa"/>
            <w:vAlign w:val="bottom"/>
          </w:tcPr>
          <w:p>
            <w:pPr>
              <w:ind w:left="120"/>
              <w:spacing w:after="0"/>
              <w:rPr>
                <w:sz w:val="20"/>
                <w:szCs w:val="20"/>
                <w:color w:val="auto"/>
              </w:rPr>
            </w:pPr>
            <w:r>
              <w:rPr>
                <w:rFonts w:ascii="Arial" w:cs="Arial" w:eastAsia="Arial" w:hAnsi="Arial"/>
                <w:sz w:val="12"/>
                <w:szCs w:val="12"/>
                <w:color w:val="auto"/>
              </w:rPr>
              <w:t>09/30/2020</w:t>
            </w:r>
          </w:p>
        </w:tc>
        <w:tc>
          <w:tcPr>
            <w:tcW w:w="2760" w:type="dxa"/>
            <w:vAlign w:val="bottom"/>
            <w:gridSpan w:val="2"/>
          </w:tcPr>
          <w:p>
            <w:pPr>
              <w:jc w:val="center"/>
              <w:ind w:right="160"/>
              <w:spacing w:after="0"/>
              <w:rPr>
                <w:sz w:val="20"/>
                <w:szCs w:val="20"/>
                <w:color w:val="auto"/>
              </w:rPr>
            </w:pPr>
            <w:r>
              <w:rPr>
                <w:rFonts w:ascii="Arial" w:cs="Arial" w:eastAsia="Arial" w:hAnsi="Arial"/>
                <w:sz w:val="12"/>
                <w:szCs w:val="12"/>
                <w:color w:val="auto"/>
                <w:w w:val="93"/>
              </w:rPr>
              <w:t>Distribution</w:t>
            </w:r>
          </w:p>
        </w:tc>
        <w:tc>
          <w:tcPr>
            <w:tcW w:w="820" w:type="dxa"/>
            <w:vAlign w:val="bottom"/>
            <w:gridSpan w:val="2"/>
          </w:tcPr>
          <w:p>
            <w:pPr>
              <w:jc w:val="right"/>
              <w:ind w:right="60"/>
              <w:spacing w:after="0"/>
              <w:rPr>
                <w:sz w:val="20"/>
                <w:szCs w:val="20"/>
                <w:color w:val="auto"/>
              </w:rPr>
            </w:pPr>
            <w:r>
              <w:rPr>
                <w:rFonts w:ascii="Arial" w:cs="Arial" w:eastAsia="Arial" w:hAnsi="Arial"/>
                <w:sz w:val="12"/>
                <w:szCs w:val="12"/>
                <w:color w:val="auto"/>
              </w:rPr>
              <w:t>11.00%</w:t>
            </w:r>
          </w:p>
        </w:tc>
        <w:tc>
          <w:tcPr>
            <w:tcW w:w="140" w:type="dxa"/>
            <w:vAlign w:val="bottom"/>
          </w:tcPr>
          <w:p>
            <w:pPr>
              <w:spacing w:after="0"/>
              <w:rPr>
                <w:sz w:val="12"/>
                <w:szCs w:val="12"/>
                <w:color w:val="auto"/>
              </w:rPr>
            </w:pPr>
          </w:p>
        </w:tc>
        <w:tc>
          <w:tcPr>
            <w:tcW w:w="680" w:type="dxa"/>
            <w:vAlign w:val="bottom"/>
          </w:tcPr>
          <w:p>
            <w:pPr>
              <w:jc w:val="right"/>
              <w:spacing w:after="0"/>
              <w:rPr>
                <w:sz w:val="20"/>
                <w:szCs w:val="20"/>
                <w:color w:val="auto"/>
              </w:rPr>
            </w:pPr>
            <w:r>
              <w:rPr>
                <w:rFonts w:ascii="Arial" w:cs="Arial" w:eastAsia="Arial" w:hAnsi="Arial"/>
                <w:sz w:val="12"/>
                <w:szCs w:val="12"/>
                <w:color w:val="auto"/>
              </w:rPr>
              <w:t>L+1,000</w:t>
            </w:r>
          </w:p>
        </w:tc>
        <w:tc>
          <w:tcPr>
            <w:tcW w:w="2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80" w:type="dxa"/>
            <w:vAlign w:val="bottom"/>
          </w:tcPr>
          <w:p>
            <w:pPr>
              <w:jc w:val="right"/>
              <w:spacing w:after="0"/>
              <w:rPr>
                <w:sz w:val="20"/>
                <w:szCs w:val="20"/>
                <w:color w:val="auto"/>
              </w:rPr>
            </w:pPr>
            <w:r>
              <w:rPr>
                <w:rFonts w:ascii="Arial" w:cs="Arial" w:eastAsia="Arial" w:hAnsi="Arial"/>
                <w:sz w:val="12"/>
                <w:szCs w:val="12"/>
                <w:color w:val="auto"/>
                <w:w w:val="89"/>
              </w:rPr>
              <w:t>41,250,000</w:t>
            </w:r>
          </w:p>
        </w:tc>
        <w:tc>
          <w:tcPr>
            <w:tcW w:w="2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20" w:type="dxa"/>
            <w:vAlign w:val="bottom"/>
          </w:tcPr>
          <w:p>
            <w:pPr>
              <w:jc w:val="right"/>
              <w:spacing w:after="0"/>
              <w:rPr>
                <w:sz w:val="20"/>
                <w:szCs w:val="20"/>
                <w:color w:val="auto"/>
              </w:rPr>
            </w:pPr>
            <w:r>
              <w:rPr>
                <w:rFonts w:ascii="Arial" w:cs="Arial" w:eastAsia="Arial" w:hAnsi="Arial"/>
                <w:sz w:val="12"/>
                <w:szCs w:val="12"/>
                <w:color w:val="auto"/>
                <w:w w:val="99"/>
              </w:rPr>
              <w:t>39,419,316</w:t>
            </w:r>
          </w:p>
        </w:tc>
        <w:tc>
          <w:tcPr>
            <w:tcW w:w="2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40" w:type="dxa"/>
            <w:vAlign w:val="bottom"/>
          </w:tcPr>
          <w:p>
            <w:pPr>
              <w:jc w:val="right"/>
              <w:spacing w:after="0"/>
              <w:rPr>
                <w:sz w:val="20"/>
                <w:szCs w:val="20"/>
                <w:color w:val="auto"/>
              </w:rPr>
            </w:pPr>
            <w:r>
              <w:rPr>
                <w:rFonts w:ascii="Arial" w:cs="Arial" w:eastAsia="Arial" w:hAnsi="Arial"/>
                <w:sz w:val="12"/>
                <w:szCs w:val="12"/>
                <w:color w:val="auto"/>
                <w:w w:val="99"/>
              </w:rPr>
              <w:t>37,125,000</w:t>
            </w:r>
          </w:p>
        </w:tc>
        <w:tc>
          <w:tcPr>
            <w:tcW w:w="100" w:type="dxa"/>
            <w:vAlign w:val="bottom"/>
          </w:tcPr>
          <w:p>
            <w:pPr>
              <w:spacing w:after="0"/>
              <w:rPr>
                <w:sz w:val="12"/>
                <w:szCs w:val="12"/>
                <w:color w:val="auto"/>
              </w:rPr>
            </w:pPr>
          </w:p>
        </w:tc>
      </w:tr>
      <w:tr>
        <w:trPr>
          <w:trHeight w:val="149"/>
        </w:trPr>
        <w:tc>
          <w:tcPr>
            <w:tcW w:w="3000" w:type="dxa"/>
            <w:vAlign w:val="bottom"/>
            <w:shd w:val="clear" w:color="auto" w:fill="CCECFF"/>
          </w:tcPr>
          <w:p>
            <w:pPr>
              <w:spacing w:after="0"/>
              <w:rPr>
                <w:sz w:val="20"/>
                <w:szCs w:val="20"/>
                <w:color w:val="auto"/>
              </w:rPr>
            </w:pPr>
            <w:r>
              <w:rPr>
                <w:rFonts w:ascii="Arial" w:cs="Arial" w:eastAsia="Arial" w:hAnsi="Arial"/>
                <w:sz w:val="12"/>
                <w:szCs w:val="12"/>
                <w:color w:val="auto"/>
              </w:rPr>
              <w:t xml:space="preserve">Intermediate Transportation 100, LLC </w:t>
            </w:r>
            <w:r>
              <w:rPr>
                <w:rFonts w:ascii="Arial" w:cs="Arial" w:eastAsia="Arial" w:hAnsi="Arial"/>
                <w:sz w:val="9"/>
                <w:szCs w:val="9"/>
                <w:color w:val="auto"/>
              </w:rPr>
              <w:t>(5)</w:t>
            </w:r>
          </w:p>
        </w:tc>
        <w:tc>
          <w:tcPr>
            <w:tcW w:w="920" w:type="dxa"/>
            <w:vAlign w:val="bottom"/>
            <w:shd w:val="clear" w:color="auto" w:fill="CCECFF"/>
          </w:tcPr>
          <w:p>
            <w:pPr>
              <w:ind w:left="120"/>
              <w:spacing w:after="0"/>
              <w:rPr>
                <w:sz w:val="20"/>
                <w:szCs w:val="20"/>
                <w:color w:val="auto"/>
              </w:rPr>
            </w:pPr>
            <w:r>
              <w:rPr>
                <w:rFonts w:ascii="Arial" w:cs="Arial" w:eastAsia="Arial" w:hAnsi="Arial"/>
                <w:sz w:val="12"/>
                <w:szCs w:val="12"/>
                <w:color w:val="auto"/>
              </w:rPr>
              <w:t>03/01/2017</w:t>
            </w:r>
          </w:p>
        </w:tc>
        <w:tc>
          <w:tcPr>
            <w:tcW w:w="2760" w:type="dxa"/>
            <w:vAlign w:val="bottom"/>
            <w:gridSpan w:val="2"/>
            <w:shd w:val="clear" w:color="auto" w:fill="CCECFF"/>
          </w:tcPr>
          <w:p>
            <w:pPr>
              <w:jc w:val="center"/>
              <w:ind w:right="160"/>
              <w:spacing w:after="0"/>
              <w:rPr>
                <w:sz w:val="20"/>
                <w:szCs w:val="20"/>
                <w:color w:val="auto"/>
              </w:rPr>
            </w:pPr>
            <w:r>
              <w:rPr>
                <w:rFonts w:ascii="Arial" w:cs="Arial" w:eastAsia="Arial" w:hAnsi="Arial"/>
                <w:sz w:val="12"/>
                <w:szCs w:val="12"/>
                <w:color w:val="auto"/>
                <w:w w:val="86"/>
              </w:rPr>
              <w:t>Cargo Transport</w:t>
            </w:r>
          </w:p>
        </w:tc>
        <w:tc>
          <w:tcPr>
            <w:tcW w:w="820" w:type="dxa"/>
            <w:vAlign w:val="bottom"/>
            <w:gridSpan w:val="2"/>
            <w:shd w:val="clear" w:color="auto" w:fill="CCECFF"/>
          </w:tcPr>
          <w:p>
            <w:pPr>
              <w:jc w:val="right"/>
              <w:ind w:right="160"/>
              <w:spacing w:after="0"/>
              <w:rPr>
                <w:sz w:val="20"/>
                <w:szCs w:val="20"/>
                <w:color w:val="auto"/>
              </w:rPr>
            </w:pPr>
            <w:r>
              <w:rPr>
                <w:rFonts w:ascii="Arial" w:cs="Arial" w:eastAsia="Arial" w:hAnsi="Arial"/>
                <w:sz w:val="12"/>
                <w:szCs w:val="12"/>
                <w:color w:val="auto"/>
              </w:rPr>
              <w:t>—</w:t>
            </w:r>
          </w:p>
        </w:tc>
        <w:tc>
          <w:tcPr>
            <w:tcW w:w="140" w:type="dxa"/>
            <w:vAlign w:val="bottom"/>
            <w:shd w:val="clear" w:color="auto" w:fill="CCECFF"/>
          </w:tcPr>
          <w:p>
            <w:pPr>
              <w:jc w:val="right"/>
              <w:spacing w:after="0"/>
              <w:rPr>
                <w:sz w:val="20"/>
                <w:szCs w:val="20"/>
                <w:color w:val="auto"/>
              </w:rPr>
            </w:pPr>
            <w:r>
              <w:rPr>
                <w:rFonts w:ascii="Arial" w:cs="Arial" w:eastAsia="Arial" w:hAnsi="Arial"/>
                <w:sz w:val="10"/>
                <w:szCs w:val="10"/>
                <w:color w:val="auto"/>
                <w:w w:val="81"/>
              </w:rPr>
              <w:t>(6)</w:t>
            </w:r>
          </w:p>
        </w:tc>
        <w:tc>
          <w:tcPr>
            <w:tcW w:w="680" w:type="dxa"/>
            <w:vAlign w:val="bottom"/>
            <w:shd w:val="clear" w:color="auto" w:fill="CCECFF"/>
          </w:tcPr>
          <w:p>
            <w:pPr>
              <w:jc w:val="right"/>
              <w:spacing w:after="0"/>
              <w:rPr>
                <w:sz w:val="20"/>
                <w:szCs w:val="20"/>
                <w:color w:val="auto"/>
              </w:rPr>
            </w:pPr>
            <w:r>
              <w:rPr>
                <w:rFonts w:ascii="Arial" w:cs="Arial" w:eastAsia="Arial" w:hAnsi="Arial"/>
                <w:sz w:val="12"/>
                <w:szCs w:val="12"/>
                <w:color w:val="auto"/>
              </w:rPr>
              <w:t>—</w:t>
            </w:r>
          </w:p>
        </w:tc>
        <w:tc>
          <w:tcPr>
            <w:tcW w:w="240" w:type="dxa"/>
            <w:vAlign w:val="bottom"/>
            <w:shd w:val="clear" w:color="auto" w:fill="CCECFF"/>
          </w:tcPr>
          <w:p>
            <w:pPr>
              <w:spacing w:after="0"/>
              <w:rPr>
                <w:sz w:val="12"/>
                <w:szCs w:val="12"/>
                <w:color w:val="auto"/>
              </w:rPr>
            </w:pPr>
          </w:p>
        </w:tc>
        <w:tc>
          <w:tcPr>
            <w:tcW w:w="100" w:type="dxa"/>
            <w:vAlign w:val="bottom"/>
            <w:shd w:val="clear" w:color="auto" w:fill="CCECFF"/>
          </w:tcPr>
          <w:p>
            <w:pPr>
              <w:spacing w:after="0"/>
              <w:rPr>
                <w:sz w:val="12"/>
                <w:szCs w:val="12"/>
                <w:color w:val="auto"/>
              </w:rPr>
            </w:pPr>
          </w:p>
        </w:tc>
        <w:tc>
          <w:tcPr>
            <w:tcW w:w="580" w:type="dxa"/>
            <w:vAlign w:val="bottom"/>
            <w:shd w:val="clear" w:color="auto" w:fill="CCECFF"/>
          </w:tcPr>
          <w:p>
            <w:pPr>
              <w:jc w:val="right"/>
              <w:spacing w:after="0"/>
              <w:rPr>
                <w:sz w:val="20"/>
                <w:szCs w:val="20"/>
                <w:color w:val="auto"/>
              </w:rPr>
            </w:pPr>
            <w:r>
              <w:rPr>
                <w:rFonts w:ascii="Arial" w:cs="Arial" w:eastAsia="Arial" w:hAnsi="Arial"/>
                <w:sz w:val="12"/>
                <w:szCs w:val="12"/>
                <w:color w:val="auto"/>
              </w:rPr>
              <w:t>4,887,760</w:t>
            </w:r>
          </w:p>
        </w:tc>
        <w:tc>
          <w:tcPr>
            <w:tcW w:w="240" w:type="dxa"/>
            <w:vAlign w:val="bottom"/>
            <w:shd w:val="clear" w:color="auto" w:fill="CCECFF"/>
          </w:tcPr>
          <w:p>
            <w:pPr>
              <w:spacing w:after="0"/>
              <w:rPr>
                <w:sz w:val="12"/>
                <w:szCs w:val="12"/>
                <w:color w:val="auto"/>
              </w:rPr>
            </w:pPr>
          </w:p>
        </w:tc>
        <w:tc>
          <w:tcPr>
            <w:tcW w:w="80" w:type="dxa"/>
            <w:vAlign w:val="bottom"/>
            <w:shd w:val="clear" w:color="auto" w:fill="CCECFF"/>
          </w:tcPr>
          <w:p>
            <w:pPr>
              <w:spacing w:after="0"/>
              <w:rPr>
                <w:sz w:val="12"/>
                <w:szCs w:val="12"/>
                <w:color w:val="auto"/>
              </w:rPr>
            </w:pPr>
          </w:p>
        </w:tc>
        <w:tc>
          <w:tcPr>
            <w:tcW w:w="620" w:type="dxa"/>
            <w:vAlign w:val="bottom"/>
            <w:shd w:val="clear" w:color="auto" w:fill="CCECFF"/>
          </w:tcPr>
          <w:p>
            <w:pPr>
              <w:jc w:val="right"/>
              <w:spacing w:after="0"/>
              <w:rPr>
                <w:sz w:val="20"/>
                <w:szCs w:val="20"/>
                <w:color w:val="auto"/>
              </w:rPr>
            </w:pPr>
            <w:r>
              <w:rPr>
                <w:rFonts w:ascii="Arial" w:cs="Arial" w:eastAsia="Arial" w:hAnsi="Arial"/>
                <w:sz w:val="12"/>
                <w:szCs w:val="12"/>
                <w:color w:val="auto"/>
              </w:rPr>
              <w:t>3,739,797</w:t>
            </w:r>
          </w:p>
        </w:tc>
        <w:tc>
          <w:tcPr>
            <w:tcW w:w="240" w:type="dxa"/>
            <w:vAlign w:val="bottom"/>
            <w:shd w:val="clear" w:color="auto" w:fill="CCECFF"/>
          </w:tcPr>
          <w:p>
            <w:pPr>
              <w:spacing w:after="0"/>
              <w:rPr>
                <w:sz w:val="12"/>
                <w:szCs w:val="12"/>
                <w:color w:val="auto"/>
              </w:rPr>
            </w:pPr>
          </w:p>
        </w:tc>
        <w:tc>
          <w:tcPr>
            <w:tcW w:w="80" w:type="dxa"/>
            <w:vAlign w:val="bottom"/>
            <w:shd w:val="clear" w:color="auto" w:fill="CCECFF"/>
          </w:tcPr>
          <w:p>
            <w:pPr>
              <w:spacing w:after="0"/>
              <w:rPr>
                <w:sz w:val="12"/>
                <w:szCs w:val="12"/>
                <w:color w:val="auto"/>
              </w:rPr>
            </w:pPr>
          </w:p>
        </w:tc>
        <w:tc>
          <w:tcPr>
            <w:tcW w:w="640" w:type="dxa"/>
            <w:vAlign w:val="bottom"/>
            <w:shd w:val="clear" w:color="auto" w:fill="CCECFF"/>
          </w:tcPr>
          <w:p>
            <w:pPr>
              <w:jc w:val="right"/>
              <w:spacing w:after="0"/>
              <w:rPr>
                <w:sz w:val="20"/>
                <w:szCs w:val="20"/>
                <w:color w:val="auto"/>
              </w:rPr>
            </w:pPr>
            <w:r>
              <w:rPr>
                <w:rFonts w:ascii="Arial" w:cs="Arial" w:eastAsia="Arial" w:hAnsi="Arial"/>
                <w:sz w:val="12"/>
                <w:szCs w:val="12"/>
                <w:color w:val="auto"/>
              </w:rPr>
              <w:t>2,932,656</w:t>
            </w:r>
          </w:p>
        </w:tc>
        <w:tc>
          <w:tcPr>
            <w:tcW w:w="100" w:type="dxa"/>
            <w:vAlign w:val="bottom"/>
            <w:shd w:val="clear" w:color="auto" w:fill="CCECFF"/>
          </w:tcPr>
          <w:p>
            <w:pPr>
              <w:spacing w:after="0"/>
              <w:rPr>
                <w:sz w:val="12"/>
                <w:szCs w:val="12"/>
                <w:color w:val="auto"/>
              </w:rPr>
            </w:pPr>
          </w:p>
        </w:tc>
      </w:tr>
      <w:tr>
        <w:trPr>
          <w:trHeight w:val="148"/>
        </w:trPr>
        <w:tc>
          <w:tcPr>
            <w:tcW w:w="3000" w:type="dxa"/>
            <w:vAlign w:val="bottom"/>
          </w:tcPr>
          <w:p>
            <w:pPr>
              <w:spacing w:after="0"/>
              <w:rPr>
                <w:sz w:val="20"/>
                <w:szCs w:val="20"/>
                <w:color w:val="auto"/>
              </w:rPr>
            </w:pPr>
            <w:r>
              <w:rPr>
                <w:rFonts w:ascii="Arial" w:cs="Arial" w:eastAsia="Arial" w:hAnsi="Arial"/>
                <w:sz w:val="12"/>
                <w:szCs w:val="12"/>
                <w:color w:val="auto"/>
              </w:rPr>
              <w:t>Jacobs Entertainment, Inc.</w:t>
            </w:r>
          </w:p>
        </w:tc>
        <w:tc>
          <w:tcPr>
            <w:tcW w:w="920" w:type="dxa"/>
            <w:vAlign w:val="bottom"/>
          </w:tcPr>
          <w:p>
            <w:pPr>
              <w:ind w:left="120"/>
              <w:spacing w:after="0"/>
              <w:rPr>
                <w:sz w:val="20"/>
                <w:szCs w:val="20"/>
                <w:color w:val="auto"/>
              </w:rPr>
            </w:pPr>
            <w:r>
              <w:rPr>
                <w:rFonts w:ascii="Arial" w:cs="Arial" w:eastAsia="Arial" w:hAnsi="Arial"/>
                <w:sz w:val="12"/>
                <w:szCs w:val="12"/>
                <w:color w:val="auto"/>
              </w:rPr>
              <w:t>10/29/2019</w:t>
            </w:r>
          </w:p>
        </w:tc>
        <w:tc>
          <w:tcPr>
            <w:tcW w:w="2760" w:type="dxa"/>
            <w:vAlign w:val="bottom"/>
            <w:gridSpan w:val="2"/>
          </w:tcPr>
          <w:p>
            <w:pPr>
              <w:jc w:val="center"/>
              <w:ind w:right="160"/>
              <w:spacing w:after="0"/>
              <w:rPr>
                <w:sz w:val="20"/>
                <w:szCs w:val="20"/>
                <w:color w:val="auto"/>
              </w:rPr>
            </w:pPr>
            <w:r>
              <w:rPr>
                <w:rFonts w:ascii="Arial" w:cs="Arial" w:eastAsia="Arial" w:hAnsi="Arial"/>
                <w:sz w:val="12"/>
                <w:szCs w:val="12"/>
                <w:color w:val="auto"/>
                <w:w w:val="89"/>
              </w:rPr>
              <w:t>Hotels, Motels, Inns and Gaming</w:t>
            </w:r>
          </w:p>
        </w:tc>
        <w:tc>
          <w:tcPr>
            <w:tcW w:w="820" w:type="dxa"/>
            <w:vAlign w:val="bottom"/>
            <w:gridSpan w:val="2"/>
          </w:tcPr>
          <w:p>
            <w:pPr>
              <w:jc w:val="right"/>
              <w:ind w:right="60"/>
              <w:spacing w:after="0"/>
              <w:rPr>
                <w:sz w:val="20"/>
                <w:szCs w:val="20"/>
                <w:color w:val="auto"/>
              </w:rPr>
            </w:pPr>
            <w:r>
              <w:rPr>
                <w:rFonts w:ascii="Arial" w:cs="Arial" w:eastAsia="Arial" w:hAnsi="Arial"/>
                <w:sz w:val="12"/>
                <w:szCs w:val="12"/>
                <w:color w:val="auto"/>
              </w:rPr>
              <w:t>13.00%</w:t>
            </w:r>
          </w:p>
        </w:tc>
        <w:tc>
          <w:tcPr>
            <w:tcW w:w="140" w:type="dxa"/>
            <w:vAlign w:val="bottom"/>
          </w:tcPr>
          <w:p>
            <w:pPr>
              <w:spacing w:after="0"/>
              <w:rPr>
                <w:sz w:val="12"/>
                <w:szCs w:val="12"/>
                <w:color w:val="auto"/>
              </w:rPr>
            </w:pPr>
          </w:p>
        </w:tc>
        <w:tc>
          <w:tcPr>
            <w:tcW w:w="680" w:type="dxa"/>
            <w:vAlign w:val="bottom"/>
          </w:tcPr>
          <w:p>
            <w:pPr>
              <w:jc w:val="right"/>
              <w:spacing w:after="0"/>
              <w:rPr>
                <w:sz w:val="20"/>
                <w:szCs w:val="20"/>
                <w:color w:val="auto"/>
              </w:rPr>
            </w:pPr>
            <w:r>
              <w:rPr>
                <w:rFonts w:ascii="Arial" w:cs="Arial" w:eastAsia="Arial" w:hAnsi="Arial"/>
                <w:sz w:val="12"/>
                <w:szCs w:val="12"/>
                <w:color w:val="auto"/>
              </w:rPr>
              <w:t>L+1,175</w:t>
            </w:r>
          </w:p>
        </w:tc>
        <w:tc>
          <w:tcPr>
            <w:tcW w:w="2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80" w:type="dxa"/>
            <w:vAlign w:val="bottom"/>
          </w:tcPr>
          <w:p>
            <w:pPr>
              <w:jc w:val="right"/>
              <w:spacing w:after="0"/>
              <w:rPr>
                <w:sz w:val="20"/>
                <w:szCs w:val="20"/>
                <w:color w:val="auto"/>
              </w:rPr>
            </w:pPr>
            <w:r>
              <w:rPr>
                <w:rFonts w:ascii="Arial" w:cs="Arial" w:eastAsia="Arial" w:hAnsi="Arial"/>
                <w:sz w:val="12"/>
                <w:szCs w:val="12"/>
                <w:color w:val="auto"/>
                <w:w w:val="89"/>
              </w:rPr>
              <w:t>51,775,000</w:t>
            </w:r>
          </w:p>
        </w:tc>
        <w:tc>
          <w:tcPr>
            <w:tcW w:w="2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20" w:type="dxa"/>
            <w:vAlign w:val="bottom"/>
          </w:tcPr>
          <w:p>
            <w:pPr>
              <w:jc w:val="right"/>
              <w:spacing w:after="0"/>
              <w:rPr>
                <w:sz w:val="20"/>
                <w:szCs w:val="20"/>
                <w:color w:val="auto"/>
              </w:rPr>
            </w:pPr>
            <w:r>
              <w:rPr>
                <w:rFonts w:ascii="Arial" w:cs="Arial" w:eastAsia="Arial" w:hAnsi="Arial"/>
                <w:sz w:val="12"/>
                <w:szCs w:val="12"/>
                <w:color w:val="auto"/>
                <w:w w:val="99"/>
              </w:rPr>
              <w:t>51,362,786</w:t>
            </w:r>
          </w:p>
        </w:tc>
        <w:tc>
          <w:tcPr>
            <w:tcW w:w="2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40" w:type="dxa"/>
            <w:vAlign w:val="bottom"/>
          </w:tcPr>
          <w:p>
            <w:pPr>
              <w:jc w:val="right"/>
              <w:spacing w:after="0"/>
              <w:rPr>
                <w:sz w:val="20"/>
                <w:szCs w:val="20"/>
                <w:color w:val="auto"/>
              </w:rPr>
            </w:pPr>
            <w:r>
              <w:rPr>
                <w:rFonts w:ascii="Arial" w:cs="Arial" w:eastAsia="Arial" w:hAnsi="Arial"/>
                <w:sz w:val="12"/>
                <w:szCs w:val="12"/>
                <w:color w:val="auto"/>
                <w:w w:val="99"/>
              </w:rPr>
              <w:t>51,775,000</w:t>
            </w:r>
          </w:p>
        </w:tc>
        <w:tc>
          <w:tcPr>
            <w:tcW w:w="100" w:type="dxa"/>
            <w:vAlign w:val="bottom"/>
          </w:tcPr>
          <w:p>
            <w:pPr>
              <w:spacing w:after="0"/>
              <w:rPr>
                <w:sz w:val="12"/>
                <w:szCs w:val="12"/>
                <w:color w:val="auto"/>
              </w:rPr>
            </w:pPr>
          </w:p>
        </w:tc>
      </w:tr>
      <w:tr>
        <w:trPr>
          <w:trHeight w:val="148"/>
        </w:trPr>
        <w:tc>
          <w:tcPr>
            <w:tcW w:w="3000" w:type="dxa"/>
            <w:vAlign w:val="bottom"/>
            <w:shd w:val="clear" w:color="auto" w:fill="CCECFF"/>
          </w:tcPr>
          <w:p>
            <w:pPr>
              <w:spacing w:after="0"/>
              <w:rPr>
                <w:sz w:val="20"/>
                <w:szCs w:val="20"/>
                <w:color w:val="auto"/>
              </w:rPr>
            </w:pPr>
            <w:r>
              <w:rPr>
                <w:rFonts w:ascii="Arial" w:cs="Arial" w:eastAsia="Arial" w:hAnsi="Arial"/>
                <w:sz w:val="12"/>
                <w:szCs w:val="12"/>
                <w:color w:val="auto"/>
              </w:rPr>
              <w:t>MailSouth, Inc.</w:t>
            </w:r>
          </w:p>
        </w:tc>
        <w:tc>
          <w:tcPr>
            <w:tcW w:w="920" w:type="dxa"/>
            <w:vAlign w:val="bottom"/>
            <w:shd w:val="clear" w:color="auto" w:fill="CCECFF"/>
          </w:tcPr>
          <w:p>
            <w:pPr>
              <w:ind w:left="120"/>
              <w:spacing w:after="0"/>
              <w:rPr>
                <w:sz w:val="20"/>
                <w:szCs w:val="20"/>
                <w:color w:val="auto"/>
              </w:rPr>
            </w:pPr>
            <w:r>
              <w:rPr>
                <w:rFonts w:ascii="Arial" w:cs="Arial" w:eastAsia="Arial" w:hAnsi="Arial"/>
                <w:sz w:val="12"/>
                <w:szCs w:val="12"/>
                <w:color w:val="auto"/>
              </w:rPr>
              <w:t>10/22/2021</w:t>
            </w:r>
          </w:p>
        </w:tc>
        <w:tc>
          <w:tcPr>
            <w:tcW w:w="2760" w:type="dxa"/>
            <w:vAlign w:val="bottom"/>
            <w:gridSpan w:val="2"/>
            <w:shd w:val="clear" w:color="auto" w:fill="CCECFF"/>
          </w:tcPr>
          <w:p>
            <w:pPr>
              <w:jc w:val="center"/>
              <w:ind w:right="160"/>
              <w:spacing w:after="0"/>
              <w:rPr>
                <w:sz w:val="20"/>
                <w:szCs w:val="20"/>
                <w:color w:val="auto"/>
              </w:rPr>
            </w:pPr>
            <w:r>
              <w:rPr>
                <w:rFonts w:ascii="Arial" w:cs="Arial" w:eastAsia="Arial" w:hAnsi="Arial"/>
                <w:sz w:val="12"/>
                <w:szCs w:val="12"/>
                <w:color w:val="auto"/>
                <w:w w:val="91"/>
              </w:rPr>
              <w:t>Printing and Publishing</w:t>
            </w:r>
          </w:p>
        </w:tc>
        <w:tc>
          <w:tcPr>
            <w:tcW w:w="820" w:type="dxa"/>
            <w:vAlign w:val="bottom"/>
            <w:gridSpan w:val="2"/>
            <w:shd w:val="clear" w:color="auto" w:fill="CCECFF"/>
          </w:tcPr>
          <w:p>
            <w:pPr>
              <w:jc w:val="right"/>
              <w:ind w:right="60"/>
              <w:spacing w:after="0"/>
              <w:rPr>
                <w:sz w:val="20"/>
                <w:szCs w:val="20"/>
                <w:color w:val="auto"/>
              </w:rPr>
            </w:pPr>
            <w:r>
              <w:rPr>
                <w:rFonts w:ascii="Arial" w:cs="Arial" w:eastAsia="Arial" w:hAnsi="Arial"/>
                <w:sz w:val="12"/>
                <w:szCs w:val="12"/>
                <w:color w:val="auto"/>
              </w:rPr>
              <w:t>11.50%</w:t>
            </w:r>
          </w:p>
        </w:tc>
        <w:tc>
          <w:tcPr>
            <w:tcW w:w="140" w:type="dxa"/>
            <w:vAlign w:val="bottom"/>
            <w:shd w:val="clear" w:color="auto" w:fill="CCECFF"/>
          </w:tcPr>
          <w:p>
            <w:pPr>
              <w:spacing w:after="0"/>
              <w:rPr>
                <w:sz w:val="12"/>
                <w:szCs w:val="12"/>
                <w:color w:val="auto"/>
              </w:rPr>
            </w:pPr>
          </w:p>
        </w:tc>
        <w:tc>
          <w:tcPr>
            <w:tcW w:w="680" w:type="dxa"/>
            <w:vAlign w:val="bottom"/>
            <w:shd w:val="clear" w:color="auto" w:fill="CCECFF"/>
          </w:tcPr>
          <w:p>
            <w:pPr>
              <w:jc w:val="right"/>
              <w:spacing w:after="0"/>
              <w:rPr>
                <w:sz w:val="20"/>
                <w:szCs w:val="20"/>
                <w:color w:val="auto"/>
              </w:rPr>
            </w:pPr>
            <w:r>
              <w:rPr>
                <w:rFonts w:ascii="Arial" w:cs="Arial" w:eastAsia="Arial" w:hAnsi="Arial"/>
                <w:sz w:val="12"/>
                <w:szCs w:val="12"/>
                <w:color w:val="auto"/>
              </w:rPr>
              <w:t>L+1,050</w:t>
            </w:r>
          </w:p>
        </w:tc>
        <w:tc>
          <w:tcPr>
            <w:tcW w:w="240" w:type="dxa"/>
            <w:vAlign w:val="bottom"/>
            <w:shd w:val="clear" w:color="auto" w:fill="CCECFF"/>
          </w:tcPr>
          <w:p>
            <w:pPr>
              <w:spacing w:after="0"/>
              <w:rPr>
                <w:sz w:val="12"/>
                <w:szCs w:val="12"/>
                <w:color w:val="auto"/>
              </w:rPr>
            </w:pPr>
          </w:p>
        </w:tc>
        <w:tc>
          <w:tcPr>
            <w:tcW w:w="100" w:type="dxa"/>
            <w:vAlign w:val="bottom"/>
            <w:shd w:val="clear" w:color="auto" w:fill="CCECFF"/>
          </w:tcPr>
          <w:p>
            <w:pPr>
              <w:spacing w:after="0"/>
              <w:rPr>
                <w:sz w:val="12"/>
                <w:szCs w:val="12"/>
                <w:color w:val="auto"/>
              </w:rPr>
            </w:pPr>
          </w:p>
        </w:tc>
        <w:tc>
          <w:tcPr>
            <w:tcW w:w="580" w:type="dxa"/>
            <w:vAlign w:val="bottom"/>
            <w:shd w:val="clear" w:color="auto" w:fill="CCECFF"/>
          </w:tcPr>
          <w:p>
            <w:pPr>
              <w:jc w:val="right"/>
              <w:spacing w:after="0"/>
              <w:rPr>
                <w:sz w:val="20"/>
                <w:szCs w:val="20"/>
                <w:color w:val="auto"/>
              </w:rPr>
            </w:pPr>
            <w:r>
              <w:rPr>
                <w:rFonts w:ascii="Arial" w:cs="Arial" w:eastAsia="Arial" w:hAnsi="Arial"/>
                <w:sz w:val="12"/>
                <w:szCs w:val="12"/>
                <w:color w:val="auto"/>
                <w:w w:val="89"/>
              </w:rPr>
              <w:t>26,425,000</w:t>
            </w:r>
          </w:p>
        </w:tc>
        <w:tc>
          <w:tcPr>
            <w:tcW w:w="240" w:type="dxa"/>
            <w:vAlign w:val="bottom"/>
            <w:shd w:val="clear" w:color="auto" w:fill="CCECFF"/>
          </w:tcPr>
          <w:p>
            <w:pPr>
              <w:spacing w:after="0"/>
              <w:rPr>
                <w:sz w:val="12"/>
                <w:szCs w:val="12"/>
                <w:color w:val="auto"/>
              </w:rPr>
            </w:pPr>
          </w:p>
        </w:tc>
        <w:tc>
          <w:tcPr>
            <w:tcW w:w="80" w:type="dxa"/>
            <w:vAlign w:val="bottom"/>
            <w:shd w:val="clear" w:color="auto" w:fill="CCECFF"/>
          </w:tcPr>
          <w:p>
            <w:pPr>
              <w:spacing w:after="0"/>
              <w:rPr>
                <w:sz w:val="12"/>
                <w:szCs w:val="12"/>
                <w:color w:val="auto"/>
              </w:rPr>
            </w:pPr>
          </w:p>
        </w:tc>
        <w:tc>
          <w:tcPr>
            <w:tcW w:w="620" w:type="dxa"/>
            <w:vAlign w:val="bottom"/>
            <w:shd w:val="clear" w:color="auto" w:fill="CCECFF"/>
          </w:tcPr>
          <w:p>
            <w:pPr>
              <w:jc w:val="right"/>
              <w:spacing w:after="0"/>
              <w:rPr>
                <w:sz w:val="20"/>
                <w:szCs w:val="20"/>
                <w:color w:val="auto"/>
              </w:rPr>
            </w:pPr>
            <w:r>
              <w:rPr>
                <w:rFonts w:ascii="Arial" w:cs="Arial" w:eastAsia="Arial" w:hAnsi="Arial"/>
                <w:sz w:val="12"/>
                <w:szCs w:val="12"/>
                <w:color w:val="auto"/>
                <w:w w:val="99"/>
              </w:rPr>
              <w:t>25,926,258</w:t>
            </w:r>
          </w:p>
        </w:tc>
        <w:tc>
          <w:tcPr>
            <w:tcW w:w="240" w:type="dxa"/>
            <w:vAlign w:val="bottom"/>
            <w:shd w:val="clear" w:color="auto" w:fill="CCECFF"/>
          </w:tcPr>
          <w:p>
            <w:pPr>
              <w:spacing w:after="0"/>
              <w:rPr>
                <w:sz w:val="12"/>
                <w:szCs w:val="12"/>
                <w:color w:val="auto"/>
              </w:rPr>
            </w:pPr>
          </w:p>
        </w:tc>
        <w:tc>
          <w:tcPr>
            <w:tcW w:w="80" w:type="dxa"/>
            <w:vAlign w:val="bottom"/>
            <w:shd w:val="clear" w:color="auto" w:fill="CCECFF"/>
          </w:tcPr>
          <w:p>
            <w:pPr>
              <w:spacing w:after="0"/>
              <w:rPr>
                <w:sz w:val="12"/>
                <w:szCs w:val="12"/>
                <w:color w:val="auto"/>
              </w:rPr>
            </w:pPr>
          </w:p>
        </w:tc>
        <w:tc>
          <w:tcPr>
            <w:tcW w:w="640" w:type="dxa"/>
            <w:vAlign w:val="bottom"/>
            <w:shd w:val="clear" w:color="auto" w:fill="CCECFF"/>
          </w:tcPr>
          <w:p>
            <w:pPr>
              <w:jc w:val="right"/>
              <w:spacing w:after="0"/>
              <w:rPr>
                <w:sz w:val="20"/>
                <w:szCs w:val="20"/>
                <w:color w:val="auto"/>
              </w:rPr>
            </w:pPr>
            <w:r>
              <w:rPr>
                <w:rFonts w:ascii="Arial" w:cs="Arial" w:eastAsia="Arial" w:hAnsi="Arial"/>
                <w:sz w:val="12"/>
                <w:szCs w:val="12"/>
                <w:color w:val="auto"/>
                <w:w w:val="99"/>
              </w:rPr>
              <w:t>26,425,000</w:t>
            </w:r>
          </w:p>
        </w:tc>
        <w:tc>
          <w:tcPr>
            <w:tcW w:w="100" w:type="dxa"/>
            <w:vAlign w:val="bottom"/>
            <w:shd w:val="clear" w:color="auto" w:fill="CCECFF"/>
          </w:tcPr>
          <w:p>
            <w:pPr>
              <w:spacing w:after="0"/>
              <w:rPr>
                <w:sz w:val="12"/>
                <w:szCs w:val="12"/>
                <w:color w:val="auto"/>
              </w:rPr>
            </w:pPr>
          </w:p>
        </w:tc>
      </w:tr>
      <w:tr>
        <w:trPr>
          <w:trHeight w:val="148"/>
        </w:trPr>
        <w:tc>
          <w:tcPr>
            <w:tcW w:w="3000" w:type="dxa"/>
            <w:vAlign w:val="bottom"/>
          </w:tcPr>
          <w:p>
            <w:pPr>
              <w:spacing w:after="0"/>
              <w:rPr>
                <w:sz w:val="20"/>
                <w:szCs w:val="20"/>
                <w:color w:val="auto"/>
              </w:rPr>
            </w:pPr>
            <w:r>
              <w:rPr>
                <w:rFonts w:ascii="Arial" w:cs="Arial" w:eastAsia="Arial" w:hAnsi="Arial"/>
                <w:sz w:val="12"/>
                <w:szCs w:val="12"/>
                <w:color w:val="auto"/>
              </w:rPr>
              <w:t>Novitex Acquisition, LLC</w:t>
            </w:r>
          </w:p>
        </w:tc>
        <w:tc>
          <w:tcPr>
            <w:tcW w:w="920" w:type="dxa"/>
            <w:vAlign w:val="bottom"/>
          </w:tcPr>
          <w:p>
            <w:pPr>
              <w:ind w:left="120"/>
              <w:spacing w:after="0"/>
              <w:rPr>
                <w:sz w:val="20"/>
                <w:szCs w:val="20"/>
                <w:color w:val="auto"/>
              </w:rPr>
            </w:pPr>
            <w:r>
              <w:rPr>
                <w:rFonts w:ascii="Arial" w:cs="Arial" w:eastAsia="Arial" w:hAnsi="Arial"/>
                <w:sz w:val="12"/>
                <w:szCs w:val="12"/>
                <w:color w:val="auto"/>
              </w:rPr>
              <w:t>07/07/2021</w:t>
            </w:r>
          </w:p>
        </w:tc>
        <w:tc>
          <w:tcPr>
            <w:tcW w:w="2760" w:type="dxa"/>
            <w:vAlign w:val="bottom"/>
            <w:gridSpan w:val="2"/>
          </w:tcPr>
          <w:p>
            <w:pPr>
              <w:jc w:val="center"/>
              <w:ind w:right="160"/>
              <w:spacing w:after="0"/>
              <w:rPr>
                <w:sz w:val="20"/>
                <w:szCs w:val="20"/>
                <w:color w:val="auto"/>
              </w:rPr>
            </w:pPr>
            <w:r>
              <w:rPr>
                <w:rFonts w:ascii="Arial" w:cs="Arial" w:eastAsia="Arial" w:hAnsi="Arial"/>
                <w:sz w:val="12"/>
                <w:szCs w:val="12"/>
                <w:color w:val="auto"/>
                <w:w w:val="85"/>
              </w:rPr>
              <w:t>Business Services</w:t>
            </w:r>
          </w:p>
        </w:tc>
        <w:tc>
          <w:tcPr>
            <w:tcW w:w="820" w:type="dxa"/>
            <w:vAlign w:val="bottom"/>
            <w:gridSpan w:val="2"/>
          </w:tcPr>
          <w:p>
            <w:pPr>
              <w:jc w:val="right"/>
              <w:ind w:right="60"/>
              <w:spacing w:after="0"/>
              <w:rPr>
                <w:sz w:val="20"/>
                <w:szCs w:val="20"/>
                <w:color w:val="auto"/>
              </w:rPr>
            </w:pPr>
            <w:r>
              <w:rPr>
                <w:rFonts w:ascii="Arial" w:cs="Arial" w:eastAsia="Arial" w:hAnsi="Arial"/>
                <w:sz w:val="12"/>
                <w:szCs w:val="12"/>
                <w:color w:val="auto"/>
              </w:rPr>
              <w:t>12.25%</w:t>
            </w:r>
          </w:p>
        </w:tc>
        <w:tc>
          <w:tcPr>
            <w:tcW w:w="140" w:type="dxa"/>
            <w:vAlign w:val="bottom"/>
          </w:tcPr>
          <w:p>
            <w:pPr>
              <w:spacing w:after="0"/>
              <w:rPr>
                <w:sz w:val="12"/>
                <w:szCs w:val="12"/>
                <w:color w:val="auto"/>
              </w:rPr>
            </w:pPr>
          </w:p>
        </w:tc>
        <w:tc>
          <w:tcPr>
            <w:tcW w:w="680" w:type="dxa"/>
            <w:vAlign w:val="bottom"/>
          </w:tcPr>
          <w:p>
            <w:pPr>
              <w:jc w:val="right"/>
              <w:spacing w:after="0"/>
              <w:rPr>
                <w:sz w:val="20"/>
                <w:szCs w:val="20"/>
                <w:color w:val="auto"/>
              </w:rPr>
            </w:pPr>
            <w:r>
              <w:rPr>
                <w:rFonts w:ascii="Arial" w:cs="Arial" w:eastAsia="Arial" w:hAnsi="Arial"/>
                <w:sz w:val="12"/>
                <w:szCs w:val="12"/>
                <w:color w:val="auto"/>
              </w:rPr>
              <w:t>L+1,100</w:t>
            </w:r>
          </w:p>
        </w:tc>
        <w:tc>
          <w:tcPr>
            <w:tcW w:w="2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80" w:type="dxa"/>
            <w:vAlign w:val="bottom"/>
          </w:tcPr>
          <w:p>
            <w:pPr>
              <w:jc w:val="right"/>
              <w:spacing w:after="0"/>
              <w:rPr>
                <w:sz w:val="20"/>
                <w:szCs w:val="20"/>
                <w:color w:val="auto"/>
              </w:rPr>
            </w:pPr>
            <w:r>
              <w:rPr>
                <w:rFonts w:ascii="Arial" w:cs="Arial" w:eastAsia="Arial" w:hAnsi="Arial"/>
                <w:sz w:val="12"/>
                <w:szCs w:val="12"/>
                <w:color w:val="auto"/>
                <w:w w:val="89"/>
              </w:rPr>
              <w:t>41,250,000</w:t>
            </w:r>
          </w:p>
        </w:tc>
        <w:tc>
          <w:tcPr>
            <w:tcW w:w="2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20" w:type="dxa"/>
            <w:vAlign w:val="bottom"/>
          </w:tcPr>
          <w:p>
            <w:pPr>
              <w:jc w:val="right"/>
              <w:spacing w:after="0"/>
              <w:rPr>
                <w:sz w:val="20"/>
                <w:szCs w:val="20"/>
                <w:color w:val="auto"/>
              </w:rPr>
            </w:pPr>
            <w:r>
              <w:rPr>
                <w:rFonts w:ascii="Arial" w:cs="Arial" w:eastAsia="Arial" w:hAnsi="Arial"/>
                <w:sz w:val="12"/>
                <w:szCs w:val="12"/>
                <w:color w:val="auto"/>
                <w:w w:val="99"/>
              </w:rPr>
              <w:t>40,929,816</w:t>
            </w:r>
          </w:p>
        </w:tc>
        <w:tc>
          <w:tcPr>
            <w:tcW w:w="2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40" w:type="dxa"/>
            <w:vAlign w:val="bottom"/>
          </w:tcPr>
          <w:p>
            <w:pPr>
              <w:jc w:val="right"/>
              <w:spacing w:after="0"/>
              <w:rPr>
                <w:sz w:val="20"/>
                <w:szCs w:val="20"/>
                <w:color w:val="auto"/>
              </w:rPr>
            </w:pPr>
            <w:r>
              <w:rPr>
                <w:rFonts w:ascii="Arial" w:cs="Arial" w:eastAsia="Arial" w:hAnsi="Arial"/>
                <w:sz w:val="12"/>
                <w:szCs w:val="12"/>
                <w:color w:val="auto"/>
                <w:w w:val="99"/>
              </w:rPr>
              <w:t>41,250,000</w:t>
            </w:r>
          </w:p>
        </w:tc>
        <w:tc>
          <w:tcPr>
            <w:tcW w:w="100" w:type="dxa"/>
            <w:vAlign w:val="bottom"/>
          </w:tcPr>
          <w:p>
            <w:pPr>
              <w:spacing w:after="0"/>
              <w:rPr>
                <w:sz w:val="12"/>
                <w:szCs w:val="12"/>
                <w:color w:val="auto"/>
              </w:rPr>
            </w:pPr>
          </w:p>
        </w:tc>
      </w:tr>
      <w:tr>
        <w:trPr>
          <w:trHeight w:val="148"/>
        </w:trPr>
        <w:tc>
          <w:tcPr>
            <w:tcW w:w="3000" w:type="dxa"/>
            <w:vAlign w:val="bottom"/>
            <w:shd w:val="clear" w:color="auto" w:fill="CCECFF"/>
          </w:tcPr>
          <w:p>
            <w:pPr>
              <w:spacing w:after="0"/>
              <w:rPr>
                <w:sz w:val="20"/>
                <w:szCs w:val="20"/>
                <w:color w:val="auto"/>
              </w:rPr>
            </w:pPr>
            <w:r>
              <w:rPr>
                <w:rFonts w:ascii="Arial" w:cs="Arial" w:eastAsia="Arial" w:hAnsi="Arial"/>
                <w:sz w:val="12"/>
                <w:szCs w:val="12"/>
                <w:color w:val="auto"/>
              </w:rPr>
              <w:t xml:space="preserve">Parq Holdings Limited Partnership </w:t>
            </w:r>
            <w:r>
              <w:rPr>
                <w:rFonts w:ascii="Arial" w:cs="Arial" w:eastAsia="Arial" w:hAnsi="Arial"/>
                <w:sz w:val="9"/>
                <w:szCs w:val="9"/>
                <w:color w:val="auto"/>
              </w:rPr>
              <w:t>(9), (12)</w:t>
            </w:r>
          </w:p>
        </w:tc>
        <w:tc>
          <w:tcPr>
            <w:tcW w:w="920" w:type="dxa"/>
            <w:vAlign w:val="bottom"/>
            <w:shd w:val="clear" w:color="auto" w:fill="CCECFF"/>
          </w:tcPr>
          <w:p>
            <w:pPr>
              <w:ind w:left="120"/>
              <w:spacing w:after="0"/>
              <w:rPr>
                <w:sz w:val="20"/>
                <w:szCs w:val="20"/>
                <w:color w:val="auto"/>
              </w:rPr>
            </w:pPr>
            <w:r>
              <w:rPr>
                <w:rFonts w:ascii="Arial" w:cs="Arial" w:eastAsia="Arial" w:hAnsi="Arial"/>
                <w:sz w:val="12"/>
                <w:szCs w:val="12"/>
                <w:color w:val="auto"/>
              </w:rPr>
              <w:t>12/17/2021</w:t>
            </w:r>
          </w:p>
        </w:tc>
        <w:tc>
          <w:tcPr>
            <w:tcW w:w="2760" w:type="dxa"/>
            <w:vAlign w:val="bottom"/>
            <w:gridSpan w:val="2"/>
            <w:shd w:val="clear" w:color="auto" w:fill="CCECFF"/>
          </w:tcPr>
          <w:p>
            <w:pPr>
              <w:jc w:val="center"/>
              <w:ind w:right="160"/>
              <w:spacing w:after="0"/>
              <w:rPr>
                <w:sz w:val="20"/>
                <w:szCs w:val="20"/>
                <w:color w:val="auto"/>
              </w:rPr>
            </w:pPr>
            <w:r>
              <w:rPr>
                <w:rFonts w:ascii="Arial" w:cs="Arial" w:eastAsia="Arial" w:hAnsi="Arial"/>
                <w:sz w:val="12"/>
                <w:szCs w:val="12"/>
                <w:color w:val="auto"/>
                <w:w w:val="89"/>
              </w:rPr>
              <w:t>Hotels, Motels, Inns and Gaming</w:t>
            </w:r>
          </w:p>
        </w:tc>
        <w:tc>
          <w:tcPr>
            <w:tcW w:w="820" w:type="dxa"/>
            <w:vAlign w:val="bottom"/>
            <w:gridSpan w:val="2"/>
            <w:shd w:val="clear" w:color="auto" w:fill="CCECFF"/>
          </w:tcPr>
          <w:p>
            <w:pPr>
              <w:jc w:val="right"/>
              <w:ind w:right="60"/>
              <w:spacing w:after="0"/>
              <w:rPr>
                <w:sz w:val="20"/>
                <w:szCs w:val="20"/>
                <w:color w:val="auto"/>
              </w:rPr>
            </w:pPr>
            <w:r>
              <w:rPr>
                <w:rFonts w:ascii="Arial" w:cs="Arial" w:eastAsia="Arial" w:hAnsi="Arial"/>
                <w:sz w:val="12"/>
                <w:szCs w:val="12"/>
                <w:color w:val="auto"/>
              </w:rPr>
              <w:t>13.00%</w:t>
            </w:r>
          </w:p>
        </w:tc>
        <w:tc>
          <w:tcPr>
            <w:tcW w:w="140" w:type="dxa"/>
            <w:vAlign w:val="bottom"/>
            <w:shd w:val="clear" w:color="auto" w:fill="CCECFF"/>
          </w:tcPr>
          <w:p>
            <w:pPr>
              <w:spacing w:after="0"/>
              <w:rPr>
                <w:sz w:val="12"/>
                <w:szCs w:val="12"/>
                <w:color w:val="auto"/>
              </w:rPr>
            </w:pPr>
          </w:p>
        </w:tc>
        <w:tc>
          <w:tcPr>
            <w:tcW w:w="680" w:type="dxa"/>
            <w:vAlign w:val="bottom"/>
            <w:shd w:val="clear" w:color="auto" w:fill="CCECFF"/>
          </w:tcPr>
          <w:p>
            <w:pPr>
              <w:jc w:val="right"/>
              <w:spacing w:after="0"/>
              <w:rPr>
                <w:sz w:val="20"/>
                <w:szCs w:val="20"/>
                <w:color w:val="auto"/>
              </w:rPr>
            </w:pPr>
            <w:r>
              <w:rPr>
                <w:rFonts w:ascii="Arial" w:cs="Arial" w:eastAsia="Arial" w:hAnsi="Arial"/>
                <w:sz w:val="12"/>
                <w:szCs w:val="12"/>
                <w:color w:val="auto"/>
              </w:rPr>
              <w:t>L+1,200</w:t>
            </w:r>
          </w:p>
        </w:tc>
        <w:tc>
          <w:tcPr>
            <w:tcW w:w="240" w:type="dxa"/>
            <w:vAlign w:val="bottom"/>
            <w:shd w:val="clear" w:color="auto" w:fill="CCECFF"/>
          </w:tcPr>
          <w:p>
            <w:pPr>
              <w:spacing w:after="0"/>
              <w:rPr>
                <w:sz w:val="12"/>
                <w:szCs w:val="12"/>
                <w:color w:val="auto"/>
              </w:rPr>
            </w:pPr>
          </w:p>
        </w:tc>
        <w:tc>
          <w:tcPr>
            <w:tcW w:w="100" w:type="dxa"/>
            <w:vAlign w:val="bottom"/>
            <w:shd w:val="clear" w:color="auto" w:fill="CCECFF"/>
          </w:tcPr>
          <w:p>
            <w:pPr>
              <w:spacing w:after="0"/>
              <w:rPr>
                <w:sz w:val="12"/>
                <w:szCs w:val="12"/>
                <w:color w:val="auto"/>
              </w:rPr>
            </w:pPr>
          </w:p>
        </w:tc>
        <w:tc>
          <w:tcPr>
            <w:tcW w:w="580" w:type="dxa"/>
            <w:vAlign w:val="bottom"/>
            <w:shd w:val="clear" w:color="auto" w:fill="CCECFF"/>
          </w:tcPr>
          <w:p>
            <w:pPr>
              <w:jc w:val="right"/>
              <w:spacing w:after="0"/>
              <w:rPr>
                <w:sz w:val="20"/>
                <w:szCs w:val="20"/>
                <w:color w:val="auto"/>
              </w:rPr>
            </w:pPr>
            <w:r>
              <w:rPr>
                <w:rFonts w:ascii="Arial" w:cs="Arial" w:eastAsia="Arial" w:hAnsi="Arial"/>
                <w:sz w:val="12"/>
                <w:szCs w:val="12"/>
                <w:color w:val="auto"/>
                <w:w w:val="89"/>
              </w:rPr>
              <w:t>75,000,000</w:t>
            </w:r>
          </w:p>
        </w:tc>
        <w:tc>
          <w:tcPr>
            <w:tcW w:w="240" w:type="dxa"/>
            <w:vAlign w:val="bottom"/>
            <w:shd w:val="clear" w:color="auto" w:fill="CCECFF"/>
          </w:tcPr>
          <w:p>
            <w:pPr>
              <w:spacing w:after="0"/>
              <w:rPr>
                <w:sz w:val="12"/>
                <w:szCs w:val="12"/>
                <w:color w:val="auto"/>
              </w:rPr>
            </w:pPr>
          </w:p>
        </w:tc>
        <w:tc>
          <w:tcPr>
            <w:tcW w:w="80" w:type="dxa"/>
            <w:vAlign w:val="bottom"/>
            <w:shd w:val="clear" w:color="auto" w:fill="CCECFF"/>
          </w:tcPr>
          <w:p>
            <w:pPr>
              <w:spacing w:after="0"/>
              <w:rPr>
                <w:sz w:val="12"/>
                <w:szCs w:val="12"/>
                <w:color w:val="auto"/>
              </w:rPr>
            </w:pPr>
          </w:p>
        </w:tc>
        <w:tc>
          <w:tcPr>
            <w:tcW w:w="620" w:type="dxa"/>
            <w:vAlign w:val="bottom"/>
            <w:shd w:val="clear" w:color="auto" w:fill="CCECFF"/>
          </w:tcPr>
          <w:p>
            <w:pPr>
              <w:jc w:val="right"/>
              <w:spacing w:after="0"/>
              <w:rPr>
                <w:sz w:val="20"/>
                <w:szCs w:val="20"/>
                <w:color w:val="auto"/>
              </w:rPr>
            </w:pPr>
            <w:r>
              <w:rPr>
                <w:rFonts w:ascii="Arial" w:cs="Arial" w:eastAsia="Arial" w:hAnsi="Arial"/>
                <w:sz w:val="12"/>
                <w:szCs w:val="12"/>
                <w:color w:val="auto"/>
                <w:w w:val="99"/>
              </w:rPr>
              <w:t>75,000,000</w:t>
            </w:r>
          </w:p>
        </w:tc>
        <w:tc>
          <w:tcPr>
            <w:tcW w:w="240" w:type="dxa"/>
            <w:vAlign w:val="bottom"/>
            <w:shd w:val="clear" w:color="auto" w:fill="CCECFF"/>
          </w:tcPr>
          <w:p>
            <w:pPr>
              <w:spacing w:after="0"/>
              <w:rPr>
                <w:sz w:val="12"/>
                <w:szCs w:val="12"/>
                <w:color w:val="auto"/>
              </w:rPr>
            </w:pPr>
          </w:p>
        </w:tc>
        <w:tc>
          <w:tcPr>
            <w:tcW w:w="80" w:type="dxa"/>
            <w:vAlign w:val="bottom"/>
            <w:shd w:val="clear" w:color="auto" w:fill="CCECFF"/>
          </w:tcPr>
          <w:p>
            <w:pPr>
              <w:spacing w:after="0"/>
              <w:rPr>
                <w:sz w:val="12"/>
                <w:szCs w:val="12"/>
                <w:color w:val="auto"/>
              </w:rPr>
            </w:pPr>
          </w:p>
        </w:tc>
        <w:tc>
          <w:tcPr>
            <w:tcW w:w="640" w:type="dxa"/>
            <w:vAlign w:val="bottom"/>
            <w:shd w:val="clear" w:color="auto" w:fill="CCECFF"/>
          </w:tcPr>
          <w:p>
            <w:pPr>
              <w:jc w:val="right"/>
              <w:spacing w:after="0"/>
              <w:rPr>
                <w:sz w:val="20"/>
                <w:szCs w:val="20"/>
                <w:color w:val="auto"/>
              </w:rPr>
            </w:pPr>
            <w:r>
              <w:rPr>
                <w:rFonts w:ascii="Arial" w:cs="Arial" w:eastAsia="Arial" w:hAnsi="Arial"/>
                <w:sz w:val="12"/>
                <w:szCs w:val="12"/>
                <w:color w:val="auto"/>
                <w:w w:val="99"/>
              </w:rPr>
              <w:t>76,229,058</w:t>
            </w:r>
          </w:p>
        </w:tc>
        <w:tc>
          <w:tcPr>
            <w:tcW w:w="100" w:type="dxa"/>
            <w:vAlign w:val="bottom"/>
            <w:shd w:val="clear" w:color="auto" w:fill="CCECFF"/>
          </w:tcPr>
          <w:p>
            <w:pPr>
              <w:spacing w:after="0"/>
              <w:rPr>
                <w:sz w:val="12"/>
                <w:szCs w:val="12"/>
                <w:color w:val="auto"/>
              </w:rPr>
            </w:pPr>
          </w:p>
        </w:tc>
      </w:tr>
      <w:tr>
        <w:trPr>
          <w:trHeight w:val="149"/>
        </w:trPr>
        <w:tc>
          <w:tcPr>
            <w:tcW w:w="3000" w:type="dxa"/>
            <w:vAlign w:val="bottom"/>
          </w:tcPr>
          <w:p>
            <w:pPr>
              <w:spacing w:after="0"/>
              <w:rPr>
                <w:sz w:val="20"/>
                <w:szCs w:val="20"/>
                <w:color w:val="auto"/>
              </w:rPr>
            </w:pPr>
            <w:r>
              <w:rPr>
                <w:rFonts w:ascii="Arial" w:cs="Arial" w:eastAsia="Arial" w:hAnsi="Arial"/>
                <w:sz w:val="12"/>
                <w:szCs w:val="12"/>
                <w:color w:val="auto"/>
              </w:rPr>
              <w:t>Penton Media, Inc.</w:t>
            </w:r>
          </w:p>
        </w:tc>
        <w:tc>
          <w:tcPr>
            <w:tcW w:w="920" w:type="dxa"/>
            <w:vAlign w:val="bottom"/>
          </w:tcPr>
          <w:p>
            <w:pPr>
              <w:ind w:left="120"/>
              <w:spacing w:after="0"/>
              <w:rPr>
                <w:sz w:val="20"/>
                <w:szCs w:val="20"/>
                <w:color w:val="auto"/>
              </w:rPr>
            </w:pPr>
            <w:r>
              <w:rPr>
                <w:rFonts w:ascii="Arial" w:cs="Arial" w:eastAsia="Arial" w:hAnsi="Arial"/>
                <w:sz w:val="12"/>
                <w:szCs w:val="12"/>
                <w:color w:val="auto"/>
              </w:rPr>
              <w:t>10/02/2020</w:t>
            </w:r>
          </w:p>
        </w:tc>
        <w:tc>
          <w:tcPr>
            <w:tcW w:w="2760" w:type="dxa"/>
            <w:vAlign w:val="bottom"/>
            <w:gridSpan w:val="2"/>
          </w:tcPr>
          <w:p>
            <w:pPr>
              <w:jc w:val="center"/>
              <w:ind w:right="180"/>
              <w:spacing w:after="0"/>
              <w:rPr>
                <w:sz w:val="20"/>
                <w:szCs w:val="20"/>
                <w:color w:val="auto"/>
              </w:rPr>
            </w:pPr>
            <w:r>
              <w:rPr>
                <w:rFonts w:ascii="Arial" w:cs="Arial" w:eastAsia="Arial" w:hAnsi="Arial"/>
                <w:sz w:val="12"/>
                <w:szCs w:val="12"/>
                <w:color w:val="auto"/>
                <w:w w:val="91"/>
              </w:rPr>
              <w:t>Media</w:t>
            </w:r>
          </w:p>
        </w:tc>
        <w:tc>
          <w:tcPr>
            <w:tcW w:w="820" w:type="dxa"/>
            <w:vAlign w:val="bottom"/>
            <w:gridSpan w:val="2"/>
          </w:tcPr>
          <w:p>
            <w:pPr>
              <w:jc w:val="right"/>
              <w:ind w:right="60"/>
              <w:spacing w:after="0"/>
              <w:rPr>
                <w:sz w:val="20"/>
                <w:szCs w:val="20"/>
                <w:color w:val="auto"/>
              </w:rPr>
            </w:pPr>
            <w:r>
              <w:rPr>
                <w:rFonts w:ascii="Arial" w:cs="Arial" w:eastAsia="Arial" w:hAnsi="Arial"/>
                <w:sz w:val="12"/>
                <w:szCs w:val="12"/>
                <w:color w:val="auto"/>
              </w:rPr>
              <w:t>9.00%</w:t>
            </w:r>
          </w:p>
        </w:tc>
        <w:tc>
          <w:tcPr>
            <w:tcW w:w="140" w:type="dxa"/>
            <w:vAlign w:val="bottom"/>
          </w:tcPr>
          <w:p>
            <w:pPr>
              <w:spacing w:after="0"/>
              <w:rPr>
                <w:sz w:val="12"/>
                <w:szCs w:val="12"/>
                <w:color w:val="auto"/>
              </w:rPr>
            </w:pPr>
          </w:p>
        </w:tc>
        <w:tc>
          <w:tcPr>
            <w:tcW w:w="680" w:type="dxa"/>
            <w:vAlign w:val="bottom"/>
          </w:tcPr>
          <w:p>
            <w:pPr>
              <w:jc w:val="right"/>
              <w:spacing w:after="0"/>
              <w:rPr>
                <w:sz w:val="20"/>
                <w:szCs w:val="20"/>
                <w:color w:val="auto"/>
              </w:rPr>
            </w:pPr>
            <w:r>
              <w:rPr>
                <w:rFonts w:ascii="Arial" w:cs="Arial" w:eastAsia="Arial" w:hAnsi="Arial"/>
                <w:sz w:val="12"/>
                <w:szCs w:val="12"/>
                <w:color w:val="auto"/>
              </w:rPr>
              <w:t>L+775</w:t>
            </w:r>
          </w:p>
        </w:tc>
        <w:tc>
          <w:tcPr>
            <w:tcW w:w="2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80" w:type="dxa"/>
            <w:vAlign w:val="bottom"/>
          </w:tcPr>
          <w:p>
            <w:pPr>
              <w:jc w:val="right"/>
              <w:spacing w:after="0"/>
              <w:rPr>
                <w:sz w:val="20"/>
                <w:szCs w:val="20"/>
                <w:color w:val="auto"/>
              </w:rPr>
            </w:pPr>
            <w:r>
              <w:rPr>
                <w:rFonts w:ascii="Arial" w:cs="Arial" w:eastAsia="Arial" w:hAnsi="Arial"/>
                <w:sz w:val="12"/>
                <w:szCs w:val="12"/>
                <w:color w:val="auto"/>
                <w:w w:val="89"/>
              </w:rPr>
              <w:t>18,270,159</w:t>
            </w:r>
          </w:p>
        </w:tc>
        <w:tc>
          <w:tcPr>
            <w:tcW w:w="2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20" w:type="dxa"/>
            <w:vAlign w:val="bottom"/>
          </w:tcPr>
          <w:p>
            <w:pPr>
              <w:jc w:val="right"/>
              <w:spacing w:after="0"/>
              <w:rPr>
                <w:sz w:val="20"/>
                <w:szCs w:val="20"/>
                <w:color w:val="auto"/>
              </w:rPr>
            </w:pPr>
            <w:r>
              <w:rPr>
                <w:rFonts w:ascii="Arial" w:cs="Arial" w:eastAsia="Arial" w:hAnsi="Arial"/>
                <w:sz w:val="12"/>
                <w:szCs w:val="12"/>
                <w:color w:val="auto"/>
                <w:w w:val="99"/>
              </w:rPr>
              <w:t>18,101,798</w:t>
            </w:r>
          </w:p>
        </w:tc>
        <w:tc>
          <w:tcPr>
            <w:tcW w:w="2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40" w:type="dxa"/>
            <w:vAlign w:val="bottom"/>
          </w:tcPr>
          <w:p>
            <w:pPr>
              <w:jc w:val="right"/>
              <w:spacing w:after="0"/>
              <w:rPr>
                <w:sz w:val="20"/>
                <w:szCs w:val="20"/>
                <w:color w:val="auto"/>
              </w:rPr>
            </w:pPr>
            <w:r>
              <w:rPr>
                <w:rFonts w:ascii="Arial" w:cs="Arial" w:eastAsia="Arial" w:hAnsi="Arial"/>
                <w:sz w:val="12"/>
                <w:szCs w:val="12"/>
                <w:color w:val="auto"/>
                <w:w w:val="99"/>
              </w:rPr>
              <w:t>18,201,646</w:t>
            </w:r>
          </w:p>
        </w:tc>
        <w:tc>
          <w:tcPr>
            <w:tcW w:w="100" w:type="dxa"/>
            <w:vAlign w:val="bottom"/>
          </w:tcPr>
          <w:p>
            <w:pPr>
              <w:spacing w:after="0"/>
              <w:rPr>
                <w:sz w:val="12"/>
                <w:szCs w:val="12"/>
                <w:color w:val="auto"/>
              </w:rPr>
            </w:pPr>
          </w:p>
        </w:tc>
      </w:tr>
      <w:tr>
        <w:trPr>
          <w:trHeight w:val="148"/>
        </w:trPr>
        <w:tc>
          <w:tcPr>
            <w:tcW w:w="3000" w:type="dxa"/>
            <w:vAlign w:val="bottom"/>
            <w:shd w:val="clear" w:color="auto" w:fill="CCECFF"/>
          </w:tcPr>
          <w:p>
            <w:pPr>
              <w:spacing w:after="0"/>
              <w:rPr>
                <w:sz w:val="20"/>
                <w:szCs w:val="20"/>
                <w:color w:val="auto"/>
              </w:rPr>
            </w:pPr>
            <w:r>
              <w:rPr>
                <w:rFonts w:ascii="Arial" w:cs="Arial" w:eastAsia="Arial" w:hAnsi="Arial"/>
                <w:sz w:val="12"/>
                <w:szCs w:val="12"/>
                <w:color w:val="auto"/>
              </w:rPr>
              <w:t>Pre-Paid Legal Services, Inc.</w:t>
            </w:r>
          </w:p>
        </w:tc>
        <w:tc>
          <w:tcPr>
            <w:tcW w:w="920" w:type="dxa"/>
            <w:vAlign w:val="bottom"/>
            <w:shd w:val="clear" w:color="auto" w:fill="CCECFF"/>
          </w:tcPr>
          <w:p>
            <w:pPr>
              <w:ind w:left="120"/>
              <w:spacing w:after="0"/>
              <w:rPr>
                <w:sz w:val="20"/>
                <w:szCs w:val="20"/>
                <w:color w:val="auto"/>
              </w:rPr>
            </w:pPr>
            <w:r>
              <w:rPr>
                <w:rFonts w:ascii="Arial" w:cs="Arial" w:eastAsia="Arial" w:hAnsi="Arial"/>
                <w:sz w:val="12"/>
                <w:szCs w:val="12"/>
                <w:color w:val="auto"/>
              </w:rPr>
              <w:t>07/01/2020</w:t>
            </w:r>
          </w:p>
        </w:tc>
        <w:tc>
          <w:tcPr>
            <w:tcW w:w="2760" w:type="dxa"/>
            <w:vAlign w:val="bottom"/>
            <w:gridSpan w:val="2"/>
            <w:shd w:val="clear" w:color="auto" w:fill="CCECFF"/>
          </w:tcPr>
          <w:p>
            <w:pPr>
              <w:jc w:val="center"/>
              <w:ind w:right="160"/>
              <w:spacing w:after="0"/>
              <w:rPr>
                <w:sz w:val="20"/>
                <w:szCs w:val="20"/>
                <w:color w:val="auto"/>
              </w:rPr>
            </w:pPr>
            <w:r>
              <w:rPr>
                <w:rFonts w:ascii="Arial" w:cs="Arial" w:eastAsia="Arial" w:hAnsi="Arial"/>
                <w:sz w:val="12"/>
                <w:szCs w:val="12"/>
                <w:color w:val="auto"/>
                <w:w w:val="87"/>
              </w:rPr>
              <w:t>Personal, Food and Miscellaneous Services</w:t>
            </w:r>
          </w:p>
        </w:tc>
        <w:tc>
          <w:tcPr>
            <w:tcW w:w="820" w:type="dxa"/>
            <w:vAlign w:val="bottom"/>
            <w:gridSpan w:val="2"/>
            <w:shd w:val="clear" w:color="auto" w:fill="CCECFF"/>
          </w:tcPr>
          <w:p>
            <w:pPr>
              <w:jc w:val="right"/>
              <w:ind w:right="60"/>
              <w:spacing w:after="0"/>
              <w:rPr>
                <w:sz w:val="20"/>
                <w:szCs w:val="20"/>
                <w:color w:val="auto"/>
              </w:rPr>
            </w:pPr>
            <w:r>
              <w:rPr>
                <w:rFonts w:ascii="Arial" w:cs="Arial" w:eastAsia="Arial" w:hAnsi="Arial"/>
                <w:sz w:val="12"/>
                <w:szCs w:val="12"/>
                <w:color w:val="auto"/>
              </w:rPr>
              <w:t>10.25%</w:t>
            </w:r>
          </w:p>
        </w:tc>
        <w:tc>
          <w:tcPr>
            <w:tcW w:w="140" w:type="dxa"/>
            <w:vAlign w:val="bottom"/>
            <w:shd w:val="clear" w:color="auto" w:fill="CCECFF"/>
          </w:tcPr>
          <w:p>
            <w:pPr>
              <w:spacing w:after="0"/>
              <w:rPr>
                <w:sz w:val="12"/>
                <w:szCs w:val="12"/>
                <w:color w:val="auto"/>
              </w:rPr>
            </w:pPr>
          </w:p>
        </w:tc>
        <w:tc>
          <w:tcPr>
            <w:tcW w:w="680" w:type="dxa"/>
            <w:vAlign w:val="bottom"/>
            <w:shd w:val="clear" w:color="auto" w:fill="CCECFF"/>
          </w:tcPr>
          <w:p>
            <w:pPr>
              <w:jc w:val="right"/>
              <w:spacing w:after="0"/>
              <w:rPr>
                <w:sz w:val="20"/>
                <w:szCs w:val="20"/>
                <w:color w:val="auto"/>
              </w:rPr>
            </w:pPr>
            <w:r>
              <w:rPr>
                <w:rFonts w:ascii="Arial" w:cs="Arial" w:eastAsia="Arial" w:hAnsi="Arial"/>
                <w:sz w:val="12"/>
                <w:szCs w:val="12"/>
                <w:color w:val="auto"/>
              </w:rPr>
              <w:t>L+900</w:t>
            </w:r>
          </w:p>
        </w:tc>
        <w:tc>
          <w:tcPr>
            <w:tcW w:w="240" w:type="dxa"/>
            <w:vAlign w:val="bottom"/>
            <w:shd w:val="clear" w:color="auto" w:fill="CCECFF"/>
          </w:tcPr>
          <w:p>
            <w:pPr>
              <w:spacing w:after="0"/>
              <w:rPr>
                <w:sz w:val="12"/>
                <w:szCs w:val="12"/>
                <w:color w:val="auto"/>
              </w:rPr>
            </w:pPr>
          </w:p>
        </w:tc>
        <w:tc>
          <w:tcPr>
            <w:tcW w:w="100" w:type="dxa"/>
            <w:vAlign w:val="bottom"/>
            <w:shd w:val="clear" w:color="auto" w:fill="CCECFF"/>
          </w:tcPr>
          <w:p>
            <w:pPr>
              <w:spacing w:after="0"/>
              <w:rPr>
                <w:sz w:val="12"/>
                <w:szCs w:val="12"/>
                <w:color w:val="auto"/>
              </w:rPr>
            </w:pPr>
          </w:p>
        </w:tc>
        <w:tc>
          <w:tcPr>
            <w:tcW w:w="580" w:type="dxa"/>
            <w:vAlign w:val="bottom"/>
            <w:shd w:val="clear" w:color="auto" w:fill="CCECFF"/>
          </w:tcPr>
          <w:p>
            <w:pPr>
              <w:jc w:val="right"/>
              <w:spacing w:after="0"/>
              <w:rPr>
                <w:sz w:val="20"/>
                <w:szCs w:val="20"/>
                <w:color w:val="auto"/>
              </w:rPr>
            </w:pPr>
            <w:r>
              <w:rPr>
                <w:rFonts w:ascii="Arial" w:cs="Arial" w:eastAsia="Arial" w:hAnsi="Arial"/>
                <w:sz w:val="12"/>
                <w:szCs w:val="12"/>
                <w:color w:val="auto"/>
                <w:w w:val="89"/>
              </w:rPr>
              <w:t>56,750,000</w:t>
            </w:r>
          </w:p>
        </w:tc>
        <w:tc>
          <w:tcPr>
            <w:tcW w:w="240" w:type="dxa"/>
            <w:vAlign w:val="bottom"/>
            <w:shd w:val="clear" w:color="auto" w:fill="CCECFF"/>
          </w:tcPr>
          <w:p>
            <w:pPr>
              <w:spacing w:after="0"/>
              <w:rPr>
                <w:sz w:val="12"/>
                <w:szCs w:val="12"/>
                <w:color w:val="auto"/>
              </w:rPr>
            </w:pPr>
          </w:p>
        </w:tc>
        <w:tc>
          <w:tcPr>
            <w:tcW w:w="80" w:type="dxa"/>
            <w:vAlign w:val="bottom"/>
            <w:shd w:val="clear" w:color="auto" w:fill="CCECFF"/>
          </w:tcPr>
          <w:p>
            <w:pPr>
              <w:spacing w:after="0"/>
              <w:rPr>
                <w:sz w:val="12"/>
                <w:szCs w:val="12"/>
                <w:color w:val="auto"/>
              </w:rPr>
            </w:pPr>
          </w:p>
        </w:tc>
        <w:tc>
          <w:tcPr>
            <w:tcW w:w="620" w:type="dxa"/>
            <w:vAlign w:val="bottom"/>
            <w:shd w:val="clear" w:color="auto" w:fill="CCECFF"/>
          </w:tcPr>
          <w:p>
            <w:pPr>
              <w:jc w:val="right"/>
              <w:spacing w:after="0"/>
              <w:rPr>
                <w:sz w:val="20"/>
                <w:szCs w:val="20"/>
                <w:color w:val="auto"/>
              </w:rPr>
            </w:pPr>
            <w:r>
              <w:rPr>
                <w:rFonts w:ascii="Arial" w:cs="Arial" w:eastAsia="Arial" w:hAnsi="Arial"/>
                <w:sz w:val="12"/>
                <w:szCs w:val="12"/>
                <w:color w:val="auto"/>
                <w:w w:val="99"/>
              </w:rPr>
              <w:t>56,202,295</w:t>
            </w:r>
          </w:p>
        </w:tc>
        <w:tc>
          <w:tcPr>
            <w:tcW w:w="240" w:type="dxa"/>
            <w:vAlign w:val="bottom"/>
            <w:shd w:val="clear" w:color="auto" w:fill="CCECFF"/>
          </w:tcPr>
          <w:p>
            <w:pPr>
              <w:spacing w:after="0"/>
              <w:rPr>
                <w:sz w:val="12"/>
                <w:szCs w:val="12"/>
                <w:color w:val="auto"/>
              </w:rPr>
            </w:pPr>
          </w:p>
        </w:tc>
        <w:tc>
          <w:tcPr>
            <w:tcW w:w="80" w:type="dxa"/>
            <w:vAlign w:val="bottom"/>
            <w:shd w:val="clear" w:color="auto" w:fill="CCECFF"/>
          </w:tcPr>
          <w:p>
            <w:pPr>
              <w:spacing w:after="0"/>
              <w:rPr>
                <w:sz w:val="12"/>
                <w:szCs w:val="12"/>
                <w:color w:val="auto"/>
              </w:rPr>
            </w:pPr>
          </w:p>
        </w:tc>
        <w:tc>
          <w:tcPr>
            <w:tcW w:w="640" w:type="dxa"/>
            <w:vAlign w:val="bottom"/>
            <w:shd w:val="clear" w:color="auto" w:fill="CCECFF"/>
          </w:tcPr>
          <w:p>
            <w:pPr>
              <w:jc w:val="right"/>
              <w:spacing w:after="0"/>
              <w:rPr>
                <w:sz w:val="20"/>
                <w:szCs w:val="20"/>
                <w:color w:val="auto"/>
              </w:rPr>
            </w:pPr>
            <w:r>
              <w:rPr>
                <w:rFonts w:ascii="Arial" w:cs="Arial" w:eastAsia="Arial" w:hAnsi="Arial"/>
                <w:sz w:val="12"/>
                <w:szCs w:val="12"/>
                <w:color w:val="auto"/>
                <w:w w:val="99"/>
              </w:rPr>
              <w:t>56,087,727</w:t>
            </w:r>
          </w:p>
        </w:tc>
        <w:tc>
          <w:tcPr>
            <w:tcW w:w="100" w:type="dxa"/>
            <w:vAlign w:val="bottom"/>
            <w:shd w:val="clear" w:color="auto" w:fill="CCECFF"/>
          </w:tcPr>
          <w:p>
            <w:pPr>
              <w:spacing w:after="0"/>
              <w:rPr>
                <w:sz w:val="12"/>
                <w:szCs w:val="12"/>
                <w:color w:val="auto"/>
              </w:rPr>
            </w:pPr>
          </w:p>
        </w:tc>
      </w:tr>
      <w:tr>
        <w:trPr>
          <w:trHeight w:val="148"/>
        </w:trPr>
        <w:tc>
          <w:tcPr>
            <w:tcW w:w="3000" w:type="dxa"/>
            <w:vAlign w:val="bottom"/>
          </w:tcPr>
          <w:p>
            <w:pPr>
              <w:spacing w:after="0"/>
              <w:rPr>
                <w:sz w:val="20"/>
                <w:szCs w:val="20"/>
                <w:color w:val="auto"/>
              </w:rPr>
            </w:pPr>
            <w:r>
              <w:rPr>
                <w:rFonts w:ascii="Arial" w:cs="Arial" w:eastAsia="Arial" w:hAnsi="Arial"/>
                <w:sz w:val="12"/>
                <w:szCs w:val="12"/>
                <w:color w:val="auto"/>
              </w:rPr>
              <w:t>Prime Security Services Borrower, LLC</w:t>
            </w:r>
          </w:p>
        </w:tc>
        <w:tc>
          <w:tcPr>
            <w:tcW w:w="920" w:type="dxa"/>
            <w:vAlign w:val="bottom"/>
          </w:tcPr>
          <w:p>
            <w:pPr>
              <w:ind w:left="120"/>
              <w:spacing w:after="0"/>
              <w:rPr>
                <w:sz w:val="20"/>
                <w:szCs w:val="20"/>
                <w:color w:val="auto"/>
              </w:rPr>
            </w:pPr>
            <w:r>
              <w:rPr>
                <w:rFonts w:ascii="Arial" w:cs="Arial" w:eastAsia="Arial" w:hAnsi="Arial"/>
                <w:sz w:val="12"/>
                <w:szCs w:val="12"/>
                <w:color w:val="auto"/>
              </w:rPr>
              <w:t>07/01/2022</w:t>
            </w:r>
          </w:p>
        </w:tc>
        <w:tc>
          <w:tcPr>
            <w:tcW w:w="2760" w:type="dxa"/>
            <w:vAlign w:val="bottom"/>
            <w:gridSpan w:val="2"/>
          </w:tcPr>
          <w:p>
            <w:pPr>
              <w:jc w:val="center"/>
              <w:ind w:right="160"/>
              <w:spacing w:after="0"/>
              <w:rPr>
                <w:sz w:val="20"/>
                <w:szCs w:val="20"/>
                <w:color w:val="auto"/>
              </w:rPr>
            </w:pPr>
            <w:r>
              <w:rPr>
                <w:rFonts w:ascii="Arial" w:cs="Arial" w:eastAsia="Arial" w:hAnsi="Arial"/>
                <w:sz w:val="12"/>
                <w:szCs w:val="12"/>
                <w:color w:val="auto"/>
                <w:w w:val="87"/>
              </w:rPr>
              <w:t>Personal, Food and Miscellaneous Services</w:t>
            </w:r>
          </w:p>
        </w:tc>
        <w:tc>
          <w:tcPr>
            <w:tcW w:w="820" w:type="dxa"/>
            <w:vAlign w:val="bottom"/>
            <w:gridSpan w:val="2"/>
          </w:tcPr>
          <w:p>
            <w:pPr>
              <w:jc w:val="right"/>
              <w:ind w:right="60"/>
              <w:spacing w:after="0"/>
              <w:rPr>
                <w:sz w:val="20"/>
                <w:szCs w:val="20"/>
                <w:color w:val="auto"/>
              </w:rPr>
            </w:pPr>
            <w:r>
              <w:rPr>
                <w:rFonts w:ascii="Arial" w:cs="Arial" w:eastAsia="Arial" w:hAnsi="Arial"/>
                <w:sz w:val="12"/>
                <w:szCs w:val="12"/>
                <w:color w:val="auto"/>
              </w:rPr>
              <w:t>9.75%</w:t>
            </w:r>
          </w:p>
        </w:tc>
        <w:tc>
          <w:tcPr>
            <w:tcW w:w="140" w:type="dxa"/>
            <w:vAlign w:val="bottom"/>
          </w:tcPr>
          <w:p>
            <w:pPr>
              <w:spacing w:after="0"/>
              <w:rPr>
                <w:sz w:val="12"/>
                <w:szCs w:val="12"/>
                <w:color w:val="auto"/>
              </w:rPr>
            </w:pPr>
          </w:p>
        </w:tc>
        <w:tc>
          <w:tcPr>
            <w:tcW w:w="680" w:type="dxa"/>
            <w:vAlign w:val="bottom"/>
          </w:tcPr>
          <w:p>
            <w:pPr>
              <w:jc w:val="right"/>
              <w:spacing w:after="0"/>
              <w:rPr>
                <w:sz w:val="20"/>
                <w:szCs w:val="20"/>
                <w:color w:val="auto"/>
              </w:rPr>
            </w:pPr>
            <w:r>
              <w:rPr>
                <w:rFonts w:ascii="Arial" w:cs="Arial" w:eastAsia="Arial" w:hAnsi="Arial"/>
                <w:sz w:val="12"/>
                <w:szCs w:val="12"/>
                <w:color w:val="auto"/>
              </w:rPr>
              <w:t>L+875</w:t>
            </w:r>
          </w:p>
        </w:tc>
        <w:tc>
          <w:tcPr>
            <w:tcW w:w="2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80" w:type="dxa"/>
            <w:vAlign w:val="bottom"/>
          </w:tcPr>
          <w:p>
            <w:pPr>
              <w:jc w:val="right"/>
              <w:spacing w:after="0"/>
              <w:rPr>
                <w:sz w:val="20"/>
                <w:szCs w:val="20"/>
                <w:color w:val="auto"/>
              </w:rPr>
            </w:pPr>
            <w:r>
              <w:rPr>
                <w:rFonts w:ascii="Arial" w:cs="Arial" w:eastAsia="Arial" w:hAnsi="Arial"/>
                <w:sz w:val="12"/>
                <w:szCs w:val="12"/>
                <w:color w:val="auto"/>
                <w:w w:val="89"/>
              </w:rPr>
              <w:t>14,798,077</w:t>
            </w:r>
          </w:p>
        </w:tc>
        <w:tc>
          <w:tcPr>
            <w:tcW w:w="2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20" w:type="dxa"/>
            <w:vAlign w:val="bottom"/>
          </w:tcPr>
          <w:p>
            <w:pPr>
              <w:jc w:val="right"/>
              <w:spacing w:after="0"/>
              <w:rPr>
                <w:sz w:val="20"/>
                <w:szCs w:val="20"/>
                <w:color w:val="auto"/>
              </w:rPr>
            </w:pPr>
            <w:r>
              <w:rPr>
                <w:rFonts w:ascii="Arial" w:cs="Arial" w:eastAsia="Arial" w:hAnsi="Arial"/>
                <w:sz w:val="12"/>
                <w:szCs w:val="12"/>
                <w:color w:val="auto"/>
                <w:w w:val="99"/>
              </w:rPr>
              <w:t>14,613,655</w:t>
            </w:r>
          </w:p>
        </w:tc>
        <w:tc>
          <w:tcPr>
            <w:tcW w:w="2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40" w:type="dxa"/>
            <w:vAlign w:val="bottom"/>
          </w:tcPr>
          <w:p>
            <w:pPr>
              <w:jc w:val="right"/>
              <w:spacing w:after="0"/>
              <w:rPr>
                <w:sz w:val="20"/>
                <w:szCs w:val="20"/>
                <w:color w:val="auto"/>
              </w:rPr>
            </w:pPr>
            <w:r>
              <w:rPr>
                <w:rFonts w:ascii="Arial" w:cs="Arial" w:eastAsia="Arial" w:hAnsi="Arial"/>
                <w:sz w:val="12"/>
                <w:szCs w:val="12"/>
                <w:color w:val="auto"/>
                <w:w w:val="99"/>
              </w:rPr>
              <w:t>15,029,371</w:t>
            </w:r>
          </w:p>
        </w:tc>
        <w:tc>
          <w:tcPr>
            <w:tcW w:w="100" w:type="dxa"/>
            <w:vAlign w:val="bottom"/>
          </w:tcPr>
          <w:p>
            <w:pPr>
              <w:spacing w:after="0"/>
              <w:rPr>
                <w:sz w:val="12"/>
                <w:szCs w:val="12"/>
                <w:color w:val="auto"/>
              </w:rPr>
            </w:pPr>
          </w:p>
        </w:tc>
      </w:tr>
      <w:tr>
        <w:trPr>
          <w:trHeight w:val="148"/>
        </w:trPr>
        <w:tc>
          <w:tcPr>
            <w:tcW w:w="3000" w:type="dxa"/>
            <w:vAlign w:val="bottom"/>
            <w:shd w:val="clear" w:color="auto" w:fill="CCECFF"/>
          </w:tcPr>
          <w:p>
            <w:pPr>
              <w:spacing w:after="0"/>
              <w:rPr>
                <w:sz w:val="20"/>
                <w:szCs w:val="20"/>
                <w:color w:val="auto"/>
              </w:rPr>
            </w:pPr>
            <w:r>
              <w:rPr>
                <w:rFonts w:ascii="Arial" w:cs="Arial" w:eastAsia="Arial" w:hAnsi="Arial"/>
                <w:sz w:val="12"/>
                <w:szCs w:val="12"/>
                <w:color w:val="auto"/>
              </w:rPr>
              <w:t>VT Buyer Acquisition Corp.</w:t>
            </w:r>
          </w:p>
        </w:tc>
        <w:tc>
          <w:tcPr>
            <w:tcW w:w="920" w:type="dxa"/>
            <w:vAlign w:val="bottom"/>
            <w:shd w:val="clear" w:color="auto" w:fill="CCECFF"/>
          </w:tcPr>
          <w:p>
            <w:pPr>
              <w:ind w:left="120"/>
              <w:spacing w:after="0"/>
              <w:rPr>
                <w:sz w:val="20"/>
                <w:szCs w:val="20"/>
                <w:color w:val="auto"/>
              </w:rPr>
            </w:pPr>
            <w:r>
              <w:rPr>
                <w:rFonts w:ascii="Arial" w:cs="Arial" w:eastAsia="Arial" w:hAnsi="Arial"/>
                <w:sz w:val="12"/>
                <w:szCs w:val="12"/>
                <w:color w:val="auto"/>
              </w:rPr>
              <w:t>01/30/2023</w:t>
            </w:r>
          </w:p>
        </w:tc>
        <w:tc>
          <w:tcPr>
            <w:tcW w:w="2760" w:type="dxa"/>
            <w:vAlign w:val="bottom"/>
            <w:gridSpan w:val="2"/>
            <w:shd w:val="clear" w:color="auto" w:fill="CCECFF"/>
          </w:tcPr>
          <w:p>
            <w:pPr>
              <w:jc w:val="center"/>
              <w:ind w:right="160"/>
              <w:spacing w:after="0"/>
              <w:rPr>
                <w:sz w:val="20"/>
                <w:szCs w:val="20"/>
                <w:color w:val="auto"/>
              </w:rPr>
            </w:pPr>
            <w:r>
              <w:rPr>
                <w:rFonts w:ascii="Arial" w:cs="Arial" w:eastAsia="Arial" w:hAnsi="Arial"/>
                <w:sz w:val="12"/>
                <w:szCs w:val="12"/>
                <w:color w:val="auto"/>
                <w:w w:val="85"/>
              </w:rPr>
              <w:t>Business Services</w:t>
            </w:r>
          </w:p>
        </w:tc>
        <w:tc>
          <w:tcPr>
            <w:tcW w:w="820" w:type="dxa"/>
            <w:vAlign w:val="bottom"/>
            <w:gridSpan w:val="2"/>
            <w:shd w:val="clear" w:color="auto" w:fill="CCECFF"/>
          </w:tcPr>
          <w:p>
            <w:pPr>
              <w:jc w:val="right"/>
              <w:ind w:right="60"/>
              <w:spacing w:after="0"/>
              <w:rPr>
                <w:sz w:val="20"/>
                <w:szCs w:val="20"/>
                <w:color w:val="auto"/>
              </w:rPr>
            </w:pPr>
            <w:r>
              <w:rPr>
                <w:rFonts w:ascii="Arial" w:cs="Arial" w:eastAsia="Arial" w:hAnsi="Arial"/>
                <w:sz w:val="12"/>
                <w:szCs w:val="12"/>
                <w:color w:val="auto"/>
              </w:rPr>
              <w:t>10.75%</w:t>
            </w:r>
          </w:p>
        </w:tc>
        <w:tc>
          <w:tcPr>
            <w:tcW w:w="140" w:type="dxa"/>
            <w:vAlign w:val="bottom"/>
            <w:shd w:val="clear" w:color="auto" w:fill="CCECFF"/>
          </w:tcPr>
          <w:p>
            <w:pPr>
              <w:spacing w:after="0"/>
              <w:rPr>
                <w:sz w:val="12"/>
                <w:szCs w:val="12"/>
                <w:color w:val="auto"/>
              </w:rPr>
            </w:pPr>
          </w:p>
        </w:tc>
        <w:tc>
          <w:tcPr>
            <w:tcW w:w="680" w:type="dxa"/>
            <w:vAlign w:val="bottom"/>
            <w:shd w:val="clear" w:color="auto" w:fill="CCECFF"/>
          </w:tcPr>
          <w:p>
            <w:pPr>
              <w:jc w:val="right"/>
              <w:spacing w:after="0"/>
              <w:rPr>
                <w:sz w:val="20"/>
                <w:szCs w:val="20"/>
                <w:color w:val="auto"/>
              </w:rPr>
            </w:pPr>
            <w:r>
              <w:rPr>
                <w:rFonts w:ascii="Arial" w:cs="Arial" w:eastAsia="Arial" w:hAnsi="Arial"/>
                <w:sz w:val="12"/>
                <w:szCs w:val="12"/>
                <w:color w:val="auto"/>
              </w:rPr>
              <w:t>L+975</w:t>
            </w:r>
          </w:p>
        </w:tc>
        <w:tc>
          <w:tcPr>
            <w:tcW w:w="240" w:type="dxa"/>
            <w:vAlign w:val="bottom"/>
            <w:shd w:val="clear" w:color="auto" w:fill="CCECFF"/>
          </w:tcPr>
          <w:p>
            <w:pPr>
              <w:spacing w:after="0"/>
              <w:rPr>
                <w:sz w:val="12"/>
                <w:szCs w:val="12"/>
                <w:color w:val="auto"/>
              </w:rPr>
            </w:pPr>
          </w:p>
        </w:tc>
        <w:tc>
          <w:tcPr>
            <w:tcW w:w="100" w:type="dxa"/>
            <w:vAlign w:val="bottom"/>
            <w:shd w:val="clear" w:color="auto" w:fill="CCECFF"/>
          </w:tcPr>
          <w:p>
            <w:pPr>
              <w:spacing w:after="0"/>
              <w:rPr>
                <w:sz w:val="12"/>
                <w:szCs w:val="12"/>
                <w:color w:val="auto"/>
              </w:rPr>
            </w:pPr>
          </w:p>
        </w:tc>
        <w:tc>
          <w:tcPr>
            <w:tcW w:w="580" w:type="dxa"/>
            <w:vAlign w:val="bottom"/>
            <w:shd w:val="clear" w:color="auto" w:fill="CCECFF"/>
          </w:tcPr>
          <w:p>
            <w:pPr>
              <w:jc w:val="right"/>
              <w:spacing w:after="0"/>
              <w:rPr>
                <w:sz w:val="20"/>
                <w:szCs w:val="20"/>
                <w:color w:val="auto"/>
              </w:rPr>
            </w:pPr>
            <w:r>
              <w:rPr>
                <w:rFonts w:ascii="Arial" w:cs="Arial" w:eastAsia="Arial" w:hAnsi="Arial"/>
                <w:sz w:val="12"/>
                <w:szCs w:val="12"/>
                <w:color w:val="auto"/>
                <w:w w:val="89"/>
              </w:rPr>
              <w:t>12,862,500</w:t>
            </w:r>
          </w:p>
        </w:tc>
        <w:tc>
          <w:tcPr>
            <w:tcW w:w="240" w:type="dxa"/>
            <w:vAlign w:val="bottom"/>
            <w:shd w:val="clear" w:color="auto" w:fill="CCECFF"/>
          </w:tcPr>
          <w:p>
            <w:pPr>
              <w:spacing w:after="0"/>
              <w:rPr>
                <w:sz w:val="12"/>
                <w:szCs w:val="12"/>
                <w:color w:val="auto"/>
              </w:rPr>
            </w:pPr>
          </w:p>
        </w:tc>
        <w:tc>
          <w:tcPr>
            <w:tcW w:w="80" w:type="dxa"/>
            <w:vAlign w:val="bottom"/>
            <w:tcBorders>
              <w:bottom w:val="single" w:sz="8" w:color="auto"/>
            </w:tcBorders>
            <w:shd w:val="clear" w:color="auto" w:fill="CCECFF"/>
          </w:tcPr>
          <w:p>
            <w:pPr>
              <w:spacing w:after="0"/>
              <w:rPr>
                <w:sz w:val="12"/>
                <w:szCs w:val="12"/>
                <w:color w:val="auto"/>
              </w:rPr>
            </w:pPr>
          </w:p>
        </w:tc>
        <w:tc>
          <w:tcPr>
            <w:tcW w:w="620" w:type="dxa"/>
            <w:vAlign w:val="bottom"/>
            <w:tcBorders>
              <w:bottom w:val="single" w:sz="8" w:color="auto"/>
            </w:tcBorders>
            <w:shd w:val="clear" w:color="auto" w:fill="CCECFF"/>
          </w:tcPr>
          <w:p>
            <w:pPr>
              <w:jc w:val="right"/>
              <w:spacing w:after="0"/>
              <w:rPr>
                <w:sz w:val="20"/>
                <w:szCs w:val="20"/>
                <w:color w:val="auto"/>
              </w:rPr>
            </w:pPr>
            <w:r>
              <w:rPr>
                <w:rFonts w:ascii="Arial" w:cs="Arial" w:eastAsia="Arial" w:hAnsi="Arial"/>
                <w:sz w:val="12"/>
                <w:szCs w:val="12"/>
                <w:color w:val="auto"/>
                <w:w w:val="99"/>
              </w:rPr>
              <w:t>12,441,130</w:t>
            </w:r>
          </w:p>
        </w:tc>
        <w:tc>
          <w:tcPr>
            <w:tcW w:w="240" w:type="dxa"/>
            <w:vAlign w:val="bottom"/>
            <w:shd w:val="clear" w:color="auto" w:fill="CCECFF"/>
          </w:tcPr>
          <w:p>
            <w:pPr>
              <w:spacing w:after="0"/>
              <w:rPr>
                <w:sz w:val="12"/>
                <w:szCs w:val="12"/>
                <w:color w:val="auto"/>
              </w:rPr>
            </w:pPr>
          </w:p>
        </w:tc>
        <w:tc>
          <w:tcPr>
            <w:tcW w:w="80" w:type="dxa"/>
            <w:vAlign w:val="bottom"/>
            <w:tcBorders>
              <w:bottom w:val="single" w:sz="8" w:color="auto"/>
            </w:tcBorders>
            <w:shd w:val="clear" w:color="auto" w:fill="CCECFF"/>
          </w:tcPr>
          <w:p>
            <w:pPr>
              <w:spacing w:after="0"/>
              <w:rPr>
                <w:sz w:val="12"/>
                <w:szCs w:val="12"/>
                <w:color w:val="auto"/>
              </w:rPr>
            </w:pPr>
          </w:p>
        </w:tc>
        <w:tc>
          <w:tcPr>
            <w:tcW w:w="640" w:type="dxa"/>
            <w:vAlign w:val="bottom"/>
            <w:tcBorders>
              <w:bottom w:val="single" w:sz="8" w:color="auto"/>
            </w:tcBorders>
            <w:shd w:val="clear" w:color="auto" w:fill="CCECFF"/>
          </w:tcPr>
          <w:p>
            <w:pPr>
              <w:jc w:val="right"/>
              <w:spacing w:after="0"/>
              <w:rPr>
                <w:sz w:val="20"/>
                <w:szCs w:val="20"/>
                <w:color w:val="auto"/>
              </w:rPr>
            </w:pPr>
            <w:r>
              <w:rPr>
                <w:rFonts w:ascii="Arial" w:cs="Arial" w:eastAsia="Arial" w:hAnsi="Arial"/>
                <w:sz w:val="12"/>
                <w:szCs w:val="12"/>
                <w:color w:val="auto"/>
                <w:w w:val="99"/>
              </w:rPr>
              <w:t>12,862,500</w:t>
            </w:r>
          </w:p>
        </w:tc>
        <w:tc>
          <w:tcPr>
            <w:tcW w:w="100" w:type="dxa"/>
            <w:vAlign w:val="bottom"/>
            <w:shd w:val="clear" w:color="auto" w:fill="CCECFF"/>
          </w:tcPr>
          <w:p>
            <w:pPr>
              <w:spacing w:after="0"/>
              <w:rPr>
                <w:sz w:val="12"/>
                <w:szCs w:val="12"/>
                <w:color w:val="auto"/>
              </w:rPr>
            </w:pPr>
          </w:p>
        </w:tc>
      </w:tr>
      <w:tr>
        <w:trPr>
          <w:trHeight w:val="142"/>
        </w:trPr>
        <w:tc>
          <w:tcPr>
            <w:tcW w:w="3000" w:type="dxa"/>
            <w:vAlign w:val="bottom"/>
            <w:tcBorders>
              <w:bottom w:val="single" w:sz="8" w:color="CCECFF"/>
            </w:tcBorders>
          </w:tcPr>
          <w:p>
            <w:pPr>
              <w:spacing w:after="0"/>
              <w:rPr>
                <w:sz w:val="20"/>
                <w:szCs w:val="20"/>
                <w:color w:val="auto"/>
              </w:rPr>
            </w:pPr>
            <w:r>
              <w:rPr>
                <w:rFonts w:ascii="Arial" w:cs="Arial" w:eastAsia="Arial" w:hAnsi="Arial"/>
                <w:sz w:val="12"/>
                <w:szCs w:val="12"/>
                <w:b w:val="1"/>
                <w:bCs w:val="1"/>
                <w:color w:val="auto"/>
              </w:rPr>
              <w:t>Total Second Lien Secured Debt</w:t>
            </w:r>
          </w:p>
        </w:tc>
        <w:tc>
          <w:tcPr>
            <w:tcW w:w="920" w:type="dxa"/>
            <w:vAlign w:val="bottom"/>
            <w:tcBorders>
              <w:bottom w:val="single" w:sz="8" w:color="CCECFF"/>
            </w:tcBorders>
          </w:tcPr>
          <w:p>
            <w:pPr>
              <w:spacing w:after="0"/>
              <w:rPr>
                <w:sz w:val="12"/>
                <w:szCs w:val="12"/>
                <w:color w:val="auto"/>
              </w:rPr>
            </w:pPr>
          </w:p>
        </w:tc>
        <w:tc>
          <w:tcPr>
            <w:tcW w:w="2640" w:type="dxa"/>
            <w:vAlign w:val="bottom"/>
            <w:tcBorders>
              <w:bottom w:val="single" w:sz="8" w:color="CCECFF"/>
            </w:tcBorders>
          </w:tcPr>
          <w:p>
            <w:pPr>
              <w:spacing w:after="0"/>
              <w:rPr>
                <w:sz w:val="12"/>
                <w:szCs w:val="12"/>
                <w:color w:val="auto"/>
              </w:rPr>
            </w:pPr>
          </w:p>
        </w:tc>
        <w:tc>
          <w:tcPr>
            <w:tcW w:w="120" w:type="dxa"/>
            <w:vAlign w:val="bottom"/>
            <w:tcBorders>
              <w:bottom w:val="single" w:sz="8" w:color="CCECFF"/>
            </w:tcBorders>
          </w:tcPr>
          <w:p>
            <w:pPr>
              <w:spacing w:after="0"/>
              <w:rPr>
                <w:sz w:val="12"/>
                <w:szCs w:val="12"/>
                <w:color w:val="auto"/>
              </w:rPr>
            </w:pPr>
          </w:p>
        </w:tc>
        <w:tc>
          <w:tcPr>
            <w:tcW w:w="680" w:type="dxa"/>
            <w:vAlign w:val="bottom"/>
            <w:tcBorders>
              <w:bottom w:val="single" w:sz="8" w:color="CCECFF"/>
            </w:tcBorders>
          </w:tcPr>
          <w:p>
            <w:pPr>
              <w:spacing w:after="0"/>
              <w:rPr>
                <w:sz w:val="12"/>
                <w:szCs w:val="12"/>
                <w:color w:val="auto"/>
              </w:rPr>
            </w:pPr>
          </w:p>
        </w:tc>
        <w:tc>
          <w:tcPr>
            <w:tcW w:w="140" w:type="dxa"/>
            <w:vAlign w:val="bottom"/>
            <w:tcBorders>
              <w:bottom w:val="single" w:sz="8" w:color="CCECFF"/>
            </w:tcBorders>
          </w:tcPr>
          <w:p>
            <w:pPr>
              <w:spacing w:after="0"/>
              <w:rPr>
                <w:sz w:val="12"/>
                <w:szCs w:val="12"/>
                <w:color w:val="auto"/>
              </w:rPr>
            </w:pPr>
          </w:p>
        </w:tc>
        <w:tc>
          <w:tcPr>
            <w:tcW w:w="140" w:type="dxa"/>
            <w:vAlign w:val="bottom"/>
            <w:tcBorders>
              <w:bottom w:val="single" w:sz="8" w:color="CCECFF"/>
            </w:tcBorders>
          </w:tcPr>
          <w:p>
            <w:pPr>
              <w:spacing w:after="0"/>
              <w:rPr>
                <w:sz w:val="12"/>
                <w:szCs w:val="12"/>
                <w:color w:val="auto"/>
              </w:rPr>
            </w:pPr>
          </w:p>
        </w:tc>
        <w:tc>
          <w:tcPr>
            <w:tcW w:w="680" w:type="dxa"/>
            <w:vAlign w:val="bottom"/>
            <w:tcBorders>
              <w:bottom w:val="single" w:sz="8" w:color="CCECFF"/>
            </w:tcBorders>
          </w:tcPr>
          <w:p>
            <w:pPr>
              <w:spacing w:after="0"/>
              <w:rPr>
                <w:sz w:val="12"/>
                <w:szCs w:val="12"/>
                <w:color w:val="auto"/>
              </w:rPr>
            </w:pPr>
          </w:p>
        </w:tc>
        <w:tc>
          <w:tcPr>
            <w:tcW w:w="240" w:type="dxa"/>
            <w:vAlign w:val="bottom"/>
            <w:tcBorders>
              <w:bottom w:val="single" w:sz="8" w:color="CCECFF"/>
            </w:tcBorders>
          </w:tcPr>
          <w:p>
            <w:pPr>
              <w:spacing w:after="0"/>
              <w:rPr>
                <w:sz w:val="12"/>
                <w:szCs w:val="12"/>
                <w:color w:val="auto"/>
              </w:rPr>
            </w:pPr>
          </w:p>
        </w:tc>
        <w:tc>
          <w:tcPr>
            <w:tcW w:w="100" w:type="dxa"/>
            <w:vAlign w:val="bottom"/>
            <w:tcBorders>
              <w:bottom w:val="single" w:sz="8" w:color="CCECFF"/>
            </w:tcBorders>
          </w:tcPr>
          <w:p>
            <w:pPr>
              <w:spacing w:after="0"/>
              <w:rPr>
                <w:sz w:val="12"/>
                <w:szCs w:val="12"/>
                <w:color w:val="auto"/>
              </w:rPr>
            </w:pPr>
          </w:p>
        </w:tc>
        <w:tc>
          <w:tcPr>
            <w:tcW w:w="580" w:type="dxa"/>
            <w:vAlign w:val="bottom"/>
            <w:tcBorders>
              <w:bottom w:val="single" w:sz="8" w:color="CCECFF"/>
            </w:tcBorders>
          </w:tcPr>
          <w:p>
            <w:pPr>
              <w:spacing w:after="0"/>
              <w:rPr>
                <w:sz w:val="12"/>
                <w:szCs w:val="12"/>
                <w:color w:val="auto"/>
              </w:rPr>
            </w:pPr>
          </w:p>
        </w:tc>
        <w:tc>
          <w:tcPr>
            <w:tcW w:w="240" w:type="dxa"/>
            <w:vAlign w:val="bottom"/>
            <w:tcBorders>
              <w:bottom w:val="single" w:sz="8" w:color="CCECFF"/>
            </w:tcBorders>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w w:val="89"/>
              </w:rPr>
              <w:t>416,812,665</w:t>
            </w:r>
          </w:p>
        </w:tc>
        <w:tc>
          <w:tcPr>
            <w:tcW w:w="240" w:type="dxa"/>
            <w:vAlign w:val="bottom"/>
            <w:tcBorders>
              <w:bottom w:val="single" w:sz="8" w:color="CCECFF"/>
            </w:tcBorders>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w w:val="89"/>
              </w:rPr>
              <w:t>392,831,328</w:t>
            </w:r>
          </w:p>
        </w:tc>
        <w:tc>
          <w:tcPr>
            <w:tcW w:w="100" w:type="dxa"/>
            <w:vAlign w:val="bottom"/>
            <w:tcBorders>
              <w:bottom w:val="single" w:sz="8" w:color="CCECFF"/>
            </w:tcBorders>
          </w:tcPr>
          <w:p>
            <w:pPr>
              <w:spacing w:after="0"/>
              <w:rPr>
                <w:sz w:val="12"/>
                <w:szCs w:val="12"/>
                <w:color w:val="auto"/>
              </w:rPr>
            </w:pPr>
          </w:p>
        </w:tc>
      </w:tr>
      <w:tr>
        <w:trPr>
          <w:trHeight w:val="142"/>
        </w:trPr>
        <w:tc>
          <w:tcPr>
            <w:tcW w:w="3000" w:type="dxa"/>
            <w:vAlign w:val="bottom"/>
            <w:shd w:val="clear" w:color="auto" w:fill="CCECFF"/>
          </w:tcPr>
          <w:p>
            <w:pPr>
              <w:spacing w:after="0"/>
              <w:rPr>
                <w:sz w:val="20"/>
                <w:szCs w:val="20"/>
                <w:color w:val="auto"/>
              </w:rPr>
            </w:pPr>
            <w:r>
              <w:rPr>
                <w:rFonts w:ascii="Arial" w:cs="Arial" w:eastAsia="Arial" w:hAnsi="Arial"/>
                <w:sz w:val="12"/>
                <w:szCs w:val="12"/>
                <w:b w:val="1"/>
                <w:bCs w:val="1"/>
                <w:color w:val="auto"/>
              </w:rPr>
              <w:t>Subordinated Debt/Corporate Notes—15.9%</w:t>
            </w:r>
          </w:p>
        </w:tc>
        <w:tc>
          <w:tcPr>
            <w:tcW w:w="920" w:type="dxa"/>
            <w:vAlign w:val="bottom"/>
            <w:shd w:val="clear" w:color="auto" w:fill="CCECFF"/>
          </w:tcPr>
          <w:p>
            <w:pPr>
              <w:spacing w:after="0"/>
              <w:rPr>
                <w:sz w:val="12"/>
                <w:szCs w:val="12"/>
                <w:color w:val="auto"/>
              </w:rPr>
            </w:pPr>
          </w:p>
        </w:tc>
        <w:tc>
          <w:tcPr>
            <w:tcW w:w="2640" w:type="dxa"/>
            <w:vAlign w:val="bottom"/>
            <w:shd w:val="clear" w:color="auto" w:fill="CCECFF"/>
          </w:tcPr>
          <w:p>
            <w:pPr>
              <w:spacing w:after="0"/>
              <w:rPr>
                <w:sz w:val="12"/>
                <w:szCs w:val="12"/>
                <w:color w:val="auto"/>
              </w:rPr>
            </w:pPr>
          </w:p>
        </w:tc>
        <w:tc>
          <w:tcPr>
            <w:tcW w:w="120" w:type="dxa"/>
            <w:vAlign w:val="bottom"/>
            <w:shd w:val="clear" w:color="auto" w:fill="CCECFF"/>
          </w:tcPr>
          <w:p>
            <w:pPr>
              <w:spacing w:after="0"/>
              <w:rPr>
                <w:sz w:val="12"/>
                <w:szCs w:val="12"/>
                <w:color w:val="auto"/>
              </w:rPr>
            </w:pPr>
          </w:p>
        </w:tc>
        <w:tc>
          <w:tcPr>
            <w:tcW w:w="680" w:type="dxa"/>
            <w:vAlign w:val="bottom"/>
            <w:shd w:val="clear" w:color="auto" w:fill="CCECFF"/>
          </w:tcPr>
          <w:p>
            <w:pPr>
              <w:spacing w:after="0"/>
              <w:rPr>
                <w:sz w:val="12"/>
                <w:szCs w:val="12"/>
                <w:color w:val="auto"/>
              </w:rPr>
            </w:pPr>
          </w:p>
        </w:tc>
        <w:tc>
          <w:tcPr>
            <w:tcW w:w="140" w:type="dxa"/>
            <w:vAlign w:val="bottom"/>
            <w:shd w:val="clear" w:color="auto" w:fill="CCECFF"/>
          </w:tcPr>
          <w:p>
            <w:pPr>
              <w:spacing w:after="0"/>
              <w:rPr>
                <w:sz w:val="12"/>
                <w:szCs w:val="12"/>
                <w:color w:val="auto"/>
              </w:rPr>
            </w:pPr>
          </w:p>
        </w:tc>
        <w:tc>
          <w:tcPr>
            <w:tcW w:w="140" w:type="dxa"/>
            <w:vAlign w:val="bottom"/>
            <w:shd w:val="clear" w:color="auto" w:fill="CCECFF"/>
          </w:tcPr>
          <w:p>
            <w:pPr>
              <w:spacing w:after="0"/>
              <w:rPr>
                <w:sz w:val="12"/>
                <w:szCs w:val="12"/>
                <w:color w:val="auto"/>
              </w:rPr>
            </w:pPr>
          </w:p>
        </w:tc>
        <w:tc>
          <w:tcPr>
            <w:tcW w:w="680" w:type="dxa"/>
            <w:vAlign w:val="bottom"/>
            <w:shd w:val="clear" w:color="auto" w:fill="CCECFF"/>
          </w:tcPr>
          <w:p>
            <w:pPr>
              <w:spacing w:after="0"/>
              <w:rPr>
                <w:sz w:val="12"/>
                <w:szCs w:val="12"/>
                <w:color w:val="auto"/>
              </w:rPr>
            </w:pPr>
          </w:p>
        </w:tc>
        <w:tc>
          <w:tcPr>
            <w:tcW w:w="240" w:type="dxa"/>
            <w:vAlign w:val="bottom"/>
            <w:shd w:val="clear" w:color="auto" w:fill="CCECFF"/>
          </w:tcPr>
          <w:p>
            <w:pPr>
              <w:spacing w:after="0"/>
              <w:rPr>
                <w:sz w:val="12"/>
                <w:szCs w:val="12"/>
                <w:color w:val="auto"/>
              </w:rPr>
            </w:pPr>
          </w:p>
        </w:tc>
        <w:tc>
          <w:tcPr>
            <w:tcW w:w="100" w:type="dxa"/>
            <w:vAlign w:val="bottom"/>
            <w:shd w:val="clear" w:color="auto" w:fill="CCECFF"/>
          </w:tcPr>
          <w:p>
            <w:pPr>
              <w:spacing w:after="0"/>
              <w:rPr>
                <w:sz w:val="12"/>
                <w:szCs w:val="12"/>
                <w:color w:val="auto"/>
              </w:rPr>
            </w:pPr>
          </w:p>
        </w:tc>
        <w:tc>
          <w:tcPr>
            <w:tcW w:w="580" w:type="dxa"/>
            <w:vAlign w:val="bottom"/>
            <w:shd w:val="clear" w:color="auto" w:fill="CCECFF"/>
          </w:tcPr>
          <w:p>
            <w:pPr>
              <w:spacing w:after="0"/>
              <w:rPr>
                <w:sz w:val="12"/>
                <w:szCs w:val="12"/>
                <w:color w:val="auto"/>
              </w:rPr>
            </w:pPr>
          </w:p>
        </w:tc>
        <w:tc>
          <w:tcPr>
            <w:tcW w:w="240" w:type="dxa"/>
            <w:vAlign w:val="bottom"/>
            <w:shd w:val="clear" w:color="auto" w:fill="CCECFF"/>
          </w:tcPr>
          <w:p>
            <w:pPr>
              <w:spacing w:after="0"/>
              <w:rPr>
                <w:sz w:val="12"/>
                <w:szCs w:val="12"/>
                <w:color w:val="auto"/>
              </w:rPr>
            </w:pPr>
          </w:p>
        </w:tc>
        <w:tc>
          <w:tcPr>
            <w:tcW w:w="80" w:type="dxa"/>
            <w:vAlign w:val="bottom"/>
            <w:shd w:val="clear" w:color="auto" w:fill="CCECFF"/>
          </w:tcPr>
          <w:p>
            <w:pPr>
              <w:spacing w:after="0"/>
              <w:rPr>
                <w:sz w:val="12"/>
                <w:szCs w:val="12"/>
                <w:color w:val="auto"/>
              </w:rPr>
            </w:pPr>
          </w:p>
        </w:tc>
        <w:tc>
          <w:tcPr>
            <w:tcW w:w="620" w:type="dxa"/>
            <w:vAlign w:val="bottom"/>
            <w:shd w:val="clear" w:color="auto" w:fill="CCECFF"/>
          </w:tcPr>
          <w:p>
            <w:pPr>
              <w:spacing w:after="0"/>
              <w:rPr>
                <w:sz w:val="12"/>
                <w:szCs w:val="12"/>
                <w:color w:val="auto"/>
              </w:rPr>
            </w:pPr>
          </w:p>
        </w:tc>
        <w:tc>
          <w:tcPr>
            <w:tcW w:w="240" w:type="dxa"/>
            <w:vAlign w:val="bottom"/>
            <w:shd w:val="clear" w:color="auto" w:fill="CCECFF"/>
          </w:tcPr>
          <w:p>
            <w:pPr>
              <w:spacing w:after="0"/>
              <w:rPr>
                <w:sz w:val="12"/>
                <w:szCs w:val="12"/>
                <w:color w:val="auto"/>
              </w:rPr>
            </w:pPr>
          </w:p>
        </w:tc>
        <w:tc>
          <w:tcPr>
            <w:tcW w:w="80" w:type="dxa"/>
            <w:vAlign w:val="bottom"/>
            <w:shd w:val="clear" w:color="auto" w:fill="CCECFF"/>
          </w:tcPr>
          <w:p>
            <w:pPr>
              <w:spacing w:after="0"/>
              <w:rPr>
                <w:sz w:val="12"/>
                <w:szCs w:val="12"/>
                <w:color w:val="auto"/>
              </w:rPr>
            </w:pPr>
          </w:p>
        </w:tc>
        <w:tc>
          <w:tcPr>
            <w:tcW w:w="640" w:type="dxa"/>
            <w:vAlign w:val="bottom"/>
            <w:shd w:val="clear" w:color="auto" w:fill="CCECFF"/>
          </w:tcPr>
          <w:p>
            <w:pPr>
              <w:spacing w:after="0"/>
              <w:rPr>
                <w:sz w:val="12"/>
                <w:szCs w:val="12"/>
                <w:color w:val="auto"/>
              </w:rPr>
            </w:pPr>
          </w:p>
        </w:tc>
        <w:tc>
          <w:tcPr>
            <w:tcW w:w="100" w:type="dxa"/>
            <w:vAlign w:val="bottom"/>
            <w:shd w:val="clear" w:color="auto" w:fill="CCECFF"/>
          </w:tcPr>
          <w:p>
            <w:pPr>
              <w:spacing w:after="0"/>
              <w:rPr>
                <w:sz w:val="12"/>
                <w:szCs w:val="12"/>
                <w:color w:val="auto"/>
              </w:rPr>
            </w:pPr>
          </w:p>
        </w:tc>
      </w:tr>
      <w:tr>
        <w:trPr>
          <w:trHeight w:val="148"/>
        </w:trPr>
        <w:tc>
          <w:tcPr>
            <w:tcW w:w="3000" w:type="dxa"/>
            <w:vAlign w:val="bottom"/>
          </w:tcPr>
          <w:p>
            <w:pPr>
              <w:spacing w:after="0"/>
              <w:rPr>
                <w:sz w:val="20"/>
                <w:szCs w:val="20"/>
                <w:color w:val="auto"/>
              </w:rPr>
            </w:pPr>
            <w:r>
              <w:rPr>
                <w:rFonts w:ascii="Arial" w:cs="Arial" w:eastAsia="Arial" w:hAnsi="Arial"/>
                <w:sz w:val="12"/>
                <w:szCs w:val="12"/>
                <w:color w:val="auto"/>
              </w:rPr>
              <w:t>Alegeus Technologies, LLC</w:t>
            </w:r>
          </w:p>
        </w:tc>
        <w:tc>
          <w:tcPr>
            <w:tcW w:w="920" w:type="dxa"/>
            <w:vAlign w:val="bottom"/>
          </w:tcPr>
          <w:p>
            <w:pPr>
              <w:ind w:left="120"/>
              <w:spacing w:after="0"/>
              <w:rPr>
                <w:sz w:val="20"/>
                <w:szCs w:val="20"/>
                <w:color w:val="auto"/>
              </w:rPr>
            </w:pPr>
            <w:r>
              <w:rPr>
                <w:rFonts w:ascii="Arial" w:cs="Arial" w:eastAsia="Arial" w:hAnsi="Arial"/>
                <w:sz w:val="12"/>
                <w:szCs w:val="12"/>
                <w:color w:val="auto"/>
              </w:rPr>
              <w:t>02/15/2019</w:t>
            </w:r>
          </w:p>
        </w:tc>
        <w:tc>
          <w:tcPr>
            <w:tcW w:w="2760" w:type="dxa"/>
            <w:vAlign w:val="bottom"/>
            <w:gridSpan w:val="2"/>
          </w:tcPr>
          <w:p>
            <w:pPr>
              <w:jc w:val="center"/>
              <w:ind w:right="180"/>
              <w:spacing w:after="0"/>
              <w:rPr>
                <w:sz w:val="20"/>
                <w:szCs w:val="20"/>
                <w:color w:val="auto"/>
              </w:rPr>
            </w:pPr>
            <w:r>
              <w:rPr>
                <w:rFonts w:ascii="Arial" w:cs="Arial" w:eastAsia="Arial" w:hAnsi="Arial"/>
                <w:sz w:val="12"/>
                <w:szCs w:val="12"/>
                <w:color w:val="auto"/>
                <w:w w:val="88"/>
              </w:rPr>
              <w:t>Financial Services</w:t>
            </w:r>
          </w:p>
        </w:tc>
        <w:tc>
          <w:tcPr>
            <w:tcW w:w="820" w:type="dxa"/>
            <w:vAlign w:val="bottom"/>
            <w:gridSpan w:val="2"/>
          </w:tcPr>
          <w:p>
            <w:pPr>
              <w:jc w:val="right"/>
              <w:ind w:right="60"/>
              <w:spacing w:after="0"/>
              <w:rPr>
                <w:sz w:val="20"/>
                <w:szCs w:val="20"/>
                <w:color w:val="auto"/>
              </w:rPr>
            </w:pPr>
            <w:r>
              <w:rPr>
                <w:rFonts w:ascii="Arial" w:cs="Arial" w:eastAsia="Arial" w:hAnsi="Arial"/>
                <w:sz w:val="12"/>
                <w:szCs w:val="12"/>
                <w:color w:val="auto"/>
              </w:rPr>
              <w:t>13.00%</w:t>
            </w:r>
          </w:p>
        </w:tc>
        <w:tc>
          <w:tcPr>
            <w:tcW w:w="140" w:type="dxa"/>
            <w:vAlign w:val="bottom"/>
          </w:tcPr>
          <w:p>
            <w:pPr>
              <w:spacing w:after="0"/>
              <w:rPr>
                <w:sz w:val="12"/>
                <w:szCs w:val="12"/>
                <w:color w:val="auto"/>
              </w:rPr>
            </w:pPr>
          </w:p>
        </w:tc>
        <w:tc>
          <w:tcPr>
            <w:tcW w:w="680" w:type="dxa"/>
            <w:vAlign w:val="bottom"/>
          </w:tcPr>
          <w:p>
            <w:pPr>
              <w:jc w:val="right"/>
              <w:spacing w:after="0"/>
              <w:rPr>
                <w:sz w:val="20"/>
                <w:szCs w:val="20"/>
                <w:color w:val="auto"/>
              </w:rPr>
            </w:pPr>
            <w:r>
              <w:rPr>
                <w:rFonts w:ascii="Arial" w:cs="Arial" w:eastAsia="Arial" w:hAnsi="Arial"/>
                <w:sz w:val="12"/>
                <w:szCs w:val="12"/>
                <w:color w:val="auto"/>
              </w:rPr>
              <w:t>L+1,200</w:t>
            </w:r>
          </w:p>
        </w:tc>
        <w:tc>
          <w:tcPr>
            <w:tcW w:w="2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80" w:type="dxa"/>
            <w:vAlign w:val="bottom"/>
          </w:tcPr>
          <w:p>
            <w:pPr>
              <w:jc w:val="right"/>
              <w:spacing w:after="0"/>
              <w:rPr>
                <w:sz w:val="20"/>
                <w:szCs w:val="20"/>
                <w:color w:val="auto"/>
              </w:rPr>
            </w:pPr>
            <w:r>
              <w:rPr>
                <w:rFonts w:ascii="Arial" w:cs="Arial" w:eastAsia="Arial" w:hAnsi="Arial"/>
                <w:sz w:val="12"/>
                <w:szCs w:val="12"/>
                <w:color w:val="auto"/>
              </w:rPr>
              <w:t>8,930,000</w:t>
            </w:r>
          </w:p>
        </w:tc>
        <w:tc>
          <w:tcPr>
            <w:tcW w:w="2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20" w:type="dxa"/>
            <w:vAlign w:val="bottom"/>
          </w:tcPr>
          <w:p>
            <w:pPr>
              <w:jc w:val="right"/>
              <w:spacing w:after="0"/>
              <w:rPr>
                <w:sz w:val="20"/>
                <w:szCs w:val="20"/>
                <w:color w:val="auto"/>
              </w:rPr>
            </w:pPr>
            <w:r>
              <w:rPr>
                <w:rFonts w:ascii="Arial" w:cs="Arial" w:eastAsia="Arial" w:hAnsi="Arial"/>
                <w:sz w:val="12"/>
                <w:szCs w:val="12"/>
                <w:color w:val="auto"/>
              </w:rPr>
              <w:t>8,844,669</w:t>
            </w:r>
          </w:p>
        </w:tc>
        <w:tc>
          <w:tcPr>
            <w:tcW w:w="2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40" w:type="dxa"/>
            <w:vAlign w:val="bottom"/>
          </w:tcPr>
          <w:p>
            <w:pPr>
              <w:jc w:val="right"/>
              <w:spacing w:after="0"/>
              <w:rPr>
                <w:sz w:val="20"/>
                <w:szCs w:val="20"/>
                <w:color w:val="auto"/>
              </w:rPr>
            </w:pPr>
            <w:r>
              <w:rPr>
                <w:rFonts w:ascii="Arial" w:cs="Arial" w:eastAsia="Arial" w:hAnsi="Arial"/>
                <w:sz w:val="12"/>
                <w:szCs w:val="12"/>
                <w:color w:val="auto"/>
              </w:rPr>
              <w:t>8,831,201</w:t>
            </w:r>
          </w:p>
        </w:tc>
        <w:tc>
          <w:tcPr>
            <w:tcW w:w="100" w:type="dxa"/>
            <w:vAlign w:val="bottom"/>
          </w:tcPr>
          <w:p>
            <w:pPr>
              <w:spacing w:after="0"/>
              <w:rPr>
                <w:sz w:val="12"/>
                <w:szCs w:val="12"/>
                <w:color w:val="auto"/>
              </w:rPr>
            </w:pPr>
          </w:p>
        </w:tc>
      </w:tr>
      <w:tr>
        <w:trPr>
          <w:trHeight w:val="149"/>
        </w:trPr>
        <w:tc>
          <w:tcPr>
            <w:tcW w:w="3000" w:type="dxa"/>
            <w:vAlign w:val="bottom"/>
            <w:shd w:val="clear" w:color="auto" w:fill="CCECFF"/>
          </w:tcPr>
          <w:p>
            <w:pPr>
              <w:spacing w:after="0"/>
              <w:rPr>
                <w:sz w:val="20"/>
                <w:szCs w:val="20"/>
                <w:color w:val="auto"/>
              </w:rPr>
            </w:pPr>
            <w:r>
              <w:rPr>
                <w:rFonts w:ascii="Arial" w:cs="Arial" w:eastAsia="Arial" w:hAnsi="Arial"/>
                <w:sz w:val="12"/>
                <w:szCs w:val="12"/>
                <w:color w:val="auto"/>
              </w:rPr>
              <w:t>Cascade Environmental LLC</w:t>
            </w:r>
          </w:p>
        </w:tc>
        <w:tc>
          <w:tcPr>
            <w:tcW w:w="920" w:type="dxa"/>
            <w:vAlign w:val="bottom"/>
            <w:shd w:val="clear" w:color="auto" w:fill="CCECFF"/>
          </w:tcPr>
          <w:p>
            <w:pPr>
              <w:ind w:left="120"/>
              <w:spacing w:after="0"/>
              <w:rPr>
                <w:sz w:val="20"/>
                <w:szCs w:val="20"/>
                <w:color w:val="auto"/>
              </w:rPr>
            </w:pPr>
            <w:r>
              <w:rPr>
                <w:rFonts w:ascii="Arial" w:cs="Arial" w:eastAsia="Arial" w:hAnsi="Arial"/>
                <w:sz w:val="12"/>
                <w:szCs w:val="12"/>
                <w:color w:val="auto"/>
              </w:rPr>
              <w:t>08/20/2021</w:t>
            </w:r>
          </w:p>
        </w:tc>
        <w:tc>
          <w:tcPr>
            <w:tcW w:w="2760" w:type="dxa"/>
            <w:vAlign w:val="bottom"/>
            <w:gridSpan w:val="2"/>
            <w:shd w:val="clear" w:color="auto" w:fill="CCECFF"/>
          </w:tcPr>
          <w:p>
            <w:pPr>
              <w:jc w:val="center"/>
              <w:ind w:right="160"/>
              <w:spacing w:after="0"/>
              <w:rPr>
                <w:sz w:val="20"/>
                <w:szCs w:val="20"/>
                <w:color w:val="auto"/>
              </w:rPr>
            </w:pPr>
            <w:r>
              <w:rPr>
                <w:rFonts w:ascii="Arial" w:cs="Arial" w:eastAsia="Arial" w:hAnsi="Arial"/>
                <w:sz w:val="12"/>
                <w:szCs w:val="12"/>
                <w:color w:val="auto"/>
                <w:w w:val="88"/>
              </w:rPr>
              <w:t>Environmental Services</w:t>
            </w:r>
          </w:p>
        </w:tc>
        <w:tc>
          <w:tcPr>
            <w:tcW w:w="820" w:type="dxa"/>
            <w:vAlign w:val="bottom"/>
            <w:gridSpan w:val="2"/>
            <w:shd w:val="clear" w:color="auto" w:fill="CCECFF"/>
          </w:tcPr>
          <w:p>
            <w:pPr>
              <w:jc w:val="right"/>
              <w:ind w:right="60"/>
              <w:spacing w:after="0"/>
              <w:rPr>
                <w:sz w:val="20"/>
                <w:szCs w:val="20"/>
                <w:color w:val="auto"/>
              </w:rPr>
            </w:pPr>
            <w:r>
              <w:rPr>
                <w:rFonts w:ascii="Arial" w:cs="Arial" w:eastAsia="Arial" w:hAnsi="Arial"/>
                <w:sz w:val="12"/>
                <w:szCs w:val="12"/>
                <w:color w:val="auto"/>
              </w:rPr>
              <w:t>12.00%</w:t>
            </w:r>
          </w:p>
        </w:tc>
        <w:tc>
          <w:tcPr>
            <w:tcW w:w="140" w:type="dxa"/>
            <w:vAlign w:val="bottom"/>
            <w:shd w:val="clear" w:color="auto" w:fill="CCECFF"/>
          </w:tcPr>
          <w:p>
            <w:pPr>
              <w:spacing w:after="0"/>
              <w:rPr>
                <w:sz w:val="12"/>
                <w:szCs w:val="12"/>
                <w:color w:val="auto"/>
              </w:rPr>
            </w:pPr>
          </w:p>
        </w:tc>
        <w:tc>
          <w:tcPr>
            <w:tcW w:w="680" w:type="dxa"/>
            <w:vAlign w:val="bottom"/>
            <w:shd w:val="clear" w:color="auto" w:fill="CCECFF"/>
          </w:tcPr>
          <w:p>
            <w:pPr>
              <w:jc w:val="right"/>
              <w:spacing w:after="0"/>
              <w:rPr>
                <w:sz w:val="20"/>
                <w:szCs w:val="20"/>
                <w:color w:val="auto"/>
              </w:rPr>
            </w:pPr>
            <w:r>
              <w:rPr>
                <w:rFonts w:ascii="Arial" w:cs="Arial" w:eastAsia="Arial" w:hAnsi="Arial"/>
                <w:sz w:val="12"/>
                <w:szCs w:val="12"/>
                <w:color w:val="auto"/>
              </w:rPr>
              <w:t>—</w:t>
            </w:r>
          </w:p>
        </w:tc>
        <w:tc>
          <w:tcPr>
            <w:tcW w:w="240" w:type="dxa"/>
            <w:vAlign w:val="bottom"/>
            <w:shd w:val="clear" w:color="auto" w:fill="CCECFF"/>
          </w:tcPr>
          <w:p>
            <w:pPr>
              <w:spacing w:after="0"/>
              <w:rPr>
                <w:sz w:val="12"/>
                <w:szCs w:val="12"/>
                <w:color w:val="auto"/>
              </w:rPr>
            </w:pPr>
          </w:p>
        </w:tc>
        <w:tc>
          <w:tcPr>
            <w:tcW w:w="100" w:type="dxa"/>
            <w:vAlign w:val="bottom"/>
            <w:shd w:val="clear" w:color="auto" w:fill="CCECFF"/>
          </w:tcPr>
          <w:p>
            <w:pPr>
              <w:spacing w:after="0"/>
              <w:rPr>
                <w:sz w:val="12"/>
                <w:szCs w:val="12"/>
                <w:color w:val="auto"/>
              </w:rPr>
            </w:pPr>
          </w:p>
        </w:tc>
        <w:tc>
          <w:tcPr>
            <w:tcW w:w="580" w:type="dxa"/>
            <w:vAlign w:val="bottom"/>
            <w:shd w:val="clear" w:color="auto" w:fill="CCECFF"/>
          </w:tcPr>
          <w:p>
            <w:pPr>
              <w:jc w:val="right"/>
              <w:spacing w:after="0"/>
              <w:rPr>
                <w:sz w:val="20"/>
                <w:szCs w:val="20"/>
                <w:color w:val="auto"/>
              </w:rPr>
            </w:pPr>
            <w:r>
              <w:rPr>
                <w:rFonts w:ascii="Arial" w:cs="Arial" w:eastAsia="Arial" w:hAnsi="Arial"/>
                <w:sz w:val="12"/>
                <w:szCs w:val="12"/>
                <w:color w:val="auto"/>
                <w:w w:val="89"/>
              </w:rPr>
              <w:t>32,675,553</w:t>
            </w:r>
          </w:p>
        </w:tc>
        <w:tc>
          <w:tcPr>
            <w:tcW w:w="240" w:type="dxa"/>
            <w:vAlign w:val="bottom"/>
            <w:shd w:val="clear" w:color="auto" w:fill="CCECFF"/>
          </w:tcPr>
          <w:p>
            <w:pPr>
              <w:spacing w:after="0"/>
              <w:rPr>
                <w:sz w:val="12"/>
                <w:szCs w:val="12"/>
                <w:color w:val="auto"/>
              </w:rPr>
            </w:pPr>
          </w:p>
        </w:tc>
        <w:tc>
          <w:tcPr>
            <w:tcW w:w="80" w:type="dxa"/>
            <w:vAlign w:val="bottom"/>
            <w:shd w:val="clear" w:color="auto" w:fill="CCECFF"/>
          </w:tcPr>
          <w:p>
            <w:pPr>
              <w:spacing w:after="0"/>
              <w:rPr>
                <w:sz w:val="12"/>
                <w:szCs w:val="12"/>
                <w:color w:val="auto"/>
              </w:rPr>
            </w:pPr>
          </w:p>
        </w:tc>
        <w:tc>
          <w:tcPr>
            <w:tcW w:w="620" w:type="dxa"/>
            <w:vAlign w:val="bottom"/>
            <w:shd w:val="clear" w:color="auto" w:fill="CCECFF"/>
          </w:tcPr>
          <w:p>
            <w:pPr>
              <w:jc w:val="right"/>
              <w:spacing w:after="0"/>
              <w:rPr>
                <w:sz w:val="20"/>
                <w:szCs w:val="20"/>
                <w:color w:val="auto"/>
              </w:rPr>
            </w:pPr>
            <w:r>
              <w:rPr>
                <w:rFonts w:ascii="Arial" w:cs="Arial" w:eastAsia="Arial" w:hAnsi="Arial"/>
                <w:sz w:val="12"/>
                <w:szCs w:val="12"/>
                <w:color w:val="auto"/>
                <w:w w:val="99"/>
              </w:rPr>
              <w:t>32,055,101</w:t>
            </w:r>
          </w:p>
        </w:tc>
        <w:tc>
          <w:tcPr>
            <w:tcW w:w="240" w:type="dxa"/>
            <w:vAlign w:val="bottom"/>
            <w:shd w:val="clear" w:color="auto" w:fill="CCECFF"/>
          </w:tcPr>
          <w:p>
            <w:pPr>
              <w:spacing w:after="0"/>
              <w:rPr>
                <w:sz w:val="12"/>
                <w:szCs w:val="12"/>
                <w:color w:val="auto"/>
              </w:rPr>
            </w:pPr>
          </w:p>
        </w:tc>
        <w:tc>
          <w:tcPr>
            <w:tcW w:w="80" w:type="dxa"/>
            <w:vAlign w:val="bottom"/>
            <w:shd w:val="clear" w:color="auto" w:fill="CCECFF"/>
          </w:tcPr>
          <w:p>
            <w:pPr>
              <w:spacing w:after="0"/>
              <w:rPr>
                <w:sz w:val="12"/>
                <w:szCs w:val="12"/>
                <w:color w:val="auto"/>
              </w:rPr>
            </w:pPr>
          </w:p>
        </w:tc>
        <w:tc>
          <w:tcPr>
            <w:tcW w:w="640" w:type="dxa"/>
            <w:vAlign w:val="bottom"/>
            <w:shd w:val="clear" w:color="auto" w:fill="CCECFF"/>
          </w:tcPr>
          <w:p>
            <w:pPr>
              <w:jc w:val="right"/>
              <w:spacing w:after="0"/>
              <w:rPr>
                <w:sz w:val="20"/>
                <w:szCs w:val="20"/>
                <w:color w:val="auto"/>
              </w:rPr>
            </w:pPr>
            <w:r>
              <w:rPr>
                <w:rFonts w:ascii="Arial" w:cs="Arial" w:eastAsia="Arial" w:hAnsi="Arial"/>
                <w:sz w:val="12"/>
                <w:szCs w:val="12"/>
                <w:color w:val="auto"/>
                <w:w w:val="99"/>
              </w:rPr>
              <w:t>32,675,553</w:t>
            </w:r>
          </w:p>
        </w:tc>
        <w:tc>
          <w:tcPr>
            <w:tcW w:w="100" w:type="dxa"/>
            <w:vAlign w:val="bottom"/>
            <w:shd w:val="clear" w:color="auto" w:fill="CCECFF"/>
          </w:tcPr>
          <w:p>
            <w:pPr>
              <w:spacing w:after="0"/>
              <w:rPr>
                <w:sz w:val="12"/>
                <w:szCs w:val="12"/>
                <w:color w:val="auto"/>
              </w:rPr>
            </w:pPr>
          </w:p>
        </w:tc>
      </w:tr>
      <w:tr>
        <w:trPr>
          <w:trHeight w:val="155"/>
        </w:trPr>
        <w:tc>
          <w:tcPr>
            <w:tcW w:w="3000" w:type="dxa"/>
            <w:vAlign w:val="bottom"/>
          </w:tcPr>
          <w:p>
            <w:pPr>
              <w:spacing w:after="0"/>
              <w:rPr>
                <w:sz w:val="20"/>
                <w:szCs w:val="20"/>
                <w:color w:val="auto"/>
              </w:rPr>
            </w:pPr>
            <w:r>
              <w:rPr>
                <w:rFonts w:ascii="Arial" w:cs="Arial" w:eastAsia="Arial" w:hAnsi="Arial"/>
                <w:sz w:val="12"/>
                <w:szCs w:val="12"/>
                <w:color w:val="auto"/>
              </w:rPr>
              <w:t>Credit Infonet, Inc.</w:t>
            </w:r>
          </w:p>
        </w:tc>
        <w:tc>
          <w:tcPr>
            <w:tcW w:w="920" w:type="dxa"/>
            <w:vAlign w:val="bottom"/>
          </w:tcPr>
          <w:p>
            <w:pPr>
              <w:ind w:left="120"/>
              <w:spacing w:after="0"/>
              <w:rPr>
                <w:sz w:val="20"/>
                <w:szCs w:val="20"/>
                <w:color w:val="auto"/>
              </w:rPr>
            </w:pPr>
            <w:r>
              <w:rPr>
                <w:rFonts w:ascii="Arial" w:cs="Arial" w:eastAsia="Arial" w:hAnsi="Arial"/>
                <w:sz w:val="12"/>
                <w:szCs w:val="12"/>
                <w:color w:val="auto"/>
              </w:rPr>
              <w:t>10/26/2018</w:t>
            </w:r>
          </w:p>
        </w:tc>
        <w:tc>
          <w:tcPr>
            <w:tcW w:w="2760" w:type="dxa"/>
            <w:vAlign w:val="bottom"/>
            <w:gridSpan w:val="2"/>
          </w:tcPr>
          <w:p>
            <w:pPr>
              <w:jc w:val="center"/>
              <w:ind w:right="160"/>
              <w:spacing w:after="0"/>
              <w:rPr>
                <w:sz w:val="20"/>
                <w:szCs w:val="20"/>
                <w:color w:val="auto"/>
              </w:rPr>
            </w:pPr>
            <w:r>
              <w:rPr>
                <w:rFonts w:ascii="Arial" w:cs="Arial" w:eastAsia="Arial" w:hAnsi="Arial"/>
                <w:sz w:val="12"/>
                <w:szCs w:val="12"/>
                <w:color w:val="auto"/>
                <w:w w:val="87"/>
              </w:rPr>
              <w:t>Personal, Food and Miscellaneous Services</w:t>
            </w:r>
          </w:p>
        </w:tc>
        <w:tc>
          <w:tcPr>
            <w:tcW w:w="820" w:type="dxa"/>
            <w:vAlign w:val="bottom"/>
            <w:gridSpan w:val="2"/>
          </w:tcPr>
          <w:p>
            <w:pPr>
              <w:jc w:val="right"/>
              <w:ind w:right="60"/>
              <w:spacing w:after="0"/>
              <w:rPr>
                <w:sz w:val="20"/>
                <w:szCs w:val="20"/>
                <w:color w:val="auto"/>
              </w:rPr>
            </w:pPr>
            <w:r>
              <w:rPr>
                <w:rFonts w:ascii="Arial" w:cs="Arial" w:eastAsia="Arial" w:hAnsi="Arial"/>
                <w:sz w:val="12"/>
                <w:szCs w:val="12"/>
                <w:color w:val="auto"/>
              </w:rPr>
              <w:t>13.00%</w:t>
            </w:r>
          </w:p>
        </w:tc>
        <w:tc>
          <w:tcPr>
            <w:tcW w:w="140" w:type="dxa"/>
            <w:vAlign w:val="bottom"/>
          </w:tcPr>
          <w:p>
            <w:pPr>
              <w:spacing w:after="0"/>
              <w:rPr>
                <w:sz w:val="13"/>
                <w:szCs w:val="13"/>
                <w:color w:val="auto"/>
              </w:rPr>
            </w:pPr>
          </w:p>
        </w:tc>
        <w:tc>
          <w:tcPr>
            <w:tcW w:w="680" w:type="dxa"/>
            <w:vAlign w:val="bottom"/>
          </w:tcPr>
          <w:p>
            <w:pPr>
              <w:jc w:val="right"/>
              <w:spacing w:after="0"/>
              <w:rPr>
                <w:sz w:val="20"/>
                <w:szCs w:val="20"/>
                <w:color w:val="auto"/>
              </w:rPr>
            </w:pPr>
            <w:r>
              <w:rPr>
                <w:rFonts w:ascii="Arial" w:cs="Arial" w:eastAsia="Arial" w:hAnsi="Arial"/>
                <w:sz w:val="12"/>
                <w:szCs w:val="12"/>
                <w:color w:val="auto"/>
              </w:rPr>
              <w:t>—</w:t>
            </w:r>
          </w:p>
        </w:tc>
        <w:tc>
          <w:tcPr>
            <w:tcW w:w="2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80" w:type="dxa"/>
            <w:vAlign w:val="bottom"/>
          </w:tcPr>
          <w:p>
            <w:pPr>
              <w:jc w:val="right"/>
              <w:spacing w:after="0"/>
              <w:rPr>
                <w:sz w:val="20"/>
                <w:szCs w:val="20"/>
                <w:color w:val="auto"/>
              </w:rPr>
            </w:pPr>
            <w:r>
              <w:rPr>
                <w:rFonts w:ascii="Arial" w:cs="Arial" w:eastAsia="Arial" w:hAnsi="Arial"/>
                <w:sz w:val="12"/>
                <w:szCs w:val="12"/>
                <w:color w:val="auto"/>
                <w:w w:val="89"/>
              </w:rPr>
              <w:t>11,035,083</w:t>
            </w:r>
          </w:p>
        </w:tc>
        <w:tc>
          <w:tcPr>
            <w:tcW w:w="2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20" w:type="dxa"/>
            <w:vAlign w:val="bottom"/>
          </w:tcPr>
          <w:p>
            <w:pPr>
              <w:jc w:val="right"/>
              <w:spacing w:after="0"/>
              <w:rPr>
                <w:sz w:val="20"/>
                <w:szCs w:val="20"/>
                <w:color w:val="auto"/>
              </w:rPr>
            </w:pPr>
            <w:r>
              <w:rPr>
                <w:rFonts w:ascii="Arial" w:cs="Arial" w:eastAsia="Arial" w:hAnsi="Arial"/>
                <w:sz w:val="12"/>
                <w:szCs w:val="12"/>
                <w:color w:val="auto"/>
                <w:w w:val="99"/>
              </w:rPr>
              <w:t>10,937,329</w:t>
            </w:r>
          </w:p>
        </w:tc>
        <w:tc>
          <w:tcPr>
            <w:tcW w:w="2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40" w:type="dxa"/>
            <w:vAlign w:val="bottom"/>
          </w:tcPr>
          <w:p>
            <w:pPr>
              <w:jc w:val="right"/>
              <w:spacing w:after="0"/>
              <w:rPr>
                <w:sz w:val="20"/>
                <w:szCs w:val="20"/>
                <w:color w:val="auto"/>
              </w:rPr>
            </w:pPr>
            <w:r>
              <w:rPr>
                <w:rFonts w:ascii="Arial" w:cs="Arial" w:eastAsia="Arial" w:hAnsi="Arial"/>
                <w:sz w:val="12"/>
                <w:szCs w:val="12"/>
                <w:color w:val="auto"/>
                <w:w w:val="99"/>
              </w:rPr>
              <w:t>10,538,501</w:t>
            </w:r>
          </w:p>
        </w:tc>
        <w:tc>
          <w:tcPr>
            <w:tcW w:w="100" w:type="dxa"/>
            <w:vAlign w:val="bottom"/>
          </w:tcPr>
          <w:p>
            <w:pPr>
              <w:spacing w:after="0"/>
              <w:rPr>
                <w:sz w:val="13"/>
                <w:szCs w:val="13"/>
                <w:color w:val="auto"/>
              </w:rPr>
            </w:pPr>
          </w:p>
        </w:tc>
      </w:tr>
      <w:tr>
        <w:trPr>
          <w:trHeight w:val="141"/>
        </w:trPr>
        <w:tc>
          <w:tcPr>
            <w:tcW w:w="300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26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20" w:type="dxa"/>
            <w:vAlign w:val="bottom"/>
            <w:gridSpan w:val="2"/>
          </w:tcPr>
          <w:p>
            <w:pPr>
              <w:jc w:val="right"/>
              <w:ind w:right="20"/>
              <w:spacing w:after="0"/>
              <w:rPr>
                <w:sz w:val="20"/>
                <w:szCs w:val="20"/>
                <w:color w:val="auto"/>
              </w:rPr>
            </w:pPr>
            <w:r>
              <w:rPr>
                <w:rFonts w:ascii="Arial" w:cs="Arial" w:eastAsia="Arial" w:hAnsi="Arial"/>
                <w:sz w:val="12"/>
                <w:szCs w:val="12"/>
                <w:color w:val="auto"/>
              </w:rPr>
              <w:t>(PIK 1.75%)</w:t>
            </w:r>
          </w:p>
        </w:tc>
        <w:tc>
          <w:tcPr>
            <w:tcW w:w="14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00" w:type="dxa"/>
            <w:vAlign w:val="bottom"/>
          </w:tcPr>
          <w:p>
            <w:pPr>
              <w:spacing w:after="0"/>
              <w:rPr>
                <w:sz w:val="12"/>
                <w:szCs w:val="12"/>
                <w:color w:val="auto"/>
              </w:rPr>
            </w:pPr>
          </w:p>
        </w:tc>
      </w:tr>
      <w:tr>
        <w:trPr>
          <w:trHeight w:val="149"/>
        </w:trPr>
        <w:tc>
          <w:tcPr>
            <w:tcW w:w="3000" w:type="dxa"/>
            <w:vAlign w:val="bottom"/>
            <w:shd w:val="clear" w:color="auto" w:fill="CCECFF"/>
          </w:tcPr>
          <w:p>
            <w:pPr>
              <w:spacing w:after="0"/>
              <w:rPr>
                <w:sz w:val="20"/>
                <w:szCs w:val="20"/>
                <w:color w:val="auto"/>
              </w:rPr>
            </w:pPr>
            <w:r>
              <w:rPr>
                <w:rFonts w:ascii="Arial" w:cs="Arial" w:eastAsia="Arial" w:hAnsi="Arial"/>
                <w:sz w:val="12"/>
                <w:szCs w:val="12"/>
                <w:color w:val="auto"/>
              </w:rPr>
              <w:t xml:space="preserve">Goldsun Trading Limited </w:t>
            </w:r>
            <w:r>
              <w:rPr>
                <w:rFonts w:ascii="Arial" w:cs="Arial" w:eastAsia="Arial" w:hAnsi="Arial"/>
                <w:sz w:val="9"/>
                <w:szCs w:val="9"/>
                <w:color w:val="auto"/>
              </w:rPr>
              <w:t>(9), (11), (12)</w:t>
            </w:r>
          </w:p>
        </w:tc>
        <w:tc>
          <w:tcPr>
            <w:tcW w:w="920" w:type="dxa"/>
            <w:vAlign w:val="bottom"/>
            <w:shd w:val="clear" w:color="auto" w:fill="CCECFF"/>
          </w:tcPr>
          <w:p>
            <w:pPr>
              <w:ind w:left="120"/>
              <w:spacing w:after="0"/>
              <w:rPr>
                <w:sz w:val="20"/>
                <w:szCs w:val="20"/>
                <w:color w:val="auto"/>
              </w:rPr>
            </w:pPr>
            <w:r>
              <w:rPr>
                <w:rFonts w:ascii="Arial" w:cs="Arial" w:eastAsia="Arial" w:hAnsi="Arial"/>
                <w:sz w:val="12"/>
                <w:szCs w:val="12"/>
                <w:color w:val="auto"/>
              </w:rPr>
              <w:t>02/19/2018</w:t>
            </w:r>
          </w:p>
        </w:tc>
        <w:tc>
          <w:tcPr>
            <w:tcW w:w="2760" w:type="dxa"/>
            <w:vAlign w:val="bottom"/>
            <w:gridSpan w:val="2"/>
            <w:shd w:val="clear" w:color="auto" w:fill="CCECFF"/>
          </w:tcPr>
          <w:p>
            <w:pPr>
              <w:jc w:val="center"/>
              <w:ind w:right="160"/>
              <w:spacing w:after="0"/>
              <w:rPr>
                <w:sz w:val="20"/>
                <w:szCs w:val="20"/>
                <w:color w:val="auto"/>
              </w:rPr>
            </w:pPr>
            <w:r>
              <w:rPr>
                <w:rFonts w:ascii="Arial" w:cs="Arial" w:eastAsia="Arial" w:hAnsi="Arial"/>
                <w:sz w:val="12"/>
                <w:szCs w:val="12"/>
                <w:color w:val="auto"/>
                <w:w w:val="87"/>
              </w:rPr>
              <w:t>Healthcare, Education and Childcare</w:t>
            </w:r>
          </w:p>
        </w:tc>
        <w:tc>
          <w:tcPr>
            <w:tcW w:w="820" w:type="dxa"/>
            <w:vAlign w:val="bottom"/>
            <w:gridSpan w:val="2"/>
            <w:shd w:val="clear" w:color="auto" w:fill="CCECFF"/>
          </w:tcPr>
          <w:p>
            <w:pPr>
              <w:jc w:val="right"/>
              <w:ind w:right="60"/>
              <w:spacing w:after="0"/>
              <w:rPr>
                <w:sz w:val="20"/>
                <w:szCs w:val="20"/>
                <w:color w:val="auto"/>
              </w:rPr>
            </w:pPr>
            <w:r>
              <w:rPr>
                <w:rFonts w:ascii="Arial" w:cs="Arial" w:eastAsia="Arial" w:hAnsi="Arial"/>
                <w:sz w:val="12"/>
                <w:szCs w:val="12"/>
                <w:color w:val="auto"/>
              </w:rPr>
              <w:t>14.50%</w:t>
            </w:r>
          </w:p>
        </w:tc>
        <w:tc>
          <w:tcPr>
            <w:tcW w:w="140" w:type="dxa"/>
            <w:vAlign w:val="bottom"/>
            <w:shd w:val="clear" w:color="auto" w:fill="CCECFF"/>
          </w:tcPr>
          <w:p>
            <w:pPr>
              <w:spacing w:after="0"/>
              <w:rPr>
                <w:sz w:val="12"/>
                <w:szCs w:val="12"/>
                <w:color w:val="auto"/>
              </w:rPr>
            </w:pPr>
          </w:p>
        </w:tc>
        <w:tc>
          <w:tcPr>
            <w:tcW w:w="680" w:type="dxa"/>
            <w:vAlign w:val="bottom"/>
            <w:shd w:val="clear" w:color="auto" w:fill="CCECFF"/>
          </w:tcPr>
          <w:p>
            <w:pPr>
              <w:jc w:val="right"/>
              <w:spacing w:after="0"/>
              <w:rPr>
                <w:sz w:val="20"/>
                <w:szCs w:val="20"/>
                <w:color w:val="auto"/>
              </w:rPr>
            </w:pPr>
            <w:r>
              <w:rPr>
                <w:rFonts w:ascii="Arial" w:cs="Arial" w:eastAsia="Arial" w:hAnsi="Arial"/>
                <w:sz w:val="12"/>
                <w:szCs w:val="12"/>
                <w:color w:val="auto"/>
              </w:rPr>
              <w:t>L+1,000</w:t>
            </w:r>
          </w:p>
        </w:tc>
        <w:tc>
          <w:tcPr>
            <w:tcW w:w="340" w:type="dxa"/>
            <w:vAlign w:val="bottom"/>
            <w:gridSpan w:val="2"/>
            <w:shd w:val="clear" w:color="auto" w:fill="CCECFF"/>
          </w:tcPr>
          <w:p>
            <w:pPr>
              <w:jc w:val="right"/>
              <w:ind w:right="40"/>
              <w:spacing w:after="0"/>
              <w:rPr>
                <w:sz w:val="20"/>
                <w:szCs w:val="20"/>
                <w:color w:val="auto"/>
              </w:rPr>
            </w:pPr>
            <w:r>
              <w:rPr>
                <w:rFonts w:ascii="Arial" w:cs="Arial" w:eastAsia="Arial" w:hAnsi="Arial"/>
                <w:sz w:val="12"/>
                <w:szCs w:val="12"/>
                <w:color w:val="auto"/>
              </w:rPr>
              <w:t>£</w:t>
            </w:r>
          </w:p>
        </w:tc>
        <w:tc>
          <w:tcPr>
            <w:tcW w:w="580" w:type="dxa"/>
            <w:vAlign w:val="bottom"/>
            <w:shd w:val="clear" w:color="auto" w:fill="CCECFF"/>
          </w:tcPr>
          <w:p>
            <w:pPr>
              <w:jc w:val="right"/>
              <w:spacing w:after="0"/>
              <w:rPr>
                <w:sz w:val="20"/>
                <w:szCs w:val="20"/>
                <w:color w:val="auto"/>
              </w:rPr>
            </w:pPr>
            <w:r>
              <w:rPr>
                <w:rFonts w:ascii="Arial" w:cs="Arial" w:eastAsia="Arial" w:hAnsi="Arial"/>
                <w:sz w:val="12"/>
                <w:szCs w:val="12"/>
                <w:color w:val="auto"/>
              </w:rPr>
              <w:t>8,375,600</w:t>
            </w:r>
          </w:p>
        </w:tc>
        <w:tc>
          <w:tcPr>
            <w:tcW w:w="240" w:type="dxa"/>
            <w:vAlign w:val="bottom"/>
            <w:shd w:val="clear" w:color="auto" w:fill="CCECFF"/>
          </w:tcPr>
          <w:p>
            <w:pPr>
              <w:spacing w:after="0"/>
              <w:rPr>
                <w:sz w:val="12"/>
                <w:szCs w:val="12"/>
                <w:color w:val="auto"/>
              </w:rPr>
            </w:pPr>
          </w:p>
        </w:tc>
        <w:tc>
          <w:tcPr>
            <w:tcW w:w="80" w:type="dxa"/>
            <w:vAlign w:val="bottom"/>
            <w:shd w:val="clear" w:color="auto" w:fill="CCECFF"/>
          </w:tcPr>
          <w:p>
            <w:pPr>
              <w:spacing w:after="0"/>
              <w:rPr>
                <w:sz w:val="12"/>
                <w:szCs w:val="12"/>
                <w:color w:val="auto"/>
              </w:rPr>
            </w:pPr>
          </w:p>
        </w:tc>
        <w:tc>
          <w:tcPr>
            <w:tcW w:w="620" w:type="dxa"/>
            <w:vAlign w:val="bottom"/>
            <w:shd w:val="clear" w:color="auto" w:fill="CCECFF"/>
          </w:tcPr>
          <w:p>
            <w:pPr>
              <w:jc w:val="right"/>
              <w:spacing w:after="0"/>
              <w:rPr>
                <w:sz w:val="20"/>
                <w:szCs w:val="20"/>
                <w:color w:val="auto"/>
              </w:rPr>
            </w:pPr>
            <w:r>
              <w:rPr>
                <w:rFonts w:ascii="Arial" w:cs="Arial" w:eastAsia="Arial" w:hAnsi="Arial"/>
                <w:sz w:val="12"/>
                <w:szCs w:val="12"/>
                <w:color w:val="auto"/>
                <w:w w:val="99"/>
              </w:rPr>
              <w:t>12,306,414</w:t>
            </w:r>
          </w:p>
        </w:tc>
        <w:tc>
          <w:tcPr>
            <w:tcW w:w="240" w:type="dxa"/>
            <w:vAlign w:val="bottom"/>
            <w:shd w:val="clear" w:color="auto" w:fill="CCECFF"/>
          </w:tcPr>
          <w:p>
            <w:pPr>
              <w:spacing w:after="0"/>
              <w:rPr>
                <w:sz w:val="12"/>
                <w:szCs w:val="12"/>
                <w:color w:val="auto"/>
              </w:rPr>
            </w:pPr>
          </w:p>
        </w:tc>
        <w:tc>
          <w:tcPr>
            <w:tcW w:w="80" w:type="dxa"/>
            <w:vAlign w:val="bottom"/>
            <w:shd w:val="clear" w:color="auto" w:fill="CCECFF"/>
          </w:tcPr>
          <w:p>
            <w:pPr>
              <w:spacing w:after="0"/>
              <w:rPr>
                <w:sz w:val="12"/>
                <w:szCs w:val="12"/>
                <w:color w:val="auto"/>
              </w:rPr>
            </w:pPr>
          </w:p>
        </w:tc>
        <w:tc>
          <w:tcPr>
            <w:tcW w:w="640" w:type="dxa"/>
            <w:vAlign w:val="bottom"/>
            <w:shd w:val="clear" w:color="auto" w:fill="CCECFF"/>
          </w:tcPr>
          <w:p>
            <w:pPr>
              <w:jc w:val="right"/>
              <w:spacing w:after="0"/>
              <w:rPr>
                <w:sz w:val="20"/>
                <w:szCs w:val="20"/>
                <w:color w:val="auto"/>
              </w:rPr>
            </w:pPr>
            <w:r>
              <w:rPr>
                <w:rFonts w:ascii="Arial" w:cs="Arial" w:eastAsia="Arial" w:hAnsi="Arial"/>
                <w:sz w:val="12"/>
                <w:szCs w:val="12"/>
                <w:color w:val="auto"/>
                <w:w w:val="99"/>
              </w:rPr>
              <w:t>10,855,976</w:t>
            </w:r>
          </w:p>
        </w:tc>
        <w:tc>
          <w:tcPr>
            <w:tcW w:w="100" w:type="dxa"/>
            <w:vAlign w:val="bottom"/>
            <w:shd w:val="clear" w:color="auto" w:fill="CCECFF"/>
          </w:tcPr>
          <w:p>
            <w:pPr>
              <w:spacing w:after="0"/>
              <w:rPr>
                <w:sz w:val="12"/>
                <w:szCs w:val="12"/>
                <w:color w:val="auto"/>
              </w:rPr>
            </w:pPr>
          </w:p>
        </w:tc>
      </w:tr>
      <w:tr>
        <w:trPr>
          <w:trHeight w:val="148"/>
        </w:trPr>
        <w:tc>
          <w:tcPr>
            <w:tcW w:w="3000" w:type="dxa"/>
            <w:vAlign w:val="bottom"/>
            <w:shd w:val="clear" w:color="auto" w:fill="CCECFF"/>
          </w:tcPr>
          <w:p>
            <w:pPr>
              <w:spacing w:after="0"/>
              <w:rPr>
                <w:sz w:val="12"/>
                <w:szCs w:val="12"/>
                <w:color w:val="auto"/>
              </w:rPr>
            </w:pPr>
          </w:p>
        </w:tc>
        <w:tc>
          <w:tcPr>
            <w:tcW w:w="920" w:type="dxa"/>
            <w:vAlign w:val="bottom"/>
            <w:shd w:val="clear" w:color="auto" w:fill="CCECFF"/>
          </w:tcPr>
          <w:p>
            <w:pPr>
              <w:spacing w:after="0"/>
              <w:rPr>
                <w:sz w:val="12"/>
                <w:szCs w:val="12"/>
                <w:color w:val="auto"/>
              </w:rPr>
            </w:pPr>
          </w:p>
        </w:tc>
        <w:tc>
          <w:tcPr>
            <w:tcW w:w="2640" w:type="dxa"/>
            <w:vAlign w:val="bottom"/>
            <w:shd w:val="clear" w:color="auto" w:fill="CCECFF"/>
          </w:tcPr>
          <w:p>
            <w:pPr>
              <w:spacing w:after="0"/>
              <w:rPr>
                <w:sz w:val="12"/>
                <w:szCs w:val="12"/>
                <w:color w:val="auto"/>
              </w:rPr>
            </w:pPr>
          </w:p>
        </w:tc>
        <w:tc>
          <w:tcPr>
            <w:tcW w:w="120" w:type="dxa"/>
            <w:vAlign w:val="bottom"/>
            <w:shd w:val="clear" w:color="auto" w:fill="CCECFF"/>
          </w:tcPr>
          <w:p>
            <w:pPr>
              <w:spacing w:after="0"/>
              <w:rPr>
                <w:sz w:val="12"/>
                <w:szCs w:val="12"/>
                <w:color w:val="auto"/>
              </w:rPr>
            </w:pPr>
          </w:p>
        </w:tc>
        <w:tc>
          <w:tcPr>
            <w:tcW w:w="820" w:type="dxa"/>
            <w:vAlign w:val="bottom"/>
            <w:gridSpan w:val="2"/>
            <w:shd w:val="clear" w:color="auto" w:fill="CCECFF"/>
          </w:tcPr>
          <w:p>
            <w:pPr>
              <w:jc w:val="right"/>
              <w:ind w:right="20"/>
              <w:spacing w:after="0"/>
              <w:rPr>
                <w:sz w:val="20"/>
                <w:szCs w:val="20"/>
                <w:color w:val="auto"/>
              </w:rPr>
            </w:pPr>
            <w:r>
              <w:rPr>
                <w:rFonts w:ascii="Arial" w:cs="Arial" w:eastAsia="Arial" w:hAnsi="Arial"/>
                <w:sz w:val="12"/>
                <w:szCs w:val="12"/>
                <w:color w:val="auto"/>
              </w:rPr>
              <w:t>(PIK 6.00%)</w:t>
            </w:r>
          </w:p>
        </w:tc>
        <w:tc>
          <w:tcPr>
            <w:tcW w:w="140" w:type="dxa"/>
            <w:vAlign w:val="bottom"/>
            <w:shd w:val="clear" w:color="auto" w:fill="CCECFF"/>
          </w:tcPr>
          <w:p>
            <w:pPr>
              <w:spacing w:after="0"/>
              <w:rPr>
                <w:sz w:val="12"/>
                <w:szCs w:val="12"/>
                <w:color w:val="auto"/>
              </w:rPr>
            </w:pPr>
          </w:p>
        </w:tc>
        <w:tc>
          <w:tcPr>
            <w:tcW w:w="680" w:type="dxa"/>
            <w:vAlign w:val="bottom"/>
            <w:shd w:val="clear" w:color="auto" w:fill="CCECFF"/>
          </w:tcPr>
          <w:p>
            <w:pPr>
              <w:spacing w:after="0"/>
              <w:rPr>
                <w:sz w:val="12"/>
                <w:szCs w:val="12"/>
                <w:color w:val="auto"/>
              </w:rPr>
            </w:pPr>
          </w:p>
        </w:tc>
        <w:tc>
          <w:tcPr>
            <w:tcW w:w="240" w:type="dxa"/>
            <w:vAlign w:val="bottom"/>
            <w:shd w:val="clear" w:color="auto" w:fill="CCECFF"/>
          </w:tcPr>
          <w:p>
            <w:pPr>
              <w:spacing w:after="0"/>
              <w:rPr>
                <w:sz w:val="12"/>
                <w:szCs w:val="12"/>
                <w:color w:val="auto"/>
              </w:rPr>
            </w:pPr>
          </w:p>
        </w:tc>
        <w:tc>
          <w:tcPr>
            <w:tcW w:w="100" w:type="dxa"/>
            <w:vAlign w:val="bottom"/>
            <w:shd w:val="clear" w:color="auto" w:fill="CCECFF"/>
          </w:tcPr>
          <w:p>
            <w:pPr>
              <w:spacing w:after="0"/>
              <w:rPr>
                <w:sz w:val="12"/>
                <w:szCs w:val="12"/>
                <w:color w:val="auto"/>
              </w:rPr>
            </w:pPr>
          </w:p>
        </w:tc>
        <w:tc>
          <w:tcPr>
            <w:tcW w:w="580" w:type="dxa"/>
            <w:vAlign w:val="bottom"/>
            <w:shd w:val="clear" w:color="auto" w:fill="CCECFF"/>
          </w:tcPr>
          <w:p>
            <w:pPr>
              <w:spacing w:after="0"/>
              <w:rPr>
                <w:sz w:val="12"/>
                <w:szCs w:val="12"/>
                <w:color w:val="auto"/>
              </w:rPr>
            </w:pPr>
          </w:p>
        </w:tc>
        <w:tc>
          <w:tcPr>
            <w:tcW w:w="240" w:type="dxa"/>
            <w:vAlign w:val="bottom"/>
            <w:shd w:val="clear" w:color="auto" w:fill="CCECFF"/>
          </w:tcPr>
          <w:p>
            <w:pPr>
              <w:spacing w:after="0"/>
              <w:rPr>
                <w:sz w:val="12"/>
                <w:szCs w:val="12"/>
                <w:color w:val="auto"/>
              </w:rPr>
            </w:pPr>
          </w:p>
        </w:tc>
        <w:tc>
          <w:tcPr>
            <w:tcW w:w="80" w:type="dxa"/>
            <w:vAlign w:val="bottom"/>
            <w:shd w:val="clear" w:color="auto" w:fill="CCECFF"/>
          </w:tcPr>
          <w:p>
            <w:pPr>
              <w:spacing w:after="0"/>
              <w:rPr>
                <w:sz w:val="12"/>
                <w:szCs w:val="12"/>
                <w:color w:val="auto"/>
              </w:rPr>
            </w:pPr>
          </w:p>
        </w:tc>
        <w:tc>
          <w:tcPr>
            <w:tcW w:w="620" w:type="dxa"/>
            <w:vAlign w:val="bottom"/>
            <w:shd w:val="clear" w:color="auto" w:fill="CCECFF"/>
          </w:tcPr>
          <w:p>
            <w:pPr>
              <w:spacing w:after="0"/>
              <w:rPr>
                <w:sz w:val="12"/>
                <w:szCs w:val="12"/>
                <w:color w:val="auto"/>
              </w:rPr>
            </w:pPr>
          </w:p>
        </w:tc>
        <w:tc>
          <w:tcPr>
            <w:tcW w:w="240" w:type="dxa"/>
            <w:vAlign w:val="bottom"/>
            <w:shd w:val="clear" w:color="auto" w:fill="CCECFF"/>
          </w:tcPr>
          <w:p>
            <w:pPr>
              <w:spacing w:after="0"/>
              <w:rPr>
                <w:sz w:val="12"/>
                <w:szCs w:val="12"/>
                <w:color w:val="auto"/>
              </w:rPr>
            </w:pPr>
          </w:p>
        </w:tc>
        <w:tc>
          <w:tcPr>
            <w:tcW w:w="80" w:type="dxa"/>
            <w:vAlign w:val="bottom"/>
            <w:shd w:val="clear" w:color="auto" w:fill="CCECFF"/>
          </w:tcPr>
          <w:p>
            <w:pPr>
              <w:spacing w:after="0"/>
              <w:rPr>
                <w:sz w:val="12"/>
                <w:szCs w:val="12"/>
                <w:color w:val="auto"/>
              </w:rPr>
            </w:pPr>
          </w:p>
        </w:tc>
        <w:tc>
          <w:tcPr>
            <w:tcW w:w="640" w:type="dxa"/>
            <w:vAlign w:val="bottom"/>
            <w:shd w:val="clear" w:color="auto" w:fill="CCECFF"/>
          </w:tcPr>
          <w:p>
            <w:pPr>
              <w:spacing w:after="0"/>
              <w:rPr>
                <w:sz w:val="12"/>
                <w:szCs w:val="12"/>
                <w:color w:val="auto"/>
              </w:rPr>
            </w:pPr>
          </w:p>
        </w:tc>
        <w:tc>
          <w:tcPr>
            <w:tcW w:w="100" w:type="dxa"/>
            <w:vAlign w:val="bottom"/>
            <w:shd w:val="clear" w:color="auto" w:fill="CCECFF"/>
          </w:tcPr>
          <w:p>
            <w:pPr>
              <w:spacing w:after="0"/>
              <w:rPr>
                <w:sz w:val="12"/>
                <w:szCs w:val="12"/>
                <w:color w:val="auto"/>
              </w:rPr>
            </w:pPr>
          </w:p>
        </w:tc>
      </w:tr>
      <w:tr>
        <w:trPr>
          <w:trHeight w:val="148"/>
        </w:trPr>
        <w:tc>
          <w:tcPr>
            <w:tcW w:w="3000" w:type="dxa"/>
            <w:vAlign w:val="bottom"/>
          </w:tcPr>
          <w:p>
            <w:pPr>
              <w:spacing w:after="0"/>
              <w:rPr>
                <w:sz w:val="20"/>
                <w:szCs w:val="20"/>
                <w:color w:val="auto"/>
              </w:rPr>
            </w:pPr>
            <w:r>
              <w:rPr>
                <w:rFonts w:ascii="Arial" w:cs="Arial" w:eastAsia="Arial" w:hAnsi="Arial"/>
                <w:sz w:val="12"/>
                <w:szCs w:val="12"/>
                <w:color w:val="auto"/>
              </w:rPr>
              <w:t>Randall-Reilly, LLC</w:t>
            </w:r>
          </w:p>
        </w:tc>
        <w:tc>
          <w:tcPr>
            <w:tcW w:w="920" w:type="dxa"/>
            <w:vAlign w:val="bottom"/>
          </w:tcPr>
          <w:p>
            <w:pPr>
              <w:ind w:left="120"/>
              <w:spacing w:after="0"/>
              <w:rPr>
                <w:sz w:val="20"/>
                <w:szCs w:val="20"/>
                <w:color w:val="auto"/>
              </w:rPr>
            </w:pPr>
            <w:r>
              <w:rPr>
                <w:rFonts w:ascii="Arial" w:cs="Arial" w:eastAsia="Arial" w:hAnsi="Arial"/>
                <w:sz w:val="12"/>
                <w:szCs w:val="12"/>
                <w:color w:val="auto"/>
              </w:rPr>
              <w:t>04/15/2020</w:t>
            </w:r>
          </w:p>
        </w:tc>
        <w:tc>
          <w:tcPr>
            <w:tcW w:w="2760" w:type="dxa"/>
            <w:vAlign w:val="bottom"/>
            <w:gridSpan w:val="2"/>
          </w:tcPr>
          <w:p>
            <w:pPr>
              <w:jc w:val="center"/>
              <w:ind w:right="160"/>
              <w:spacing w:after="0"/>
              <w:rPr>
                <w:sz w:val="20"/>
                <w:szCs w:val="20"/>
                <w:color w:val="auto"/>
              </w:rPr>
            </w:pPr>
            <w:r>
              <w:rPr>
                <w:rFonts w:ascii="Arial" w:cs="Arial" w:eastAsia="Arial" w:hAnsi="Arial"/>
                <w:sz w:val="12"/>
                <w:szCs w:val="12"/>
                <w:color w:val="auto"/>
                <w:w w:val="90"/>
              </w:rPr>
              <w:t>Other Media</w:t>
            </w:r>
          </w:p>
        </w:tc>
        <w:tc>
          <w:tcPr>
            <w:tcW w:w="820" w:type="dxa"/>
            <w:vAlign w:val="bottom"/>
            <w:gridSpan w:val="2"/>
          </w:tcPr>
          <w:p>
            <w:pPr>
              <w:jc w:val="right"/>
              <w:ind w:right="60"/>
              <w:spacing w:after="0"/>
              <w:rPr>
                <w:sz w:val="20"/>
                <w:szCs w:val="20"/>
                <w:color w:val="auto"/>
              </w:rPr>
            </w:pPr>
            <w:r>
              <w:rPr>
                <w:rFonts w:ascii="Arial" w:cs="Arial" w:eastAsia="Arial" w:hAnsi="Arial"/>
                <w:sz w:val="12"/>
                <w:szCs w:val="12"/>
                <w:color w:val="auto"/>
              </w:rPr>
              <w:t>12.00%</w:t>
            </w:r>
          </w:p>
        </w:tc>
        <w:tc>
          <w:tcPr>
            <w:tcW w:w="140" w:type="dxa"/>
            <w:vAlign w:val="bottom"/>
          </w:tcPr>
          <w:p>
            <w:pPr>
              <w:spacing w:after="0"/>
              <w:rPr>
                <w:sz w:val="12"/>
                <w:szCs w:val="12"/>
                <w:color w:val="auto"/>
              </w:rPr>
            </w:pPr>
          </w:p>
        </w:tc>
        <w:tc>
          <w:tcPr>
            <w:tcW w:w="680" w:type="dxa"/>
            <w:vAlign w:val="bottom"/>
          </w:tcPr>
          <w:p>
            <w:pPr>
              <w:jc w:val="right"/>
              <w:spacing w:after="0"/>
              <w:rPr>
                <w:sz w:val="20"/>
                <w:szCs w:val="20"/>
                <w:color w:val="auto"/>
              </w:rPr>
            </w:pPr>
            <w:r>
              <w:rPr>
                <w:rFonts w:ascii="Arial" w:cs="Arial" w:eastAsia="Arial" w:hAnsi="Arial"/>
                <w:sz w:val="12"/>
                <w:szCs w:val="12"/>
                <w:color w:val="auto"/>
              </w:rPr>
              <w:t>—</w:t>
            </w:r>
          </w:p>
        </w:tc>
        <w:tc>
          <w:tcPr>
            <w:tcW w:w="2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80" w:type="dxa"/>
            <w:vAlign w:val="bottom"/>
          </w:tcPr>
          <w:p>
            <w:pPr>
              <w:jc w:val="right"/>
              <w:spacing w:after="0"/>
              <w:rPr>
                <w:sz w:val="20"/>
                <w:szCs w:val="20"/>
                <w:color w:val="auto"/>
              </w:rPr>
            </w:pPr>
            <w:r>
              <w:rPr>
                <w:rFonts w:ascii="Arial" w:cs="Arial" w:eastAsia="Arial" w:hAnsi="Arial"/>
                <w:sz w:val="12"/>
                <w:szCs w:val="12"/>
                <w:color w:val="auto"/>
                <w:w w:val="89"/>
              </w:rPr>
              <w:t>26,500,000</w:t>
            </w:r>
          </w:p>
        </w:tc>
        <w:tc>
          <w:tcPr>
            <w:tcW w:w="2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20" w:type="dxa"/>
            <w:vAlign w:val="bottom"/>
          </w:tcPr>
          <w:p>
            <w:pPr>
              <w:jc w:val="right"/>
              <w:spacing w:after="0"/>
              <w:rPr>
                <w:sz w:val="20"/>
                <w:szCs w:val="20"/>
                <w:color w:val="auto"/>
              </w:rPr>
            </w:pPr>
            <w:r>
              <w:rPr>
                <w:rFonts w:ascii="Arial" w:cs="Arial" w:eastAsia="Arial" w:hAnsi="Arial"/>
                <w:sz w:val="12"/>
                <w:szCs w:val="12"/>
                <w:color w:val="auto"/>
                <w:w w:val="99"/>
              </w:rPr>
              <w:t>26,617,239</w:t>
            </w:r>
          </w:p>
        </w:tc>
        <w:tc>
          <w:tcPr>
            <w:tcW w:w="2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40" w:type="dxa"/>
            <w:vAlign w:val="bottom"/>
          </w:tcPr>
          <w:p>
            <w:pPr>
              <w:jc w:val="right"/>
              <w:spacing w:after="0"/>
              <w:rPr>
                <w:sz w:val="20"/>
                <w:szCs w:val="20"/>
                <w:color w:val="auto"/>
              </w:rPr>
            </w:pPr>
            <w:r>
              <w:rPr>
                <w:rFonts w:ascii="Arial" w:cs="Arial" w:eastAsia="Arial" w:hAnsi="Arial"/>
                <w:sz w:val="12"/>
                <w:szCs w:val="12"/>
                <w:color w:val="auto"/>
                <w:w w:val="99"/>
              </w:rPr>
              <w:t>26,309,750</w:t>
            </w:r>
          </w:p>
        </w:tc>
        <w:tc>
          <w:tcPr>
            <w:tcW w:w="100" w:type="dxa"/>
            <w:vAlign w:val="bottom"/>
          </w:tcPr>
          <w:p>
            <w:pPr>
              <w:spacing w:after="0"/>
              <w:rPr>
                <w:sz w:val="12"/>
                <w:szCs w:val="12"/>
                <w:color w:val="auto"/>
              </w:rPr>
            </w:pPr>
          </w:p>
        </w:tc>
      </w:tr>
      <w:tr>
        <w:trPr>
          <w:trHeight w:val="149"/>
        </w:trPr>
        <w:tc>
          <w:tcPr>
            <w:tcW w:w="3000" w:type="dxa"/>
            <w:vAlign w:val="bottom"/>
            <w:shd w:val="clear" w:color="auto" w:fill="CCECFF"/>
          </w:tcPr>
          <w:p>
            <w:pPr>
              <w:spacing w:after="0"/>
              <w:rPr>
                <w:sz w:val="20"/>
                <w:szCs w:val="20"/>
                <w:color w:val="auto"/>
              </w:rPr>
            </w:pPr>
            <w:r>
              <w:rPr>
                <w:rFonts w:ascii="Arial" w:cs="Arial" w:eastAsia="Arial" w:hAnsi="Arial"/>
                <w:sz w:val="12"/>
                <w:szCs w:val="12"/>
                <w:color w:val="auto"/>
              </w:rPr>
              <w:t>Roto Holdings, Inc.</w:t>
            </w:r>
          </w:p>
        </w:tc>
        <w:tc>
          <w:tcPr>
            <w:tcW w:w="920" w:type="dxa"/>
            <w:vAlign w:val="bottom"/>
            <w:shd w:val="clear" w:color="auto" w:fill="CCECFF"/>
          </w:tcPr>
          <w:p>
            <w:pPr>
              <w:ind w:left="120"/>
              <w:spacing w:after="0"/>
              <w:rPr>
                <w:sz w:val="20"/>
                <w:szCs w:val="20"/>
                <w:color w:val="auto"/>
              </w:rPr>
            </w:pPr>
            <w:r>
              <w:rPr>
                <w:rFonts w:ascii="Arial" w:cs="Arial" w:eastAsia="Arial" w:hAnsi="Arial"/>
                <w:sz w:val="12"/>
                <w:szCs w:val="12"/>
                <w:color w:val="auto"/>
              </w:rPr>
              <w:t>05/13/2021</w:t>
            </w:r>
          </w:p>
        </w:tc>
        <w:tc>
          <w:tcPr>
            <w:tcW w:w="2760" w:type="dxa"/>
            <w:vAlign w:val="bottom"/>
            <w:gridSpan w:val="2"/>
            <w:shd w:val="clear" w:color="auto" w:fill="CCECFF"/>
          </w:tcPr>
          <w:p>
            <w:pPr>
              <w:jc w:val="center"/>
              <w:ind w:right="160"/>
              <w:spacing w:after="0"/>
              <w:rPr>
                <w:sz w:val="20"/>
                <w:szCs w:val="20"/>
                <w:color w:val="auto"/>
              </w:rPr>
            </w:pPr>
            <w:r>
              <w:rPr>
                <w:rFonts w:ascii="Arial" w:cs="Arial" w:eastAsia="Arial" w:hAnsi="Arial"/>
                <w:sz w:val="12"/>
                <w:szCs w:val="12"/>
                <w:color w:val="auto"/>
                <w:w w:val="88"/>
              </w:rPr>
              <w:t>Manufacturing / Basic Industries</w:t>
            </w:r>
          </w:p>
        </w:tc>
        <w:tc>
          <w:tcPr>
            <w:tcW w:w="820" w:type="dxa"/>
            <w:vAlign w:val="bottom"/>
            <w:gridSpan w:val="2"/>
            <w:shd w:val="clear" w:color="auto" w:fill="CCECFF"/>
          </w:tcPr>
          <w:p>
            <w:pPr>
              <w:jc w:val="right"/>
              <w:ind w:right="60"/>
              <w:spacing w:after="0"/>
              <w:rPr>
                <w:sz w:val="20"/>
                <w:szCs w:val="20"/>
                <w:color w:val="auto"/>
              </w:rPr>
            </w:pPr>
            <w:r>
              <w:rPr>
                <w:rFonts w:ascii="Arial" w:cs="Arial" w:eastAsia="Arial" w:hAnsi="Arial"/>
                <w:sz w:val="12"/>
                <w:szCs w:val="12"/>
                <w:color w:val="auto"/>
              </w:rPr>
              <w:t>11.00%</w:t>
            </w:r>
          </w:p>
        </w:tc>
        <w:tc>
          <w:tcPr>
            <w:tcW w:w="140" w:type="dxa"/>
            <w:vAlign w:val="bottom"/>
            <w:shd w:val="clear" w:color="auto" w:fill="CCECFF"/>
          </w:tcPr>
          <w:p>
            <w:pPr>
              <w:spacing w:after="0"/>
              <w:rPr>
                <w:sz w:val="12"/>
                <w:szCs w:val="12"/>
                <w:color w:val="auto"/>
              </w:rPr>
            </w:pPr>
          </w:p>
        </w:tc>
        <w:tc>
          <w:tcPr>
            <w:tcW w:w="680" w:type="dxa"/>
            <w:vAlign w:val="bottom"/>
            <w:shd w:val="clear" w:color="auto" w:fill="CCECFF"/>
          </w:tcPr>
          <w:p>
            <w:pPr>
              <w:jc w:val="right"/>
              <w:spacing w:after="0"/>
              <w:rPr>
                <w:sz w:val="20"/>
                <w:szCs w:val="20"/>
                <w:color w:val="auto"/>
              </w:rPr>
            </w:pPr>
            <w:r>
              <w:rPr>
                <w:rFonts w:ascii="Arial" w:cs="Arial" w:eastAsia="Arial" w:hAnsi="Arial"/>
                <w:sz w:val="12"/>
                <w:szCs w:val="12"/>
                <w:color w:val="auto"/>
              </w:rPr>
              <w:t>—</w:t>
            </w:r>
          </w:p>
        </w:tc>
        <w:tc>
          <w:tcPr>
            <w:tcW w:w="240" w:type="dxa"/>
            <w:vAlign w:val="bottom"/>
            <w:shd w:val="clear" w:color="auto" w:fill="CCECFF"/>
          </w:tcPr>
          <w:p>
            <w:pPr>
              <w:spacing w:after="0"/>
              <w:rPr>
                <w:sz w:val="12"/>
                <w:szCs w:val="12"/>
                <w:color w:val="auto"/>
              </w:rPr>
            </w:pPr>
          </w:p>
        </w:tc>
        <w:tc>
          <w:tcPr>
            <w:tcW w:w="100" w:type="dxa"/>
            <w:vAlign w:val="bottom"/>
            <w:shd w:val="clear" w:color="auto" w:fill="CCECFF"/>
          </w:tcPr>
          <w:p>
            <w:pPr>
              <w:spacing w:after="0"/>
              <w:rPr>
                <w:sz w:val="12"/>
                <w:szCs w:val="12"/>
                <w:color w:val="auto"/>
              </w:rPr>
            </w:pPr>
          </w:p>
        </w:tc>
        <w:tc>
          <w:tcPr>
            <w:tcW w:w="580" w:type="dxa"/>
            <w:vAlign w:val="bottom"/>
            <w:shd w:val="clear" w:color="auto" w:fill="CCECFF"/>
          </w:tcPr>
          <w:p>
            <w:pPr>
              <w:jc w:val="right"/>
              <w:spacing w:after="0"/>
              <w:rPr>
                <w:sz w:val="20"/>
                <w:szCs w:val="20"/>
                <w:color w:val="auto"/>
              </w:rPr>
            </w:pPr>
            <w:r>
              <w:rPr>
                <w:rFonts w:ascii="Arial" w:cs="Arial" w:eastAsia="Arial" w:hAnsi="Arial"/>
                <w:sz w:val="12"/>
                <w:szCs w:val="12"/>
                <w:color w:val="auto"/>
                <w:w w:val="89"/>
              </w:rPr>
              <w:t>13,300,000</w:t>
            </w:r>
          </w:p>
        </w:tc>
        <w:tc>
          <w:tcPr>
            <w:tcW w:w="240" w:type="dxa"/>
            <w:vAlign w:val="bottom"/>
            <w:shd w:val="clear" w:color="auto" w:fill="CCECFF"/>
          </w:tcPr>
          <w:p>
            <w:pPr>
              <w:spacing w:after="0"/>
              <w:rPr>
                <w:sz w:val="12"/>
                <w:szCs w:val="12"/>
                <w:color w:val="auto"/>
              </w:rPr>
            </w:pPr>
          </w:p>
        </w:tc>
        <w:tc>
          <w:tcPr>
            <w:tcW w:w="80" w:type="dxa"/>
            <w:vAlign w:val="bottom"/>
            <w:tcBorders>
              <w:bottom w:val="single" w:sz="8" w:color="auto"/>
            </w:tcBorders>
            <w:shd w:val="clear" w:color="auto" w:fill="CCECFF"/>
          </w:tcPr>
          <w:p>
            <w:pPr>
              <w:spacing w:after="0"/>
              <w:rPr>
                <w:sz w:val="12"/>
                <w:szCs w:val="12"/>
                <w:color w:val="auto"/>
              </w:rPr>
            </w:pPr>
          </w:p>
        </w:tc>
        <w:tc>
          <w:tcPr>
            <w:tcW w:w="620" w:type="dxa"/>
            <w:vAlign w:val="bottom"/>
            <w:tcBorders>
              <w:bottom w:val="single" w:sz="8" w:color="auto"/>
            </w:tcBorders>
            <w:shd w:val="clear" w:color="auto" w:fill="CCECFF"/>
          </w:tcPr>
          <w:p>
            <w:pPr>
              <w:jc w:val="right"/>
              <w:spacing w:after="0"/>
              <w:rPr>
                <w:sz w:val="20"/>
                <w:szCs w:val="20"/>
                <w:color w:val="auto"/>
              </w:rPr>
            </w:pPr>
            <w:r>
              <w:rPr>
                <w:rFonts w:ascii="Arial" w:cs="Arial" w:eastAsia="Arial" w:hAnsi="Arial"/>
                <w:sz w:val="12"/>
                <w:szCs w:val="12"/>
                <w:color w:val="auto"/>
                <w:w w:val="99"/>
              </w:rPr>
              <w:t>13,090,281</w:t>
            </w:r>
          </w:p>
        </w:tc>
        <w:tc>
          <w:tcPr>
            <w:tcW w:w="240" w:type="dxa"/>
            <w:vAlign w:val="bottom"/>
            <w:shd w:val="clear" w:color="auto" w:fill="CCECFF"/>
          </w:tcPr>
          <w:p>
            <w:pPr>
              <w:spacing w:after="0"/>
              <w:rPr>
                <w:sz w:val="12"/>
                <w:szCs w:val="12"/>
                <w:color w:val="auto"/>
              </w:rPr>
            </w:pPr>
          </w:p>
        </w:tc>
        <w:tc>
          <w:tcPr>
            <w:tcW w:w="80" w:type="dxa"/>
            <w:vAlign w:val="bottom"/>
            <w:tcBorders>
              <w:bottom w:val="single" w:sz="8" w:color="auto"/>
            </w:tcBorders>
            <w:shd w:val="clear" w:color="auto" w:fill="CCECFF"/>
          </w:tcPr>
          <w:p>
            <w:pPr>
              <w:spacing w:after="0"/>
              <w:rPr>
                <w:sz w:val="12"/>
                <w:szCs w:val="12"/>
                <w:color w:val="auto"/>
              </w:rPr>
            </w:pPr>
          </w:p>
        </w:tc>
        <w:tc>
          <w:tcPr>
            <w:tcW w:w="640" w:type="dxa"/>
            <w:vAlign w:val="bottom"/>
            <w:tcBorders>
              <w:bottom w:val="single" w:sz="8" w:color="auto"/>
            </w:tcBorders>
            <w:shd w:val="clear" w:color="auto" w:fill="CCECFF"/>
          </w:tcPr>
          <w:p>
            <w:pPr>
              <w:jc w:val="right"/>
              <w:spacing w:after="0"/>
              <w:rPr>
                <w:sz w:val="20"/>
                <w:szCs w:val="20"/>
                <w:color w:val="auto"/>
              </w:rPr>
            </w:pPr>
            <w:r>
              <w:rPr>
                <w:rFonts w:ascii="Arial" w:cs="Arial" w:eastAsia="Arial" w:hAnsi="Arial"/>
                <w:sz w:val="12"/>
                <w:szCs w:val="12"/>
                <w:color w:val="auto"/>
                <w:w w:val="99"/>
              </w:rPr>
              <w:t>13,300,000</w:t>
            </w:r>
          </w:p>
        </w:tc>
        <w:tc>
          <w:tcPr>
            <w:tcW w:w="100" w:type="dxa"/>
            <w:vAlign w:val="bottom"/>
            <w:shd w:val="clear" w:color="auto" w:fill="CCECFF"/>
          </w:tcPr>
          <w:p>
            <w:pPr>
              <w:spacing w:after="0"/>
              <w:rPr>
                <w:sz w:val="12"/>
                <w:szCs w:val="12"/>
                <w:color w:val="auto"/>
              </w:rPr>
            </w:pPr>
          </w:p>
        </w:tc>
      </w:tr>
      <w:tr>
        <w:trPr>
          <w:trHeight w:val="142"/>
        </w:trPr>
        <w:tc>
          <w:tcPr>
            <w:tcW w:w="3000" w:type="dxa"/>
            <w:vAlign w:val="bottom"/>
            <w:tcBorders>
              <w:bottom w:val="single" w:sz="8" w:color="CCECFF"/>
            </w:tcBorders>
          </w:tcPr>
          <w:p>
            <w:pPr>
              <w:spacing w:after="0"/>
              <w:rPr>
                <w:sz w:val="20"/>
                <w:szCs w:val="20"/>
                <w:color w:val="auto"/>
              </w:rPr>
            </w:pPr>
            <w:r>
              <w:rPr>
                <w:rFonts w:ascii="Arial" w:cs="Arial" w:eastAsia="Arial" w:hAnsi="Arial"/>
                <w:sz w:val="12"/>
                <w:szCs w:val="12"/>
                <w:b w:val="1"/>
                <w:bCs w:val="1"/>
                <w:color w:val="auto"/>
              </w:rPr>
              <w:t>Total Subordinated Debt/Corporate Notes</w:t>
            </w:r>
          </w:p>
        </w:tc>
        <w:tc>
          <w:tcPr>
            <w:tcW w:w="920" w:type="dxa"/>
            <w:vAlign w:val="bottom"/>
            <w:tcBorders>
              <w:bottom w:val="single" w:sz="8" w:color="CCECFF"/>
            </w:tcBorders>
          </w:tcPr>
          <w:p>
            <w:pPr>
              <w:spacing w:after="0"/>
              <w:rPr>
                <w:sz w:val="12"/>
                <w:szCs w:val="12"/>
                <w:color w:val="auto"/>
              </w:rPr>
            </w:pPr>
          </w:p>
        </w:tc>
        <w:tc>
          <w:tcPr>
            <w:tcW w:w="2640" w:type="dxa"/>
            <w:vAlign w:val="bottom"/>
            <w:tcBorders>
              <w:bottom w:val="single" w:sz="8" w:color="CCECFF"/>
            </w:tcBorders>
          </w:tcPr>
          <w:p>
            <w:pPr>
              <w:spacing w:after="0"/>
              <w:rPr>
                <w:sz w:val="12"/>
                <w:szCs w:val="12"/>
                <w:color w:val="auto"/>
              </w:rPr>
            </w:pPr>
          </w:p>
        </w:tc>
        <w:tc>
          <w:tcPr>
            <w:tcW w:w="120" w:type="dxa"/>
            <w:vAlign w:val="bottom"/>
            <w:tcBorders>
              <w:bottom w:val="single" w:sz="8" w:color="CCECFF"/>
            </w:tcBorders>
          </w:tcPr>
          <w:p>
            <w:pPr>
              <w:spacing w:after="0"/>
              <w:rPr>
                <w:sz w:val="12"/>
                <w:szCs w:val="12"/>
                <w:color w:val="auto"/>
              </w:rPr>
            </w:pPr>
          </w:p>
        </w:tc>
        <w:tc>
          <w:tcPr>
            <w:tcW w:w="680" w:type="dxa"/>
            <w:vAlign w:val="bottom"/>
            <w:tcBorders>
              <w:bottom w:val="single" w:sz="8" w:color="CCECFF"/>
            </w:tcBorders>
          </w:tcPr>
          <w:p>
            <w:pPr>
              <w:spacing w:after="0"/>
              <w:rPr>
                <w:sz w:val="12"/>
                <w:szCs w:val="12"/>
                <w:color w:val="auto"/>
              </w:rPr>
            </w:pPr>
          </w:p>
        </w:tc>
        <w:tc>
          <w:tcPr>
            <w:tcW w:w="140" w:type="dxa"/>
            <w:vAlign w:val="bottom"/>
            <w:tcBorders>
              <w:bottom w:val="single" w:sz="8" w:color="CCECFF"/>
            </w:tcBorders>
          </w:tcPr>
          <w:p>
            <w:pPr>
              <w:spacing w:after="0"/>
              <w:rPr>
                <w:sz w:val="12"/>
                <w:szCs w:val="12"/>
                <w:color w:val="auto"/>
              </w:rPr>
            </w:pPr>
          </w:p>
        </w:tc>
        <w:tc>
          <w:tcPr>
            <w:tcW w:w="140" w:type="dxa"/>
            <w:vAlign w:val="bottom"/>
            <w:tcBorders>
              <w:bottom w:val="single" w:sz="8" w:color="CCECFF"/>
            </w:tcBorders>
          </w:tcPr>
          <w:p>
            <w:pPr>
              <w:spacing w:after="0"/>
              <w:rPr>
                <w:sz w:val="12"/>
                <w:szCs w:val="12"/>
                <w:color w:val="auto"/>
              </w:rPr>
            </w:pPr>
          </w:p>
        </w:tc>
        <w:tc>
          <w:tcPr>
            <w:tcW w:w="680" w:type="dxa"/>
            <w:vAlign w:val="bottom"/>
            <w:tcBorders>
              <w:bottom w:val="single" w:sz="8" w:color="CCECFF"/>
            </w:tcBorders>
          </w:tcPr>
          <w:p>
            <w:pPr>
              <w:spacing w:after="0"/>
              <w:rPr>
                <w:sz w:val="12"/>
                <w:szCs w:val="12"/>
                <w:color w:val="auto"/>
              </w:rPr>
            </w:pPr>
          </w:p>
        </w:tc>
        <w:tc>
          <w:tcPr>
            <w:tcW w:w="240" w:type="dxa"/>
            <w:vAlign w:val="bottom"/>
            <w:tcBorders>
              <w:bottom w:val="single" w:sz="8" w:color="CCECFF"/>
            </w:tcBorders>
          </w:tcPr>
          <w:p>
            <w:pPr>
              <w:spacing w:after="0"/>
              <w:rPr>
                <w:sz w:val="12"/>
                <w:szCs w:val="12"/>
                <w:color w:val="auto"/>
              </w:rPr>
            </w:pPr>
          </w:p>
        </w:tc>
        <w:tc>
          <w:tcPr>
            <w:tcW w:w="100" w:type="dxa"/>
            <w:vAlign w:val="bottom"/>
            <w:tcBorders>
              <w:bottom w:val="single" w:sz="8" w:color="CCECFF"/>
            </w:tcBorders>
          </w:tcPr>
          <w:p>
            <w:pPr>
              <w:spacing w:after="0"/>
              <w:rPr>
                <w:sz w:val="12"/>
                <w:szCs w:val="12"/>
                <w:color w:val="auto"/>
              </w:rPr>
            </w:pPr>
          </w:p>
        </w:tc>
        <w:tc>
          <w:tcPr>
            <w:tcW w:w="580" w:type="dxa"/>
            <w:vAlign w:val="bottom"/>
            <w:tcBorders>
              <w:bottom w:val="single" w:sz="8" w:color="CCECFF"/>
            </w:tcBorders>
          </w:tcPr>
          <w:p>
            <w:pPr>
              <w:spacing w:after="0"/>
              <w:rPr>
                <w:sz w:val="12"/>
                <w:szCs w:val="12"/>
                <w:color w:val="auto"/>
              </w:rPr>
            </w:pPr>
          </w:p>
        </w:tc>
        <w:tc>
          <w:tcPr>
            <w:tcW w:w="240" w:type="dxa"/>
            <w:vAlign w:val="bottom"/>
            <w:tcBorders>
              <w:bottom w:val="single" w:sz="8" w:color="CCECFF"/>
            </w:tcBorders>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w w:val="89"/>
              </w:rPr>
              <w:t>103,851,033</w:t>
            </w:r>
          </w:p>
        </w:tc>
        <w:tc>
          <w:tcPr>
            <w:tcW w:w="240" w:type="dxa"/>
            <w:vAlign w:val="bottom"/>
            <w:tcBorders>
              <w:bottom w:val="single" w:sz="8" w:color="CCECFF"/>
            </w:tcBorders>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w w:val="89"/>
              </w:rPr>
              <w:t>102,510,981</w:t>
            </w:r>
          </w:p>
        </w:tc>
        <w:tc>
          <w:tcPr>
            <w:tcW w:w="100" w:type="dxa"/>
            <w:vAlign w:val="bottom"/>
            <w:tcBorders>
              <w:bottom w:val="single" w:sz="8" w:color="CCECFF"/>
            </w:tcBorders>
          </w:tcPr>
          <w:p>
            <w:pPr>
              <w:spacing w:after="0"/>
              <w:rPr>
                <w:sz w:val="12"/>
                <w:szCs w:val="12"/>
                <w:color w:val="auto"/>
              </w:rPr>
            </w:pPr>
          </w:p>
        </w:tc>
      </w:tr>
      <w:tr>
        <w:trPr>
          <w:trHeight w:val="142"/>
        </w:trPr>
        <w:tc>
          <w:tcPr>
            <w:tcW w:w="3000" w:type="dxa"/>
            <w:vAlign w:val="bottom"/>
            <w:shd w:val="clear" w:color="auto" w:fill="CCECFF"/>
          </w:tcPr>
          <w:p>
            <w:pPr>
              <w:spacing w:after="0"/>
              <w:rPr>
                <w:sz w:val="20"/>
                <w:szCs w:val="20"/>
                <w:color w:val="auto"/>
              </w:rPr>
            </w:pPr>
            <w:r>
              <w:rPr>
                <w:rFonts w:ascii="Arial" w:cs="Arial" w:eastAsia="Arial" w:hAnsi="Arial"/>
                <w:sz w:val="12"/>
                <w:szCs w:val="12"/>
                <w:b w:val="1"/>
                <w:bCs w:val="1"/>
                <w:color w:val="auto"/>
              </w:rPr>
              <w:t xml:space="preserve">Preferred Equity/Partnership Interests—0.8% </w:t>
            </w:r>
            <w:r>
              <w:rPr>
                <w:rFonts w:ascii="Arial" w:cs="Arial" w:eastAsia="Arial" w:hAnsi="Arial"/>
                <w:sz w:val="9"/>
                <w:szCs w:val="9"/>
                <w:b w:val="1"/>
                <w:bCs w:val="1"/>
                <w:color w:val="auto"/>
              </w:rPr>
              <w:t>(6)</w:t>
            </w:r>
          </w:p>
        </w:tc>
        <w:tc>
          <w:tcPr>
            <w:tcW w:w="920" w:type="dxa"/>
            <w:vAlign w:val="bottom"/>
            <w:shd w:val="clear" w:color="auto" w:fill="CCECFF"/>
          </w:tcPr>
          <w:p>
            <w:pPr>
              <w:spacing w:after="0"/>
              <w:rPr>
                <w:sz w:val="12"/>
                <w:szCs w:val="12"/>
                <w:color w:val="auto"/>
              </w:rPr>
            </w:pPr>
          </w:p>
        </w:tc>
        <w:tc>
          <w:tcPr>
            <w:tcW w:w="2640" w:type="dxa"/>
            <w:vAlign w:val="bottom"/>
            <w:shd w:val="clear" w:color="auto" w:fill="CCECFF"/>
          </w:tcPr>
          <w:p>
            <w:pPr>
              <w:spacing w:after="0"/>
              <w:rPr>
                <w:sz w:val="12"/>
                <w:szCs w:val="12"/>
                <w:color w:val="auto"/>
              </w:rPr>
            </w:pPr>
          </w:p>
        </w:tc>
        <w:tc>
          <w:tcPr>
            <w:tcW w:w="120" w:type="dxa"/>
            <w:vAlign w:val="bottom"/>
            <w:shd w:val="clear" w:color="auto" w:fill="CCECFF"/>
          </w:tcPr>
          <w:p>
            <w:pPr>
              <w:spacing w:after="0"/>
              <w:rPr>
                <w:sz w:val="12"/>
                <w:szCs w:val="12"/>
                <w:color w:val="auto"/>
              </w:rPr>
            </w:pPr>
          </w:p>
        </w:tc>
        <w:tc>
          <w:tcPr>
            <w:tcW w:w="680" w:type="dxa"/>
            <w:vAlign w:val="bottom"/>
            <w:shd w:val="clear" w:color="auto" w:fill="CCECFF"/>
          </w:tcPr>
          <w:p>
            <w:pPr>
              <w:spacing w:after="0"/>
              <w:rPr>
                <w:sz w:val="12"/>
                <w:szCs w:val="12"/>
                <w:color w:val="auto"/>
              </w:rPr>
            </w:pPr>
          </w:p>
        </w:tc>
        <w:tc>
          <w:tcPr>
            <w:tcW w:w="140" w:type="dxa"/>
            <w:vAlign w:val="bottom"/>
            <w:shd w:val="clear" w:color="auto" w:fill="CCECFF"/>
          </w:tcPr>
          <w:p>
            <w:pPr>
              <w:spacing w:after="0"/>
              <w:rPr>
                <w:sz w:val="12"/>
                <w:szCs w:val="12"/>
                <w:color w:val="auto"/>
              </w:rPr>
            </w:pPr>
          </w:p>
        </w:tc>
        <w:tc>
          <w:tcPr>
            <w:tcW w:w="140" w:type="dxa"/>
            <w:vAlign w:val="bottom"/>
            <w:shd w:val="clear" w:color="auto" w:fill="CCECFF"/>
          </w:tcPr>
          <w:p>
            <w:pPr>
              <w:spacing w:after="0"/>
              <w:rPr>
                <w:sz w:val="12"/>
                <w:szCs w:val="12"/>
                <w:color w:val="auto"/>
              </w:rPr>
            </w:pPr>
          </w:p>
        </w:tc>
        <w:tc>
          <w:tcPr>
            <w:tcW w:w="680" w:type="dxa"/>
            <w:vAlign w:val="bottom"/>
            <w:shd w:val="clear" w:color="auto" w:fill="CCECFF"/>
          </w:tcPr>
          <w:p>
            <w:pPr>
              <w:spacing w:after="0"/>
              <w:rPr>
                <w:sz w:val="12"/>
                <w:szCs w:val="12"/>
                <w:color w:val="auto"/>
              </w:rPr>
            </w:pPr>
          </w:p>
        </w:tc>
        <w:tc>
          <w:tcPr>
            <w:tcW w:w="240" w:type="dxa"/>
            <w:vAlign w:val="bottom"/>
            <w:shd w:val="clear" w:color="auto" w:fill="CCECFF"/>
          </w:tcPr>
          <w:p>
            <w:pPr>
              <w:spacing w:after="0"/>
              <w:rPr>
                <w:sz w:val="12"/>
                <w:szCs w:val="12"/>
                <w:color w:val="auto"/>
              </w:rPr>
            </w:pPr>
          </w:p>
        </w:tc>
        <w:tc>
          <w:tcPr>
            <w:tcW w:w="100" w:type="dxa"/>
            <w:vAlign w:val="bottom"/>
            <w:shd w:val="clear" w:color="auto" w:fill="CCECFF"/>
          </w:tcPr>
          <w:p>
            <w:pPr>
              <w:spacing w:after="0"/>
              <w:rPr>
                <w:sz w:val="12"/>
                <w:szCs w:val="12"/>
                <w:color w:val="auto"/>
              </w:rPr>
            </w:pPr>
          </w:p>
        </w:tc>
        <w:tc>
          <w:tcPr>
            <w:tcW w:w="580" w:type="dxa"/>
            <w:vAlign w:val="bottom"/>
            <w:shd w:val="clear" w:color="auto" w:fill="CCECFF"/>
          </w:tcPr>
          <w:p>
            <w:pPr>
              <w:spacing w:after="0"/>
              <w:rPr>
                <w:sz w:val="12"/>
                <w:szCs w:val="12"/>
                <w:color w:val="auto"/>
              </w:rPr>
            </w:pPr>
          </w:p>
        </w:tc>
        <w:tc>
          <w:tcPr>
            <w:tcW w:w="240" w:type="dxa"/>
            <w:vAlign w:val="bottom"/>
            <w:shd w:val="clear" w:color="auto" w:fill="CCECFF"/>
          </w:tcPr>
          <w:p>
            <w:pPr>
              <w:spacing w:after="0"/>
              <w:rPr>
                <w:sz w:val="12"/>
                <w:szCs w:val="12"/>
                <w:color w:val="auto"/>
              </w:rPr>
            </w:pPr>
          </w:p>
        </w:tc>
        <w:tc>
          <w:tcPr>
            <w:tcW w:w="80" w:type="dxa"/>
            <w:vAlign w:val="bottom"/>
            <w:shd w:val="clear" w:color="auto" w:fill="CCECFF"/>
          </w:tcPr>
          <w:p>
            <w:pPr>
              <w:spacing w:after="0"/>
              <w:rPr>
                <w:sz w:val="12"/>
                <w:szCs w:val="12"/>
                <w:color w:val="auto"/>
              </w:rPr>
            </w:pPr>
          </w:p>
        </w:tc>
        <w:tc>
          <w:tcPr>
            <w:tcW w:w="620" w:type="dxa"/>
            <w:vAlign w:val="bottom"/>
            <w:shd w:val="clear" w:color="auto" w:fill="CCECFF"/>
          </w:tcPr>
          <w:p>
            <w:pPr>
              <w:spacing w:after="0"/>
              <w:rPr>
                <w:sz w:val="12"/>
                <w:szCs w:val="12"/>
                <w:color w:val="auto"/>
              </w:rPr>
            </w:pPr>
          </w:p>
        </w:tc>
        <w:tc>
          <w:tcPr>
            <w:tcW w:w="240" w:type="dxa"/>
            <w:vAlign w:val="bottom"/>
            <w:shd w:val="clear" w:color="auto" w:fill="CCECFF"/>
          </w:tcPr>
          <w:p>
            <w:pPr>
              <w:spacing w:after="0"/>
              <w:rPr>
                <w:sz w:val="12"/>
                <w:szCs w:val="12"/>
                <w:color w:val="auto"/>
              </w:rPr>
            </w:pPr>
          </w:p>
        </w:tc>
        <w:tc>
          <w:tcPr>
            <w:tcW w:w="80" w:type="dxa"/>
            <w:vAlign w:val="bottom"/>
            <w:shd w:val="clear" w:color="auto" w:fill="CCECFF"/>
          </w:tcPr>
          <w:p>
            <w:pPr>
              <w:spacing w:after="0"/>
              <w:rPr>
                <w:sz w:val="12"/>
                <w:szCs w:val="12"/>
                <w:color w:val="auto"/>
              </w:rPr>
            </w:pPr>
          </w:p>
        </w:tc>
        <w:tc>
          <w:tcPr>
            <w:tcW w:w="640" w:type="dxa"/>
            <w:vAlign w:val="bottom"/>
            <w:shd w:val="clear" w:color="auto" w:fill="CCECFF"/>
          </w:tcPr>
          <w:p>
            <w:pPr>
              <w:spacing w:after="0"/>
              <w:rPr>
                <w:sz w:val="12"/>
                <w:szCs w:val="12"/>
                <w:color w:val="auto"/>
              </w:rPr>
            </w:pPr>
          </w:p>
        </w:tc>
        <w:tc>
          <w:tcPr>
            <w:tcW w:w="100" w:type="dxa"/>
            <w:vAlign w:val="bottom"/>
            <w:shd w:val="clear" w:color="auto" w:fill="CCECFF"/>
          </w:tcPr>
          <w:p>
            <w:pPr>
              <w:spacing w:after="0"/>
              <w:rPr>
                <w:sz w:val="12"/>
                <w:szCs w:val="12"/>
                <w:color w:val="auto"/>
              </w:rPr>
            </w:pPr>
          </w:p>
        </w:tc>
      </w:tr>
      <w:tr>
        <w:trPr>
          <w:trHeight w:val="149"/>
        </w:trPr>
        <w:tc>
          <w:tcPr>
            <w:tcW w:w="3000" w:type="dxa"/>
            <w:vAlign w:val="bottom"/>
          </w:tcPr>
          <w:p>
            <w:pPr>
              <w:spacing w:after="0"/>
              <w:rPr>
                <w:sz w:val="20"/>
                <w:szCs w:val="20"/>
                <w:color w:val="auto"/>
              </w:rPr>
            </w:pPr>
            <w:r>
              <w:rPr>
                <w:rFonts w:ascii="Arial" w:cs="Arial" w:eastAsia="Arial" w:hAnsi="Arial"/>
                <w:sz w:val="12"/>
                <w:szCs w:val="12"/>
                <w:color w:val="auto"/>
              </w:rPr>
              <w:t>AH Holdings, Inc.</w:t>
            </w:r>
          </w:p>
        </w:tc>
        <w:tc>
          <w:tcPr>
            <w:tcW w:w="920" w:type="dxa"/>
            <w:vAlign w:val="bottom"/>
          </w:tcPr>
          <w:p>
            <w:pPr>
              <w:ind w:left="380"/>
              <w:spacing w:after="0"/>
              <w:rPr>
                <w:sz w:val="20"/>
                <w:szCs w:val="20"/>
                <w:color w:val="auto"/>
              </w:rPr>
            </w:pPr>
            <w:r>
              <w:rPr>
                <w:rFonts w:ascii="Arial" w:cs="Arial" w:eastAsia="Arial" w:hAnsi="Arial"/>
                <w:sz w:val="12"/>
                <w:szCs w:val="12"/>
                <w:color w:val="auto"/>
              </w:rPr>
              <w:t>—</w:t>
            </w:r>
          </w:p>
        </w:tc>
        <w:tc>
          <w:tcPr>
            <w:tcW w:w="2760" w:type="dxa"/>
            <w:vAlign w:val="bottom"/>
            <w:gridSpan w:val="2"/>
          </w:tcPr>
          <w:p>
            <w:pPr>
              <w:jc w:val="center"/>
              <w:ind w:right="160"/>
              <w:spacing w:after="0"/>
              <w:rPr>
                <w:sz w:val="20"/>
                <w:szCs w:val="20"/>
                <w:color w:val="auto"/>
              </w:rPr>
            </w:pPr>
            <w:r>
              <w:rPr>
                <w:rFonts w:ascii="Arial" w:cs="Arial" w:eastAsia="Arial" w:hAnsi="Arial"/>
                <w:sz w:val="12"/>
                <w:szCs w:val="12"/>
                <w:color w:val="auto"/>
                <w:w w:val="87"/>
              </w:rPr>
              <w:t>Healthcare, Education and Childcare</w:t>
            </w:r>
          </w:p>
        </w:tc>
        <w:tc>
          <w:tcPr>
            <w:tcW w:w="820" w:type="dxa"/>
            <w:vAlign w:val="bottom"/>
            <w:gridSpan w:val="2"/>
          </w:tcPr>
          <w:p>
            <w:pPr>
              <w:jc w:val="right"/>
              <w:ind w:right="60"/>
              <w:spacing w:after="0"/>
              <w:rPr>
                <w:sz w:val="20"/>
                <w:szCs w:val="20"/>
                <w:color w:val="auto"/>
              </w:rPr>
            </w:pPr>
            <w:r>
              <w:rPr>
                <w:rFonts w:ascii="Arial" w:cs="Arial" w:eastAsia="Arial" w:hAnsi="Arial"/>
                <w:sz w:val="12"/>
                <w:szCs w:val="12"/>
                <w:color w:val="auto"/>
              </w:rPr>
              <w:t>6.00%</w:t>
            </w:r>
          </w:p>
        </w:tc>
        <w:tc>
          <w:tcPr>
            <w:tcW w:w="140" w:type="dxa"/>
            <w:vAlign w:val="bottom"/>
          </w:tcPr>
          <w:p>
            <w:pPr>
              <w:spacing w:after="0"/>
              <w:rPr>
                <w:sz w:val="12"/>
                <w:szCs w:val="12"/>
                <w:color w:val="auto"/>
              </w:rPr>
            </w:pPr>
          </w:p>
        </w:tc>
        <w:tc>
          <w:tcPr>
            <w:tcW w:w="680" w:type="dxa"/>
            <w:vAlign w:val="bottom"/>
          </w:tcPr>
          <w:p>
            <w:pPr>
              <w:jc w:val="right"/>
              <w:spacing w:after="0"/>
              <w:rPr>
                <w:sz w:val="20"/>
                <w:szCs w:val="20"/>
                <w:color w:val="auto"/>
              </w:rPr>
            </w:pPr>
            <w:r>
              <w:rPr>
                <w:rFonts w:ascii="Arial" w:cs="Arial" w:eastAsia="Arial" w:hAnsi="Arial"/>
                <w:sz w:val="12"/>
                <w:szCs w:val="12"/>
                <w:color w:val="auto"/>
              </w:rPr>
              <w:t>—</w:t>
            </w:r>
          </w:p>
        </w:tc>
        <w:tc>
          <w:tcPr>
            <w:tcW w:w="2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80" w:type="dxa"/>
            <w:vAlign w:val="bottom"/>
          </w:tcPr>
          <w:p>
            <w:pPr>
              <w:jc w:val="right"/>
              <w:spacing w:after="0"/>
              <w:rPr>
                <w:sz w:val="20"/>
                <w:szCs w:val="20"/>
                <w:color w:val="auto"/>
              </w:rPr>
            </w:pPr>
            <w:r>
              <w:rPr>
                <w:rFonts w:ascii="Arial" w:cs="Arial" w:eastAsia="Arial" w:hAnsi="Arial"/>
                <w:sz w:val="12"/>
                <w:szCs w:val="12"/>
                <w:color w:val="auto"/>
              </w:rPr>
              <w:t>211</w:t>
            </w:r>
          </w:p>
        </w:tc>
        <w:tc>
          <w:tcPr>
            <w:tcW w:w="2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20" w:type="dxa"/>
            <w:vAlign w:val="bottom"/>
          </w:tcPr>
          <w:p>
            <w:pPr>
              <w:jc w:val="right"/>
              <w:spacing w:after="0"/>
              <w:rPr>
                <w:sz w:val="20"/>
                <w:szCs w:val="20"/>
                <w:color w:val="auto"/>
              </w:rPr>
            </w:pPr>
            <w:r>
              <w:rPr>
                <w:rFonts w:ascii="Arial" w:cs="Arial" w:eastAsia="Arial" w:hAnsi="Arial"/>
                <w:sz w:val="12"/>
                <w:szCs w:val="12"/>
                <w:color w:val="auto"/>
              </w:rPr>
              <w:t>500,000</w:t>
            </w:r>
          </w:p>
        </w:tc>
        <w:tc>
          <w:tcPr>
            <w:tcW w:w="2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40" w:type="dxa"/>
            <w:vAlign w:val="bottom"/>
          </w:tcPr>
          <w:p>
            <w:pPr>
              <w:jc w:val="right"/>
              <w:spacing w:after="0"/>
              <w:rPr>
                <w:sz w:val="20"/>
                <w:szCs w:val="20"/>
                <w:color w:val="auto"/>
              </w:rPr>
            </w:pPr>
            <w:r>
              <w:rPr>
                <w:rFonts w:ascii="Arial" w:cs="Arial" w:eastAsia="Arial" w:hAnsi="Arial"/>
                <w:sz w:val="12"/>
                <w:szCs w:val="12"/>
                <w:color w:val="auto"/>
              </w:rPr>
              <w:t>128,457</w:t>
            </w:r>
          </w:p>
        </w:tc>
        <w:tc>
          <w:tcPr>
            <w:tcW w:w="100" w:type="dxa"/>
            <w:vAlign w:val="bottom"/>
          </w:tcPr>
          <w:p>
            <w:pPr>
              <w:spacing w:after="0"/>
              <w:rPr>
                <w:sz w:val="12"/>
                <w:szCs w:val="12"/>
                <w:color w:val="auto"/>
              </w:rPr>
            </w:pPr>
          </w:p>
        </w:tc>
      </w:tr>
      <w:tr>
        <w:trPr>
          <w:trHeight w:val="148"/>
        </w:trPr>
        <w:tc>
          <w:tcPr>
            <w:tcW w:w="3000" w:type="dxa"/>
            <w:vAlign w:val="bottom"/>
            <w:shd w:val="clear" w:color="auto" w:fill="CCECFF"/>
          </w:tcPr>
          <w:p>
            <w:pPr>
              <w:spacing w:after="0"/>
              <w:rPr>
                <w:sz w:val="20"/>
                <w:szCs w:val="20"/>
                <w:color w:val="auto"/>
              </w:rPr>
            </w:pPr>
            <w:r>
              <w:rPr>
                <w:rFonts w:ascii="Arial" w:cs="Arial" w:eastAsia="Arial" w:hAnsi="Arial"/>
                <w:sz w:val="12"/>
                <w:szCs w:val="12"/>
                <w:color w:val="auto"/>
              </w:rPr>
              <w:t>Alegeus Technologies Holdings Corp.</w:t>
            </w:r>
          </w:p>
        </w:tc>
        <w:tc>
          <w:tcPr>
            <w:tcW w:w="920" w:type="dxa"/>
            <w:vAlign w:val="bottom"/>
            <w:shd w:val="clear" w:color="auto" w:fill="CCECFF"/>
          </w:tcPr>
          <w:p>
            <w:pPr>
              <w:ind w:left="380"/>
              <w:spacing w:after="0"/>
              <w:rPr>
                <w:sz w:val="20"/>
                <w:szCs w:val="20"/>
                <w:color w:val="auto"/>
              </w:rPr>
            </w:pPr>
            <w:r>
              <w:rPr>
                <w:rFonts w:ascii="Arial" w:cs="Arial" w:eastAsia="Arial" w:hAnsi="Arial"/>
                <w:sz w:val="12"/>
                <w:szCs w:val="12"/>
                <w:color w:val="auto"/>
              </w:rPr>
              <w:t>—</w:t>
            </w:r>
          </w:p>
        </w:tc>
        <w:tc>
          <w:tcPr>
            <w:tcW w:w="2760" w:type="dxa"/>
            <w:vAlign w:val="bottom"/>
            <w:gridSpan w:val="2"/>
            <w:shd w:val="clear" w:color="auto" w:fill="CCECFF"/>
          </w:tcPr>
          <w:p>
            <w:pPr>
              <w:jc w:val="center"/>
              <w:ind w:right="180"/>
              <w:spacing w:after="0"/>
              <w:rPr>
                <w:sz w:val="20"/>
                <w:szCs w:val="20"/>
                <w:color w:val="auto"/>
              </w:rPr>
            </w:pPr>
            <w:r>
              <w:rPr>
                <w:rFonts w:ascii="Arial" w:cs="Arial" w:eastAsia="Arial" w:hAnsi="Arial"/>
                <w:sz w:val="12"/>
                <w:szCs w:val="12"/>
                <w:color w:val="auto"/>
                <w:w w:val="88"/>
              </w:rPr>
              <w:t>Financial Services</w:t>
            </w:r>
          </w:p>
        </w:tc>
        <w:tc>
          <w:tcPr>
            <w:tcW w:w="820" w:type="dxa"/>
            <w:vAlign w:val="bottom"/>
            <w:gridSpan w:val="2"/>
            <w:shd w:val="clear" w:color="auto" w:fill="CCECFF"/>
          </w:tcPr>
          <w:p>
            <w:pPr>
              <w:jc w:val="right"/>
              <w:ind w:right="160"/>
              <w:spacing w:after="0"/>
              <w:rPr>
                <w:sz w:val="20"/>
                <w:szCs w:val="20"/>
                <w:color w:val="auto"/>
              </w:rPr>
            </w:pPr>
            <w:r>
              <w:rPr>
                <w:rFonts w:ascii="Arial" w:cs="Arial" w:eastAsia="Arial" w:hAnsi="Arial"/>
                <w:sz w:val="12"/>
                <w:szCs w:val="12"/>
                <w:color w:val="auto"/>
              </w:rPr>
              <w:t>—</w:t>
            </w:r>
          </w:p>
        </w:tc>
        <w:tc>
          <w:tcPr>
            <w:tcW w:w="140" w:type="dxa"/>
            <w:vAlign w:val="bottom"/>
            <w:shd w:val="clear" w:color="auto" w:fill="CCECFF"/>
          </w:tcPr>
          <w:p>
            <w:pPr>
              <w:spacing w:after="0"/>
              <w:rPr>
                <w:sz w:val="12"/>
                <w:szCs w:val="12"/>
                <w:color w:val="auto"/>
              </w:rPr>
            </w:pPr>
          </w:p>
        </w:tc>
        <w:tc>
          <w:tcPr>
            <w:tcW w:w="680" w:type="dxa"/>
            <w:vAlign w:val="bottom"/>
            <w:shd w:val="clear" w:color="auto" w:fill="CCECFF"/>
          </w:tcPr>
          <w:p>
            <w:pPr>
              <w:jc w:val="right"/>
              <w:spacing w:after="0"/>
              <w:rPr>
                <w:sz w:val="20"/>
                <w:szCs w:val="20"/>
                <w:color w:val="auto"/>
              </w:rPr>
            </w:pPr>
            <w:r>
              <w:rPr>
                <w:rFonts w:ascii="Arial" w:cs="Arial" w:eastAsia="Arial" w:hAnsi="Arial"/>
                <w:sz w:val="12"/>
                <w:szCs w:val="12"/>
                <w:color w:val="auto"/>
              </w:rPr>
              <w:t>—</w:t>
            </w:r>
          </w:p>
        </w:tc>
        <w:tc>
          <w:tcPr>
            <w:tcW w:w="240" w:type="dxa"/>
            <w:vAlign w:val="bottom"/>
            <w:shd w:val="clear" w:color="auto" w:fill="CCECFF"/>
          </w:tcPr>
          <w:p>
            <w:pPr>
              <w:spacing w:after="0"/>
              <w:rPr>
                <w:sz w:val="12"/>
                <w:szCs w:val="12"/>
                <w:color w:val="auto"/>
              </w:rPr>
            </w:pPr>
          </w:p>
        </w:tc>
        <w:tc>
          <w:tcPr>
            <w:tcW w:w="100" w:type="dxa"/>
            <w:vAlign w:val="bottom"/>
            <w:shd w:val="clear" w:color="auto" w:fill="CCECFF"/>
          </w:tcPr>
          <w:p>
            <w:pPr>
              <w:spacing w:after="0"/>
              <w:rPr>
                <w:sz w:val="12"/>
                <w:szCs w:val="12"/>
                <w:color w:val="auto"/>
              </w:rPr>
            </w:pPr>
          </w:p>
        </w:tc>
        <w:tc>
          <w:tcPr>
            <w:tcW w:w="580" w:type="dxa"/>
            <w:vAlign w:val="bottom"/>
            <w:shd w:val="clear" w:color="auto" w:fill="CCECFF"/>
          </w:tcPr>
          <w:p>
            <w:pPr>
              <w:jc w:val="right"/>
              <w:spacing w:after="0"/>
              <w:rPr>
                <w:sz w:val="20"/>
                <w:szCs w:val="20"/>
                <w:color w:val="auto"/>
              </w:rPr>
            </w:pPr>
            <w:r>
              <w:rPr>
                <w:rFonts w:ascii="Arial" w:cs="Arial" w:eastAsia="Arial" w:hAnsi="Arial"/>
                <w:sz w:val="12"/>
                <w:szCs w:val="12"/>
                <w:color w:val="auto"/>
              </w:rPr>
              <w:t>949</w:t>
            </w:r>
          </w:p>
        </w:tc>
        <w:tc>
          <w:tcPr>
            <w:tcW w:w="240" w:type="dxa"/>
            <w:vAlign w:val="bottom"/>
            <w:shd w:val="clear" w:color="auto" w:fill="CCECFF"/>
          </w:tcPr>
          <w:p>
            <w:pPr>
              <w:spacing w:after="0"/>
              <w:rPr>
                <w:sz w:val="12"/>
                <w:szCs w:val="12"/>
                <w:color w:val="auto"/>
              </w:rPr>
            </w:pPr>
          </w:p>
        </w:tc>
        <w:tc>
          <w:tcPr>
            <w:tcW w:w="80" w:type="dxa"/>
            <w:vAlign w:val="bottom"/>
            <w:shd w:val="clear" w:color="auto" w:fill="CCECFF"/>
          </w:tcPr>
          <w:p>
            <w:pPr>
              <w:spacing w:after="0"/>
              <w:rPr>
                <w:sz w:val="12"/>
                <w:szCs w:val="12"/>
                <w:color w:val="auto"/>
              </w:rPr>
            </w:pPr>
          </w:p>
        </w:tc>
        <w:tc>
          <w:tcPr>
            <w:tcW w:w="620" w:type="dxa"/>
            <w:vAlign w:val="bottom"/>
            <w:shd w:val="clear" w:color="auto" w:fill="CCECFF"/>
          </w:tcPr>
          <w:p>
            <w:pPr>
              <w:jc w:val="right"/>
              <w:spacing w:after="0"/>
              <w:rPr>
                <w:sz w:val="20"/>
                <w:szCs w:val="20"/>
                <w:color w:val="auto"/>
              </w:rPr>
            </w:pPr>
            <w:r>
              <w:rPr>
                <w:rFonts w:ascii="Arial" w:cs="Arial" w:eastAsia="Arial" w:hAnsi="Arial"/>
                <w:sz w:val="12"/>
                <w:szCs w:val="12"/>
                <w:color w:val="auto"/>
              </w:rPr>
              <w:t>949,050</w:t>
            </w:r>
          </w:p>
        </w:tc>
        <w:tc>
          <w:tcPr>
            <w:tcW w:w="240" w:type="dxa"/>
            <w:vAlign w:val="bottom"/>
            <w:shd w:val="clear" w:color="auto" w:fill="CCECFF"/>
          </w:tcPr>
          <w:p>
            <w:pPr>
              <w:spacing w:after="0"/>
              <w:rPr>
                <w:sz w:val="12"/>
                <w:szCs w:val="12"/>
                <w:color w:val="auto"/>
              </w:rPr>
            </w:pPr>
          </w:p>
        </w:tc>
        <w:tc>
          <w:tcPr>
            <w:tcW w:w="80" w:type="dxa"/>
            <w:vAlign w:val="bottom"/>
            <w:shd w:val="clear" w:color="auto" w:fill="CCECFF"/>
          </w:tcPr>
          <w:p>
            <w:pPr>
              <w:spacing w:after="0"/>
              <w:rPr>
                <w:sz w:val="12"/>
                <w:szCs w:val="12"/>
                <w:color w:val="auto"/>
              </w:rPr>
            </w:pPr>
          </w:p>
        </w:tc>
        <w:tc>
          <w:tcPr>
            <w:tcW w:w="640" w:type="dxa"/>
            <w:vAlign w:val="bottom"/>
            <w:shd w:val="clear" w:color="auto" w:fill="CCECFF"/>
          </w:tcPr>
          <w:p>
            <w:pPr>
              <w:jc w:val="right"/>
              <w:spacing w:after="0"/>
              <w:rPr>
                <w:sz w:val="20"/>
                <w:szCs w:val="20"/>
                <w:color w:val="auto"/>
              </w:rPr>
            </w:pPr>
            <w:r>
              <w:rPr>
                <w:rFonts w:ascii="Arial" w:cs="Arial" w:eastAsia="Arial" w:hAnsi="Arial"/>
                <w:sz w:val="12"/>
                <w:szCs w:val="12"/>
                <w:color w:val="auto"/>
              </w:rPr>
              <w:t>1,081,633</w:t>
            </w:r>
          </w:p>
        </w:tc>
        <w:tc>
          <w:tcPr>
            <w:tcW w:w="100" w:type="dxa"/>
            <w:vAlign w:val="bottom"/>
            <w:shd w:val="clear" w:color="auto" w:fill="CCECFF"/>
          </w:tcPr>
          <w:p>
            <w:pPr>
              <w:spacing w:after="0"/>
              <w:rPr>
                <w:sz w:val="12"/>
                <w:szCs w:val="12"/>
                <w:color w:val="auto"/>
              </w:rPr>
            </w:pPr>
          </w:p>
        </w:tc>
      </w:tr>
      <w:tr>
        <w:trPr>
          <w:trHeight w:val="149"/>
        </w:trPr>
        <w:tc>
          <w:tcPr>
            <w:tcW w:w="3000" w:type="dxa"/>
            <w:vAlign w:val="bottom"/>
          </w:tcPr>
          <w:p>
            <w:pPr>
              <w:spacing w:after="0"/>
              <w:rPr>
                <w:sz w:val="20"/>
                <w:szCs w:val="20"/>
                <w:color w:val="auto"/>
              </w:rPr>
            </w:pPr>
            <w:r>
              <w:rPr>
                <w:rFonts w:ascii="Arial" w:cs="Arial" w:eastAsia="Arial" w:hAnsi="Arial"/>
                <w:sz w:val="12"/>
                <w:szCs w:val="12"/>
                <w:color w:val="auto"/>
              </w:rPr>
              <w:t>Convergint Technologies Holdings, LLC</w:t>
            </w:r>
          </w:p>
        </w:tc>
        <w:tc>
          <w:tcPr>
            <w:tcW w:w="920" w:type="dxa"/>
            <w:vAlign w:val="bottom"/>
          </w:tcPr>
          <w:p>
            <w:pPr>
              <w:ind w:left="380"/>
              <w:spacing w:after="0"/>
              <w:rPr>
                <w:sz w:val="20"/>
                <w:szCs w:val="20"/>
                <w:color w:val="auto"/>
              </w:rPr>
            </w:pPr>
            <w:r>
              <w:rPr>
                <w:rFonts w:ascii="Arial" w:cs="Arial" w:eastAsia="Arial" w:hAnsi="Arial"/>
                <w:sz w:val="12"/>
                <w:szCs w:val="12"/>
                <w:color w:val="auto"/>
              </w:rPr>
              <w:t>—</w:t>
            </w:r>
          </w:p>
        </w:tc>
        <w:tc>
          <w:tcPr>
            <w:tcW w:w="2760" w:type="dxa"/>
            <w:vAlign w:val="bottom"/>
            <w:gridSpan w:val="2"/>
          </w:tcPr>
          <w:p>
            <w:pPr>
              <w:jc w:val="center"/>
              <w:ind w:right="160"/>
              <w:spacing w:after="0"/>
              <w:rPr>
                <w:sz w:val="20"/>
                <w:szCs w:val="20"/>
                <w:color w:val="auto"/>
              </w:rPr>
            </w:pPr>
            <w:r>
              <w:rPr>
                <w:rFonts w:ascii="Arial" w:cs="Arial" w:eastAsia="Arial" w:hAnsi="Arial"/>
                <w:sz w:val="12"/>
                <w:szCs w:val="12"/>
                <w:color w:val="auto"/>
                <w:w w:val="88"/>
              </w:rPr>
              <w:t>Electronics</w:t>
            </w:r>
          </w:p>
        </w:tc>
        <w:tc>
          <w:tcPr>
            <w:tcW w:w="820" w:type="dxa"/>
            <w:vAlign w:val="bottom"/>
            <w:gridSpan w:val="2"/>
          </w:tcPr>
          <w:p>
            <w:pPr>
              <w:jc w:val="right"/>
              <w:ind w:right="60"/>
              <w:spacing w:after="0"/>
              <w:rPr>
                <w:sz w:val="20"/>
                <w:szCs w:val="20"/>
                <w:color w:val="auto"/>
              </w:rPr>
            </w:pPr>
            <w:r>
              <w:rPr>
                <w:rFonts w:ascii="Arial" w:cs="Arial" w:eastAsia="Arial" w:hAnsi="Arial"/>
                <w:sz w:val="12"/>
                <w:szCs w:val="12"/>
                <w:color w:val="auto"/>
              </w:rPr>
              <w:t>8.00%</w:t>
            </w:r>
          </w:p>
        </w:tc>
        <w:tc>
          <w:tcPr>
            <w:tcW w:w="140" w:type="dxa"/>
            <w:vAlign w:val="bottom"/>
          </w:tcPr>
          <w:p>
            <w:pPr>
              <w:spacing w:after="0"/>
              <w:rPr>
                <w:sz w:val="12"/>
                <w:szCs w:val="12"/>
                <w:color w:val="auto"/>
              </w:rPr>
            </w:pPr>
          </w:p>
        </w:tc>
        <w:tc>
          <w:tcPr>
            <w:tcW w:w="680" w:type="dxa"/>
            <w:vAlign w:val="bottom"/>
          </w:tcPr>
          <w:p>
            <w:pPr>
              <w:jc w:val="right"/>
              <w:spacing w:after="0"/>
              <w:rPr>
                <w:sz w:val="20"/>
                <w:szCs w:val="20"/>
                <w:color w:val="auto"/>
              </w:rPr>
            </w:pPr>
            <w:r>
              <w:rPr>
                <w:rFonts w:ascii="Arial" w:cs="Arial" w:eastAsia="Arial" w:hAnsi="Arial"/>
                <w:sz w:val="12"/>
                <w:szCs w:val="12"/>
                <w:color w:val="auto"/>
              </w:rPr>
              <w:t>—</w:t>
            </w:r>
          </w:p>
        </w:tc>
        <w:tc>
          <w:tcPr>
            <w:tcW w:w="2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80" w:type="dxa"/>
            <w:vAlign w:val="bottom"/>
          </w:tcPr>
          <w:p>
            <w:pPr>
              <w:jc w:val="right"/>
              <w:spacing w:after="0"/>
              <w:rPr>
                <w:sz w:val="20"/>
                <w:szCs w:val="20"/>
                <w:color w:val="auto"/>
              </w:rPr>
            </w:pPr>
            <w:r>
              <w:rPr>
                <w:rFonts w:ascii="Arial" w:cs="Arial" w:eastAsia="Arial" w:hAnsi="Arial"/>
                <w:sz w:val="12"/>
                <w:szCs w:val="12"/>
                <w:color w:val="auto"/>
              </w:rPr>
              <w:t>2,375</w:t>
            </w:r>
          </w:p>
        </w:tc>
        <w:tc>
          <w:tcPr>
            <w:tcW w:w="2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20" w:type="dxa"/>
            <w:vAlign w:val="bottom"/>
          </w:tcPr>
          <w:p>
            <w:pPr>
              <w:jc w:val="right"/>
              <w:spacing w:after="0"/>
              <w:rPr>
                <w:sz w:val="20"/>
                <w:szCs w:val="20"/>
                <w:color w:val="auto"/>
              </w:rPr>
            </w:pPr>
            <w:r>
              <w:rPr>
                <w:rFonts w:ascii="Arial" w:cs="Arial" w:eastAsia="Arial" w:hAnsi="Arial"/>
                <w:sz w:val="12"/>
                <w:szCs w:val="12"/>
                <w:color w:val="auto"/>
              </w:rPr>
              <w:t>2,088,121</w:t>
            </w:r>
          </w:p>
        </w:tc>
        <w:tc>
          <w:tcPr>
            <w:tcW w:w="2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40" w:type="dxa"/>
            <w:vAlign w:val="bottom"/>
          </w:tcPr>
          <w:p>
            <w:pPr>
              <w:jc w:val="right"/>
              <w:spacing w:after="0"/>
              <w:rPr>
                <w:sz w:val="20"/>
                <w:szCs w:val="20"/>
                <w:color w:val="auto"/>
              </w:rPr>
            </w:pPr>
            <w:r>
              <w:rPr>
                <w:rFonts w:ascii="Arial" w:cs="Arial" w:eastAsia="Arial" w:hAnsi="Arial"/>
                <w:sz w:val="12"/>
                <w:szCs w:val="12"/>
                <w:color w:val="auto"/>
              </w:rPr>
              <w:t>2,396,892</w:t>
            </w:r>
          </w:p>
        </w:tc>
        <w:tc>
          <w:tcPr>
            <w:tcW w:w="100" w:type="dxa"/>
            <w:vAlign w:val="bottom"/>
          </w:tcPr>
          <w:p>
            <w:pPr>
              <w:spacing w:after="0"/>
              <w:rPr>
                <w:sz w:val="12"/>
                <w:szCs w:val="12"/>
                <w:color w:val="auto"/>
              </w:rPr>
            </w:pPr>
          </w:p>
        </w:tc>
      </w:tr>
      <w:tr>
        <w:trPr>
          <w:trHeight w:val="148"/>
        </w:trPr>
        <w:tc>
          <w:tcPr>
            <w:tcW w:w="3000" w:type="dxa"/>
            <w:vAlign w:val="bottom"/>
            <w:shd w:val="clear" w:color="auto" w:fill="CCECFF"/>
          </w:tcPr>
          <w:p>
            <w:pPr>
              <w:spacing w:after="0"/>
              <w:rPr>
                <w:sz w:val="20"/>
                <w:szCs w:val="20"/>
                <w:color w:val="auto"/>
              </w:rPr>
            </w:pPr>
            <w:r>
              <w:rPr>
                <w:rFonts w:ascii="Arial" w:cs="Arial" w:eastAsia="Arial" w:hAnsi="Arial"/>
                <w:sz w:val="12"/>
                <w:szCs w:val="12"/>
                <w:color w:val="auto"/>
              </w:rPr>
              <w:t>HW Holdco, LLC</w:t>
            </w:r>
          </w:p>
        </w:tc>
        <w:tc>
          <w:tcPr>
            <w:tcW w:w="920" w:type="dxa"/>
            <w:vAlign w:val="bottom"/>
            <w:shd w:val="clear" w:color="auto" w:fill="CCECFF"/>
          </w:tcPr>
          <w:p>
            <w:pPr>
              <w:ind w:left="380"/>
              <w:spacing w:after="0"/>
              <w:rPr>
                <w:sz w:val="20"/>
                <w:szCs w:val="20"/>
                <w:color w:val="auto"/>
              </w:rPr>
            </w:pPr>
            <w:r>
              <w:rPr>
                <w:rFonts w:ascii="Arial" w:cs="Arial" w:eastAsia="Arial" w:hAnsi="Arial"/>
                <w:sz w:val="12"/>
                <w:szCs w:val="12"/>
                <w:color w:val="auto"/>
              </w:rPr>
              <w:t>—</w:t>
            </w:r>
          </w:p>
        </w:tc>
        <w:tc>
          <w:tcPr>
            <w:tcW w:w="2760" w:type="dxa"/>
            <w:vAlign w:val="bottom"/>
            <w:gridSpan w:val="2"/>
            <w:shd w:val="clear" w:color="auto" w:fill="CCECFF"/>
          </w:tcPr>
          <w:p>
            <w:pPr>
              <w:jc w:val="center"/>
              <w:ind w:right="160"/>
              <w:spacing w:after="0"/>
              <w:rPr>
                <w:sz w:val="20"/>
                <w:szCs w:val="20"/>
                <w:color w:val="auto"/>
              </w:rPr>
            </w:pPr>
            <w:r>
              <w:rPr>
                <w:rFonts w:ascii="Arial" w:cs="Arial" w:eastAsia="Arial" w:hAnsi="Arial"/>
                <w:sz w:val="12"/>
                <w:szCs w:val="12"/>
                <w:color w:val="auto"/>
                <w:w w:val="90"/>
              </w:rPr>
              <w:t>Other Media</w:t>
            </w:r>
          </w:p>
        </w:tc>
        <w:tc>
          <w:tcPr>
            <w:tcW w:w="820" w:type="dxa"/>
            <w:vAlign w:val="bottom"/>
            <w:gridSpan w:val="2"/>
            <w:shd w:val="clear" w:color="auto" w:fill="CCECFF"/>
          </w:tcPr>
          <w:p>
            <w:pPr>
              <w:jc w:val="right"/>
              <w:ind w:right="60"/>
              <w:spacing w:after="0"/>
              <w:rPr>
                <w:sz w:val="20"/>
                <w:szCs w:val="20"/>
                <w:color w:val="auto"/>
              </w:rPr>
            </w:pPr>
            <w:r>
              <w:rPr>
                <w:rFonts w:ascii="Arial" w:cs="Arial" w:eastAsia="Arial" w:hAnsi="Arial"/>
                <w:sz w:val="12"/>
                <w:szCs w:val="12"/>
                <w:color w:val="auto"/>
              </w:rPr>
              <w:t>8.00%</w:t>
            </w:r>
          </w:p>
        </w:tc>
        <w:tc>
          <w:tcPr>
            <w:tcW w:w="140" w:type="dxa"/>
            <w:vAlign w:val="bottom"/>
            <w:shd w:val="clear" w:color="auto" w:fill="CCECFF"/>
          </w:tcPr>
          <w:p>
            <w:pPr>
              <w:spacing w:after="0"/>
              <w:rPr>
                <w:sz w:val="12"/>
                <w:szCs w:val="12"/>
                <w:color w:val="auto"/>
              </w:rPr>
            </w:pPr>
          </w:p>
        </w:tc>
        <w:tc>
          <w:tcPr>
            <w:tcW w:w="680" w:type="dxa"/>
            <w:vAlign w:val="bottom"/>
            <w:shd w:val="clear" w:color="auto" w:fill="CCECFF"/>
          </w:tcPr>
          <w:p>
            <w:pPr>
              <w:jc w:val="right"/>
              <w:spacing w:after="0"/>
              <w:rPr>
                <w:sz w:val="20"/>
                <w:szCs w:val="20"/>
                <w:color w:val="auto"/>
              </w:rPr>
            </w:pPr>
            <w:r>
              <w:rPr>
                <w:rFonts w:ascii="Arial" w:cs="Arial" w:eastAsia="Arial" w:hAnsi="Arial"/>
                <w:sz w:val="12"/>
                <w:szCs w:val="12"/>
                <w:color w:val="auto"/>
              </w:rPr>
              <w:t>—</w:t>
            </w:r>
          </w:p>
        </w:tc>
        <w:tc>
          <w:tcPr>
            <w:tcW w:w="240" w:type="dxa"/>
            <w:vAlign w:val="bottom"/>
            <w:shd w:val="clear" w:color="auto" w:fill="CCECFF"/>
          </w:tcPr>
          <w:p>
            <w:pPr>
              <w:spacing w:after="0"/>
              <w:rPr>
                <w:sz w:val="12"/>
                <w:szCs w:val="12"/>
                <w:color w:val="auto"/>
              </w:rPr>
            </w:pPr>
          </w:p>
        </w:tc>
        <w:tc>
          <w:tcPr>
            <w:tcW w:w="100" w:type="dxa"/>
            <w:vAlign w:val="bottom"/>
            <w:shd w:val="clear" w:color="auto" w:fill="CCECFF"/>
          </w:tcPr>
          <w:p>
            <w:pPr>
              <w:spacing w:after="0"/>
              <w:rPr>
                <w:sz w:val="12"/>
                <w:szCs w:val="12"/>
                <w:color w:val="auto"/>
              </w:rPr>
            </w:pPr>
          </w:p>
        </w:tc>
        <w:tc>
          <w:tcPr>
            <w:tcW w:w="580" w:type="dxa"/>
            <w:vAlign w:val="bottom"/>
            <w:shd w:val="clear" w:color="auto" w:fill="CCECFF"/>
          </w:tcPr>
          <w:p>
            <w:pPr>
              <w:jc w:val="right"/>
              <w:spacing w:after="0"/>
              <w:rPr>
                <w:sz w:val="20"/>
                <w:szCs w:val="20"/>
                <w:color w:val="auto"/>
              </w:rPr>
            </w:pPr>
            <w:r>
              <w:rPr>
                <w:rFonts w:ascii="Arial" w:cs="Arial" w:eastAsia="Arial" w:hAnsi="Arial"/>
                <w:sz w:val="12"/>
                <w:szCs w:val="12"/>
                <w:color w:val="auto"/>
              </w:rPr>
              <w:t>3,591</w:t>
            </w:r>
          </w:p>
        </w:tc>
        <w:tc>
          <w:tcPr>
            <w:tcW w:w="240" w:type="dxa"/>
            <w:vAlign w:val="bottom"/>
            <w:shd w:val="clear" w:color="auto" w:fill="CCECFF"/>
          </w:tcPr>
          <w:p>
            <w:pPr>
              <w:spacing w:after="0"/>
              <w:rPr>
                <w:sz w:val="12"/>
                <w:szCs w:val="12"/>
                <w:color w:val="auto"/>
              </w:rPr>
            </w:pPr>
          </w:p>
        </w:tc>
        <w:tc>
          <w:tcPr>
            <w:tcW w:w="80" w:type="dxa"/>
            <w:vAlign w:val="bottom"/>
            <w:shd w:val="clear" w:color="auto" w:fill="CCECFF"/>
          </w:tcPr>
          <w:p>
            <w:pPr>
              <w:spacing w:after="0"/>
              <w:rPr>
                <w:sz w:val="12"/>
                <w:szCs w:val="12"/>
                <w:color w:val="auto"/>
              </w:rPr>
            </w:pPr>
          </w:p>
        </w:tc>
        <w:tc>
          <w:tcPr>
            <w:tcW w:w="620" w:type="dxa"/>
            <w:vAlign w:val="bottom"/>
            <w:shd w:val="clear" w:color="auto" w:fill="CCECFF"/>
          </w:tcPr>
          <w:p>
            <w:pPr>
              <w:jc w:val="right"/>
              <w:spacing w:after="0"/>
              <w:rPr>
                <w:sz w:val="20"/>
                <w:szCs w:val="20"/>
                <w:color w:val="auto"/>
              </w:rPr>
            </w:pPr>
            <w:r>
              <w:rPr>
                <w:rFonts w:ascii="Arial" w:cs="Arial" w:eastAsia="Arial" w:hAnsi="Arial"/>
                <w:sz w:val="12"/>
                <w:szCs w:val="12"/>
                <w:color w:val="auto"/>
              </w:rPr>
              <w:t>—</w:t>
            </w:r>
          </w:p>
        </w:tc>
        <w:tc>
          <w:tcPr>
            <w:tcW w:w="240" w:type="dxa"/>
            <w:vAlign w:val="bottom"/>
            <w:shd w:val="clear" w:color="auto" w:fill="CCECFF"/>
          </w:tcPr>
          <w:p>
            <w:pPr>
              <w:spacing w:after="0"/>
              <w:rPr>
                <w:sz w:val="12"/>
                <w:szCs w:val="12"/>
                <w:color w:val="auto"/>
              </w:rPr>
            </w:pPr>
          </w:p>
        </w:tc>
        <w:tc>
          <w:tcPr>
            <w:tcW w:w="80" w:type="dxa"/>
            <w:vAlign w:val="bottom"/>
            <w:shd w:val="clear" w:color="auto" w:fill="CCECFF"/>
          </w:tcPr>
          <w:p>
            <w:pPr>
              <w:spacing w:after="0"/>
              <w:rPr>
                <w:sz w:val="12"/>
                <w:szCs w:val="12"/>
                <w:color w:val="auto"/>
              </w:rPr>
            </w:pPr>
          </w:p>
        </w:tc>
        <w:tc>
          <w:tcPr>
            <w:tcW w:w="640" w:type="dxa"/>
            <w:vAlign w:val="bottom"/>
            <w:shd w:val="clear" w:color="auto" w:fill="CCECFF"/>
          </w:tcPr>
          <w:p>
            <w:pPr>
              <w:jc w:val="right"/>
              <w:spacing w:after="0"/>
              <w:rPr>
                <w:sz w:val="20"/>
                <w:szCs w:val="20"/>
                <w:color w:val="auto"/>
              </w:rPr>
            </w:pPr>
            <w:r>
              <w:rPr>
                <w:rFonts w:ascii="Arial" w:cs="Arial" w:eastAsia="Arial" w:hAnsi="Arial"/>
                <w:sz w:val="12"/>
                <w:szCs w:val="12"/>
                <w:color w:val="auto"/>
              </w:rPr>
              <w:t>32,476</w:t>
            </w:r>
          </w:p>
        </w:tc>
        <w:tc>
          <w:tcPr>
            <w:tcW w:w="100" w:type="dxa"/>
            <w:vAlign w:val="bottom"/>
            <w:shd w:val="clear" w:color="auto" w:fill="CCECFF"/>
          </w:tcPr>
          <w:p>
            <w:pPr>
              <w:spacing w:after="0"/>
              <w:rPr>
                <w:sz w:val="12"/>
                <w:szCs w:val="12"/>
                <w:color w:val="auto"/>
              </w:rPr>
            </w:pPr>
          </w:p>
        </w:tc>
      </w:tr>
      <w:tr>
        <w:trPr>
          <w:trHeight w:val="148"/>
        </w:trPr>
        <w:tc>
          <w:tcPr>
            <w:tcW w:w="3000" w:type="dxa"/>
            <w:vAlign w:val="bottom"/>
            <w:tcBorders>
              <w:bottom w:val="single" w:sz="8" w:color="CCECFF"/>
            </w:tcBorders>
          </w:tcPr>
          <w:p>
            <w:pPr>
              <w:spacing w:after="0"/>
              <w:rPr>
                <w:sz w:val="20"/>
                <w:szCs w:val="20"/>
                <w:color w:val="auto"/>
              </w:rPr>
            </w:pPr>
            <w:r>
              <w:rPr>
                <w:rFonts w:ascii="Arial" w:cs="Arial" w:eastAsia="Arial" w:hAnsi="Arial"/>
                <w:sz w:val="12"/>
                <w:szCs w:val="12"/>
                <w:color w:val="auto"/>
              </w:rPr>
              <w:t>Roto Holdings, Inc.</w:t>
            </w:r>
          </w:p>
        </w:tc>
        <w:tc>
          <w:tcPr>
            <w:tcW w:w="920" w:type="dxa"/>
            <w:vAlign w:val="bottom"/>
            <w:tcBorders>
              <w:bottom w:val="single" w:sz="8" w:color="CCECFF"/>
            </w:tcBorders>
          </w:tcPr>
          <w:p>
            <w:pPr>
              <w:ind w:left="380"/>
              <w:spacing w:after="0"/>
              <w:rPr>
                <w:sz w:val="20"/>
                <w:szCs w:val="20"/>
                <w:color w:val="auto"/>
              </w:rPr>
            </w:pPr>
            <w:r>
              <w:rPr>
                <w:rFonts w:ascii="Arial" w:cs="Arial" w:eastAsia="Arial" w:hAnsi="Arial"/>
                <w:sz w:val="12"/>
                <w:szCs w:val="12"/>
                <w:color w:val="auto"/>
              </w:rPr>
              <w:t>—</w:t>
            </w:r>
          </w:p>
        </w:tc>
        <w:tc>
          <w:tcPr>
            <w:tcW w:w="2760" w:type="dxa"/>
            <w:vAlign w:val="bottom"/>
            <w:tcBorders>
              <w:bottom w:val="single" w:sz="8" w:color="CCECFF"/>
            </w:tcBorders>
            <w:gridSpan w:val="2"/>
          </w:tcPr>
          <w:p>
            <w:pPr>
              <w:jc w:val="center"/>
              <w:ind w:right="160"/>
              <w:spacing w:after="0"/>
              <w:rPr>
                <w:sz w:val="20"/>
                <w:szCs w:val="20"/>
                <w:color w:val="auto"/>
              </w:rPr>
            </w:pPr>
            <w:r>
              <w:rPr>
                <w:rFonts w:ascii="Arial" w:cs="Arial" w:eastAsia="Arial" w:hAnsi="Arial"/>
                <w:sz w:val="12"/>
                <w:szCs w:val="12"/>
                <w:color w:val="auto"/>
                <w:w w:val="88"/>
              </w:rPr>
              <w:t>Manufacturing / Basic Industries</w:t>
            </w:r>
          </w:p>
        </w:tc>
        <w:tc>
          <w:tcPr>
            <w:tcW w:w="820" w:type="dxa"/>
            <w:vAlign w:val="bottom"/>
            <w:tcBorders>
              <w:bottom w:val="single" w:sz="8" w:color="CCECFF"/>
            </w:tcBorders>
            <w:gridSpan w:val="2"/>
          </w:tcPr>
          <w:p>
            <w:pPr>
              <w:jc w:val="right"/>
              <w:ind w:right="160"/>
              <w:spacing w:after="0"/>
              <w:rPr>
                <w:sz w:val="20"/>
                <w:szCs w:val="20"/>
                <w:color w:val="auto"/>
              </w:rPr>
            </w:pPr>
            <w:r>
              <w:rPr>
                <w:rFonts w:ascii="Arial" w:cs="Arial" w:eastAsia="Arial" w:hAnsi="Arial"/>
                <w:sz w:val="12"/>
                <w:szCs w:val="12"/>
                <w:color w:val="auto"/>
              </w:rPr>
              <w:t>—</w:t>
            </w:r>
          </w:p>
        </w:tc>
        <w:tc>
          <w:tcPr>
            <w:tcW w:w="140" w:type="dxa"/>
            <w:vAlign w:val="bottom"/>
            <w:tcBorders>
              <w:bottom w:val="single" w:sz="8" w:color="CCECFF"/>
            </w:tcBorders>
          </w:tcPr>
          <w:p>
            <w:pPr>
              <w:spacing w:after="0"/>
              <w:rPr>
                <w:sz w:val="12"/>
                <w:szCs w:val="12"/>
                <w:color w:val="auto"/>
              </w:rPr>
            </w:pPr>
          </w:p>
        </w:tc>
        <w:tc>
          <w:tcPr>
            <w:tcW w:w="680" w:type="dxa"/>
            <w:vAlign w:val="bottom"/>
            <w:tcBorders>
              <w:bottom w:val="single" w:sz="8" w:color="CCECFF"/>
            </w:tcBorders>
          </w:tcPr>
          <w:p>
            <w:pPr>
              <w:jc w:val="right"/>
              <w:spacing w:after="0"/>
              <w:rPr>
                <w:sz w:val="20"/>
                <w:szCs w:val="20"/>
                <w:color w:val="auto"/>
              </w:rPr>
            </w:pPr>
            <w:r>
              <w:rPr>
                <w:rFonts w:ascii="Arial" w:cs="Arial" w:eastAsia="Arial" w:hAnsi="Arial"/>
                <w:sz w:val="12"/>
                <w:szCs w:val="12"/>
                <w:color w:val="auto"/>
              </w:rPr>
              <w:t>—</w:t>
            </w:r>
          </w:p>
        </w:tc>
        <w:tc>
          <w:tcPr>
            <w:tcW w:w="240" w:type="dxa"/>
            <w:vAlign w:val="bottom"/>
            <w:tcBorders>
              <w:bottom w:val="single" w:sz="8" w:color="CCECFF"/>
            </w:tcBorders>
          </w:tcPr>
          <w:p>
            <w:pPr>
              <w:spacing w:after="0"/>
              <w:rPr>
                <w:sz w:val="12"/>
                <w:szCs w:val="12"/>
                <w:color w:val="auto"/>
              </w:rPr>
            </w:pPr>
          </w:p>
        </w:tc>
        <w:tc>
          <w:tcPr>
            <w:tcW w:w="100" w:type="dxa"/>
            <w:vAlign w:val="bottom"/>
            <w:tcBorders>
              <w:bottom w:val="single" w:sz="8" w:color="CCECFF"/>
            </w:tcBorders>
          </w:tcPr>
          <w:p>
            <w:pPr>
              <w:spacing w:after="0"/>
              <w:rPr>
                <w:sz w:val="12"/>
                <w:szCs w:val="12"/>
                <w:color w:val="auto"/>
              </w:rPr>
            </w:pPr>
          </w:p>
        </w:tc>
        <w:tc>
          <w:tcPr>
            <w:tcW w:w="580" w:type="dxa"/>
            <w:vAlign w:val="bottom"/>
            <w:tcBorders>
              <w:bottom w:val="single" w:sz="8" w:color="CCECFF"/>
            </w:tcBorders>
          </w:tcPr>
          <w:p>
            <w:pPr>
              <w:jc w:val="right"/>
              <w:spacing w:after="0"/>
              <w:rPr>
                <w:sz w:val="20"/>
                <w:szCs w:val="20"/>
                <w:color w:val="auto"/>
              </w:rPr>
            </w:pPr>
            <w:r>
              <w:rPr>
                <w:rFonts w:ascii="Arial" w:cs="Arial" w:eastAsia="Arial" w:hAnsi="Arial"/>
                <w:sz w:val="12"/>
                <w:szCs w:val="12"/>
                <w:color w:val="auto"/>
              </w:rPr>
              <w:t>1,197</w:t>
            </w:r>
          </w:p>
        </w:tc>
        <w:tc>
          <w:tcPr>
            <w:tcW w:w="240" w:type="dxa"/>
            <w:vAlign w:val="bottom"/>
            <w:tcBorders>
              <w:bottom w:val="single" w:sz="8" w:color="CCECFF"/>
            </w:tcBorders>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1,197,000</w:t>
            </w:r>
          </w:p>
        </w:tc>
        <w:tc>
          <w:tcPr>
            <w:tcW w:w="240" w:type="dxa"/>
            <w:vAlign w:val="bottom"/>
            <w:tcBorders>
              <w:bottom w:val="single" w:sz="8" w:color="CCECFF"/>
            </w:tcBorders>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1,404,944</w:t>
            </w:r>
          </w:p>
        </w:tc>
        <w:tc>
          <w:tcPr>
            <w:tcW w:w="100" w:type="dxa"/>
            <w:vAlign w:val="bottom"/>
            <w:tcBorders>
              <w:bottom w:val="single" w:sz="8" w:color="CCECFF"/>
            </w:tcBorders>
          </w:tcPr>
          <w:p>
            <w:pPr>
              <w:spacing w:after="0"/>
              <w:rPr>
                <w:sz w:val="12"/>
                <w:szCs w:val="12"/>
                <w:color w:val="auto"/>
              </w:rPr>
            </w:pPr>
          </w:p>
        </w:tc>
      </w:tr>
      <w:tr>
        <w:trPr>
          <w:trHeight w:val="142"/>
        </w:trPr>
        <w:tc>
          <w:tcPr>
            <w:tcW w:w="3000" w:type="dxa"/>
            <w:vAlign w:val="bottom"/>
            <w:shd w:val="clear" w:color="auto" w:fill="CCECFF"/>
          </w:tcPr>
          <w:p>
            <w:pPr>
              <w:spacing w:after="0"/>
              <w:rPr>
                <w:sz w:val="20"/>
                <w:szCs w:val="20"/>
                <w:color w:val="auto"/>
              </w:rPr>
            </w:pPr>
            <w:r>
              <w:rPr>
                <w:rFonts w:ascii="Arial" w:cs="Arial" w:eastAsia="Arial" w:hAnsi="Arial"/>
                <w:sz w:val="12"/>
                <w:szCs w:val="12"/>
                <w:b w:val="1"/>
                <w:bCs w:val="1"/>
                <w:color w:val="auto"/>
              </w:rPr>
              <w:t>Total Preferred Equity/Partnership Interests</w:t>
            </w:r>
          </w:p>
        </w:tc>
        <w:tc>
          <w:tcPr>
            <w:tcW w:w="920" w:type="dxa"/>
            <w:vAlign w:val="bottom"/>
            <w:shd w:val="clear" w:color="auto" w:fill="CCECFF"/>
          </w:tcPr>
          <w:p>
            <w:pPr>
              <w:spacing w:after="0"/>
              <w:rPr>
                <w:sz w:val="12"/>
                <w:szCs w:val="12"/>
                <w:color w:val="auto"/>
              </w:rPr>
            </w:pPr>
          </w:p>
        </w:tc>
        <w:tc>
          <w:tcPr>
            <w:tcW w:w="2640" w:type="dxa"/>
            <w:vAlign w:val="bottom"/>
            <w:shd w:val="clear" w:color="auto" w:fill="CCECFF"/>
          </w:tcPr>
          <w:p>
            <w:pPr>
              <w:spacing w:after="0"/>
              <w:rPr>
                <w:sz w:val="12"/>
                <w:szCs w:val="12"/>
                <w:color w:val="auto"/>
              </w:rPr>
            </w:pPr>
          </w:p>
        </w:tc>
        <w:tc>
          <w:tcPr>
            <w:tcW w:w="120" w:type="dxa"/>
            <w:vAlign w:val="bottom"/>
            <w:shd w:val="clear" w:color="auto" w:fill="CCECFF"/>
          </w:tcPr>
          <w:p>
            <w:pPr>
              <w:spacing w:after="0"/>
              <w:rPr>
                <w:sz w:val="12"/>
                <w:szCs w:val="12"/>
                <w:color w:val="auto"/>
              </w:rPr>
            </w:pPr>
          </w:p>
        </w:tc>
        <w:tc>
          <w:tcPr>
            <w:tcW w:w="680" w:type="dxa"/>
            <w:vAlign w:val="bottom"/>
            <w:shd w:val="clear" w:color="auto" w:fill="CCECFF"/>
          </w:tcPr>
          <w:p>
            <w:pPr>
              <w:spacing w:after="0"/>
              <w:rPr>
                <w:sz w:val="12"/>
                <w:szCs w:val="12"/>
                <w:color w:val="auto"/>
              </w:rPr>
            </w:pPr>
          </w:p>
        </w:tc>
        <w:tc>
          <w:tcPr>
            <w:tcW w:w="140" w:type="dxa"/>
            <w:vAlign w:val="bottom"/>
            <w:shd w:val="clear" w:color="auto" w:fill="CCECFF"/>
          </w:tcPr>
          <w:p>
            <w:pPr>
              <w:spacing w:after="0"/>
              <w:rPr>
                <w:sz w:val="12"/>
                <w:szCs w:val="12"/>
                <w:color w:val="auto"/>
              </w:rPr>
            </w:pPr>
          </w:p>
        </w:tc>
        <w:tc>
          <w:tcPr>
            <w:tcW w:w="140" w:type="dxa"/>
            <w:vAlign w:val="bottom"/>
            <w:shd w:val="clear" w:color="auto" w:fill="CCECFF"/>
          </w:tcPr>
          <w:p>
            <w:pPr>
              <w:spacing w:after="0"/>
              <w:rPr>
                <w:sz w:val="12"/>
                <w:szCs w:val="12"/>
                <w:color w:val="auto"/>
              </w:rPr>
            </w:pPr>
          </w:p>
        </w:tc>
        <w:tc>
          <w:tcPr>
            <w:tcW w:w="680" w:type="dxa"/>
            <w:vAlign w:val="bottom"/>
            <w:shd w:val="clear" w:color="auto" w:fill="CCECFF"/>
          </w:tcPr>
          <w:p>
            <w:pPr>
              <w:spacing w:after="0"/>
              <w:rPr>
                <w:sz w:val="12"/>
                <w:szCs w:val="12"/>
                <w:color w:val="auto"/>
              </w:rPr>
            </w:pPr>
          </w:p>
        </w:tc>
        <w:tc>
          <w:tcPr>
            <w:tcW w:w="240" w:type="dxa"/>
            <w:vAlign w:val="bottom"/>
            <w:shd w:val="clear" w:color="auto" w:fill="CCECFF"/>
          </w:tcPr>
          <w:p>
            <w:pPr>
              <w:spacing w:after="0"/>
              <w:rPr>
                <w:sz w:val="12"/>
                <w:szCs w:val="12"/>
                <w:color w:val="auto"/>
              </w:rPr>
            </w:pPr>
          </w:p>
        </w:tc>
        <w:tc>
          <w:tcPr>
            <w:tcW w:w="100" w:type="dxa"/>
            <w:vAlign w:val="bottom"/>
            <w:shd w:val="clear" w:color="auto" w:fill="CCECFF"/>
          </w:tcPr>
          <w:p>
            <w:pPr>
              <w:spacing w:after="0"/>
              <w:rPr>
                <w:sz w:val="12"/>
                <w:szCs w:val="12"/>
                <w:color w:val="auto"/>
              </w:rPr>
            </w:pPr>
          </w:p>
        </w:tc>
        <w:tc>
          <w:tcPr>
            <w:tcW w:w="580" w:type="dxa"/>
            <w:vAlign w:val="bottom"/>
            <w:shd w:val="clear" w:color="auto" w:fill="CCECFF"/>
          </w:tcPr>
          <w:p>
            <w:pPr>
              <w:spacing w:after="0"/>
              <w:rPr>
                <w:sz w:val="12"/>
                <w:szCs w:val="12"/>
                <w:color w:val="auto"/>
              </w:rPr>
            </w:pPr>
          </w:p>
        </w:tc>
        <w:tc>
          <w:tcPr>
            <w:tcW w:w="240" w:type="dxa"/>
            <w:vAlign w:val="bottom"/>
            <w:shd w:val="clear" w:color="auto" w:fill="CCECFF"/>
          </w:tcPr>
          <w:p>
            <w:pPr>
              <w:spacing w:after="0"/>
              <w:rPr>
                <w:sz w:val="12"/>
                <w:szCs w:val="12"/>
                <w:color w:val="auto"/>
              </w:rPr>
            </w:pPr>
          </w:p>
        </w:tc>
        <w:tc>
          <w:tcPr>
            <w:tcW w:w="80" w:type="dxa"/>
            <w:vAlign w:val="bottom"/>
            <w:tcBorders>
              <w:bottom w:val="single" w:sz="8" w:color="auto"/>
            </w:tcBorders>
            <w:shd w:val="clear" w:color="auto" w:fill="CCECFF"/>
          </w:tcPr>
          <w:p>
            <w:pPr>
              <w:spacing w:after="0"/>
              <w:rPr>
                <w:sz w:val="12"/>
                <w:szCs w:val="12"/>
                <w:color w:val="auto"/>
              </w:rPr>
            </w:pPr>
          </w:p>
        </w:tc>
        <w:tc>
          <w:tcPr>
            <w:tcW w:w="620" w:type="dxa"/>
            <w:vAlign w:val="bottom"/>
            <w:tcBorders>
              <w:bottom w:val="single" w:sz="8" w:color="auto"/>
            </w:tcBorders>
            <w:shd w:val="clear" w:color="auto" w:fill="CCECFF"/>
          </w:tcPr>
          <w:p>
            <w:pPr>
              <w:jc w:val="right"/>
              <w:spacing w:after="0"/>
              <w:rPr>
                <w:sz w:val="20"/>
                <w:szCs w:val="20"/>
                <w:color w:val="auto"/>
              </w:rPr>
            </w:pPr>
            <w:r>
              <w:rPr>
                <w:rFonts w:ascii="Arial" w:cs="Arial" w:eastAsia="Arial" w:hAnsi="Arial"/>
                <w:sz w:val="12"/>
                <w:szCs w:val="12"/>
                <w:color w:val="auto"/>
              </w:rPr>
              <w:t>4,734,171</w:t>
            </w:r>
          </w:p>
        </w:tc>
        <w:tc>
          <w:tcPr>
            <w:tcW w:w="240" w:type="dxa"/>
            <w:vAlign w:val="bottom"/>
            <w:shd w:val="clear" w:color="auto" w:fill="CCECFF"/>
          </w:tcPr>
          <w:p>
            <w:pPr>
              <w:spacing w:after="0"/>
              <w:rPr>
                <w:sz w:val="12"/>
                <w:szCs w:val="12"/>
                <w:color w:val="auto"/>
              </w:rPr>
            </w:pPr>
          </w:p>
        </w:tc>
        <w:tc>
          <w:tcPr>
            <w:tcW w:w="80" w:type="dxa"/>
            <w:vAlign w:val="bottom"/>
            <w:tcBorders>
              <w:bottom w:val="single" w:sz="8" w:color="auto"/>
            </w:tcBorders>
            <w:shd w:val="clear" w:color="auto" w:fill="CCECFF"/>
          </w:tcPr>
          <w:p>
            <w:pPr>
              <w:spacing w:after="0"/>
              <w:rPr>
                <w:sz w:val="12"/>
                <w:szCs w:val="12"/>
                <w:color w:val="auto"/>
              </w:rPr>
            </w:pPr>
          </w:p>
        </w:tc>
        <w:tc>
          <w:tcPr>
            <w:tcW w:w="640" w:type="dxa"/>
            <w:vAlign w:val="bottom"/>
            <w:tcBorders>
              <w:bottom w:val="single" w:sz="8" w:color="auto"/>
            </w:tcBorders>
            <w:shd w:val="clear" w:color="auto" w:fill="CCECFF"/>
          </w:tcPr>
          <w:p>
            <w:pPr>
              <w:jc w:val="right"/>
              <w:spacing w:after="0"/>
              <w:rPr>
                <w:sz w:val="20"/>
                <w:szCs w:val="20"/>
                <w:color w:val="auto"/>
              </w:rPr>
            </w:pPr>
            <w:r>
              <w:rPr>
                <w:rFonts w:ascii="Arial" w:cs="Arial" w:eastAsia="Arial" w:hAnsi="Arial"/>
                <w:sz w:val="12"/>
                <w:szCs w:val="12"/>
                <w:color w:val="auto"/>
              </w:rPr>
              <w:t>5,044,402</w:t>
            </w:r>
          </w:p>
        </w:tc>
        <w:tc>
          <w:tcPr>
            <w:tcW w:w="100" w:type="dxa"/>
            <w:vAlign w:val="bottom"/>
            <w:shd w:val="clear" w:color="auto" w:fill="CCECFF"/>
          </w:tcPr>
          <w:p>
            <w:pPr>
              <w:spacing w:after="0"/>
              <w:rPr>
                <w:sz w:val="12"/>
                <w:szCs w:val="12"/>
                <w:color w:val="auto"/>
              </w:rPr>
            </w:pPr>
          </w:p>
        </w:tc>
      </w:tr>
    </w:tbl>
    <w:p>
      <w:pPr>
        <w:spacing w:after="0" w:line="197"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SEE NOTES TO CONSOLIDATED FINANCIAL STATEMENTS</w:t>
      </w:r>
    </w:p>
    <w:p>
      <w:pPr>
        <w:spacing w:after="0" w:line="136"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72390</wp:posOffset>
            </wp:positionV>
            <wp:extent cx="7149465" cy="171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333" w:right="339" w:bottom="1440" w:gutter="0" w:footer="0" w:header="0"/>
        </w:sectPr>
      </w:pPr>
    </w:p>
    <w:bookmarkStart w:id="11" w:name="page12"/>
    <w:bookmarkEnd w:id="11"/>
    <w:p>
      <w:pPr>
        <w:jc w:val="center"/>
        <w:spacing w:after="0"/>
        <w:rPr>
          <w:sz w:val="20"/>
          <w:szCs w:val="20"/>
          <w:color w:val="auto"/>
        </w:rPr>
      </w:pPr>
      <w:r>
        <w:rPr>
          <w:rFonts w:ascii="Arial" w:cs="Arial" w:eastAsia="Arial" w:hAnsi="Arial"/>
          <w:sz w:val="14"/>
          <w:szCs w:val="14"/>
          <w:b w:val="1"/>
          <w:bCs w:val="1"/>
          <w:color w:val="auto"/>
        </w:rPr>
        <w:t>PENNANTPARK INVESTMENT CORPORATION AND SUBSIDIARIES</w:t>
      </w:r>
    </w:p>
    <w:p>
      <w:pPr>
        <w:jc w:val="center"/>
        <w:spacing w:after="0" w:line="226" w:lineRule="auto"/>
        <w:rPr>
          <w:sz w:val="20"/>
          <w:szCs w:val="20"/>
          <w:color w:val="auto"/>
        </w:rPr>
      </w:pPr>
      <w:r>
        <w:rPr>
          <w:rFonts w:ascii="Arial" w:cs="Arial" w:eastAsia="Arial" w:hAnsi="Arial"/>
          <w:sz w:val="14"/>
          <w:szCs w:val="14"/>
          <w:b w:val="1"/>
          <w:bCs w:val="1"/>
          <w:color w:val="auto"/>
        </w:rPr>
        <w:t>CONSOLIDATED SCHEDULE OF INVESTMENTS – (Continued)</w:t>
      </w:r>
    </w:p>
    <w:p>
      <w:pPr>
        <w:jc w:val="center"/>
        <w:spacing w:after="0"/>
        <w:rPr>
          <w:sz w:val="20"/>
          <w:szCs w:val="20"/>
          <w:color w:val="auto"/>
        </w:rPr>
      </w:pPr>
      <w:r>
        <w:rPr>
          <w:rFonts w:ascii="Arial" w:cs="Arial" w:eastAsia="Arial" w:hAnsi="Arial"/>
          <w:sz w:val="14"/>
          <w:szCs w:val="14"/>
          <w:b w:val="1"/>
          <w:bCs w:val="1"/>
          <w:color w:val="auto"/>
        </w:rPr>
        <w:t>SEPTEMBER 30, 2016</w:t>
      </w:r>
    </w:p>
    <w:p>
      <w:pPr>
        <w:spacing w:after="0" w:line="294" w:lineRule="exact"/>
        <w:rPr>
          <w:sz w:val="20"/>
          <w:szCs w:val="20"/>
          <w:color w:val="auto"/>
        </w:rPr>
      </w:pPr>
    </w:p>
    <w:tbl>
      <w:tblPr>
        <w:tblLayout w:type="fixed"/>
        <w:tblInd w:w="0" w:type="dxa"/>
        <w:tblCellMar>
          <w:top w:w="0" w:type="dxa"/>
          <w:left w:w="0" w:type="dxa"/>
          <w:bottom w:w="0" w:type="dxa"/>
          <w:right w:w="0" w:type="dxa"/>
        </w:tblCellMar>
      </w:tblPr>
      <w:tr>
        <w:trPr>
          <w:trHeight w:val="138"/>
        </w:trPr>
        <w:tc>
          <w:tcPr>
            <w:tcW w:w="308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25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900" w:type="dxa"/>
            <w:vAlign w:val="bottom"/>
            <w:gridSpan w:val="2"/>
          </w:tcPr>
          <w:p>
            <w:pPr>
              <w:jc w:val="center"/>
              <w:ind w:right="220"/>
              <w:spacing w:after="0"/>
              <w:rPr>
                <w:sz w:val="20"/>
                <w:szCs w:val="20"/>
                <w:color w:val="auto"/>
              </w:rPr>
            </w:pPr>
            <w:r>
              <w:rPr>
                <w:rFonts w:ascii="Arial" w:cs="Arial" w:eastAsia="Arial" w:hAnsi="Arial"/>
                <w:sz w:val="12"/>
                <w:szCs w:val="12"/>
                <w:b w:val="1"/>
                <w:bCs w:val="1"/>
                <w:color w:val="auto"/>
                <w:w w:val="85"/>
              </w:rPr>
              <w:t>Basis Point</w:t>
            </w:r>
          </w:p>
        </w:tc>
        <w:tc>
          <w:tcPr>
            <w:tcW w:w="6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00" w:type="dxa"/>
            <w:vAlign w:val="bottom"/>
          </w:tcPr>
          <w:p>
            <w:pPr>
              <w:spacing w:after="0"/>
              <w:rPr>
                <w:sz w:val="12"/>
                <w:szCs w:val="12"/>
                <w:color w:val="auto"/>
              </w:rPr>
            </w:pPr>
          </w:p>
        </w:tc>
      </w:tr>
      <w:tr>
        <w:trPr>
          <w:trHeight w:val="135"/>
        </w:trPr>
        <w:tc>
          <w:tcPr>
            <w:tcW w:w="308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25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900" w:type="dxa"/>
            <w:vAlign w:val="bottom"/>
            <w:gridSpan w:val="2"/>
          </w:tcPr>
          <w:p>
            <w:pPr>
              <w:jc w:val="center"/>
              <w:ind w:right="220"/>
              <w:spacing w:after="0" w:line="135" w:lineRule="exact"/>
              <w:rPr>
                <w:sz w:val="20"/>
                <w:szCs w:val="20"/>
                <w:color w:val="auto"/>
              </w:rPr>
            </w:pPr>
            <w:r>
              <w:rPr>
                <w:rFonts w:ascii="Arial" w:cs="Arial" w:eastAsia="Arial" w:hAnsi="Arial"/>
                <w:sz w:val="12"/>
                <w:szCs w:val="12"/>
                <w:b w:val="1"/>
                <w:bCs w:val="1"/>
                <w:color w:val="auto"/>
                <w:w w:val="88"/>
              </w:rPr>
              <w:t>Spread</w:t>
            </w:r>
          </w:p>
        </w:tc>
        <w:tc>
          <w:tcPr>
            <w:tcW w:w="6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00" w:type="dxa"/>
            <w:vAlign w:val="bottom"/>
          </w:tcPr>
          <w:p>
            <w:pPr>
              <w:spacing w:after="0"/>
              <w:rPr>
                <w:sz w:val="11"/>
                <w:szCs w:val="11"/>
                <w:color w:val="auto"/>
              </w:rPr>
            </w:pPr>
          </w:p>
        </w:tc>
      </w:tr>
      <w:tr>
        <w:trPr>
          <w:trHeight w:val="135"/>
        </w:trPr>
        <w:tc>
          <w:tcPr>
            <w:tcW w:w="3080" w:type="dxa"/>
            <w:vAlign w:val="bottom"/>
          </w:tcPr>
          <w:p>
            <w:pPr>
              <w:spacing w:after="0"/>
              <w:rPr>
                <w:sz w:val="11"/>
                <w:szCs w:val="11"/>
                <w:color w:val="auto"/>
              </w:rPr>
            </w:pPr>
          </w:p>
        </w:tc>
        <w:tc>
          <w:tcPr>
            <w:tcW w:w="98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Maturity /</w:t>
            </w:r>
          </w:p>
        </w:tc>
        <w:tc>
          <w:tcPr>
            <w:tcW w:w="25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960" w:type="dxa"/>
            <w:vAlign w:val="bottom"/>
            <w:gridSpan w:val="2"/>
          </w:tcPr>
          <w:p>
            <w:pPr>
              <w:jc w:val="right"/>
              <w:ind w:right="440"/>
              <w:spacing w:after="0" w:line="135" w:lineRule="exact"/>
              <w:rPr>
                <w:sz w:val="20"/>
                <w:szCs w:val="20"/>
                <w:color w:val="auto"/>
              </w:rPr>
            </w:pPr>
            <w:r>
              <w:rPr>
                <w:rFonts w:ascii="Arial" w:cs="Arial" w:eastAsia="Arial" w:hAnsi="Arial"/>
                <w:sz w:val="12"/>
                <w:szCs w:val="12"/>
                <w:b w:val="1"/>
                <w:bCs w:val="1"/>
                <w:color w:val="auto"/>
              </w:rPr>
              <w:t>Current</w:t>
            </w:r>
          </w:p>
        </w:tc>
        <w:tc>
          <w:tcPr>
            <w:tcW w:w="900" w:type="dxa"/>
            <w:vAlign w:val="bottom"/>
            <w:gridSpan w:val="2"/>
          </w:tcPr>
          <w:p>
            <w:pPr>
              <w:jc w:val="center"/>
              <w:ind w:right="220"/>
              <w:spacing w:after="0" w:line="135" w:lineRule="exact"/>
              <w:rPr>
                <w:sz w:val="20"/>
                <w:szCs w:val="20"/>
                <w:color w:val="auto"/>
              </w:rPr>
            </w:pPr>
            <w:r>
              <w:rPr>
                <w:rFonts w:ascii="Arial" w:cs="Arial" w:eastAsia="Arial" w:hAnsi="Arial"/>
                <w:sz w:val="12"/>
                <w:szCs w:val="12"/>
                <w:b w:val="1"/>
                <w:bCs w:val="1"/>
                <w:color w:val="auto"/>
                <w:w w:val="87"/>
              </w:rPr>
              <w:t>Above</w:t>
            </w:r>
          </w:p>
        </w:tc>
        <w:tc>
          <w:tcPr>
            <w:tcW w:w="680" w:type="dxa"/>
            <w:vAlign w:val="bottom"/>
          </w:tcPr>
          <w:p>
            <w:pPr>
              <w:jc w:val="right"/>
              <w:ind w:right="162"/>
              <w:spacing w:after="0" w:line="135" w:lineRule="exact"/>
              <w:rPr>
                <w:sz w:val="20"/>
                <w:szCs w:val="20"/>
                <w:color w:val="auto"/>
              </w:rPr>
            </w:pPr>
            <w:r>
              <w:rPr>
                <w:rFonts w:ascii="Arial" w:cs="Arial" w:eastAsia="Arial" w:hAnsi="Arial"/>
                <w:sz w:val="12"/>
                <w:szCs w:val="12"/>
                <w:b w:val="1"/>
                <w:bCs w:val="1"/>
                <w:color w:val="auto"/>
              </w:rPr>
              <w:t>Par /</w:t>
            </w:r>
          </w:p>
        </w:tc>
        <w:tc>
          <w:tcPr>
            <w:tcW w:w="2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00" w:type="dxa"/>
            <w:vAlign w:val="bottom"/>
          </w:tcPr>
          <w:p>
            <w:pPr>
              <w:spacing w:after="0"/>
              <w:rPr>
                <w:sz w:val="11"/>
                <w:szCs w:val="11"/>
                <w:color w:val="auto"/>
              </w:rPr>
            </w:pPr>
          </w:p>
        </w:tc>
      </w:tr>
      <w:tr>
        <w:trPr>
          <w:trHeight w:val="143"/>
        </w:trPr>
        <w:tc>
          <w:tcPr>
            <w:tcW w:w="3080" w:type="dxa"/>
            <w:vAlign w:val="bottom"/>
          </w:tcPr>
          <w:p>
            <w:pPr>
              <w:spacing w:after="0"/>
              <w:rPr>
                <w:sz w:val="20"/>
                <w:szCs w:val="20"/>
                <w:color w:val="auto"/>
              </w:rPr>
            </w:pPr>
            <w:r>
              <w:rPr>
                <w:rFonts w:ascii="Arial" w:cs="Arial" w:eastAsia="Arial" w:hAnsi="Arial"/>
                <w:sz w:val="12"/>
                <w:szCs w:val="12"/>
                <w:b w:val="1"/>
                <w:bCs w:val="1"/>
                <w:color w:val="auto"/>
              </w:rPr>
              <w:t>Issuer Name</w:t>
            </w:r>
          </w:p>
        </w:tc>
        <w:tc>
          <w:tcPr>
            <w:tcW w:w="980" w:type="dxa"/>
            <w:vAlign w:val="bottom"/>
          </w:tcPr>
          <w:p>
            <w:pPr>
              <w:ind w:left="60"/>
              <w:spacing w:after="0"/>
              <w:rPr>
                <w:sz w:val="20"/>
                <w:szCs w:val="20"/>
                <w:color w:val="auto"/>
              </w:rPr>
            </w:pPr>
            <w:r>
              <w:rPr>
                <w:rFonts w:ascii="Arial" w:cs="Arial" w:eastAsia="Arial" w:hAnsi="Arial"/>
                <w:sz w:val="12"/>
                <w:szCs w:val="12"/>
                <w:b w:val="1"/>
                <w:bCs w:val="1"/>
                <w:color w:val="auto"/>
              </w:rPr>
              <w:t>Expiration</w:t>
            </w:r>
          </w:p>
        </w:tc>
        <w:tc>
          <w:tcPr>
            <w:tcW w:w="2640" w:type="dxa"/>
            <w:vAlign w:val="bottom"/>
            <w:gridSpan w:val="2"/>
          </w:tcPr>
          <w:p>
            <w:pPr>
              <w:jc w:val="center"/>
              <w:ind w:right="280"/>
              <w:spacing w:after="0"/>
              <w:rPr>
                <w:sz w:val="20"/>
                <w:szCs w:val="20"/>
                <w:color w:val="auto"/>
              </w:rPr>
            </w:pPr>
            <w:r>
              <w:rPr>
                <w:rFonts w:ascii="Arial" w:cs="Arial" w:eastAsia="Arial" w:hAnsi="Arial"/>
                <w:sz w:val="12"/>
                <w:szCs w:val="12"/>
                <w:b w:val="1"/>
                <w:bCs w:val="1"/>
                <w:color w:val="auto"/>
                <w:w w:val="92"/>
              </w:rPr>
              <w:t>Industry</w:t>
            </w:r>
          </w:p>
        </w:tc>
        <w:tc>
          <w:tcPr>
            <w:tcW w:w="960" w:type="dxa"/>
            <w:vAlign w:val="bottom"/>
            <w:gridSpan w:val="2"/>
          </w:tcPr>
          <w:p>
            <w:pPr>
              <w:jc w:val="right"/>
              <w:ind w:right="440"/>
              <w:spacing w:after="0"/>
              <w:rPr>
                <w:sz w:val="20"/>
                <w:szCs w:val="20"/>
                <w:color w:val="auto"/>
              </w:rPr>
            </w:pPr>
            <w:r>
              <w:rPr>
                <w:rFonts w:ascii="Arial" w:cs="Arial" w:eastAsia="Arial" w:hAnsi="Arial"/>
                <w:sz w:val="12"/>
                <w:szCs w:val="12"/>
                <w:b w:val="1"/>
                <w:bCs w:val="1"/>
                <w:color w:val="auto"/>
              </w:rPr>
              <w:t>Coupon</w:t>
            </w:r>
          </w:p>
        </w:tc>
        <w:tc>
          <w:tcPr>
            <w:tcW w:w="900" w:type="dxa"/>
            <w:vAlign w:val="bottom"/>
            <w:gridSpan w:val="2"/>
          </w:tcPr>
          <w:p>
            <w:pPr>
              <w:jc w:val="center"/>
              <w:ind w:right="240"/>
              <w:spacing w:after="0"/>
              <w:rPr>
                <w:sz w:val="20"/>
                <w:szCs w:val="20"/>
                <w:color w:val="auto"/>
              </w:rPr>
            </w:pPr>
            <w:r>
              <w:rPr>
                <w:rFonts w:ascii="Arial" w:cs="Arial" w:eastAsia="Arial" w:hAnsi="Arial"/>
                <w:sz w:val="12"/>
                <w:szCs w:val="12"/>
                <w:b w:val="1"/>
                <w:bCs w:val="1"/>
                <w:color w:val="auto"/>
                <w:w w:val="91"/>
              </w:rPr>
              <w:t xml:space="preserve">Index </w:t>
            </w:r>
            <w:r>
              <w:rPr>
                <w:rFonts w:ascii="Arial" w:cs="Arial" w:eastAsia="Arial" w:hAnsi="Arial"/>
                <w:sz w:val="9"/>
                <w:szCs w:val="9"/>
                <w:b w:val="1"/>
                <w:bCs w:val="1"/>
                <w:color w:val="auto"/>
                <w:w w:val="91"/>
              </w:rPr>
              <w:t>(4)</w:t>
            </w:r>
          </w:p>
        </w:tc>
        <w:tc>
          <w:tcPr>
            <w:tcW w:w="680" w:type="dxa"/>
            <w:vAlign w:val="bottom"/>
          </w:tcPr>
          <w:p>
            <w:pPr>
              <w:jc w:val="right"/>
              <w:ind w:right="122"/>
              <w:spacing w:after="0"/>
              <w:rPr>
                <w:sz w:val="20"/>
                <w:szCs w:val="20"/>
                <w:color w:val="auto"/>
              </w:rPr>
            </w:pPr>
            <w:r>
              <w:rPr>
                <w:rFonts w:ascii="Arial" w:cs="Arial" w:eastAsia="Arial" w:hAnsi="Arial"/>
                <w:sz w:val="12"/>
                <w:szCs w:val="12"/>
                <w:b w:val="1"/>
                <w:bCs w:val="1"/>
                <w:color w:val="auto"/>
              </w:rPr>
              <w:t>Shares</w:t>
            </w:r>
          </w:p>
        </w:tc>
        <w:tc>
          <w:tcPr>
            <w:tcW w:w="2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20" w:type="dxa"/>
            <w:vAlign w:val="bottom"/>
          </w:tcPr>
          <w:p>
            <w:pPr>
              <w:jc w:val="right"/>
              <w:ind w:right="182"/>
              <w:spacing w:after="0"/>
              <w:rPr>
                <w:sz w:val="20"/>
                <w:szCs w:val="20"/>
                <w:color w:val="auto"/>
              </w:rPr>
            </w:pPr>
            <w:r>
              <w:rPr>
                <w:rFonts w:ascii="Arial" w:cs="Arial" w:eastAsia="Arial" w:hAnsi="Arial"/>
                <w:sz w:val="12"/>
                <w:szCs w:val="12"/>
                <w:b w:val="1"/>
                <w:bCs w:val="1"/>
                <w:color w:val="auto"/>
              </w:rPr>
              <w:t>Cost</w:t>
            </w:r>
          </w:p>
        </w:tc>
        <w:tc>
          <w:tcPr>
            <w:tcW w:w="240" w:type="dxa"/>
            <w:vAlign w:val="bottom"/>
          </w:tcPr>
          <w:p>
            <w:pPr>
              <w:spacing w:after="0"/>
              <w:rPr>
                <w:sz w:val="12"/>
                <w:szCs w:val="12"/>
                <w:color w:val="auto"/>
              </w:rPr>
            </w:pPr>
          </w:p>
        </w:tc>
        <w:tc>
          <w:tcPr>
            <w:tcW w:w="820" w:type="dxa"/>
            <w:vAlign w:val="bottom"/>
            <w:gridSpan w:val="3"/>
          </w:tcPr>
          <w:p>
            <w:pPr>
              <w:ind w:left="20"/>
              <w:spacing w:after="0"/>
              <w:rPr>
                <w:sz w:val="20"/>
                <w:szCs w:val="20"/>
                <w:color w:val="auto"/>
              </w:rPr>
            </w:pPr>
            <w:r>
              <w:rPr>
                <w:rFonts w:ascii="Arial" w:cs="Arial" w:eastAsia="Arial" w:hAnsi="Arial"/>
                <w:sz w:val="12"/>
                <w:szCs w:val="12"/>
                <w:b w:val="1"/>
                <w:bCs w:val="1"/>
                <w:color w:val="auto"/>
              </w:rPr>
              <w:t xml:space="preserve">Fair Value </w:t>
            </w:r>
            <w:r>
              <w:rPr>
                <w:rFonts w:ascii="Arial" w:cs="Arial" w:eastAsia="Arial" w:hAnsi="Arial"/>
                <w:sz w:val="9"/>
                <w:szCs w:val="9"/>
                <w:b w:val="1"/>
                <w:bCs w:val="1"/>
                <w:color w:val="auto"/>
              </w:rPr>
              <w:t>(3)</w:t>
            </w:r>
          </w:p>
        </w:tc>
      </w:tr>
      <w:tr>
        <w:trPr>
          <w:trHeight w:val="142"/>
        </w:trPr>
        <w:tc>
          <w:tcPr>
            <w:tcW w:w="3080" w:type="dxa"/>
            <w:vAlign w:val="bottom"/>
            <w:tcBorders>
              <w:top w:val="single" w:sz="8" w:color="auto"/>
            </w:tcBorders>
            <w:shd w:val="clear" w:color="auto" w:fill="CCECFF"/>
          </w:tcPr>
          <w:p>
            <w:pPr>
              <w:spacing w:after="0"/>
              <w:rPr>
                <w:sz w:val="20"/>
                <w:szCs w:val="20"/>
                <w:color w:val="auto"/>
              </w:rPr>
            </w:pPr>
            <w:r>
              <w:rPr>
                <w:rFonts w:ascii="Arial" w:cs="Arial" w:eastAsia="Arial" w:hAnsi="Arial"/>
                <w:sz w:val="12"/>
                <w:szCs w:val="12"/>
                <w:b w:val="1"/>
                <w:bCs w:val="1"/>
                <w:color w:val="auto"/>
                <w:w w:val="92"/>
              </w:rPr>
              <w:t xml:space="preserve">Common Equity/Partnership Interests/Warrants—10.0% </w:t>
            </w:r>
            <w:r>
              <w:rPr>
                <w:rFonts w:ascii="Arial" w:cs="Arial" w:eastAsia="Arial" w:hAnsi="Arial"/>
                <w:sz w:val="9"/>
                <w:szCs w:val="9"/>
                <w:b w:val="1"/>
                <w:bCs w:val="1"/>
                <w:color w:val="auto"/>
                <w:w w:val="92"/>
              </w:rPr>
              <w:t>(6)</w:t>
            </w:r>
          </w:p>
        </w:tc>
        <w:tc>
          <w:tcPr>
            <w:tcW w:w="980" w:type="dxa"/>
            <w:vAlign w:val="bottom"/>
            <w:tcBorders>
              <w:top w:val="single" w:sz="8" w:color="auto"/>
            </w:tcBorders>
            <w:shd w:val="clear" w:color="auto" w:fill="CCECFF"/>
          </w:tcPr>
          <w:p>
            <w:pPr>
              <w:spacing w:after="0"/>
              <w:rPr>
                <w:sz w:val="12"/>
                <w:szCs w:val="12"/>
                <w:color w:val="auto"/>
              </w:rPr>
            </w:pPr>
          </w:p>
        </w:tc>
        <w:tc>
          <w:tcPr>
            <w:tcW w:w="2500" w:type="dxa"/>
            <w:vAlign w:val="bottom"/>
            <w:tcBorders>
              <w:top w:val="single" w:sz="8" w:color="auto"/>
            </w:tcBorders>
            <w:shd w:val="clear" w:color="auto" w:fill="CCECFF"/>
          </w:tcPr>
          <w:p>
            <w:pPr>
              <w:spacing w:after="0"/>
              <w:rPr>
                <w:sz w:val="12"/>
                <w:szCs w:val="12"/>
                <w:color w:val="auto"/>
              </w:rPr>
            </w:pPr>
          </w:p>
        </w:tc>
        <w:tc>
          <w:tcPr>
            <w:tcW w:w="140" w:type="dxa"/>
            <w:vAlign w:val="bottom"/>
            <w:tcBorders>
              <w:top w:val="single" w:sz="8" w:color="CCECFF"/>
            </w:tcBorders>
            <w:shd w:val="clear" w:color="auto" w:fill="CCECFF"/>
          </w:tcPr>
          <w:p>
            <w:pPr>
              <w:spacing w:after="0"/>
              <w:rPr>
                <w:sz w:val="12"/>
                <w:szCs w:val="12"/>
                <w:color w:val="auto"/>
              </w:rPr>
            </w:pPr>
          </w:p>
        </w:tc>
        <w:tc>
          <w:tcPr>
            <w:tcW w:w="660" w:type="dxa"/>
            <w:vAlign w:val="bottom"/>
            <w:tcBorders>
              <w:top w:val="single" w:sz="8" w:color="auto"/>
            </w:tcBorders>
            <w:shd w:val="clear" w:color="auto" w:fill="CCECFF"/>
          </w:tcPr>
          <w:p>
            <w:pPr>
              <w:spacing w:after="0"/>
              <w:rPr>
                <w:sz w:val="12"/>
                <w:szCs w:val="12"/>
                <w:color w:val="auto"/>
              </w:rPr>
            </w:pPr>
          </w:p>
        </w:tc>
        <w:tc>
          <w:tcPr>
            <w:tcW w:w="300" w:type="dxa"/>
            <w:vAlign w:val="bottom"/>
            <w:tcBorders>
              <w:top w:val="single" w:sz="8" w:color="CCECFF"/>
            </w:tcBorders>
            <w:shd w:val="clear" w:color="auto" w:fill="CCECFF"/>
          </w:tcPr>
          <w:p>
            <w:pPr>
              <w:spacing w:after="0"/>
              <w:rPr>
                <w:sz w:val="12"/>
                <w:szCs w:val="12"/>
                <w:color w:val="auto"/>
              </w:rPr>
            </w:pPr>
          </w:p>
        </w:tc>
        <w:tc>
          <w:tcPr>
            <w:tcW w:w="680" w:type="dxa"/>
            <w:vAlign w:val="bottom"/>
            <w:tcBorders>
              <w:top w:val="single" w:sz="8" w:color="auto"/>
            </w:tcBorders>
            <w:shd w:val="clear" w:color="auto" w:fill="CCECFF"/>
          </w:tcPr>
          <w:p>
            <w:pPr>
              <w:spacing w:after="0"/>
              <w:rPr>
                <w:sz w:val="12"/>
                <w:szCs w:val="12"/>
                <w:color w:val="auto"/>
              </w:rPr>
            </w:pPr>
          </w:p>
        </w:tc>
        <w:tc>
          <w:tcPr>
            <w:tcW w:w="220" w:type="dxa"/>
            <w:vAlign w:val="bottom"/>
            <w:tcBorders>
              <w:top w:val="single" w:sz="8" w:color="CCECFF"/>
            </w:tcBorders>
            <w:shd w:val="clear" w:color="auto" w:fill="CCECFF"/>
          </w:tcPr>
          <w:p>
            <w:pPr>
              <w:spacing w:after="0"/>
              <w:rPr>
                <w:sz w:val="12"/>
                <w:szCs w:val="12"/>
                <w:color w:val="auto"/>
              </w:rPr>
            </w:pPr>
          </w:p>
        </w:tc>
        <w:tc>
          <w:tcPr>
            <w:tcW w:w="680" w:type="dxa"/>
            <w:vAlign w:val="bottom"/>
            <w:tcBorders>
              <w:top w:val="single" w:sz="8" w:color="auto"/>
            </w:tcBorders>
            <w:shd w:val="clear" w:color="auto" w:fill="CCECFF"/>
          </w:tcPr>
          <w:p>
            <w:pPr>
              <w:spacing w:after="0"/>
              <w:rPr>
                <w:sz w:val="12"/>
                <w:szCs w:val="12"/>
                <w:color w:val="auto"/>
              </w:rPr>
            </w:pPr>
          </w:p>
        </w:tc>
        <w:tc>
          <w:tcPr>
            <w:tcW w:w="240" w:type="dxa"/>
            <w:vAlign w:val="bottom"/>
            <w:tcBorders>
              <w:top w:val="single" w:sz="8" w:color="CCECFF"/>
            </w:tcBorders>
            <w:shd w:val="clear" w:color="auto" w:fill="CCECFF"/>
          </w:tcPr>
          <w:p>
            <w:pPr>
              <w:spacing w:after="0"/>
              <w:rPr>
                <w:sz w:val="12"/>
                <w:szCs w:val="12"/>
                <w:color w:val="auto"/>
              </w:rPr>
            </w:pPr>
          </w:p>
        </w:tc>
        <w:tc>
          <w:tcPr>
            <w:tcW w:w="80" w:type="dxa"/>
            <w:vAlign w:val="bottom"/>
            <w:tcBorders>
              <w:top w:val="single" w:sz="8" w:color="auto"/>
            </w:tcBorders>
            <w:shd w:val="clear" w:color="auto" w:fill="CCECFF"/>
          </w:tcPr>
          <w:p>
            <w:pPr>
              <w:spacing w:after="0"/>
              <w:rPr>
                <w:sz w:val="12"/>
                <w:szCs w:val="12"/>
                <w:color w:val="auto"/>
              </w:rPr>
            </w:pPr>
          </w:p>
        </w:tc>
        <w:tc>
          <w:tcPr>
            <w:tcW w:w="620" w:type="dxa"/>
            <w:vAlign w:val="bottom"/>
            <w:tcBorders>
              <w:top w:val="single" w:sz="8" w:color="auto"/>
            </w:tcBorders>
            <w:shd w:val="clear" w:color="auto" w:fill="CCECFF"/>
          </w:tcPr>
          <w:p>
            <w:pPr>
              <w:spacing w:after="0"/>
              <w:rPr>
                <w:sz w:val="12"/>
                <w:szCs w:val="12"/>
                <w:color w:val="auto"/>
              </w:rPr>
            </w:pPr>
          </w:p>
        </w:tc>
        <w:tc>
          <w:tcPr>
            <w:tcW w:w="240" w:type="dxa"/>
            <w:vAlign w:val="bottom"/>
            <w:tcBorders>
              <w:top w:val="single" w:sz="8" w:color="CCECFF"/>
            </w:tcBorders>
            <w:shd w:val="clear" w:color="auto" w:fill="CCECFF"/>
          </w:tcPr>
          <w:p>
            <w:pPr>
              <w:spacing w:after="0"/>
              <w:rPr>
                <w:sz w:val="12"/>
                <w:szCs w:val="12"/>
                <w:color w:val="auto"/>
              </w:rPr>
            </w:pPr>
          </w:p>
        </w:tc>
        <w:tc>
          <w:tcPr>
            <w:tcW w:w="80" w:type="dxa"/>
            <w:vAlign w:val="bottom"/>
            <w:tcBorders>
              <w:top w:val="single" w:sz="8" w:color="auto"/>
            </w:tcBorders>
            <w:shd w:val="clear" w:color="auto" w:fill="CCECFF"/>
          </w:tcPr>
          <w:p>
            <w:pPr>
              <w:spacing w:after="0"/>
              <w:rPr>
                <w:sz w:val="12"/>
                <w:szCs w:val="12"/>
                <w:color w:val="auto"/>
              </w:rPr>
            </w:pPr>
          </w:p>
        </w:tc>
        <w:tc>
          <w:tcPr>
            <w:tcW w:w="640" w:type="dxa"/>
            <w:vAlign w:val="bottom"/>
            <w:tcBorders>
              <w:top w:val="single" w:sz="8" w:color="auto"/>
            </w:tcBorders>
            <w:shd w:val="clear" w:color="auto" w:fill="CCECFF"/>
          </w:tcPr>
          <w:p>
            <w:pPr>
              <w:spacing w:after="0"/>
              <w:rPr>
                <w:sz w:val="12"/>
                <w:szCs w:val="12"/>
                <w:color w:val="auto"/>
              </w:rPr>
            </w:pPr>
          </w:p>
        </w:tc>
        <w:tc>
          <w:tcPr>
            <w:tcW w:w="100" w:type="dxa"/>
            <w:vAlign w:val="bottom"/>
            <w:tcBorders>
              <w:top w:val="single" w:sz="8" w:color="CCECFF"/>
            </w:tcBorders>
            <w:shd w:val="clear" w:color="auto" w:fill="CCECFF"/>
          </w:tcPr>
          <w:p>
            <w:pPr>
              <w:spacing w:after="0"/>
              <w:rPr>
                <w:sz w:val="12"/>
                <w:szCs w:val="12"/>
                <w:color w:val="auto"/>
              </w:rPr>
            </w:pPr>
          </w:p>
        </w:tc>
      </w:tr>
      <w:tr>
        <w:trPr>
          <w:trHeight w:val="148"/>
        </w:trPr>
        <w:tc>
          <w:tcPr>
            <w:tcW w:w="3080" w:type="dxa"/>
            <w:vAlign w:val="bottom"/>
          </w:tcPr>
          <w:p>
            <w:pPr>
              <w:spacing w:after="0"/>
              <w:rPr>
                <w:sz w:val="20"/>
                <w:szCs w:val="20"/>
                <w:color w:val="auto"/>
              </w:rPr>
            </w:pPr>
            <w:r>
              <w:rPr>
                <w:rFonts w:ascii="Arial" w:cs="Arial" w:eastAsia="Arial" w:hAnsi="Arial"/>
                <w:sz w:val="12"/>
                <w:szCs w:val="12"/>
                <w:color w:val="auto"/>
              </w:rPr>
              <w:t>AH Holdings, Inc. (Warrants)</w:t>
            </w:r>
          </w:p>
        </w:tc>
        <w:tc>
          <w:tcPr>
            <w:tcW w:w="980" w:type="dxa"/>
            <w:vAlign w:val="bottom"/>
          </w:tcPr>
          <w:p>
            <w:pPr>
              <w:ind w:left="60"/>
              <w:spacing w:after="0"/>
              <w:rPr>
                <w:sz w:val="20"/>
                <w:szCs w:val="20"/>
                <w:color w:val="auto"/>
              </w:rPr>
            </w:pPr>
            <w:r>
              <w:rPr>
                <w:rFonts w:ascii="Arial" w:cs="Arial" w:eastAsia="Arial" w:hAnsi="Arial"/>
                <w:sz w:val="12"/>
                <w:szCs w:val="12"/>
                <w:color w:val="auto"/>
              </w:rPr>
              <w:t>03/23/2021</w:t>
            </w:r>
          </w:p>
        </w:tc>
        <w:tc>
          <w:tcPr>
            <w:tcW w:w="2640" w:type="dxa"/>
            <w:vAlign w:val="bottom"/>
            <w:gridSpan w:val="2"/>
          </w:tcPr>
          <w:p>
            <w:pPr>
              <w:jc w:val="center"/>
              <w:ind w:right="280"/>
              <w:spacing w:after="0"/>
              <w:rPr>
                <w:sz w:val="20"/>
                <w:szCs w:val="20"/>
                <w:color w:val="auto"/>
              </w:rPr>
            </w:pPr>
            <w:r>
              <w:rPr>
                <w:rFonts w:ascii="Arial" w:cs="Arial" w:eastAsia="Arial" w:hAnsi="Arial"/>
                <w:sz w:val="12"/>
                <w:szCs w:val="12"/>
                <w:color w:val="auto"/>
                <w:w w:val="87"/>
              </w:rPr>
              <w:t>Healthcare, Education and Childcare</w:t>
            </w:r>
          </w:p>
        </w:tc>
        <w:tc>
          <w:tcPr>
            <w:tcW w:w="960" w:type="dxa"/>
            <w:vAlign w:val="bottom"/>
            <w:gridSpan w:val="2"/>
          </w:tcPr>
          <w:p>
            <w:pPr>
              <w:jc w:val="right"/>
              <w:ind w:right="300"/>
              <w:spacing w:after="0"/>
              <w:rPr>
                <w:sz w:val="20"/>
                <w:szCs w:val="20"/>
                <w:color w:val="auto"/>
              </w:rPr>
            </w:pPr>
            <w:r>
              <w:rPr>
                <w:rFonts w:ascii="Arial" w:cs="Arial" w:eastAsia="Arial" w:hAnsi="Arial"/>
                <w:sz w:val="12"/>
                <w:szCs w:val="12"/>
                <w:color w:val="auto"/>
              </w:rPr>
              <w:t>—</w:t>
            </w:r>
          </w:p>
        </w:tc>
        <w:tc>
          <w:tcPr>
            <w:tcW w:w="900" w:type="dxa"/>
            <w:vAlign w:val="bottom"/>
            <w:gridSpan w:val="2"/>
          </w:tcPr>
          <w:p>
            <w:pPr>
              <w:jc w:val="right"/>
              <w:ind w:right="240"/>
              <w:spacing w:after="0"/>
              <w:rPr>
                <w:sz w:val="20"/>
                <w:szCs w:val="20"/>
                <w:color w:val="auto"/>
              </w:rPr>
            </w:pPr>
            <w:r>
              <w:rPr>
                <w:rFonts w:ascii="Arial" w:cs="Arial" w:eastAsia="Arial" w:hAnsi="Arial"/>
                <w:sz w:val="12"/>
                <w:szCs w:val="12"/>
                <w:color w:val="auto"/>
              </w:rPr>
              <w:t>—</w:t>
            </w:r>
          </w:p>
        </w:tc>
        <w:tc>
          <w:tcPr>
            <w:tcW w:w="680" w:type="dxa"/>
            <w:vAlign w:val="bottom"/>
          </w:tcPr>
          <w:p>
            <w:pPr>
              <w:jc w:val="right"/>
              <w:spacing w:after="0"/>
              <w:rPr>
                <w:sz w:val="20"/>
                <w:szCs w:val="20"/>
                <w:color w:val="auto"/>
              </w:rPr>
            </w:pPr>
            <w:r>
              <w:rPr>
                <w:rFonts w:ascii="Arial" w:cs="Arial" w:eastAsia="Arial" w:hAnsi="Arial"/>
                <w:sz w:val="12"/>
                <w:szCs w:val="12"/>
                <w:color w:val="auto"/>
              </w:rPr>
              <w:t>753</w:t>
            </w:r>
          </w:p>
        </w:tc>
        <w:tc>
          <w:tcPr>
            <w:tcW w:w="320" w:type="dxa"/>
            <w:vAlign w:val="bottom"/>
            <w:gridSpan w:val="2"/>
          </w:tcPr>
          <w:p>
            <w:pPr>
              <w:jc w:val="right"/>
              <w:ind w:right="20"/>
              <w:spacing w:after="0"/>
              <w:rPr>
                <w:sz w:val="20"/>
                <w:szCs w:val="20"/>
                <w:color w:val="auto"/>
              </w:rPr>
            </w:pPr>
            <w:r>
              <w:rPr>
                <w:rFonts w:ascii="Arial" w:cs="Arial" w:eastAsia="Arial" w:hAnsi="Arial"/>
                <w:sz w:val="12"/>
                <w:szCs w:val="12"/>
                <w:color w:val="auto"/>
              </w:rPr>
              <w:t>$</w:t>
            </w:r>
          </w:p>
        </w:tc>
        <w:tc>
          <w:tcPr>
            <w:tcW w:w="620" w:type="dxa"/>
            <w:vAlign w:val="bottom"/>
          </w:tcPr>
          <w:p>
            <w:pPr>
              <w:jc w:val="right"/>
              <w:spacing w:after="0"/>
              <w:rPr>
                <w:sz w:val="20"/>
                <w:szCs w:val="20"/>
                <w:color w:val="auto"/>
              </w:rPr>
            </w:pPr>
            <w:r>
              <w:rPr>
                <w:rFonts w:ascii="Arial" w:cs="Arial" w:eastAsia="Arial" w:hAnsi="Arial"/>
                <w:sz w:val="12"/>
                <w:szCs w:val="12"/>
                <w:color w:val="auto"/>
              </w:rPr>
              <w:t>—</w:t>
            </w:r>
          </w:p>
        </w:tc>
        <w:tc>
          <w:tcPr>
            <w:tcW w:w="320" w:type="dxa"/>
            <w:vAlign w:val="bottom"/>
            <w:gridSpan w:val="2"/>
          </w:tcPr>
          <w:p>
            <w:pPr>
              <w:jc w:val="right"/>
              <w:spacing w:after="0"/>
              <w:rPr>
                <w:sz w:val="20"/>
                <w:szCs w:val="20"/>
                <w:color w:val="auto"/>
              </w:rPr>
            </w:pPr>
            <w:r>
              <w:rPr>
                <w:rFonts w:ascii="Arial" w:cs="Arial" w:eastAsia="Arial" w:hAnsi="Arial"/>
                <w:sz w:val="12"/>
                <w:szCs w:val="12"/>
                <w:color w:val="auto"/>
              </w:rPr>
              <w:t>$</w:t>
            </w:r>
          </w:p>
        </w:tc>
        <w:tc>
          <w:tcPr>
            <w:tcW w:w="740" w:type="dxa"/>
            <w:vAlign w:val="bottom"/>
            <w:gridSpan w:val="2"/>
          </w:tcPr>
          <w:p>
            <w:pPr>
              <w:jc w:val="right"/>
              <w:ind w:right="120"/>
              <w:spacing w:after="0"/>
              <w:rPr>
                <w:sz w:val="20"/>
                <w:szCs w:val="20"/>
                <w:color w:val="auto"/>
              </w:rPr>
            </w:pPr>
            <w:r>
              <w:rPr>
                <w:rFonts w:ascii="Arial" w:cs="Arial" w:eastAsia="Arial" w:hAnsi="Arial"/>
                <w:sz w:val="12"/>
                <w:szCs w:val="12"/>
                <w:color w:val="auto"/>
              </w:rPr>
              <w:t>—</w:t>
            </w:r>
          </w:p>
        </w:tc>
      </w:tr>
      <w:tr>
        <w:trPr>
          <w:trHeight w:val="148"/>
        </w:trPr>
        <w:tc>
          <w:tcPr>
            <w:tcW w:w="3080" w:type="dxa"/>
            <w:vAlign w:val="bottom"/>
            <w:shd w:val="clear" w:color="auto" w:fill="CCECFF"/>
          </w:tcPr>
          <w:p>
            <w:pPr>
              <w:spacing w:after="0"/>
              <w:rPr>
                <w:sz w:val="20"/>
                <w:szCs w:val="20"/>
                <w:color w:val="auto"/>
              </w:rPr>
            </w:pPr>
            <w:r>
              <w:rPr>
                <w:rFonts w:ascii="Arial" w:cs="Arial" w:eastAsia="Arial" w:hAnsi="Arial"/>
                <w:sz w:val="12"/>
                <w:szCs w:val="12"/>
                <w:color w:val="auto"/>
              </w:rPr>
              <w:t>Alegeus Technologies Holdings Corp.</w:t>
            </w:r>
          </w:p>
        </w:tc>
        <w:tc>
          <w:tcPr>
            <w:tcW w:w="980" w:type="dxa"/>
            <w:vAlign w:val="bottom"/>
            <w:shd w:val="clear" w:color="auto" w:fill="CCECFF"/>
          </w:tcPr>
          <w:p>
            <w:pPr>
              <w:ind w:left="320"/>
              <w:spacing w:after="0"/>
              <w:rPr>
                <w:sz w:val="20"/>
                <w:szCs w:val="20"/>
                <w:color w:val="auto"/>
              </w:rPr>
            </w:pPr>
            <w:r>
              <w:rPr>
                <w:rFonts w:ascii="Arial" w:cs="Arial" w:eastAsia="Arial" w:hAnsi="Arial"/>
                <w:sz w:val="12"/>
                <w:szCs w:val="12"/>
                <w:color w:val="auto"/>
              </w:rPr>
              <w:t>—</w:t>
            </w:r>
          </w:p>
        </w:tc>
        <w:tc>
          <w:tcPr>
            <w:tcW w:w="2640" w:type="dxa"/>
            <w:vAlign w:val="bottom"/>
            <w:gridSpan w:val="2"/>
            <w:shd w:val="clear" w:color="auto" w:fill="CCECFF"/>
          </w:tcPr>
          <w:p>
            <w:pPr>
              <w:jc w:val="center"/>
              <w:ind w:right="300"/>
              <w:spacing w:after="0"/>
              <w:rPr>
                <w:sz w:val="20"/>
                <w:szCs w:val="20"/>
                <w:color w:val="auto"/>
              </w:rPr>
            </w:pPr>
            <w:r>
              <w:rPr>
                <w:rFonts w:ascii="Arial" w:cs="Arial" w:eastAsia="Arial" w:hAnsi="Arial"/>
                <w:sz w:val="12"/>
                <w:szCs w:val="12"/>
                <w:color w:val="auto"/>
                <w:w w:val="88"/>
              </w:rPr>
              <w:t>Financial Services</w:t>
            </w:r>
          </w:p>
        </w:tc>
        <w:tc>
          <w:tcPr>
            <w:tcW w:w="960" w:type="dxa"/>
            <w:vAlign w:val="bottom"/>
            <w:gridSpan w:val="2"/>
            <w:shd w:val="clear" w:color="auto" w:fill="CCECFF"/>
          </w:tcPr>
          <w:p>
            <w:pPr>
              <w:jc w:val="right"/>
              <w:ind w:right="300"/>
              <w:spacing w:after="0"/>
              <w:rPr>
                <w:sz w:val="20"/>
                <w:szCs w:val="20"/>
                <w:color w:val="auto"/>
              </w:rPr>
            </w:pPr>
            <w:r>
              <w:rPr>
                <w:rFonts w:ascii="Arial" w:cs="Arial" w:eastAsia="Arial" w:hAnsi="Arial"/>
                <w:sz w:val="12"/>
                <w:szCs w:val="12"/>
                <w:color w:val="auto"/>
              </w:rPr>
              <w:t>—</w:t>
            </w:r>
          </w:p>
        </w:tc>
        <w:tc>
          <w:tcPr>
            <w:tcW w:w="900" w:type="dxa"/>
            <w:vAlign w:val="bottom"/>
            <w:gridSpan w:val="2"/>
            <w:shd w:val="clear" w:color="auto" w:fill="CCECFF"/>
          </w:tcPr>
          <w:p>
            <w:pPr>
              <w:jc w:val="right"/>
              <w:ind w:right="240"/>
              <w:spacing w:after="0"/>
              <w:rPr>
                <w:sz w:val="20"/>
                <w:szCs w:val="20"/>
                <w:color w:val="auto"/>
              </w:rPr>
            </w:pPr>
            <w:r>
              <w:rPr>
                <w:rFonts w:ascii="Arial" w:cs="Arial" w:eastAsia="Arial" w:hAnsi="Arial"/>
                <w:sz w:val="12"/>
                <w:szCs w:val="12"/>
                <w:color w:val="auto"/>
              </w:rPr>
              <w:t>—</w:t>
            </w:r>
          </w:p>
        </w:tc>
        <w:tc>
          <w:tcPr>
            <w:tcW w:w="680" w:type="dxa"/>
            <w:vAlign w:val="bottom"/>
            <w:shd w:val="clear" w:color="auto" w:fill="CCECFF"/>
          </w:tcPr>
          <w:p>
            <w:pPr>
              <w:jc w:val="right"/>
              <w:spacing w:after="0"/>
              <w:rPr>
                <w:sz w:val="20"/>
                <w:szCs w:val="20"/>
                <w:color w:val="auto"/>
              </w:rPr>
            </w:pPr>
            <w:r>
              <w:rPr>
                <w:rFonts w:ascii="Arial" w:cs="Arial" w:eastAsia="Arial" w:hAnsi="Arial"/>
                <w:sz w:val="12"/>
                <w:szCs w:val="12"/>
                <w:color w:val="auto"/>
              </w:rPr>
              <w:t>1</w:t>
            </w:r>
          </w:p>
        </w:tc>
        <w:tc>
          <w:tcPr>
            <w:tcW w:w="240" w:type="dxa"/>
            <w:vAlign w:val="bottom"/>
            <w:shd w:val="clear" w:color="auto" w:fill="CCECFF"/>
          </w:tcPr>
          <w:p>
            <w:pPr>
              <w:spacing w:after="0"/>
              <w:rPr>
                <w:sz w:val="12"/>
                <w:szCs w:val="12"/>
                <w:color w:val="auto"/>
              </w:rPr>
            </w:pPr>
          </w:p>
        </w:tc>
        <w:tc>
          <w:tcPr>
            <w:tcW w:w="80" w:type="dxa"/>
            <w:vAlign w:val="bottom"/>
            <w:shd w:val="clear" w:color="auto" w:fill="CCECFF"/>
          </w:tcPr>
          <w:p>
            <w:pPr>
              <w:spacing w:after="0"/>
              <w:rPr>
                <w:sz w:val="12"/>
                <w:szCs w:val="12"/>
                <w:color w:val="auto"/>
              </w:rPr>
            </w:pPr>
          </w:p>
        </w:tc>
        <w:tc>
          <w:tcPr>
            <w:tcW w:w="620" w:type="dxa"/>
            <w:vAlign w:val="bottom"/>
            <w:shd w:val="clear" w:color="auto" w:fill="CCECFF"/>
          </w:tcPr>
          <w:p>
            <w:pPr>
              <w:jc w:val="right"/>
              <w:spacing w:after="0"/>
              <w:rPr>
                <w:sz w:val="20"/>
                <w:szCs w:val="20"/>
                <w:color w:val="auto"/>
              </w:rPr>
            </w:pPr>
            <w:r>
              <w:rPr>
                <w:rFonts w:ascii="Arial" w:cs="Arial" w:eastAsia="Arial" w:hAnsi="Arial"/>
                <w:sz w:val="12"/>
                <w:szCs w:val="12"/>
                <w:color w:val="auto"/>
              </w:rPr>
              <w:t>950</w:t>
            </w:r>
          </w:p>
        </w:tc>
        <w:tc>
          <w:tcPr>
            <w:tcW w:w="240" w:type="dxa"/>
            <w:vAlign w:val="bottom"/>
            <w:shd w:val="clear" w:color="auto" w:fill="CCECFF"/>
          </w:tcPr>
          <w:p>
            <w:pPr>
              <w:spacing w:after="0"/>
              <w:rPr>
                <w:sz w:val="12"/>
                <w:szCs w:val="12"/>
                <w:color w:val="auto"/>
              </w:rPr>
            </w:pPr>
          </w:p>
        </w:tc>
        <w:tc>
          <w:tcPr>
            <w:tcW w:w="80" w:type="dxa"/>
            <w:vAlign w:val="bottom"/>
            <w:shd w:val="clear" w:color="auto" w:fill="CCECFF"/>
          </w:tcPr>
          <w:p>
            <w:pPr>
              <w:spacing w:after="0"/>
              <w:rPr>
                <w:sz w:val="12"/>
                <w:szCs w:val="12"/>
                <w:color w:val="auto"/>
              </w:rPr>
            </w:pPr>
          </w:p>
        </w:tc>
        <w:tc>
          <w:tcPr>
            <w:tcW w:w="640" w:type="dxa"/>
            <w:vAlign w:val="bottom"/>
            <w:shd w:val="clear" w:color="auto" w:fill="CCECFF"/>
          </w:tcPr>
          <w:p>
            <w:pPr>
              <w:jc w:val="right"/>
              <w:spacing w:after="0"/>
              <w:rPr>
                <w:sz w:val="20"/>
                <w:szCs w:val="20"/>
                <w:color w:val="auto"/>
              </w:rPr>
            </w:pPr>
            <w:r>
              <w:rPr>
                <w:rFonts w:ascii="Arial" w:cs="Arial" w:eastAsia="Arial" w:hAnsi="Arial"/>
                <w:sz w:val="12"/>
                <w:szCs w:val="12"/>
                <w:color w:val="auto"/>
              </w:rPr>
              <w:t>1,083</w:t>
            </w:r>
          </w:p>
        </w:tc>
        <w:tc>
          <w:tcPr>
            <w:tcW w:w="100" w:type="dxa"/>
            <w:vAlign w:val="bottom"/>
            <w:shd w:val="clear" w:color="auto" w:fill="CCECFF"/>
          </w:tcPr>
          <w:p>
            <w:pPr>
              <w:spacing w:after="0"/>
              <w:rPr>
                <w:sz w:val="12"/>
                <w:szCs w:val="12"/>
                <w:color w:val="auto"/>
              </w:rPr>
            </w:pPr>
          </w:p>
        </w:tc>
      </w:tr>
      <w:tr>
        <w:trPr>
          <w:trHeight w:val="149"/>
        </w:trPr>
        <w:tc>
          <w:tcPr>
            <w:tcW w:w="3080" w:type="dxa"/>
            <w:vAlign w:val="bottom"/>
          </w:tcPr>
          <w:p>
            <w:pPr>
              <w:spacing w:after="0"/>
              <w:rPr>
                <w:sz w:val="20"/>
                <w:szCs w:val="20"/>
                <w:color w:val="auto"/>
              </w:rPr>
            </w:pPr>
            <w:r>
              <w:rPr>
                <w:rFonts w:ascii="Arial" w:cs="Arial" w:eastAsia="Arial" w:hAnsi="Arial"/>
                <w:sz w:val="12"/>
                <w:szCs w:val="12"/>
                <w:color w:val="auto"/>
              </w:rPr>
              <w:t>ASP LCG Holdings, Inc. (Warrants)</w:t>
            </w:r>
          </w:p>
        </w:tc>
        <w:tc>
          <w:tcPr>
            <w:tcW w:w="980" w:type="dxa"/>
            <w:vAlign w:val="bottom"/>
          </w:tcPr>
          <w:p>
            <w:pPr>
              <w:ind w:left="60"/>
              <w:spacing w:after="0"/>
              <w:rPr>
                <w:sz w:val="20"/>
                <w:szCs w:val="20"/>
                <w:color w:val="auto"/>
              </w:rPr>
            </w:pPr>
            <w:r>
              <w:rPr>
                <w:rFonts w:ascii="Arial" w:cs="Arial" w:eastAsia="Arial" w:hAnsi="Arial"/>
                <w:sz w:val="12"/>
                <w:szCs w:val="12"/>
                <w:color w:val="auto"/>
              </w:rPr>
              <w:t>05/05/2026</w:t>
            </w:r>
          </w:p>
        </w:tc>
        <w:tc>
          <w:tcPr>
            <w:tcW w:w="2640" w:type="dxa"/>
            <w:vAlign w:val="bottom"/>
            <w:gridSpan w:val="2"/>
          </w:tcPr>
          <w:p>
            <w:pPr>
              <w:jc w:val="center"/>
              <w:ind w:right="300"/>
              <w:spacing w:after="0"/>
              <w:rPr>
                <w:sz w:val="20"/>
                <w:szCs w:val="20"/>
                <w:color w:val="auto"/>
              </w:rPr>
            </w:pPr>
            <w:r>
              <w:rPr>
                <w:rFonts w:ascii="Arial" w:cs="Arial" w:eastAsia="Arial" w:hAnsi="Arial"/>
                <w:sz w:val="12"/>
                <w:szCs w:val="12"/>
                <w:color w:val="auto"/>
                <w:w w:val="86"/>
              </w:rPr>
              <w:t>Education</w:t>
            </w:r>
          </w:p>
        </w:tc>
        <w:tc>
          <w:tcPr>
            <w:tcW w:w="960" w:type="dxa"/>
            <w:vAlign w:val="bottom"/>
            <w:gridSpan w:val="2"/>
          </w:tcPr>
          <w:p>
            <w:pPr>
              <w:jc w:val="right"/>
              <w:ind w:right="300"/>
              <w:spacing w:after="0"/>
              <w:rPr>
                <w:sz w:val="20"/>
                <w:szCs w:val="20"/>
                <w:color w:val="auto"/>
              </w:rPr>
            </w:pPr>
            <w:r>
              <w:rPr>
                <w:rFonts w:ascii="Arial" w:cs="Arial" w:eastAsia="Arial" w:hAnsi="Arial"/>
                <w:sz w:val="12"/>
                <w:szCs w:val="12"/>
                <w:color w:val="auto"/>
              </w:rPr>
              <w:t>—</w:t>
            </w:r>
          </w:p>
        </w:tc>
        <w:tc>
          <w:tcPr>
            <w:tcW w:w="900" w:type="dxa"/>
            <w:vAlign w:val="bottom"/>
            <w:gridSpan w:val="2"/>
          </w:tcPr>
          <w:p>
            <w:pPr>
              <w:jc w:val="right"/>
              <w:ind w:right="240"/>
              <w:spacing w:after="0"/>
              <w:rPr>
                <w:sz w:val="20"/>
                <w:szCs w:val="20"/>
                <w:color w:val="auto"/>
              </w:rPr>
            </w:pPr>
            <w:r>
              <w:rPr>
                <w:rFonts w:ascii="Arial" w:cs="Arial" w:eastAsia="Arial" w:hAnsi="Arial"/>
                <w:sz w:val="12"/>
                <w:szCs w:val="12"/>
                <w:color w:val="auto"/>
              </w:rPr>
              <w:t>—</w:t>
            </w:r>
          </w:p>
        </w:tc>
        <w:tc>
          <w:tcPr>
            <w:tcW w:w="680" w:type="dxa"/>
            <w:vAlign w:val="bottom"/>
          </w:tcPr>
          <w:p>
            <w:pPr>
              <w:jc w:val="right"/>
              <w:spacing w:after="0"/>
              <w:rPr>
                <w:sz w:val="20"/>
                <w:szCs w:val="20"/>
                <w:color w:val="auto"/>
              </w:rPr>
            </w:pPr>
            <w:r>
              <w:rPr>
                <w:rFonts w:ascii="Arial" w:cs="Arial" w:eastAsia="Arial" w:hAnsi="Arial"/>
                <w:sz w:val="12"/>
                <w:szCs w:val="12"/>
                <w:color w:val="auto"/>
              </w:rPr>
              <w:t>933</w:t>
            </w:r>
          </w:p>
        </w:tc>
        <w:tc>
          <w:tcPr>
            <w:tcW w:w="2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20" w:type="dxa"/>
            <w:vAlign w:val="bottom"/>
          </w:tcPr>
          <w:p>
            <w:pPr>
              <w:jc w:val="right"/>
              <w:spacing w:after="0"/>
              <w:rPr>
                <w:sz w:val="20"/>
                <w:szCs w:val="20"/>
                <w:color w:val="auto"/>
              </w:rPr>
            </w:pPr>
            <w:r>
              <w:rPr>
                <w:rFonts w:ascii="Arial" w:cs="Arial" w:eastAsia="Arial" w:hAnsi="Arial"/>
                <w:sz w:val="12"/>
                <w:szCs w:val="12"/>
                <w:color w:val="auto"/>
              </w:rPr>
              <w:t>586,975</w:t>
            </w:r>
          </w:p>
        </w:tc>
        <w:tc>
          <w:tcPr>
            <w:tcW w:w="2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40" w:type="dxa"/>
            <w:vAlign w:val="bottom"/>
          </w:tcPr>
          <w:p>
            <w:pPr>
              <w:jc w:val="right"/>
              <w:spacing w:after="0"/>
              <w:rPr>
                <w:sz w:val="20"/>
                <w:szCs w:val="20"/>
                <w:color w:val="auto"/>
              </w:rPr>
            </w:pPr>
            <w:r>
              <w:rPr>
                <w:rFonts w:ascii="Arial" w:cs="Arial" w:eastAsia="Arial" w:hAnsi="Arial"/>
                <w:sz w:val="12"/>
                <w:szCs w:val="12"/>
                <w:color w:val="auto"/>
              </w:rPr>
              <w:t>1,192,535</w:t>
            </w:r>
          </w:p>
        </w:tc>
        <w:tc>
          <w:tcPr>
            <w:tcW w:w="100" w:type="dxa"/>
            <w:vAlign w:val="bottom"/>
          </w:tcPr>
          <w:p>
            <w:pPr>
              <w:spacing w:after="0"/>
              <w:rPr>
                <w:sz w:val="12"/>
                <w:szCs w:val="12"/>
                <w:color w:val="auto"/>
              </w:rPr>
            </w:pPr>
          </w:p>
        </w:tc>
      </w:tr>
      <w:tr>
        <w:trPr>
          <w:trHeight w:val="148"/>
        </w:trPr>
        <w:tc>
          <w:tcPr>
            <w:tcW w:w="3080" w:type="dxa"/>
            <w:vAlign w:val="bottom"/>
            <w:shd w:val="clear" w:color="auto" w:fill="CCECFF"/>
          </w:tcPr>
          <w:p>
            <w:pPr>
              <w:spacing w:after="0"/>
              <w:rPr>
                <w:sz w:val="20"/>
                <w:szCs w:val="20"/>
                <w:color w:val="auto"/>
              </w:rPr>
            </w:pPr>
            <w:r>
              <w:rPr>
                <w:rFonts w:ascii="Arial" w:cs="Arial" w:eastAsia="Arial" w:hAnsi="Arial"/>
                <w:sz w:val="12"/>
                <w:szCs w:val="12"/>
                <w:color w:val="auto"/>
              </w:rPr>
              <w:t>Autumn Games, LLC</w:t>
            </w:r>
          </w:p>
        </w:tc>
        <w:tc>
          <w:tcPr>
            <w:tcW w:w="980" w:type="dxa"/>
            <w:vAlign w:val="bottom"/>
            <w:shd w:val="clear" w:color="auto" w:fill="CCECFF"/>
          </w:tcPr>
          <w:p>
            <w:pPr>
              <w:ind w:left="320"/>
              <w:spacing w:after="0"/>
              <w:rPr>
                <w:sz w:val="20"/>
                <w:szCs w:val="20"/>
                <w:color w:val="auto"/>
              </w:rPr>
            </w:pPr>
            <w:r>
              <w:rPr>
                <w:rFonts w:ascii="Arial" w:cs="Arial" w:eastAsia="Arial" w:hAnsi="Arial"/>
                <w:sz w:val="12"/>
                <w:szCs w:val="12"/>
                <w:color w:val="auto"/>
              </w:rPr>
              <w:t>—</w:t>
            </w:r>
          </w:p>
        </w:tc>
        <w:tc>
          <w:tcPr>
            <w:tcW w:w="2640" w:type="dxa"/>
            <w:vAlign w:val="bottom"/>
            <w:gridSpan w:val="2"/>
            <w:shd w:val="clear" w:color="auto" w:fill="CCECFF"/>
          </w:tcPr>
          <w:p>
            <w:pPr>
              <w:jc w:val="center"/>
              <w:ind w:right="300"/>
              <w:spacing w:after="0"/>
              <w:rPr>
                <w:sz w:val="20"/>
                <w:szCs w:val="20"/>
                <w:color w:val="auto"/>
              </w:rPr>
            </w:pPr>
            <w:r>
              <w:rPr>
                <w:rFonts w:ascii="Arial" w:cs="Arial" w:eastAsia="Arial" w:hAnsi="Arial"/>
                <w:sz w:val="12"/>
                <w:szCs w:val="12"/>
                <w:color w:val="auto"/>
                <w:w w:val="87"/>
              </w:rPr>
              <w:t>Broadcasting and Entertainment</w:t>
            </w:r>
          </w:p>
        </w:tc>
        <w:tc>
          <w:tcPr>
            <w:tcW w:w="960" w:type="dxa"/>
            <w:vAlign w:val="bottom"/>
            <w:gridSpan w:val="2"/>
            <w:shd w:val="clear" w:color="auto" w:fill="CCECFF"/>
          </w:tcPr>
          <w:p>
            <w:pPr>
              <w:jc w:val="right"/>
              <w:ind w:right="300"/>
              <w:spacing w:after="0"/>
              <w:rPr>
                <w:sz w:val="20"/>
                <w:szCs w:val="20"/>
                <w:color w:val="auto"/>
              </w:rPr>
            </w:pPr>
            <w:r>
              <w:rPr>
                <w:rFonts w:ascii="Arial" w:cs="Arial" w:eastAsia="Arial" w:hAnsi="Arial"/>
                <w:sz w:val="12"/>
                <w:szCs w:val="12"/>
                <w:color w:val="auto"/>
              </w:rPr>
              <w:t>—</w:t>
            </w:r>
          </w:p>
        </w:tc>
        <w:tc>
          <w:tcPr>
            <w:tcW w:w="900" w:type="dxa"/>
            <w:vAlign w:val="bottom"/>
            <w:gridSpan w:val="2"/>
            <w:shd w:val="clear" w:color="auto" w:fill="CCECFF"/>
          </w:tcPr>
          <w:p>
            <w:pPr>
              <w:jc w:val="right"/>
              <w:ind w:right="240"/>
              <w:spacing w:after="0"/>
              <w:rPr>
                <w:sz w:val="20"/>
                <w:szCs w:val="20"/>
                <w:color w:val="auto"/>
              </w:rPr>
            </w:pPr>
            <w:r>
              <w:rPr>
                <w:rFonts w:ascii="Arial" w:cs="Arial" w:eastAsia="Arial" w:hAnsi="Arial"/>
                <w:sz w:val="12"/>
                <w:szCs w:val="12"/>
                <w:color w:val="auto"/>
              </w:rPr>
              <w:t>—</w:t>
            </w:r>
          </w:p>
        </w:tc>
        <w:tc>
          <w:tcPr>
            <w:tcW w:w="680" w:type="dxa"/>
            <w:vAlign w:val="bottom"/>
            <w:shd w:val="clear" w:color="auto" w:fill="CCECFF"/>
          </w:tcPr>
          <w:p>
            <w:pPr>
              <w:jc w:val="right"/>
              <w:spacing w:after="0"/>
              <w:rPr>
                <w:sz w:val="20"/>
                <w:szCs w:val="20"/>
                <w:color w:val="auto"/>
              </w:rPr>
            </w:pPr>
            <w:r>
              <w:rPr>
                <w:rFonts w:ascii="Arial" w:cs="Arial" w:eastAsia="Arial" w:hAnsi="Arial"/>
                <w:sz w:val="12"/>
                <w:szCs w:val="12"/>
                <w:color w:val="auto"/>
              </w:rPr>
              <w:t>1,333,330</w:t>
            </w:r>
          </w:p>
        </w:tc>
        <w:tc>
          <w:tcPr>
            <w:tcW w:w="240" w:type="dxa"/>
            <w:vAlign w:val="bottom"/>
            <w:shd w:val="clear" w:color="auto" w:fill="CCECFF"/>
          </w:tcPr>
          <w:p>
            <w:pPr>
              <w:spacing w:after="0"/>
              <w:rPr>
                <w:sz w:val="12"/>
                <w:szCs w:val="12"/>
                <w:color w:val="auto"/>
              </w:rPr>
            </w:pPr>
          </w:p>
        </w:tc>
        <w:tc>
          <w:tcPr>
            <w:tcW w:w="80" w:type="dxa"/>
            <w:vAlign w:val="bottom"/>
            <w:shd w:val="clear" w:color="auto" w:fill="CCECFF"/>
          </w:tcPr>
          <w:p>
            <w:pPr>
              <w:spacing w:after="0"/>
              <w:rPr>
                <w:sz w:val="12"/>
                <w:szCs w:val="12"/>
                <w:color w:val="auto"/>
              </w:rPr>
            </w:pPr>
          </w:p>
        </w:tc>
        <w:tc>
          <w:tcPr>
            <w:tcW w:w="620" w:type="dxa"/>
            <w:vAlign w:val="bottom"/>
            <w:shd w:val="clear" w:color="auto" w:fill="CCECFF"/>
          </w:tcPr>
          <w:p>
            <w:pPr>
              <w:jc w:val="right"/>
              <w:spacing w:after="0"/>
              <w:rPr>
                <w:sz w:val="20"/>
                <w:szCs w:val="20"/>
                <w:color w:val="auto"/>
              </w:rPr>
            </w:pPr>
            <w:r>
              <w:rPr>
                <w:rFonts w:ascii="Arial" w:cs="Arial" w:eastAsia="Arial" w:hAnsi="Arial"/>
                <w:sz w:val="12"/>
                <w:szCs w:val="12"/>
                <w:color w:val="auto"/>
              </w:rPr>
              <w:t>3,000,000</w:t>
            </w:r>
          </w:p>
        </w:tc>
        <w:tc>
          <w:tcPr>
            <w:tcW w:w="240" w:type="dxa"/>
            <w:vAlign w:val="bottom"/>
            <w:shd w:val="clear" w:color="auto" w:fill="CCECFF"/>
          </w:tcPr>
          <w:p>
            <w:pPr>
              <w:spacing w:after="0"/>
              <w:rPr>
                <w:sz w:val="12"/>
                <w:szCs w:val="12"/>
                <w:color w:val="auto"/>
              </w:rPr>
            </w:pPr>
          </w:p>
        </w:tc>
        <w:tc>
          <w:tcPr>
            <w:tcW w:w="80" w:type="dxa"/>
            <w:vAlign w:val="bottom"/>
            <w:shd w:val="clear" w:color="auto" w:fill="CCECFF"/>
          </w:tcPr>
          <w:p>
            <w:pPr>
              <w:spacing w:after="0"/>
              <w:rPr>
                <w:sz w:val="12"/>
                <w:szCs w:val="12"/>
                <w:color w:val="auto"/>
              </w:rPr>
            </w:pPr>
          </w:p>
        </w:tc>
        <w:tc>
          <w:tcPr>
            <w:tcW w:w="740" w:type="dxa"/>
            <w:vAlign w:val="bottom"/>
            <w:gridSpan w:val="2"/>
            <w:shd w:val="clear" w:color="auto" w:fill="CCECFF"/>
          </w:tcPr>
          <w:p>
            <w:pPr>
              <w:jc w:val="right"/>
              <w:ind w:right="120"/>
              <w:spacing w:after="0"/>
              <w:rPr>
                <w:sz w:val="20"/>
                <w:szCs w:val="20"/>
                <w:color w:val="auto"/>
              </w:rPr>
            </w:pPr>
            <w:r>
              <w:rPr>
                <w:rFonts w:ascii="Arial" w:cs="Arial" w:eastAsia="Arial" w:hAnsi="Arial"/>
                <w:sz w:val="12"/>
                <w:szCs w:val="12"/>
                <w:color w:val="auto"/>
              </w:rPr>
              <w:t>—</w:t>
            </w:r>
          </w:p>
        </w:tc>
      </w:tr>
      <w:tr>
        <w:trPr>
          <w:trHeight w:val="142"/>
        </w:trPr>
        <w:tc>
          <w:tcPr>
            <w:tcW w:w="3080" w:type="dxa"/>
            <w:vAlign w:val="bottom"/>
          </w:tcPr>
          <w:p>
            <w:pPr>
              <w:spacing w:after="0"/>
              <w:rPr>
                <w:sz w:val="20"/>
                <w:szCs w:val="20"/>
                <w:color w:val="auto"/>
              </w:rPr>
            </w:pPr>
            <w:r>
              <w:rPr>
                <w:rFonts w:ascii="Arial" w:cs="Arial" w:eastAsia="Arial" w:hAnsi="Arial"/>
                <w:sz w:val="12"/>
                <w:szCs w:val="12"/>
                <w:color w:val="auto"/>
              </w:rPr>
              <w:t xml:space="preserve">Cardinal Logistics Holdings LLC </w:t>
            </w:r>
            <w:r>
              <w:rPr>
                <w:rFonts w:ascii="Arial" w:cs="Arial" w:eastAsia="Arial" w:hAnsi="Arial"/>
                <w:sz w:val="9"/>
                <w:szCs w:val="9"/>
                <w:color w:val="auto"/>
              </w:rPr>
              <w:t>(10)</w:t>
            </w:r>
          </w:p>
        </w:tc>
        <w:tc>
          <w:tcPr>
            <w:tcW w:w="980" w:type="dxa"/>
            <w:vAlign w:val="bottom"/>
          </w:tcPr>
          <w:p>
            <w:pPr>
              <w:ind w:left="320"/>
              <w:spacing w:after="0"/>
              <w:rPr>
                <w:sz w:val="20"/>
                <w:szCs w:val="20"/>
                <w:color w:val="auto"/>
              </w:rPr>
            </w:pPr>
            <w:r>
              <w:rPr>
                <w:rFonts w:ascii="Arial" w:cs="Arial" w:eastAsia="Arial" w:hAnsi="Arial"/>
                <w:sz w:val="12"/>
                <w:szCs w:val="12"/>
                <w:color w:val="auto"/>
              </w:rPr>
              <w:t>—</w:t>
            </w:r>
          </w:p>
        </w:tc>
        <w:tc>
          <w:tcPr>
            <w:tcW w:w="2640" w:type="dxa"/>
            <w:vAlign w:val="bottom"/>
            <w:gridSpan w:val="2"/>
          </w:tcPr>
          <w:p>
            <w:pPr>
              <w:jc w:val="center"/>
              <w:ind w:right="280"/>
              <w:spacing w:after="0"/>
              <w:rPr>
                <w:sz w:val="20"/>
                <w:szCs w:val="20"/>
                <w:color w:val="auto"/>
              </w:rPr>
            </w:pPr>
            <w:r>
              <w:rPr>
                <w:rFonts w:ascii="Arial" w:cs="Arial" w:eastAsia="Arial" w:hAnsi="Arial"/>
                <w:sz w:val="12"/>
                <w:szCs w:val="12"/>
                <w:color w:val="auto"/>
                <w:w w:val="86"/>
              </w:rPr>
              <w:t>Cargo Transport</w:t>
            </w:r>
          </w:p>
        </w:tc>
        <w:tc>
          <w:tcPr>
            <w:tcW w:w="960" w:type="dxa"/>
            <w:vAlign w:val="bottom"/>
            <w:gridSpan w:val="2"/>
          </w:tcPr>
          <w:p>
            <w:pPr>
              <w:jc w:val="right"/>
              <w:ind w:right="300"/>
              <w:spacing w:after="0"/>
              <w:rPr>
                <w:sz w:val="20"/>
                <w:szCs w:val="20"/>
                <w:color w:val="auto"/>
              </w:rPr>
            </w:pPr>
            <w:r>
              <w:rPr>
                <w:rFonts w:ascii="Arial" w:cs="Arial" w:eastAsia="Arial" w:hAnsi="Arial"/>
                <w:sz w:val="12"/>
                <w:szCs w:val="12"/>
                <w:color w:val="auto"/>
              </w:rPr>
              <w:t>—</w:t>
            </w:r>
          </w:p>
        </w:tc>
        <w:tc>
          <w:tcPr>
            <w:tcW w:w="900" w:type="dxa"/>
            <w:vAlign w:val="bottom"/>
            <w:gridSpan w:val="2"/>
          </w:tcPr>
          <w:p>
            <w:pPr>
              <w:jc w:val="right"/>
              <w:ind w:right="240"/>
              <w:spacing w:after="0"/>
              <w:rPr>
                <w:sz w:val="20"/>
                <w:szCs w:val="20"/>
                <w:color w:val="auto"/>
              </w:rPr>
            </w:pPr>
            <w:r>
              <w:rPr>
                <w:rFonts w:ascii="Arial" w:cs="Arial" w:eastAsia="Arial" w:hAnsi="Arial"/>
                <w:sz w:val="12"/>
                <w:szCs w:val="12"/>
                <w:color w:val="auto"/>
              </w:rPr>
              <w:t>—</w:t>
            </w:r>
          </w:p>
        </w:tc>
        <w:tc>
          <w:tcPr>
            <w:tcW w:w="680" w:type="dxa"/>
            <w:vAlign w:val="bottom"/>
          </w:tcPr>
          <w:p>
            <w:pPr>
              <w:jc w:val="right"/>
              <w:spacing w:after="0"/>
              <w:rPr>
                <w:sz w:val="20"/>
                <w:szCs w:val="20"/>
                <w:color w:val="auto"/>
              </w:rPr>
            </w:pPr>
            <w:r>
              <w:rPr>
                <w:rFonts w:ascii="Arial" w:cs="Arial" w:eastAsia="Arial" w:hAnsi="Arial"/>
                <w:sz w:val="12"/>
                <w:szCs w:val="12"/>
                <w:color w:val="auto"/>
              </w:rPr>
              <w:t>137,923</w:t>
            </w:r>
          </w:p>
        </w:tc>
        <w:tc>
          <w:tcPr>
            <w:tcW w:w="2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20" w:type="dxa"/>
            <w:vAlign w:val="bottom"/>
          </w:tcPr>
          <w:p>
            <w:pPr>
              <w:jc w:val="right"/>
              <w:spacing w:after="0"/>
              <w:rPr>
                <w:sz w:val="20"/>
                <w:szCs w:val="20"/>
                <w:color w:val="auto"/>
              </w:rPr>
            </w:pPr>
            <w:r>
              <w:rPr>
                <w:rFonts w:ascii="Arial" w:cs="Arial" w:eastAsia="Arial" w:hAnsi="Arial"/>
                <w:sz w:val="12"/>
                <w:szCs w:val="12"/>
                <w:color w:val="auto"/>
              </w:rPr>
              <w:t>2,111,588</w:t>
            </w:r>
          </w:p>
        </w:tc>
        <w:tc>
          <w:tcPr>
            <w:tcW w:w="2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40" w:type="dxa"/>
            <w:vAlign w:val="bottom"/>
            <w:gridSpan w:val="2"/>
          </w:tcPr>
          <w:p>
            <w:pPr>
              <w:jc w:val="right"/>
              <w:ind w:right="120"/>
              <w:spacing w:after="0"/>
              <w:rPr>
                <w:sz w:val="20"/>
                <w:szCs w:val="20"/>
                <w:color w:val="auto"/>
              </w:rPr>
            </w:pPr>
            <w:r>
              <w:rPr>
                <w:rFonts w:ascii="Arial" w:cs="Arial" w:eastAsia="Arial" w:hAnsi="Arial"/>
                <w:sz w:val="12"/>
                <w:szCs w:val="12"/>
                <w:color w:val="auto"/>
              </w:rPr>
              <w:t>—</w:t>
            </w:r>
          </w:p>
        </w:tc>
      </w:tr>
      <w:tr>
        <w:trPr>
          <w:trHeight w:val="141"/>
        </w:trPr>
        <w:tc>
          <w:tcPr>
            <w:tcW w:w="3080" w:type="dxa"/>
            <w:vAlign w:val="bottom"/>
          </w:tcPr>
          <w:p>
            <w:pPr>
              <w:ind w:left="80"/>
              <w:spacing w:after="0"/>
              <w:rPr>
                <w:sz w:val="20"/>
                <w:szCs w:val="20"/>
                <w:color w:val="auto"/>
              </w:rPr>
            </w:pPr>
            <w:r>
              <w:rPr>
                <w:rFonts w:ascii="Arial" w:cs="Arial" w:eastAsia="Arial" w:hAnsi="Arial"/>
                <w:sz w:val="12"/>
                <w:szCs w:val="12"/>
                <w:color w:val="auto"/>
              </w:rPr>
              <w:t>(Intermediate Transportation 100, LLC)</w:t>
            </w:r>
          </w:p>
        </w:tc>
        <w:tc>
          <w:tcPr>
            <w:tcW w:w="980" w:type="dxa"/>
            <w:vAlign w:val="bottom"/>
          </w:tcPr>
          <w:p>
            <w:pPr>
              <w:spacing w:after="0"/>
              <w:rPr>
                <w:sz w:val="12"/>
                <w:szCs w:val="12"/>
                <w:color w:val="auto"/>
              </w:rPr>
            </w:pPr>
          </w:p>
        </w:tc>
        <w:tc>
          <w:tcPr>
            <w:tcW w:w="25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00" w:type="dxa"/>
            <w:vAlign w:val="bottom"/>
          </w:tcPr>
          <w:p>
            <w:pPr>
              <w:spacing w:after="0"/>
              <w:rPr>
                <w:sz w:val="12"/>
                <w:szCs w:val="12"/>
                <w:color w:val="auto"/>
              </w:rPr>
            </w:pPr>
          </w:p>
        </w:tc>
      </w:tr>
      <w:tr>
        <w:trPr>
          <w:trHeight w:val="148"/>
        </w:trPr>
        <w:tc>
          <w:tcPr>
            <w:tcW w:w="3080" w:type="dxa"/>
            <w:vAlign w:val="bottom"/>
            <w:shd w:val="clear" w:color="auto" w:fill="CCECFF"/>
          </w:tcPr>
          <w:p>
            <w:pPr>
              <w:spacing w:after="0"/>
              <w:rPr>
                <w:sz w:val="20"/>
                <w:szCs w:val="20"/>
                <w:color w:val="auto"/>
              </w:rPr>
            </w:pPr>
            <w:r>
              <w:rPr>
                <w:rFonts w:ascii="Arial" w:cs="Arial" w:eastAsia="Arial" w:hAnsi="Arial"/>
                <w:sz w:val="12"/>
                <w:szCs w:val="12"/>
                <w:color w:val="auto"/>
              </w:rPr>
              <w:t xml:space="preserve">Cascade Environmental LLC </w:t>
            </w:r>
            <w:r>
              <w:rPr>
                <w:rFonts w:ascii="Arial" w:cs="Arial" w:eastAsia="Arial" w:hAnsi="Arial"/>
                <w:sz w:val="9"/>
                <w:szCs w:val="9"/>
                <w:color w:val="auto"/>
              </w:rPr>
              <w:t>(10)</w:t>
            </w:r>
          </w:p>
        </w:tc>
        <w:tc>
          <w:tcPr>
            <w:tcW w:w="980" w:type="dxa"/>
            <w:vAlign w:val="bottom"/>
            <w:shd w:val="clear" w:color="auto" w:fill="CCECFF"/>
          </w:tcPr>
          <w:p>
            <w:pPr>
              <w:ind w:left="320"/>
              <w:spacing w:after="0"/>
              <w:rPr>
                <w:sz w:val="20"/>
                <w:szCs w:val="20"/>
                <w:color w:val="auto"/>
              </w:rPr>
            </w:pPr>
            <w:r>
              <w:rPr>
                <w:rFonts w:ascii="Arial" w:cs="Arial" w:eastAsia="Arial" w:hAnsi="Arial"/>
                <w:sz w:val="12"/>
                <w:szCs w:val="12"/>
                <w:color w:val="auto"/>
              </w:rPr>
              <w:t>—</w:t>
            </w:r>
          </w:p>
        </w:tc>
        <w:tc>
          <w:tcPr>
            <w:tcW w:w="2640" w:type="dxa"/>
            <w:vAlign w:val="bottom"/>
            <w:gridSpan w:val="2"/>
            <w:shd w:val="clear" w:color="auto" w:fill="CCECFF"/>
          </w:tcPr>
          <w:p>
            <w:pPr>
              <w:jc w:val="center"/>
              <w:ind w:right="280"/>
              <w:spacing w:after="0"/>
              <w:rPr>
                <w:sz w:val="20"/>
                <w:szCs w:val="20"/>
                <w:color w:val="auto"/>
              </w:rPr>
            </w:pPr>
            <w:r>
              <w:rPr>
                <w:rFonts w:ascii="Arial" w:cs="Arial" w:eastAsia="Arial" w:hAnsi="Arial"/>
                <w:sz w:val="12"/>
                <w:szCs w:val="12"/>
                <w:color w:val="auto"/>
                <w:w w:val="88"/>
              </w:rPr>
              <w:t>Environmental Services</w:t>
            </w:r>
          </w:p>
        </w:tc>
        <w:tc>
          <w:tcPr>
            <w:tcW w:w="960" w:type="dxa"/>
            <w:vAlign w:val="bottom"/>
            <w:gridSpan w:val="2"/>
            <w:shd w:val="clear" w:color="auto" w:fill="CCECFF"/>
          </w:tcPr>
          <w:p>
            <w:pPr>
              <w:jc w:val="right"/>
              <w:ind w:right="300"/>
              <w:spacing w:after="0"/>
              <w:rPr>
                <w:sz w:val="20"/>
                <w:szCs w:val="20"/>
                <w:color w:val="auto"/>
              </w:rPr>
            </w:pPr>
            <w:r>
              <w:rPr>
                <w:rFonts w:ascii="Arial" w:cs="Arial" w:eastAsia="Arial" w:hAnsi="Arial"/>
                <w:sz w:val="12"/>
                <w:szCs w:val="12"/>
                <w:color w:val="auto"/>
              </w:rPr>
              <w:t>—</w:t>
            </w:r>
          </w:p>
        </w:tc>
        <w:tc>
          <w:tcPr>
            <w:tcW w:w="900" w:type="dxa"/>
            <w:vAlign w:val="bottom"/>
            <w:gridSpan w:val="2"/>
            <w:shd w:val="clear" w:color="auto" w:fill="CCECFF"/>
          </w:tcPr>
          <w:p>
            <w:pPr>
              <w:jc w:val="right"/>
              <w:ind w:right="240"/>
              <w:spacing w:after="0"/>
              <w:rPr>
                <w:sz w:val="20"/>
                <w:szCs w:val="20"/>
                <w:color w:val="auto"/>
              </w:rPr>
            </w:pPr>
            <w:r>
              <w:rPr>
                <w:rFonts w:ascii="Arial" w:cs="Arial" w:eastAsia="Arial" w:hAnsi="Arial"/>
                <w:sz w:val="12"/>
                <w:szCs w:val="12"/>
                <w:color w:val="auto"/>
              </w:rPr>
              <w:t>—</w:t>
            </w:r>
          </w:p>
        </w:tc>
        <w:tc>
          <w:tcPr>
            <w:tcW w:w="680" w:type="dxa"/>
            <w:vAlign w:val="bottom"/>
            <w:shd w:val="clear" w:color="auto" w:fill="CCECFF"/>
          </w:tcPr>
          <w:p>
            <w:pPr>
              <w:jc w:val="right"/>
              <w:spacing w:after="0"/>
              <w:rPr>
                <w:sz w:val="20"/>
                <w:szCs w:val="20"/>
                <w:color w:val="auto"/>
              </w:rPr>
            </w:pPr>
            <w:r>
              <w:rPr>
                <w:rFonts w:ascii="Arial" w:cs="Arial" w:eastAsia="Arial" w:hAnsi="Arial"/>
                <w:sz w:val="12"/>
                <w:szCs w:val="12"/>
                <w:color w:val="auto"/>
              </w:rPr>
              <w:t>23,600</w:t>
            </w:r>
          </w:p>
        </w:tc>
        <w:tc>
          <w:tcPr>
            <w:tcW w:w="240" w:type="dxa"/>
            <w:vAlign w:val="bottom"/>
            <w:shd w:val="clear" w:color="auto" w:fill="CCECFF"/>
          </w:tcPr>
          <w:p>
            <w:pPr>
              <w:spacing w:after="0"/>
              <w:rPr>
                <w:sz w:val="12"/>
                <w:szCs w:val="12"/>
                <w:color w:val="auto"/>
              </w:rPr>
            </w:pPr>
          </w:p>
        </w:tc>
        <w:tc>
          <w:tcPr>
            <w:tcW w:w="80" w:type="dxa"/>
            <w:vAlign w:val="bottom"/>
            <w:shd w:val="clear" w:color="auto" w:fill="CCECFF"/>
          </w:tcPr>
          <w:p>
            <w:pPr>
              <w:spacing w:after="0"/>
              <w:rPr>
                <w:sz w:val="12"/>
                <w:szCs w:val="12"/>
                <w:color w:val="auto"/>
              </w:rPr>
            </w:pPr>
          </w:p>
        </w:tc>
        <w:tc>
          <w:tcPr>
            <w:tcW w:w="620" w:type="dxa"/>
            <w:vAlign w:val="bottom"/>
            <w:shd w:val="clear" w:color="auto" w:fill="CCECFF"/>
          </w:tcPr>
          <w:p>
            <w:pPr>
              <w:jc w:val="right"/>
              <w:spacing w:after="0"/>
              <w:rPr>
                <w:sz w:val="20"/>
                <w:szCs w:val="20"/>
                <w:color w:val="auto"/>
              </w:rPr>
            </w:pPr>
            <w:r>
              <w:rPr>
                <w:rFonts w:ascii="Arial" w:cs="Arial" w:eastAsia="Arial" w:hAnsi="Arial"/>
                <w:sz w:val="12"/>
                <w:szCs w:val="12"/>
                <w:color w:val="auto"/>
              </w:rPr>
              <w:t>2,360,000</w:t>
            </w:r>
          </w:p>
        </w:tc>
        <w:tc>
          <w:tcPr>
            <w:tcW w:w="240" w:type="dxa"/>
            <w:vAlign w:val="bottom"/>
            <w:shd w:val="clear" w:color="auto" w:fill="CCECFF"/>
          </w:tcPr>
          <w:p>
            <w:pPr>
              <w:spacing w:after="0"/>
              <w:rPr>
                <w:sz w:val="12"/>
                <w:szCs w:val="12"/>
                <w:color w:val="auto"/>
              </w:rPr>
            </w:pPr>
          </w:p>
        </w:tc>
        <w:tc>
          <w:tcPr>
            <w:tcW w:w="80" w:type="dxa"/>
            <w:vAlign w:val="bottom"/>
            <w:shd w:val="clear" w:color="auto" w:fill="CCECFF"/>
          </w:tcPr>
          <w:p>
            <w:pPr>
              <w:spacing w:after="0"/>
              <w:rPr>
                <w:sz w:val="12"/>
                <w:szCs w:val="12"/>
                <w:color w:val="auto"/>
              </w:rPr>
            </w:pPr>
          </w:p>
        </w:tc>
        <w:tc>
          <w:tcPr>
            <w:tcW w:w="640" w:type="dxa"/>
            <w:vAlign w:val="bottom"/>
            <w:shd w:val="clear" w:color="auto" w:fill="CCECFF"/>
          </w:tcPr>
          <w:p>
            <w:pPr>
              <w:jc w:val="right"/>
              <w:spacing w:after="0"/>
              <w:rPr>
                <w:sz w:val="20"/>
                <w:szCs w:val="20"/>
                <w:color w:val="auto"/>
              </w:rPr>
            </w:pPr>
            <w:r>
              <w:rPr>
                <w:rFonts w:ascii="Arial" w:cs="Arial" w:eastAsia="Arial" w:hAnsi="Arial"/>
                <w:sz w:val="12"/>
                <w:szCs w:val="12"/>
                <w:color w:val="auto"/>
              </w:rPr>
              <w:t>5,194,738</w:t>
            </w:r>
          </w:p>
        </w:tc>
        <w:tc>
          <w:tcPr>
            <w:tcW w:w="100" w:type="dxa"/>
            <w:vAlign w:val="bottom"/>
            <w:shd w:val="clear" w:color="auto" w:fill="CCECFF"/>
          </w:tcPr>
          <w:p>
            <w:pPr>
              <w:spacing w:after="0"/>
              <w:rPr>
                <w:sz w:val="12"/>
                <w:szCs w:val="12"/>
                <w:color w:val="auto"/>
              </w:rPr>
            </w:pPr>
          </w:p>
        </w:tc>
      </w:tr>
      <w:tr>
        <w:trPr>
          <w:trHeight w:val="148"/>
        </w:trPr>
        <w:tc>
          <w:tcPr>
            <w:tcW w:w="3080" w:type="dxa"/>
            <w:vAlign w:val="bottom"/>
          </w:tcPr>
          <w:p>
            <w:pPr>
              <w:spacing w:after="0"/>
              <w:rPr>
                <w:sz w:val="20"/>
                <w:szCs w:val="20"/>
                <w:color w:val="auto"/>
              </w:rPr>
            </w:pPr>
            <w:r>
              <w:rPr>
                <w:rFonts w:ascii="Arial" w:cs="Arial" w:eastAsia="Arial" w:hAnsi="Arial"/>
                <w:sz w:val="12"/>
                <w:szCs w:val="12"/>
                <w:color w:val="auto"/>
              </w:rPr>
              <w:t xml:space="preserve">CI (Galls) Prime Investment Holdings, LLC </w:t>
            </w:r>
            <w:r>
              <w:rPr>
                <w:rFonts w:ascii="Arial" w:cs="Arial" w:eastAsia="Arial" w:hAnsi="Arial"/>
                <w:sz w:val="9"/>
                <w:szCs w:val="9"/>
                <w:color w:val="auto"/>
              </w:rPr>
              <w:t>(10)</w:t>
            </w:r>
          </w:p>
        </w:tc>
        <w:tc>
          <w:tcPr>
            <w:tcW w:w="980" w:type="dxa"/>
            <w:vAlign w:val="bottom"/>
          </w:tcPr>
          <w:p>
            <w:pPr>
              <w:ind w:left="320"/>
              <w:spacing w:after="0"/>
              <w:rPr>
                <w:sz w:val="20"/>
                <w:szCs w:val="20"/>
                <w:color w:val="auto"/>
              </w:rPr>
            </w:pPr>
            <w:r>
              <w:rPr>
                <w:rFonts w:ascii="Arial" w:cs="Arial" w:eastAsia="Arial" w:hAnsi="Arial"/>
                <w:sz w:val="12"/>
                <w:szCs w:val="12"/>
                <w:color w:val="auto"/>
              </w:rPr>
              <w:t>—</w:t>
            </w:r>
          </w:p>
        </w:tc>
        <w:tc>
          <w:tcPr>
            <w:tcW w:w="2640" w:type="dxa"/>
            <w:vAlign w:val="bottom"/>
            <w:gridSpan w:val="2"/>
          </w:tcPr>
          <w:p>
            <w:pPr>
              <w:jc w:val="center"/>
              <w:ind w:right="280"/>
              <w:spacing w:after="0"/>
              <w:rPr>
                <w:sz w:val="20"/>
                <w:szCs w:val="20"/>
                <w:color w:val="auto"/>
              </w:rPr>
            </w:pPr>
            <w:r>
              <w:rPr>
                <w:rFonts w:ascii="Arial" w:cs="Arial" w:eastAsia="Arial" w:hAnsi="Arial"/>
                <w:sz w:val="12"/>
                <w:szCs w:val="12"/>
                <w:color w:val="auto"/>
                <w:w w:val="93"/>
              </w:rPr>
              <w:t>Distribution</w:t>
            </w:r>
          </w:p>
        </w:tc>
        <w:tc>
          <w:tcPr>
            <w:tcW w:w="960" w:type="dxa"/>
            <w:vAlign w:val="bottom"/>
            <w:gridSpan w:val="2"/>
          </w:tcPr>
          <w:p>
            <w:pPr>
              <w:jc w:val="right"/>
              <w:ind w:right="300"/>
              <w:spacing w:after="0"/>
              <w:rPr>
                <w:sz w:val="20"/>
                <w:szCs w:val="20"/>
                <w:color w:val="auto"/>
              </w:rPr>
            </w:pPr>
            <w:r>
              <w:rPr>
                <w:rFonts w:ascii="Arial" w:cs="Arial" w:eastAsia="Arial" w:hAnsi="Arial"/>
                <w:sz w:val="12"/>
                <w:szCs w:val="12"/>
                <w:color w:val="auto"/>
              </w:rPr>
              <w:t>—</w:t>
            </w:r>
          </w:p>
        </w:tc>
        <w:tc>
          <w:tcPr>
            <w:tcW w:w="900" w:type="dxa"/>
            <w:vAlign w:val="bottom"/>
            <w:gridSpan w:val="2"/>
          </w:tcPr>
          <w:p>
            <w:pPr>
              <w:jc w:val="right"/>
              <w:ind w:right="240"/>
              <w:spacing w:after="0"/>
              <w:rPr>
                <w:sz w:val="20"/>
                <w:szCs w:val="20"/>
                <w:color w:val="auto"/>
              </w:rPr>
            </w:pPr>
            <w:r>
              <w:rPr>
                <w:rFonts w:ascii="Arial" w:cs="Arial" w:eastAsia="Arial" w:hAnsi="Arial"/>
                <w:sz w:val="12"/>
                <w:szCs w:val="12"/>
                <w:color w:val="auto"/>
              </w:rPr>
              <w:t>—</w:t>
            </w:r>
          </w:p>
        </w:tc>
        <w:tc>
          <w:tcPr>
            <w:tcW w:w="680" w:type="dxa"/>
            <w:vAlign w:val="bottom"/>
          </w:tcPr>
          <w:p>
            <w:pPr>
              <w:jc w:val="right"/>
              <w:spacing w:after="0"/>
              <w:rPr>
                <w:sz w:val="20"/>
                <w:szCs w:val="20"/>
                <w:color w:val="auto"/>
              </w:rPr>
            </w:pPr>
            <w:r>
              <w:rPr>
                <w:rFonts w:ascii="Arial" w:cs="Arial" w:eastAsia="Arial" w:hAnsi="Arial"/>
                <w:sz w:val="12"/>
                <w:szCs w:val="12"/>
                <w:color w:val="auto"/>
              </w:rPr>
              <w:t>1,745,639</w:t>
            </w:r>
          </w:p>
        </w:tc>
        <w:tc>
          <w:tcPr>
            <w:tcW w:w="2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20" w:type="dxa"/>
            <w:vAlign w:val="bottom"/>
          </w:tcPr>
          <w:p>
            <w:pPr>
              <w:jc w:val="right"/>
              <w:spacing w:after="0"/>
              <w:rPr>
                <w:sz w:val="20"/>
                <w:szCs w:val="20"/>
                <w:color w:val="auto"/>
              </w:rPr>
            </w:pPr>
            <w:r>
              <w:rPr>
                <w:rFonts w:ascii="Arial" w:cs="Arial" w:eastAsia="Arial" w:hAnsi="Arial"/>
                <w:sz w:val="12"/>
                <w:szCs w:val="12"/>
                <w:color w:val="auto"/>
              </w:rPr>
              <w:t>1,745,639</w:t>
            </w:r>
          </w:p>
        </w:tc>
        <w:tc>
          <w:tcPr>
            <w:tcW w:w="2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40" w:type="dxa"/>
            <w:vAlign w:val="bottom"/>
          </w:tcPr>
          <w:p>
            <w:pPr>
              <w:jc w:val="right"/>
              <w:spacing w:after="0"/>
              <w:rPr>
                <w:sz w:val="20"/>
                <w:szCs w:val="20"/>
                <w:color w:val="auto"/>
              </w:rPr>
            </w:pPr>
            <w:r>
              <w:rPr>
                <w:rFonts w:ascii="Arial" w:cs="Arial" w:eastAsia="Arial" w:hAnsi="Arial"/>
                <w:sz w:val="12"/>
                <w:szCs w:val="12"/>
                <w:color w:val="auto"/>
              </w:rPr>
              <w:t>3,637,907</w:t>
            </w:r>
          </w:p>
        </w:tc>
        <w:tc>
          <w:tcPr>
            <w:tcW w:w="100" w:type="dxa"/>
            <w:vAlign w:val="bottom"/>
          </w:tcPr>
          <w:p>
            <w:pPr>
              <w:spacing w:after="0"/>
              <w:rPr>
                <w:sz w:val="12"/>
                <w:szCs w:val="12"/>
                <w:color w:val="auto"/>
              </w:rPr>
            </w:pPr>
          </w:p>
        </w:tc>
      </w:tr>
      <w:tr>
        <w:trPr>
          <w:trHeight w:val="149"/>
        </w:trPr>
        <w:tc>
          <w:tcPr>
            <w:tcW w:w="3080" w:type="dxa"/>
            <w:vAlign w:val="bottom"/>
            <w:shd w:val="clear" w:color="auto" w:fill="CCECFF"/>
          </w:tcPr>
          <w:p>
            <w:pPr>
              <w:spacing w:after="0"/>
              <w:rPr>
                <w:sz w:val="20"/>
                <w:szCs w:val="20"/>
                <w:color w:val="auto"/>
              </w:rPr>
            </w:pPr>
            <w:r>
              <w:rPr>
                <w:rFonts w:ascii="Arial" w:cs="Arial" w:eastAsia="Arial" w:hAnsi="Arial"/>
                <w:sz w:val="12"/>
                <w:szCs w:val="12"/>
                <w:color w:val="auto"/>
              </w:rPr>
              <w:t>Convergint Technologies Holdings, LLC</w:t>
            </w:r>
          </w:p>
        </w:tc>
        <w:tc>
          <w:tcPr>
            <w:tcW w:w="980" w:type="dxa"/>
            <w:vAlign w:val="bottom"/>
            <w:shd w:val="clear" w:color="auto" w:fill="CCECFF"/>
          </w:tcPr>
          <w:p>
            <w:pPr>
              <w:ind w:left="320"/>
              <w:spacing w:after="0"/>
              <w:rPr>
                <w:sz w:val="20"/>
                <w:szCs w:val="20"/>
                <w:color w:val="auto"/>
              </w:rPr>
            </w:pPr>
            <w:r>
              <w:rPr>
                <w:rFonts w:ascii="Arial" w:cs="Arial" w:eastAsia="Arial" w:hAnsi="Arial"/>
                <w:sz w:val="12"/>
                <w:szCs w:val="12"/>
                <w:color w:val="auto"/>
              </w:rPr>
              <w:t>—</w:t>
            </w:r>
          </w:p>
        </w:tc>
        <w:tc>
          <w:tcPr>
            <w:tcW w:w="2640" w:type="dxa"/>
            <w:vAlign w:val="bottom"/>
            <w:gridSpan w:val="2"/>
            <w:shd w:val="clear" w:color="auto" w:fill="CCECFF"/>
          </w:tcPr>
          <w:p>
            <w:pPr>
              <w:jc w:val="center"/>
              <w:ind w:right="300"/>
              <w:spacing w:after="0"/>
              <w:rPr>
                <w:sz w:val="20"/>
                <w:szCs w:val="20"/>
                <w:color w:val="auto"/>
              </w:rPr>
            </w:pPr>
            <w:r>
              <w:rPr>
                <w:rFonts w:ascii="Arial" w:cs="Arial" w:eastAsia="Arial" w:hAnsi="Arial"/>
                <w:sz w:val="12"/>
                <w:szCs w:val="12"/>
                <w:color w:val="auto"/>
                <w:w w:val="91"/>
              </w:rPr>
              <w:t>Electronics</w:t>
            </w:r>
          </w:p>
        </w:tc>
        <w:tc>
          <w:tcPr>
            <w:tcW w:w="960" w:type="dxa"/>
            <w:vAlign w:val="bottom"/>
            <w:gridSpan w:val="2"/>
            <w:shd w:val="clear" w:color="auto" w:fill="CCECFF"/>
          </w:tcPr>
          <w:p>
            <w:pPr>
              <w:jc w:val="right"/>
              <w:ind w:right="300"/>
              <w:spacing w:after="0"/>
              <w:rPr>
                <w:sz w:val="20"/>
                <w:szCs w:val="20"/>
                <w:color w:val="auto"/>
              </w:rPr>
            </w:pPr>
            <w:r>
              <w:rPr>
                <w:rFonts w:ascii="Arial" w:cs="Arial" w:eastAsia="Arial" w:hAnsi="Arial"/>
                <w:sz w:val="12"/>
                <w:szCs w:val="12"/>
                <w:color w:val="auto"/>
              </w:rPr>
              <w:t>—</w:t>
            </w:r>
          </w:p>
        </w:tc>
        <w:tc>
          <w:tcPr>
            <w:tcW w:w="900" w:type="dxa"/>
            <w:vAlign w:val="bottom"/>
            <w:gridSpan w:val="2"/>
            <w:shd w:val="clear" w:color="auto" w:fill="CCECFF"/>
          </w:tcPr>
          <w:p>
            <w:pPr>
              <w:jc w:val="right"/>
              <w:ind w:right="240"/>
              <w:spacing w:after="0"/>
              <w:rPr>
                <w:sz w:val="20"/>
                <w:szCs w:val="20"/>
                <w:color w:val="auto"/>
              </w:rPr>
            </w:pPr>
            <w:r>
              <w:rPr>
                <w:rFonts w:ascii="Arial" w:cs="Arial" w:eastAsia="Arial" w:hAnsi="Arial"/>
                <w:sz w:val="12"/>
                <w:szCs w:val="12"/>
                <w:color w:val="auto"/>
              </w:rPr>
              <w:t>—</w:t>
            </w:r>
          </w:p>
        </w:tc>
        <w:tc>
          <w:tcPr>
            <w:tcW w:w="680" w:type="dxa"/>
            <w:vAlign w:val="bottom"/>
            <w:shd w:val="clear" w:color="auto" w:fill="CCECFF"/>
          </w:tcPr>
          <w:p>
            <w:pPr>
              <w:jc w:val="right"/>
              <w:spacing w:after="0"/>
              <w:rPr>
                <w:sz w:val="20"/>
                <w:szCs w:val="20"/>
                <w:color w:val="auto"/>
              </w:rPr>
            </w:pPr>
            <w:r>
              <w:rPr>
                <w:rFonts w:ascii="Arial" w:cs="Arial" w:eastAsia="Arial" w:hAnsi="Arial"/>
                <w:sz w:val="12"/>
                <w:szCs w:val="12"/>
                <w:color w:val="auto"/>
              </w:rPr>
              <w:t>2,375</w:t>
            </w:r>
          </w:p>
        </w:tc>
        <w:tc>
          <w:tcPr>
            <w:tcW w:w="240" w:type="dxa"/>
            <w:vAlign w:val="bottom"/>
            <w:shd w:val="clear" w:color="auto" w:fill="CCECFF"/>
          </w:tcPr>
          <w:p>
            <w:pPr>
              <w:spacing w:after="0"/>
              <w:rPr>
                <w:sz w:val="12"/>
                <w:szCs w:val="12"/>
                <w:color w:val="auto"/>
              </w:rPr>
            </w:pPr>
          </w:p>
        </w:tc>
        <w:tc>
          <w:tcPr>
            <w:tcW w:w="80" w:type="dxa"/>
            <w:vAlign w:val="bottom"/>
            <w:shd w:val="clear" w:color="auto" w:fill="CCECFF"/>
          </w:tcPr>
          <w:p>
            <w:pPr>
              <w:spacing w:after="0"/>
              <w:rPr>
                <w:sz w:val="12"/>
                <w:szCs w:val="12"/>
                <w:color w:val="auto"/>
              </w:rPr>
            </w:pPr>
          </w:p>
        </w:tc>
        <w:tc>
          <w:tcPr>
            <w:tcW w:w="620" w:type="dxa"/>
            <w:vAlign w:val="bottom"/>
            <w:shd w:val="clear" w:color="auto" w:fill="CCECFF"/>
          </w:tcPr>
          <w:p>
            <w:pPr>
              <w:jc w:val="right"/>
              <w:spacing w:after="0"/>
              <w:rPr>
                <w:sz w:val="20"/>
                <w:szCs w:val="20"/>
                <w:color w:val="auto"/>
              </w:rPr>
            </w:pPr>
            <w:r>
              <w:rPr>
                <w:rFonts w:ascii="Arial" w:cs="Arial" w:eastAsia="Arial" w:hAnsi="Arial"/>
                <w:sz w:val="12"/>
                <w:szCs w:val="12"/>
                <w:color w:val="auto"/>
              </w:rPr>
              <w:t>—</w:t>
            </w:r>
          </w:p>
        </w:tc>
        <w:tc>
          <w:tcPr>
            <w:tcW w:w="240" w:type="dxa"/>
            <w:vAlign w:val="bottom"/>
            <w:shd w:val="clear" w:color="auto" w:fill="CCECFF"/>
          </w:tcPr>
          <w:p>
            <w:pPr>
              <w:spacing w:after="0"/>
              <w:rPr>
                <w:sz w:val="12"/>
                <w:szCs w:val="12"/>
                <w:color w:val="auto"/>
              </w:rPr>
            </w:pPr>
          </w:p>
        </w:tc>
        <w:tc>
          <w:tcPr>
            <w:tcW w:w="80" w:type="dxa"/>
            <w:vAlign w:val="bottom"/>
            <w:shd w:val="clear" w:color="auto" w:fill="CCECFF"/>
          </w:tcPr>
          <w:p>
            <w:pPr>
              <w:spacing w:after="0"/>
              <w:rPr>
                <w:sz w:val="12"/>
                <w:szCs w:val="12"/>
                <w:color w:val="auto"/>
              </w:rPr>
            </w:pPr>
          </w:p>
        </w:tc>
        <w:tc>
          <w:tcPr>
            <w:tcW w:w="640" w:type="dxa"/>
            <w:vAlign w:val="bottom"/>
            <w:shd w:val="clear" w:color="auto" w:fill="CCECFF"/>
          </w:tcPr>
          <w:p>
            <w:pPr>
              <w:jc w:val="right"/>
              <w:spacing w:after="0"/>
              <w:rPr>
                <w:sz w:val="20"/>
                <w:szCs w:val="20"/>
                <w:color w:val="auto"/>
              </w:rPr>
            </w:pPr>
            <w:r>
              <w:rPr>
                <w:rFonts w:ascii="Arial" w:cs="Arial" w:eastAsia="Arial" w:hAnsi="Arial"/>
                <w:sz w:val="12"/>
                <w:szCs w:val="12"/>
                <w:color w:val="auto"/>
              </w:rPr>
              <w:t>2,671,422</w:t>
            </w:r>
          </w:p>
        </w:tc>
        <w:tc>
          <w:tcPr>
            <w:tcW w:w="100" w:type="dxa"/>
            <w:vAlign w:val="bottom"/>
            <w:shd w:val="clear" w:color="auto" w:fill="CCECFF"/>
          </w:tcPr>
          <w:p>
            <w:pPr>
              <w:spacing w:after="0"/>
              <w:rPr>
                <w:sz w:val="12"/>
                <w:szCs w:val="12"/>
                <w:color w:val="auto"/>
              </w:rPr>
            </w:pPr>
          </w:p>
        </w:tc>
      </w:tr>
      <w:tr>
        <w:trPr>
          <w:trHeight w:val="148"/>
        </w:trPr>
        <w:tc>
          <w:tcPr>
            <w:tcW w:w="3080" w:type="dxa"/>
            <w:vAlign w:val="bottom"/>
          </w:tcPr>
          <w:p>
            <w:pPr>
              <w:spacing w:after="0"/>
              <w:rPr>
                <w:sz w:val="20"/>
                <w:szCs w:val="20"/>
                <w:color w:val="auto"/>
              </w:rPr>
            </w:pPr>
            <w:r>
              <w:rPr>
                <w:rFonts w:ascii="Arial" w:cs="Arial" w:eastAsia="Arial" w:hAnsi="Arial"/>
                <w:sz w:val="12"/>
                <w:szCs w:val="12"/>
                <w:color w:val="auto"/>
              </w:rPr>
              <w:t>e.l.f. Beauty, Inc.</w:t>
            </w:r>
          </w:p>
        </w:tc>
        <w:tc>
          <w:tcPr>
            <w:tcW w:w="980" w:type="dxa"/>
            <w:vAlign w:val="bottom"/>
          </w:tcPr>
          <w:p>
            <w:pPr>
              <w:ind w:left="320"/>
              <w:spacing w:after="0"/>
              <w:rPr>
                <w:sz w:val="20"/>
                <w:szCs w:val="20"/>
                <w:color w:val="auto"/>
              </w:rPr>
            </w:pPr>
            <w:r>
              <w:rPr>
                <w:rFonts w:ascii="Arial" w:cs="Arial" w:eastAsia="Arial" w:hAnsi="Arial"/>
                <w:sz w:val="12"/>
                <w:szCs w:val="12"/>
                <w:color w:val="auto"/>
              </w:rPr>
              <w:t>—</w:t>
            </w:r>
          </w:p>
        </w:tc>
        <w:tc>
          <w:tcPr>
            <w:tcW w:w="2640" w:type="dxa"/>
            <w:vAlign w:val="bottom"/>
            <w:gridSpan w:val="2"/>
          </w:tcPr>
          <w:p>
            <w:pPr>
              <w:jc w:val="center"/>
              <w:ind w:right="280"/>
              <w:spacing w:after="0"/>
              <w:rPr>
                <w:sz w:val="20"/>
                <w:szCs w:val="20"/>
                <w:color w:val="auto"/>
              </w:rPr>
            </w:pPr>
            <w:r>
              <w:rPr>
                <w:rFonts w:ascii="Arial" w:cs="Arial" w:eastAsia="Arial" w:hAnsi="Arial"/>
                <w:sz w:val="12"/>
                <w:szCs w:val="12"/>
                <w:color w:val="auto"/>
                <w:w w:val="86"/>
              </w:rPr>
              <w:t>Consumer Products</w:t>
            </w:r>
          </w:p>
        </w:tc>
        <w:tc>
          <w:tcPr>
            <w:tcW w:w="960" w:type="dxa"/>
            <w:vAlign w:val="bottom"/>
            <w:gridSpan w:val="2"/>
          </w:tcPr>
          <w:p>
            <w:pPr>
              <w:jc w:val="right"/>
              <w:ind w:right="300"/>
              <w:spacing w:after="0"/>
              <w:rPr>
                <w:sz w:val="20"/>
                <w:szCs w:val="20"/>
                <w:color w:val="auto"/>
              </w:rPr>
            </w:pPr>
            <w:r>
              <w:rPr>
                <w:rFonts w:ascii="Arial" w:cs="Arial" w:eastAsia="Arial" w:hAnsi="Arial"/>
                <w:sz w:val="12"/>
                <w:szCs w:val="12"/>
                <w:color w:val="auto"/>
              </w:rPr>
              <w:t>—</w:t>
            </w:r>
          </w:p>
        </w:tc>
        <w:tc>
          <w:tcPr>
            <w:tcW w:w="900" w:type="dxa"/>
            <w:vAlign w:val="bottom"/>
            <w:gridSpan w:val="2"/>
          </w:tcPr>
          <w:p>
            <w:pPr>
              <w:jc w:val="right"/>
              <w:ind w:right="240"/>
              <w:spacing w:after="0"/>
              <w:rPr>
                <w:sz w:val="20"/>
                <w:szCs w:val="20"/>
                <w:color w:val="auto"/>
              </w:rPr>
            </w:pPr>
            <w:r>
              <w:rPr>
                <w:rFonts w:ascii="Arial" w:cs="Arial" w:eastAsia="Arial" w:hAnsi="Arial"/>
                <w:sz w:val="12"/>
                <w:szCs w:val="12"/>
                <w:color w:val="auto"/>
              </w:rPr>
              <w:t>—</w:t>
            </w:r>
          </w:p>
        </w:tc>
        <w:tc>
          <w:tcPr>
            <w:tcW w:w="680" w:type="dxa"/>
            <w:vAlign w:val="bottom"/>
          </w:tcPr>
          <w:p>
            <w:pPr>
              <w:jc w:val="right"/>
              <w:spacing w:after="0"/>
              <w:rPr>
                <w:sz w:val="20"/>
                <w:szCs w:val="20"/>
                <w:color w:val="auto"/>
              </w:rPr>
            </w:pPr>
            <w:r>
              <w:rPr>
                <w:rFonts w:ascii="Arial" w:cs="Arial" w:eastAsia="Arial" w:hAnsi="Arial"/>
                <w:sz w:val="12"/>
                <w:szCs w:val="12"/>
                <w:color w:val="auto"/>
              </w:rPr>
              <w:t>938,399</w:t>
            </w:r>
          </w:p>
        </w:tc>
        <w:tc>
          <w:tcPr>
            <w:tcW w:w="2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20" w:type="dxa"/>
            <w:vAlign w:val="bottom"/>
          </w:tcPr>
          <w:p>
            <w:pPr>
              <w:jc w:val="right"/>
              <w:spacing w:after="0"/>
              <w:rPr>
                <w:sz w:val="20"/>
                <w:szCs w:val="20"/>
                <w:color w:val="auto"/>
              </w:rPr>
            </w:pPr>
            <w:r>
              <w:rPr>
                <w:rFonts w:ascii="Arial" w:cs="Arial" w:eastAsia="Arial" w:hAnsi="Arial"/>
                <w:sz w:val="12"/>
                <w:szCs w:val="12"/>
                <w:color w:val="auto"/>
              </w:rPr>
              <w:t>2,513,193</w:t>
            </w:r>
          </w:p>
        </w:tc>
        <w:tc>
          <w:tcPr>
            <w:tcW w:w="2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40" w:type="dxa"/>
            <w:vAlign w:val="bottom"/>
          </w:tcPr>
          <w:p>
            <w:pPr>
              <w:jc w:val="right"/>
              <w:spacing w:after="0"/>
              <w:rPr>
                <w:sz w:val="20"/>
                <w:szCs w:val="20"/>
                <w:color w:val="auto"/>
              </w:rPr>
            </w:pPr>
            <w:r>
              <w:rPr>
                <w:rFonts w:ascii="Arial" w:cs="Arial" w:eastAsia="Arial" w:hAnsi="Arial"/>
                <w:sz w:val="12"/>
                <w:szCs w:val="12"/>
                <w:color w:val="auto"/>
                <w:w w:val="99"/>
              </w:rPr>
              <w:t>25,141,220</w:t>
            </w:r>
          </w:p>
        </w:tc>
        <w:tc>
          <w:tcPr>
            <w:tcW w:w="100" w:type="dxa"/>
            <w:vAlign w:val="bottom"/>
          </w:tcPr>
          <w:p>
            <w:pPr>
              <w:spacing w:after="0"/>
              <w:rPr>
                <w:sz w:val="12"/>
                <w:szCs w:val="12"/>
                <w:color w:val="auto"/>
              </w:rPr>
            </w:pPr>
          </w:p>
        </w:tc>
      </w:tr>
      <w:tr>
        <w:trPr>
          <w:trHeight w:val="148"/>
        </w:trPr>
        <w:tc>
          <w:tcPr>
            <w:tcW w:w="3080" w:type="dxa"/>
            <w:vAlign w:val="bottom"/>
            <w:shd w:val="clear" w:color="auto" w:fill="CCECFF"/>
          </w:tcPr>
          <w:p>
            <w:pPr>
              <w:spacing w:after="0"/>
              <w:rPr>
                <w:sz w:val="20"/>
                <w:szCs w:val="20"/>
                <w:color w:val="auto"/>
              </w:rPr>
            </w:pPr>
            <w:r>
              <w:rPr>
                <w:rFonts w:ascii="Arial" w:cs="Arial" w:eastAsia="Arial" w:hAnsi="Arial"/>
                <w:sz w:val="12"/>
                <w:szCs w:val="12"/>
                <w:color w:val="auto"/>
              </w:rPr>
              <w:t>Faraday Holdings, LLC (Interior Specialists, Inc.)</w:t>
            </w:r>
          </w:p>
        </w:tc>
        <w:tc>
          <w:tcPr>
            <w:tcW w:w="980" w:type="dxa"/>
            <w:vAlign w:val="bottom"/>
            <w:shd w:val="clear" w:color="auto" w:fill="CCECFF"/>
          </w:tcPr>
          <w:p>
            <w:pPr>
              <w:ind w:left="320"/>
              <w:spacing w:after="0"/>
              <w:rPr>
                <w:sz w:val="20"/>
                <w:szCs w:val="20"/>
                <w:color w:val="auto"/>
              </w:rPr>
            </w:pPr>
            <w:r>
              <w:rPr>
                <w:rFonts w:ascii="Arial" w:cs="Arial" w:eastAsia="Arial" w:hAnsi="Arial"/>
                <w:sz w:val="12"/>
                <w:szCs w:val="12"/>
                <w:color w:val="auto"/>
              </w:rPr>
              <w:t>—</w:t>
            </w:r>
          </w:p>
        </w:tc>
        <w:tc>
          <w:tcPr>
            <w:tcW w:w="2640" w:type="dxa"/>
            <w:vAlign w:val="bottom"/>
            <w:gridSpan w:val="2"/>
            <w:shd w:val="clear" w:color="auto" w:fill="CCECFF"/>
          </w:tcPr>
          <w:p>
            <w:pPr>
              <w:jc w:val="center"/>
              <w:ind w:right="280"/>
              <w:spacing w:after="0"/>
              <w:rPr>
                <w:sz w:val="20"/>
                <w:szCs w:val="20"/>
                <w:color w:val="auto"/>
              </w:rPr>
            </w:pPr>
            <w:r>
              <w:rPr>
                <w:rFonts w:ascii="Arial" w:cs="Arial" w:eastAsia="Arial" w:hAnsi="Arial"/>
                <w:sz w:val="12"/>
                <w:szCs w:val="12"/>
                <w:color w:val="auto"/>
                <w:w w:val="92"/>
              </w:rPr>
              <w:t>Building Materials</w:t>
            </w:r>
          </w:p>
        </w:tc>
        <w:tc>
          <w:tcPr>
            <w:tcW w:w="960" w:type="dxa"/>
            <w:vAlign w:val="bottom"/>
            <w:gridSpan w:val="2"/>
            <w:shd w:val="clear" w:color="auto" w:fill="CCECFF"/>
          </w:tcPr>
          <w:p>
            <w:pPr>
              <w:jc w:val="right"/>
              <w:ind w:right="300"/>
              <w:spacing w:after="0"/>
              <w:rPr>
                <w:sz w:val="20"/>
                <w:szCs w:val="20"/>
                <w:color w:val="auto"/>
              </w:rPr>
            </w:pPr>
            <w:r>
              <w:rPr>
                <w:rFonts w:ascii="Arial" w:cs="Arial" w:eastAsia="Arial" w:hAnsi="Arial"/>
                <w:sz w:val="12"/>
                <w:szCs w:val="12"/>
                <w:color w:val="auto"/>
              </w:rPr>
              <w:t>—</w:t>
            </w:r>
          </w:p>
        </w:tc>
        <w:tc>
          <w:tcPr>
            <w:tcW w:w="900" w:type="dxa"/>
            <w:vAlign w:val="bottom"/>
            <w:gridSpan w:val="2"/>
            <w:shd w:val="clear" w:color="auto" w:fill="CCECFF"/>
          </w:tcPr>
          <w:p>
            <w:pPr>
              <w:jc w:val="right"/>
              <w:ind w:right="240"/>
              <w:spacing w:after="0"/>
              <w:rPr>
                <w:sz w:val="20"/>
                <w:szCs w:val="20"/>
                <w:color w:val="auto"/>
              </w:rPr>
            </w:pPr>
            <w:r>
              <w:rPr>
                <w:rFonts w:ascii="Arial" w:cs="Arial" w:eastAsia="Arial" w:hAnsi="Arial"/>
                <w:sz w:val="12"/>
                <w:szCs w:val="12"/>
                <w:color w:val="auto"/>
              </w:rPr>
              <w:t>—</w:t>
            </w:r>
          </w:p>
        </w:tc>
        <w:tc>
          <w:tcPr>
            <w:tcW w:w="680" w:type="dxa"/>
            <w:vAlign w:val="bottom"/>
            <w:shd w:val="clear" w:color="auto" w:fill="CCECFF"/>
          </w:tcPr>
          <w:p>
            <w:pPr>
              <w:jc w:val="right"/>
              <w:spacing w:after="0"/>
              <w:rPr>
                <w:sz w:val="20"/>
                <w:szCs w:val="20"/>
                <w:color w:val="auto"/>
              </w:rPr>
            </w:pPr>
            <w:r>
              <w:rPr>
                <w:rFonts w:ascii="Arial" w:cs="Arial" w:eastAsia="Arial" w:hAnsi="Arial"/>
                <w:sz w:val="12"/>
                <w:szCs w:val="12"/>
                <w:color w:val="auto"/>
              </w:rPr>
              <w:t>4,277</w:t>
            </w:r>
          </w:p>
        </w:tc>
        <w:tc>
          <w:tcPr>
            <w:tcW w:w="240" w:type="dxa"/>
            <w:vAlign w:val="bottom"/>
            <w:shd w:val="clear" w:color="auto" w:fill="CCECFF"/>
          </w:tcPr>
          <w:p>
            <w:pPr>
              <w:spacing w:after="0"/>
              <w:rPr>
                <w:sz w:val="12"/>
                <w:szCs w:val="12"/>
                <w:color w:val="auto"/>
              </w:rPr>
            </w:pPr>
          </w:p>
        </w:tc>
        <w:tc>
          <w:tcPr>
            <w:tcW w:w="80" w:type="dxa"/>
            <w:vAlign w:val="bottom"/>
            <w:shd w:val="clear" w:color="auto" w:fill="CCECFF"/>
          </w:tcPr>
          <w:p>
            <w:pPr>
              <w:spacing w:after="0"/>
              <w:rPr>
                <w:sz w:val="12"/>
                <w:szCs w:val="12"/>
                <w:color w:val="auto"/>
              </w:rPr>
            </w:pPr>
          </w:p>
        </w:tc>
        <w:tc>
          <w:tcPr>
            <w:tcW w:w="620" w:type="dxa"/>
            <w:vAlign w:val="bottom"/>
            <w:shd w:val="clear" w:color="auto" w:fill="CCECFF"/>
          </w:tcPr>
          <w:p>
            <w:pPr>
              <w:jc w:val="right"/>
              <w:spacing w:after="0"/>
              <w:rPr>
                <w:sz w:val="20"/>
                <w:szCs w:val="20"/>
                <w:color w:val="auto"/>
              </w:rPr>
            </w:pPr>
            <w:r>
              <w:rPr>
                <w:rFonts w:ascii="Arial" w:cs="Arial" w:eastAsia="Arial" w:hAnsi="Arial"/>
                <w:sz w:val="12"/>
                <w:szCs w:val="12"/>
                <w:color w:val="auto"/>
              </w:rPr>
              <w:t>217,635</w:t>
            </w:r>
          </w:p>
        </w:tc>
        <w:tc>
          <w:tcPr>
            <w:tcW w:w="240" w:type="dxa"/>
            <w:vAlign w:val="bottom"/>
            <w:shd w:val="clear" w:color="auto" w:fill="CCECFF"/>
          </w:tcPr>
          <w:p>
            <w:pPr>
              <w:spacing w:after="0"/>
              <w:rPr>
                <w:sz w:val="12"/>
                <w:szCs w:val="12"/>
                <w:color w:val="auto"/>
              </w:rPr>
            </w:pPr>
          </w:p>
        </w:tc>
        <w:tc>
          <w:tcPr>
            <w:tcW w:w="80" w:type="dxa"/>
            <w:vAlign w:val="bottom"/>
            <w:shd w:val="clear" w:color="auto" w:fill="CCECFF"/>
          </w:tcPr>
          <w:p>
            <w:pPr>
              <w:spacing w:after="0"/>
              <w:rPr>
                <w:sz w:val="12"/>
                <w:szCs w:val="12"/>
                <w:color w:val="auto"/>
              </w:rPr>
            </w:pPr>
          </w:p>
        </w:tc>
        <w:tc>
          <w:tcPr>
            <w:tcW w:w="640" w:type="dxa"/>
            <w:vAlign w:val="bottom"/>
            <w:shd w:val="clear" w:color="auto" w:fill="CCECFF"/>
          </w:tcPr>
          <w:p>
            <w:pPr>
              <w:jc w:val="right"/>
              <w:spacing w:after="0"/>
              <w:rPr>
                <w:sz w:val="20"/>
                <w:szCs w:val="20"/>
                <w:color w:val="auto"/>
              </w:rPr>
            </w:pPr>
            <w:r>
              <w:rPr>
                <w:rFonts w:ascii="Arial" w:cs="Arial" w:eastAsia="Arial" w:hAnsi="Arial"/>
                <w:sz w:val="12"/>
                <w:szCs w:val="12"/>
                <w:color w:val="auto"/>
              </w:rPr>
              <w:t>354,555</w:t>
            </w:r>
          </w:p>
        </w:tc>
        <w:tc>
          <w:tcPr>
            <w:tcW w:w="100" w:type="dxa"/>
            <w:vAlign w:val="bottom"/>
            <w:shd w:val="clear" w:color="auto" w:fill="CCECFF"/>
          </w:tcPr>
          <w:p>
            <w:pPr>
              <w:spacing w:after="0"/>
              <w:rPr>
                <w:sz w:val="12"/>
                <w:szCs w:val="12"/>
                <w:color w:val="auto"/>
              </w:rPr>
            </w:pPr>
          </w:p>
        </w:tc>
      </w:tr>
      <w:tr>
        <w:trPr>
          <w:trHeight w:val="148"/>
        </w:trPr>
        <w:tc>
          <w:tcPr>
            <w:tcW w:w="3080" w:type="dxa"/>
            <w:vAlign w:val="bottom"/>
          </w:tcPr>
          <w:p>
            <w:pPr>
              <w:spacing w:after="0"/>
              <w:rPr>
                <w:sz w:val="20"/>
                <w:szCs w:val="20"/>
                <w:color w:val="auto"/>
              </w:rPr>
            </w:pPr>
            <w:r>
              <w:rPr>
                <w:rFonts w:ascii="Arial" w:cs="Arial" w:eastAsia="Arial" w:hAnsi="Arial"/>
                <w:sz w:val="12"/>
                <w:szCs w:val="12"/>
                <w:color w:val="auto"/>
              </w:rPr>
              <w:t>HW Holdco, LLC</w:t>
            </w:r>
          </w:p>
        </w:tc>
        <w:tc>
          <w:tcPr>
            <w:tcW w:w="980" w:type="dxa"/>
            <w:vAlign w:val="bottom"/>
          </w:tcPr>
          <w:p>
            <w:pPr>
              <w:ind w:left="320"/>
              <w:spacing w:after="0"/>
              <w:rPr>
                <w:sz w:val="20"/>
                <w:szCs w:val="20"/>
                <w:color w:val="auto"/>
              </w:rPr>
            </w:pPr>
            <w:r>
              <w:rPr>
                <w:rFonts w:ascii="Arial" w:cs="Arial" w:eastAsia="Arial" w:hAnsi="Arial"/>
                <w:sz w:val="12"/>
                <w:szCs w:val="12"/>
                <w:color w:val="auto"/>
              </w:rPr>
              <w:t>—</w:t>
            </w:r>
          </w:p>
        </w:tc>
        <w:tc>
          <w:tcPr>
            <w:tcW w:w="2640" w:type="dxa"/>
            <w:vAlign w:val="bottom"/>
            <w:gridSpan w:val="2"/>
          </w:tcPr>
          <w:p>
            <w:pPr>
              <w:jc w:val="center"/>
              <w:ind w:right="300"/>
              <w:spacing w:after="0"/>
              <w:rPr>
                <w:sz w:val="20"/>
                <w:szCs w:val="20"/>
                <w:color w:val="auto"/>
              </w:rPr>
            </w:pPr>
            <w:r>
              <w:rPr>
                <w:rFonts w:ascii="Arial" w:cs="Arial" w:eastAsia="Arial" w:hAnsi="Arial"/>
                <w:sz w:val="12"/>
                <w:szCs w:val="12"/>
                <w:color w:val="auto"/>
                <w:w w:val="87"/>
              </w:rPr>
              <w:t>Other Media</w:t>
            </w:r>
          </w:p>
        </w:tc>
        <w:tc>
          <w:tcPr>
            <w:tcW w:w="960" w:type="dxa"/>
            <w:vAlign w:val="bottom"/>
            <w:gridSpan w:val="2"/>
          </w:tcPr>
          <w:p>
            <w:pPr>
              <w:jc w:val="right"/>
              <w:ind w:right="300"/>
              <w:spacing w:after="0"/>
              <w:rPr>
                <w:sz w:val="20"/>
                <w:szCs w:val="20"/>
                <w:color w:val="auto"/>
              </w:rPr>
            </w:pPr>
            <w:r>
              <w:rPr>
                <w:rFonts w:ascii="Arial" w:cs="Arial" w:eastAsia="Arial" w:hAnsi="Arial"/>
                <w:sz w:val="12"/>
                <w:szCs w:val="12"/>
                <w:color w:val="auto"/>
              </w:rPr>
              <w:t>—</w:t>
            </w:r>
          </w:p>
        </w:tc>
        <w:tc>
          <w:tcPr>
            <w:tcW w:w="900" w:type="dxa"/>
            <w:vAlign w:val="bottom"/>
            <w:gridSpan w:val="2"/>
          </w:tcPr>
          <w:p>
            <w:pPr>
              <w:jc w:val="right"/>
              <w:ind w:right="240"/>
              <w:spacing w:after="0"/>
              <w:rPr>
                <w:sz w:val="20"/>
                <w:szCs w:val="20"/>
                <w:color w:val="auto"/>
              </w:rPr>
            </w:pPr>
            <w:r>
              <w:rPr>
                <w:rFonts w:ascii="Arial" w:cs="Arial" w:eastAsia="Arial" w:hAnsi="Arial"/>
                <w:sz w:val="12"/>
                <w:szCs w:val="12"/>
                <w:color w:val="auto"/>
              </w:rPr>
              <w:t>—</w:t>
            </w:r>
          </w:p>
        </w:tc>
        <w:tc>
          <w:tcPr>
            <w:tcW w:w="680" w:type="dxa"/>
            <w:vAlign w:val="bottom"/>
          </w:tcPr>
          <w:p>
            <w:pPr>
              <w:jc w:val="right"/>
              <w:spacing w:after="0"/>
              <w:rPr>
                <w:sz w:val="20"/>
                <w:szCs w:val="20"/>
                <w:color w:val="auto"/>
              </w:rPr>
            </w:pPr>
            <w:r>
              <w:rPr>
                <w:rFonts w:ascii="Arial" w:cs="Arial" w:eastAsia="Arial" w:hAnsi="Arial"/>
                <w:sz w:val="12"/>
                <w:szCs w:val="12"/>
                <w:color w:val="auto"/>
              </w:rPr>
              <w:t>388,378</w:t>
            </w:r>
          </w:p>
        </w:tc>
        <w:tc>
          <w:tcPr>
            <w:tcW w:w="2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20" w:type="dxa"/>
            <w:vAlign w:val="bottom"/>
          </w:tcPr>
          <w:p>
            <w:pPr>
              <w:jc w:val="right"/>
              <w:spacing w:after="0"/>
              <w:rPr>
                <w:sz w:val="20"/>
                <w:szCs w:val="20"/>
                <w:color w:val="auto"/>
              </w:rPr>
            </w:pPr>
            <w:r>
              <w:rPr>
                <w:rFonts w:ascii="Arial" w:cs="Arial" w:eastAsia="Arial" w:hAnsi="Arial"/>
                <w:sz w:val="12"/>
                <w:szCs w:val="12"/>
                <w:color w:val="auto"/>
              </w:rPr>
              <w:t>—</w:t>
            </w:r>
          </w:p>
        </w:tc>
        <w:tc>
          <w:tcPr>
            <w:tcW w:w="2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40" w:type="dxa"/>
            <w:vAlign w:val="bottom"/>
          </w:tcPr>
          <w:p>
            <w:pPr>
              <w:jc w:val="right"/>
              <w:spacing w:after="0"/>
              <w:rPr>
                <w:sz w:val="20"/>
                <w:szCs w:val="20"/>
                <w:color w:val="auto"/>
              </w:rPr>
            </w:pPr>
            <w:r>
              <w:rPr>
                <w:rFonts w:ascii="Arial" w:cs="Arial" w:eastAsia="Arial" w:hAnsi="Arial"/>
                <w:sz w:val="12"/>
                <w:szCs w:val="12"/>
                <w:color w:val="auto"/>
              </w:rPr>
              <w:t>3,512,420</w:t>
            </w:r>
          </w:p>
        </w:tc>
        <w:tc>
          <w:tcPr>
            <w:tcW w:w="100" w:type="dxa"/>
            <w:vAlign w:val="bottom"/>
          </w:tcPr>
          <w:p>
            <w:pPr>
              <w:spacing w:after="0"/>
              <w:rPr>
                <w:sz w:val="12"/>
                <w:szCs w:val="12"/>
                <w:color w:val="auto"/>
              </w:rPr>
            </w:pPr>
          </w:p>
        </w:tc>
      </w:tr>
      <w:tr>
        <w:trPr>
          <w:trHeight w:val="148"/>
        </w:trPr>
        <w:tc>
          <w:tcPr>
            <w:tcW w:w="3080" w:type="dxa"/>
            <w:vAlign w:val="bottom"/>
            <w:shd w:val="clear" w:color="auto" w:fill="CCECFF"/>
          </w:tcPr>
          <w:p>
            <w:pPr>
              <w:spacing w:after="0"/>
              <w:rPr>
                <w:sz w:val="20"/>
                <w:szCs w:val="20"/>
                <w:color w:val="auto"/>
              </w:rPr>
            </w:pPr>
            <w:r>
              <w:rPr>
                <w:rFonts w:ascii="Arial" w:cs="Arial" w:eastAsia="Arial" w:hAnsi="Arial"/>
                <w:sz w:val="12"/>
                <w:szCs w:val="12"/>
                <w:color w:val="auto"/>
              </w:rPr>
              <w:t>Kadmon Holdings, Inc.</w:t>
            </w:r>
          </w:p>
        </w:tc>
        <w:tc>
          <w:tcPr>
            <w:tcW w:w="980" w:type="dxa"/>
            <w:vAlign w:val="bottom"/>
            <w:shd w:val="clear" w:color="auto" w:fill="CCECFF"/>
          </w:tcPr>
          <w:p>
            <w:pPr>
              <w:ind w:left="320"/>
              <w:spacing w:after="0"/>
              <w:rPr>
                <w:sz w:val="20"/>
                <w:szCs w:val="20"/>
                <w:color w:val="auto"/>
              </w:rPr>
            </w:pPr>
            <w:r>
              <w:rPr>
                <w:rFonts w:ascii="Arial" w:cs="Arial" w:eastAsia="Arial" w:hAnsi="Arial"/>
                <w:sz w:val="12"/>
                <w:szCs w:val="12"/>
                <w:color w:val="auto"/>
              </w:rPr>
              <w:t>—</w:t>
            </w:r>
          </w:p>
        </w:tc>
        <w:tc>
          <w:tcPr>
            <w:tcW w:w="2640" w:type="dxa"/>
            <w:vAlign w:val="bottom"/>
            <w:gridSpan w:val="2"/>
            <w:shd w:val="clear" w:color="auto" w:fill="CCECFF"/>
          </w:tcPr>
          <w:p>
            <w:pPr>
              <w:jc w:val="center"/>
              <w:ind w:right="280"/>
              <w:spacing w:after="0"/>
              <w:rPr>
                <w:sz w:val="20"/>
                <w:szCs w:val="20"/>
                <w:color w:val="auto"/>
              </w:rPr>
            </w:pPr>
            <w:r>
              <w:rPr>
                <w:rFonts w:ascii="Arial" w:cs="Arial" w:eastAsia="Arial" w:hAnsi="Arial"/>
                <w:sz w:val="12"/>
                <w:szCs w:val="12"/>
                <w:color w:val="auto"/>
                <w:w w:val="87"/>
              </w:rPr>
              <w:t>Healthcare, Education and Childcare</w:t>
            </w:r>
          </w:p>
        </w:tc>
        <w:tc>
          <w:tcPr>
            <w:tcW w:w="960" w:type="dxa"/>
            <w:vAlign w:val="bottom"/>
            <w:gridSpan w:val="2"/>
            <w:shd w:val="clear" w:color="auto" w:fill="CCECFF"/>
          </w:tcPr>
          <w:p>
            <w:pPr>
              <w:jc w:val="right"/>
              <w:ind w:right="300"/>
              <w:spacing w:after="0"/>
              <w:rPr>
                <w:sz w:val="20"/>
                <w:szCs w:val="20"/>
                <w:color w:val="auto"/>
              </w:rPr>
            </w:pPr>
            <w:r>
              <w:rPr>
                <w:rFonts w:ascii="Arial" w:cs="Arial" w:eastAsia="Arial" w:hAnsi="Arial"/>
                <w:sz w:val="12"/>
                <w:szCs w:val="12"/>
                <w:color w:val="auto"/>
              </w:rPr>
              <w:t>—</w:t>
            </w:r>
          </w:p>
        </w:tc>
        <w:tc>
          <w:tcPr>
            <w:tcW w:w="900" w:type="dxa"/>
            <w:vAlign w:val="bottom"/>
            <w:gridSpan w:val="2"/>
            <w:shd w:val="clear" w:color="auto" w:fill="CCECFF"/>
          </w:tcPr>
          <w:p>
            <w:pPr>
              <w:jc w:val="right"/>
              <w:ind w:right="240"/>
              <w:spacing w:after="0"/>
              <w:rPr>
                <w:sz w:val="20"/>
                <w:szCs w:val="20"/>
                <w:color w:val="auto"/>
              </w:rPr>
            </w:pPr>
            <w:r>
              <w:rPr>
                <w:rFonts w:ascii="Arial" w:cs="Arial" w:eastAsia="Arial" w:hAnsi="Arial"/>
                <w:sz w:val="12"/>
                <w:szCs w:val="12"/>
                <w:color w:val="auto"/>
              </w:rPr>
              <w:t>—</w:t>
            </w:r>
          </w:p>
        </w:tc>
        <w:tc>
          <w:tcPr>
            <w:tcW w:w="680" w:type="dxa"/>
            <w:vAlign w:val="bottom"/>
            <w:shd w:val="clear" w:color="auto" w:fill="CCECFF"/>
          </w:tcPr>
          <w:p>
            <w:pPr>
              <w:jc w:val="right"/>
              <w:spacing w:after="0"/>
              <w:rPr>
                <w:sz w:val="20"/>
                <w:szCs w:val="20"/>
                <w:color w:val="auto"/>
              </w:rPr>
            </w:pPr>
            <w:r>
              <w:rPr>
                <w:rFonts w:ascii="Arial" w:cs="Arial" w:eastAsia="Arial" w:hAnsi="Arial"/>
                <w:sz w:val="12"/>
                <w:szCs w:val="12"/>
                <w:color w:val="auto"/>
              </w:rPr>
              <w:t>252,014</w:t>
            </w:r>
          </w:p>
        </w:tc>
        <w:tc>
          <w:tcPr>
            <w:tcW w:w="240" w:type="dxa"/>
            <w:vAlign w:val="bottom"/>
            <w:shd w:val="clear" w:color="auto" w:fill="CCECFF"/>
          </w:tcPr>
          <w:p>
            <w:pPr>
              <w:spacing w:after="0"/>
              <w:rPr>
                <w:sz w:val="12"/>
                <w:szCs w:val="12"/>
                <w:color w:val="auto"/>
              </w:rPr>
            </w:pPr>
          </w:p>
        </w:tc>
        <w:tc>
          <w:tcPr>
            <w:tcW w:w="80" w:type="dxa"/>
            <w:vAlign w:val="bottom"/>
            <w:shd w:val="clear" w:color="auto" w:fill="CCECFF"/>
          </w:tcPr>
          <w:p>
            <w:pPr>
              <w:spacing w:after="0"/>
              <w:rPr>
                <w:sz w:val="12"/>
                <w:szCs w:val="12"/>
                <w:color w:val="auto"/>
              </w:rPr>
            </w:pPr>
          </w:p>
        </w:tc>
        <w:tc>
          <w:tcPr>
            <w:tcW w:w="620" w:type="dxa"/>
            <w:vAlign w:val="bottom"/>
            <w:shd w:val="clear" w:color="auto" w:fill="CCECFF"/>
          </w:tcPr>
          <w:p>
            <w:pPr>
              <w:jc w:val="right"/>
              <w:spacing w:after="0"/>
              <w:rPr>
                <w:sz w:val="20"/>
                <w:szCs w:val="20"/>
                <w:color w:val="auto"/>
              </w:rPr>
            </w:pPr>
            <w:r>
              <w:rPr>
                <w:rFonts w:ascii="Arial" w:cs="Arial" w:eastAsia="Arial" w:hAnsi="Arial"/>
                <w:sz w:val="12"/>
                <w:szCs w:val="12"/>
                <w:color w:val="auto"/>
              </w:rPr>
              <w:t>2,265,639</w:t>
            </w:r>
          </w:p>
        </w:tc>
        <w:tc>
          <w:tcPr>
            <w:tcW w:w="240" w:type="dxa"/>
            <w:vAlign w:val="bottom"/>
            <w:shd w:val="clear" w:color="auto" w:fill="CCECFF"/>
          </w:tcPr>
          <w:p>
            <w:pPr>
              <w:spacing w:after="0"/>
              <w:rPr>
                <w:sz w:val="12"/>
                <w:szCs w:val="12"/>
                <w:color w:val="auto"/>
              </w:rPr>
            </w:pPr>
          </w:p>
        </w:tc>
        <w:tc>
          <w:tcPr>
            <w:tcW w:w="80" w:type="dxa"/>
            <w:vAlign w:val="bottom"/>
            <w:shd w:val="clear" w:color="auto" w:fill="CCECFF"/>
          </w:tcPr>
          <w:p>
            <w:pPr>
              <w:spacing w:after="0"/>
              <w:rPr>
                <w:sz w:val="12"/>
                <w:szCs w:val="12"/>
                <w:color w:val="auto"/>
              </w:rPr>
            </w:pPr>
          </w:p>
        </w:tc>
        <w:tc>
          <w:tcPr>
            <w:tcW w:w="640" w:type="dxa"/>
            <w:vAlign w:val="bottom"/>
            <w:shd w:val="clear" w:color="auto" w:fill="CCECFF"/>
          </w:tcPr>
          <w:p>
            <w:pPr>
              <w:jc w:val="right"/>
              <w:spacing w:after="0"/>
              <w:rPr>
                <w:sz w:val="20"/>
                <w:szCs w:val="20"/>
                <w:color w:val="auto"/>
              </w:rPr>
            </w:pPr>
            <w:r>
              <w:rPr>
                <w:rFonts w:ascii="Arial" w:cs="Arial" w:eastAsia="Arial" w:hAnsi="Arial"/>
                <w:sz w:val="12"/>
                <w:szCs w:val="12"/>
                <w:color w:val="auto"/>
              </w:rPr>
              <w:t>1,849,783</w:t>
            </w:r>
          </w:p>
        </w:tc>
        <w:tc>
          <w:tcPr>
            <w:tcW w:w="100" w:type="dxa"/>
            <w:vAlign w:val="bottom"/>
            <w:shd w:val="clear" w:color="auto" w:fill="CCECFF"/>
          </w:tcPr>
          <w:p>
            <w:pPr>
              <w:spacing w:after="0"/>
              <w:rPr>
                <w:sz w:val="12"/>
                <w:szCs w:val="12"/>
                <w:color w:val="auto"/>
              </w:rPr>
            </w:pPr>
          </w:p>
        </w:tc>
      </w:tr>
      <w:tr>
        <w:trPr>
          <w:trHeight w:val="148"/>
        </w:trPr>
        <w:tc>
          <w:tcPr>
            <w:tcW w:w="3080" w:type="dxa"/>
            <w:vAlign w:val="bottom"/>
          </w:tcPr>
          <w:p>
            <w:pPr>
              <w:spacing w:after="0"/>
              <w:rPr>
                <w:sz w:val="20"/>
                <w:szCs w:val="20"/>
                <w:color w:val="auto"/>
              </w:rPr>
            </w:pPr>
            <w:r>
              <w:rPr>
                <w:rFonts w:ascii="Arial" w:cs="Arial" w:eastAsia="Arial" w:hAnsi="Arial"/>
                <w:sz w:val="12"/>
                <w:szCs w:val="12"/>
                <w:color w:val="auto"/>
              </w:rPr>
              <w:t xml:space="preserve">LaMi Acquisition, LLC </w:t>
            </w:r>
            <w:r>
              <w:rPr>
                <w:rFonts w:ascii="Arial" w:cs="Arial" w:eastAsia="Arial" w:hAnsi="Arial"/>
                <w:sz w:val="9"/>
                <w:szCs w:val="9"/>
                <w:color w:val="auto"/>
              </w:rPr>
              <w:t>(10)</w:t>
            </w:r>
          </w:p>
        </w:tc>
        <w:tc>
          <w:tcPr>
            <w:tcW w:w="980" w:type="dxa"/>
            <w:vAlign w:val="bottom"/>
          </w:tcPr>
          <w:p>
            <w:pPr>
              <w:ind w:left="320"/>
              <w:spacing w:after="0"/>
              <w:rPr>
                <w:sz w:val="20"/>
                <w:szCs w:val="20"/>
                <w:color w:val="auto"/>
              </w:rPr>
            </w:pPr>
            <w:r>
              <w:rPr>
                <w:rFonts w:ascii="Arial" w:cs="Arial" w:eastAsia="Arial" w:hAnsi="Arial"/>
                <w:sz w:val="12"/>
                <w:szCs w:val="12"/>
                <w:color w:val="auto"/>
              </w:rPr>
              <w:t>—</w:t>
            </w:r>
          </w:p>
        </w:tc>
        <w:tc>
          <w:tcPr>
            <w:tcW w:w="2640" w:type="dxa"/>
            <w:vAlign w:val="bottom"/>
            <w:gridSpan w:val="2"/>
          </w:tcPr>
          <w:p>
            <w:pPr>
              <w:jc w:val="center"/>
              <w:ind w:right="280"/>
              <w:spacing w:after="0"/>
              <w:rPr>
                <w:sz w:val="20"/>
                <w:szCs w:val="20"/>
                <w:color w:val="auto"/>
              </w:rPr>
            </w:pPr>
            <w:r>
              <w:rPr>
                <w:rFonts w:ascii="Arial" w:cs="Arial" w:eastAsia="Arial" w:hAnsi="Arial"/>
                <w:sz w:val="12"/>
                <w:szCs w:val="12"/>
                <w:color w:val="auto"/>
                <w:w w:val="93"/>
              </w:rPr>
              <w:t>Distribution</w:t>
            </w:r>
          </w:p>
        </w:tc>
        <w:tc>
          <w:tcPr>
            <w:tcW w:w="960" w:type="dxa"/>
            <w:vAlign w:val="bottom"/>
            <w:gridSpan w:val="2"/>
          </w:tcPr>
          <w:p>
            <w:pPr>
              <w:jc w:val="right"/>
              <w:ind w:right="300"/>
              <w:spacing w:after="0"/>
              <w:rPr>
                <w:sz w:val="20"/>
                <w:szCs w:val="20"/>
                <w:color w:val="auto"/>
              </w:rPr>
            </w:pPr>
            <w:r>
              <w:rPr>
                <w:rFonts w:ascii="Arial" w:cs="Arial" w:eastAsia="Arial" w:hAnsi="Arial"/>
                <w:sz w:val="12"/>
                <w:szCs w:val="12"/>
                <w:color w:val="auto"/>
              </w:rPr>
              <w:t>—</w:t>
            </w:r>
          </w:p>
        </w:tc>
        <w:tc>
          <w:tcPr>
            <w:tcW w:w="900" w:type="dxa"/>
            <w:vAlign w:val="bottom"/>
            <w:gridSpan w:val="2"/>
          </w:tcPr>
          <w:p>
            <w:pPr>
              <w:jc w:val="right"/>
              <w:ind w:right="240"/>
              <w:spacing w:after="0"/>
              <w:rPr>
                <w:sz w:val="20"/>
                <w:szCs w:val="20"/>
                <w:color w:val="auto"/>
              </w:rPr>
            </w:pPr>
            <w:r>
              <w:rPr>
                <w:rFonts w:ascii="Arial" w:cs="Arial" w:eastAsia="Arial" w:hAnsi="Arial"/>
                <w:sz w:val="12"/>
                <w:szCs w:val="12"/>
                <w:color w:val="auto"/>
              </w:rPr>
              <w:t>—</w:t>
            </w:r>
          </w:p>
        </w:tc>
        <w:tc>
          <w:tcPr>
            <w:tcW w:w="680" w:type="dxa"/>
            <w:vAlign w:val="bottom"/>
          </w:tcPr>
          <w:p>
            <w:pPr>
              <w:jc w:val="right"/>
              <w:spacing w:after="0"/>
              <w:rPr>
                <w:sz w:val="20"/>
                <w:szCs w:val="20"/>
                <w:color w:val="auto"/>
              </w:rPr>
            </w:pPr>
            <w:r>
              <w:rPr>
                <w:rFonts w:ascii="Arial" w:cs="Arial" w:eastAsia="Arial" w:hAnsi="Arial"/>
                <w:sz w:val="12"/>
                <w:szCs w:val="12"/>
                <w:color w:val="auto"/>
              </w:rPr>
              <w:t>19</w:t>
            </w:r>
          </w:p>
        </w:tc>
        <w:tc>
          <w:tcPr>
            <w:tcW w:w="2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20" w:type="dxa"/>
            <w:vAlign w:val="bottom"/>
          </w:tcPr>
          <w:p>
            <w:pPr>
              <w:jc w:val="right"/>
              <w:spacing w:after="0"/>
              <w:rPr>
                <w:sz w:val="20"/>
                <w:szCs w:val="20"/>
                <w:color w:val="auto"/>
              </w:rPr>
            </w:pPr>
            <w:r>
              <w:rPr>
                <w:rFonts w:ascii="Arial" w:cs="Arial" w:eastAsia="Arial" w:hAnsi="Arial"/>
                <w:sz w:val="12"/>
                <w:szCs w:val="12"/>
                <w:color w:val="auto"/>
              </w:rPr>
              <w:t>493,280</w:t>
            </w:r>
          </w:p>
        </w:tc>
        <w:tc>
          <w:tcPr>
            <w:tcW w:w="2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40" w:type="dxa"/>
            <w:vAlign w:val="bottom"/>
          </w:tcPr>
          <w:p>
            <w:pPr>
              <w:jc w:val="right"/>
              <w:spacing w:after="0"/>
              <w:rPr>
                <w:sz w:val="20"/>
                <w:szCs w:val="20"/>
                <w:color w:val="auto"/>
              </w:rPr>
            </w:pPr>
            <w:r>
              <w:rPr>
                <w:rFonts w:ascii="Arial" w:cs="Arial" w:eastAsia="Arial" w:hAnsi="Arial"/>
                <w:sz w:val="12"/>
                <w:szCs w:val="12"/>
                <w:color w:val="auto"/>
              </w:rPr>
              <w:t>526,382</w:t>
            </w:r>
          </w:p>
        </w:tc>
        <w:tc>
          <w:tcPr>
            <w:tcW w:w="100" w:type="dxa"/>
            <w:vAlign w:val="bottom"/>
          </w:tcPr>
          <w:p>
            <w:pPr>
              <w:spacing w:after="0"/>
              <w:rPr>
                <w:sz w:val="12"/>
                <w:szCs w:val="12"/>
                <w:color w:val="auto"/>
              </w:rPr>
            </w:pPr>
          </w:p>
        </w:tc>
      </w:tr>
      <w:tr>
        <w:trPr>
          <w:trHeight w:val="149"/>
        </w:trPr>
        <w:tc>
          <w:tcPr>
            <w:tcW w:w="3080" w:type="dxa"/>
            <w:vAlign w:val="bottom"/>
            <w:shd w:val="clear" w:color="auto" w:fill="CCECFF"/>
          </w:tcPr>
          <w:p>
            <w:pPr>
              <w:spacing w:after="0"/>
              <w:rPr>
                <w:sz w:val="20"/>
                <w:szCs w:val="20"/>
                <w:color w:val="auto"/>
              </w:rPr>
            </w:pPr>
            <w:r>
              <w:rPr>
                <w:rFonts w:ascii="Arial" w:cs="Arial" w:eastAsia="Arial" w:hAnsi="Arial"/>
                <w:sz w:val="12"/>
                <w:szCs w:val="12"/>
                <w:color w:val="auto"/>
              </w:rPr>
              <w:t xml:space="preserve">Lariat ecoserv Co-Invest Holdings, LLC </w:t>
            </w:r>
            <w:r>
              <w:rPr>
                <w:rFonts w:ascii="Arial" w:cs="Arial" w:eastAsia="Arial" w:hAnsi="Arial"/>
                <w:sz w:val="9"/>
                <w:szCs w:val="9"/>
                <w:color w:val="auto"/>
              </w:rPr>
              <w:t>(10)</w:t>
            </w:r>
          </w:p>
        </w:tc>
        <w:tc>
          <w:tcPr>
            <w:tcW w:w="980" w:type="dxa"/>
            <w:vAlign w:val="bottom"/>
            <w:shd w:val="clear" w:color="auto" w:fill="CCECFF"/>
          </w:tcPr>
          <w:p>
            <w:pPr>
              <w:ind w:left="320"/>
              <w:spacing w:after="0"/>
              <w:rPr>
                <w:sz w:val="20"/>
                <w:szCs w:val="20"/>
                <w:color w:val="auto"/>
              </w:rPr>
            </w:pPr>
            <w:r>
              <w:rPr>
                <w:rFonts w:ascii="Arial" w:cs="Arial" w:eastAsia="Arial" w:hAnsi="Arial"/>
                <w:sz w:val="12"/>
                <w:szCs w:val="12"/>
                <w:color w:val="auto"/>
              </w:rPr>
              <w:t>—</w:t>
            </w:r>
          </w:p>
        </w:tc>
        <w:tc>
          <w:tcPr>
            <w:tcW w:w="2640" w:type="dxa"/>
            <w:vAlign w:val="bottom"/>
            <w:gridSpan w:val="2"/>
            <w:shd w:val="clear" w:color="auto" w:fill="CCECFF"/>
          </w:tcPr>
          <w:p>
            <w:pPr>
              <w:jc w:val="center"/>
              <w:ind w:right="280"/>
              <w:spacing w:after="0"/>
              <w:rPr>
                <w:sz w:val="20"/>
                <w:szCs w:val="20"/>
                <w:color w:val="auto"/>
              </w:rPr>
            </w:pPr>
            <w:r>
              <w:rPr>
                <w:rFonts w:ascii="Arial" w:cs="Arial" w:eastAsia="Arial" w:hAnsi="Arial"/>
                <w:sz w:val="12"/>
                <w:szCs w:val="12"/>
                <w:color w:val="auto"/>
                <w:w w:val="88"/>
              </w:rPr>
              <w:t>Environmental Services</w:t>
            </w:r>
          </w:p>
        </w:tc>
        <w:tc>
          <w:tcPr>
            <w:tcW w:w="960" w:type="dxa"/>
            <w:vAlign w:val="bottom"/>
            <w:gridSpan w:val="2"/>
            <w:shd w:val="clear" w:color="auto" w:fill="CCECFF"/>
          </w:tcPr>
          <w:p>
            <w:pPr>
              <w:jc w:val="right"/>
              <w:ind w:right="300"/>
              <w:spacing w:after="0"/>
              <w:rPr>
                <w:sz w:val="20"/>
                <w:szCs w:val="20"/>
                <w:color w:val="auto"/>
              </w:rPr>
            </w:pPr>
            <w:r>
              <w:rPr>
                <w:rFonts w:ascii="Arial" w:cs="Arial" w:eastAsia="Arial" w:hAnsi="Arial"/>
                <w:sz w:val="12"/>
                <w:szCs w:val="12"/>
                <w:color w:val="auto"/>
              </w:rPr>
              <w:t>—</w:t>
            </w:r>
          </w:p>
        </w:tc>
        <w:tc>
          <w:tcPr>
            <w:tcW w:w="900" w:type="dxa"/>
            <w:vAlign w:val="bottom"/>
            <w:gridSpan w:val="2"/>
            <w:shd w:val="clear" w:color="auto" w:fill="CCECFF"/>
          </w:tcPr>
          <w:p>
            <w:pPr>
              <w:jc w:val="right"/>
              <w:ind w:right="240"/>
              <w:spacing w:after="0"/>
              <w:rPr>
                <w:sz w:val="20"/>
                <w:szCs w:val="20"/>
                <w:color w:val="auto"/>
              </w:rPr>
            </w:pPr>
            <w:r>
              <w:rPr>
                <w:rFonts w:ascii="Arial" w:cs="Arial" w:eastAsia="Arial" w:hAnsi="Arial"/>
                <w:sz w:val="12"/>
                <w:szCs w:val="12"/>
                <w:color w:val="auto"/>
              </w:rPr>
              <w:t>—</w:t>
            </w:r>
          </w:p>
        </w:tc>
        <w:tc>
          <w:tcPr>
            <w:tcW w:w="680" w:type="dxa"/>
            <w:vAlign w:val="bottom"/>
            <w:shd w:val="clear" w:color="auto" w:fill="CCECFF"/>
          </w:tcPr>
          <w:p>
            <w:pPr>
              <w:jc w:val="right"/>
              <w:spacing w:after="0"/>
              <w:rPr>
                <w:sz w:val="20"/>
                <w:szCs w:val="20"/>
                <w:color w:val="auto"/>
              </w:rPr>
            </w:pPr>
            <w:r>
              <w:rPr>
                <w:rFonts w:ascii="Arial" w:cs="Arial" w:eastAsia="Arial" w:hAnsi="Arial"/>
                <w:sz w:val="12"/>
                <w:szCs w:val="12"/>
                <w:color w:val="auto"/>
              </w:rPr>
              <w:t>1,000,000</w:t>
            </w:r>
          </w:p>
        </w:tc>
        <w:tc>
          <w:tcPr>
            <w:tcW w:w="240" w:type="dxa"/>
            <w:vAlign w:val="bottom"/>
            <w:shd w:val="clear" w:color="auto" w:fill="CCECFF"/>
          </w:tcPr>
          <w:p>
            <w:pPr>
              <w:spacing w:after="0"/>
              <w:rPr>
                <w:sz w:val="12"/>
                <w:szCs w:val="12"/>
                <w:color w:val="auto"/>
              </w:rPr>
            </w:pPr>
          </w:p>
        </w:tc>
        <w:tc>
          <w:tcPr>
            <w:tcW w:w="80" w:type="dxa"/>
            <w:vAlign w:val="bottom"/>
            <w:shd w:val="clear" w:color="auto" w:fill="CCECFF"/>
          </w:tcPr>
          <w:p>
            <w:pPr>
              <w:spacing w:after="0"/>
              <w:rPr>
                <w:sz w:val="12"/>
                <w:szCs w:val="12"/>
                <w:color w:val="auto"/>
              </w:rPr>
            </w:pPr>
          </w:p>
        </w:tc>
        <w:tc>
          <w:tcPr>
            <w:tcW w:w="620" w:type="dxa"/>
            <w:vAlign w:val="bottom"/>
            <w:shd w:val="clear" w:color="auto" w:fill="CCECFF"/>
          </w:tcPr>
          <w:p>
            <w:pPr>
              <w:jc w:val="right"/>
              <w:spacing w:after="0"/>
              <w:rPr>
                <w:sz w:val="20"/>
                <w:szCs w:val="20"/>
                <w:color w:val="auto"/>
              </w:rPr>
            </w:pPr>
            <w:r>
              <w:rPr>
                <w:rFonts w:ascii="Arial" w:cs="Arial" w:eastAsia="Arial" w:hAnsi="Arial"/>
                <w:sz w:val="12"/>
                <w:szCs w:val="12"/>
                <w:color w:val="auto"/>
              </w:rPr>
              <w:t>1,000,000</w:t>
            </w:r>
          </w:p>
        </w:tc>
        <w:tc>
          <w:tcPr>
            <w:tcW w:w="240" w:type="dxa"/>
            <w:vAlign w:val="bottom"/>
            <w:shd w:val="clear" w:color="auto" w:fill="CCECFF"/>
          </w:tcPr>
          <w:p>
            <w:pPr>
              <w:spacing w:after="0"/>
              <w:rPr>
                <w:sz w:val="12"/>
                <w:szCs w:val="12"/>
                <w:color w:val="auto"/>
              </w:rPr>
            </w:pPr>
          </w:p>
        </w:tc>
        <w:tc>
          <w:tcPr>
            <w:tcW w:w="80" w:type="dxa"/>
            <w:vAlign w:val="bottom"/>
            <w:shd w:val="clear" w:color="auto" w:fill="CCECFF"/>
          </w:tcPr>
          <w:p>
            <w:pPr>
              <w:spacing w:after="0"/>
              <w:rPr>
                <w:sz w:val="12"/>
                <w:szCs w:val="12"/>
                <w:color w:val="auto"/>
              </w:rPr>
            </w:pPr>
          </w:p>
        </w:tc>
        <w:tc>
          <w:tcPr>
            <w:tcW w:w="740" w:type="dxa"/>
            <w:vAlign w:val="bottom"/>
            <w:gridSpan w:val="2"/>
            <w:shd w:val="clear" w:color="auto" w:fill="CCECFF"/>
          </w:tcPr>
          <w:p>
            <w:pPr>
              <w:jc w:val="right"/>
              <w:ind w:right="120"/>
              <w:spacing w:after="0"/>
              <w:rPr>
                <w:sz w:val="20"/>
                <w:szCs w:val="20"/>
                <w:color w:val="auto"/>
              </w:rPr>
            </w:pPr>
            <w:r>
              <w:rPr>
                <w:rFonts w:ascii="Arial" w:cs="Arial" w:eastAsia="Arial" w:hAnsi="Arial"/>
                <w:sz w:val="12"/>
                <w:szCs w:val="12"/>
                <w:color w:val="auto"/>
              </w:rPr>
              <w:t>—</w:t>
            </w:r>
          </w:p>
        </w:tc>
      </w:tr>
      <w:tr>
        <w:trPr>
          <w:trHeight w:val="142"/>
        </w:trPr>
        <w:tc>
          <w:tcPr>
            <w:tcW w:w="3080" w:type="dxa"/>
            <w:vAlign w:val="bottom"/>
          </w:tcPr>
          <w:p>
            <w:pPr>
              <w:spacing w:after="0"/>
              <w:rPr>
                <w:sz w:val="20"/>
                <w:szCs w:val="20"/>
                <w:color w:val="auto"/>
              </w:rPr>
            </w:pPr>
            <w:r>
              <w:rPr>
                <w:rFonts w:ascii="Arial" w:cs="Arial" w:eastAsia="Arial" w:hAnsi="Arial"/>
                <w:sz w:val="12"/>
                <w:szCs w:val="12"/>
                <w:color w:val="auto"/>
              </w:rPr>
              <w:t>MidOcean PPL Holdings, Corp.</w:t>
            </w:r>
          </w:p>
        </w:tc>
        <w:tc>
          <w:tcPr>
            <w:tcW w:w="980" w:type="dxa"/>
            <w:vAlign w:val="bottom"/>
          </w:tcPr>
          <w:p>
            <w:pPr>
              <w:ind w:left="320"/>
              <w:spacing w:after="0"/>
              <w:rPr>
                <w:sz w:val="20"/>
                <w:szCs w:val="20"/>
                <w:color w:val="auto"/>
              </w:rPr>
            </w:pPr>
            <w:r>
              <w:rPr>
                <w:rFonts w:ascii="Arial" w:cs="Arial" w:eastAsia="Arial" w:hAnsi="Arial"/>
                <w:sz w:val="12"/>
                <w:szCs w:val="12"/>
                <w:color w:val="auto"/>
              </w:rPr>
              <w:t>—</w:t>
            </w:r>
          </w:p>
        </w:tc>
        <w:tc>
          <w:tcPr>
            <w:tcW w:w="2640" w:type="dxa"/>
            <w:vAlign w:val="bottom"/>
            <w:gridSpan w:val="2"/>
          </w:tcPr>
          <w:p>
            <w:pPr>
              <w:jc w:val="center"/>
              <w:ind w:right="300"/>
              <w:spacing w:after="0"/>
              <w:rPr>
                <w:sz w:val="20"/>
                <w:szCs w:val="20"/>
                <w:color w:val="auto"/>
              </w:rPr>
            </w:pPr>
            <w:r>
              <w:rPr>
                <w:rFonts w:ascii="Arial" w:cs="Arial" w:eastAsia="Arial" w:hAnsi="Arial"/>
                <w:sz w:val="12"/>
                <w:szCs w:val="12"/>
                <w:color w:val="auto"/>
                <w:w w:val="86"/>
              </w:rPr>
              <w:t>Personal, Food and Miscellaneous Services</w:t>
            </w:r>
          </w:p>
        </w:tc>
        <w:tc>
          <w:tcPr>
            <w:tcW w:w="960" w:type="dxa"/>
            <w:vAlign w:val="bottom"/>
            <w:gridSpan w:val="2"/>
          </w:tcPr>
          <w:p>
            <w:pPr>
              <w:jc w:val="right"/>
              <w:ind w:right="300"/>
              <w:spacing w:after="0"/>
              <w:rPr>
                <w:sz w:val="20"/>
                <w:szCs w:val="20"/>
                <w:color w:val="auto"/>
              </w:rPr>
            </w:pPr>
            <w:r>
              <w:rPr>
                <w:rFonts w:ascii="Arial" w:cs="Arial" w:eastAsia="Arial" w:hAnsi="Arial"/>
                <w:sz w:val="12"/>
                <w:szCs w:val="12"/>
                <w:color w:val="auto"/>
              </w:rPr>
              <w:t>—</w:t>
            </w:r>
          </w:p>
        </w:tc>
        <w:tc>
          <w:tcPr>
            <w:tcW w:w="900" w:type="dxa"/>
            <w:vAlign w:val="bottom"/>
            <w:gridSpan w:val="2"/>
          </w:tcPr>
          <w:p>
            <w:pPr>
              <w:jc w:val="right"/>
              <w:ind w:right="240"/>
              <w:spacing w:after="0"/>
              <w:rPr>
                <w:sz w:val="20"/>
                <w:szCs w:val="20"/>
                <w:color w:val="auto"/>
              </w:rPr>
            </w:pPr>
            <w:r>
              <w:rPr>
                <w:rFonts w:ascii="Arial" w:cs="Arial" w:eastAsia="Arial" w:hAnsi="Arial"/>
                <w:sz w:val="12"/>
                <w:szCs w:val="12"/>
                <w:color w:val="auto"/>
              </w:rPr>
              <w:t>—</w:t>
            </w:r>
          </w:p>
        </w:tc>
        <w:tc>
          <w:tcPr>
            <w:tcW w:w="680" w:type="dxa"/>
            <w:vAlign w:val="bottom"/>
          </w:tcPr>
          <w:p>
            <w:pPr>
              <w:jc w:val="right"/>
              <w:spacing w:after="0"/>
              <w:rPr>
                <w:sz w:val="20"/>
                <w:szCs w:val="20"/>
                <w:color w:val="auto"/>
              </w:rPr>
            </w:pPr>
            <w:r>
              <w:rPr>
                <w:rFonts w:ascii="Arial" w:cs="Arial" w:eastAsia="Arial" w:hAnsi="Arial"/>
                <w:sz w:val="12"/>
                <w:szCs w:val="12"/>
                <w:color w:val="auto"/>
              </w:rPr>
              <w:t>3,000</w:t>
            </w:r>
          </w:p>
        </w:tc>
        <w:tc>
          <w:tcPr>
            <w:tcW w:w="2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20" w:type="dxa"/>
            <w:vAlign w:val="bottom"/>
          </w:tcPr>
          <w:p>
            <w:pPr>
              <w:jc w:val="right"/>
              <w:spacing w:after="0"/>
              <w:rPr>
                <w:sz w:val="20"/>
                <w:szCs w:val="20"/>
                <w:color w:val="auto"/>
              </w:rPr>
            </w:pPr>
            <w:r>
              <w:rPr>
                <w:rFonts w:ascii="Arial" w:cs="Arial" w:eastAsia="Arial" w:hAnsi="Arial"/>
                <w:sz w:val="12"/>
                <w:szCs w:val="12"/>
                <w:color w:val="auto"/>
              </w:rPr>
              <w:t>3,000,000</w:t>
            </w:r>
          </w:p>
        </w:tc>
        <w:tc>
          <w:tcPr>
            <w:tcW w:w="2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40" w:type="dxa"/>
            <w:vAlign w:val="bottom"/>
          </w:tcPr>
          <w:p>
            <w:pPr>
              <w:jc w:val="right"/>
              <w:spacing w:after="0"/>
              <w:rPr>
                <w:sz w:val="20"/>
                <w:szCs w:val="20"/>
                <w:color w:val="auto"/>
              </w:rPr>
            </w:pPr>
            <w:r>
              <w:rPr>
                <w:rFonts w:ascii="Arial" w:cs="Arial" w:eastAsia="Arial" w:hAnsi="Arial"/>
                <w:sz w:val="12"/>
                <w:szCs w:val="12"/>
                <w:color w:val="auto"/>
              </w:rPr>
              <w:t>5,959,292</w:t>
            </w:r>
          </w:p>
        </w:tc>
        <w:tc>
          <w:tcPr>
            <w:tcW w:w="100" w:type="dxa"/>
            <w:vAlign w:val="bottom"/>
          </w:tcPr>
          <w:p>
            <w:pPr>
              <w:spacing w:after="0"/>
              <w:rPr>
                <w:sz w:val="12"/>
                <w:szCs w:val="12"/>
                <w:color w:val="auto"/>
              </w:rPr>
            </w:pPr>
          </w:p>
        </w:tc>
      </w:tr>
      <w:tr>
        <w:trPr>
          <w:trHeight w:val="141"/>
        </w:trPr>
        <w:tc>
          <w:tcPr>
            <w:tcW w:w="3080" w:type="dxa"/>
            <w:vAlign w:val="bottom"/>
          </w:tcPr>
          <w:p>
            <w:pPr>
              <w:ind w:left="100"/>
              <w:spacing w:after="0"/>
              <w:rPr>
                <w:sz w:val="20"/>
                <w:szCs w:val="20"/>
                <w:color w:val="auto"/>
              </w:rPr>
            </w:pPr>
            <w:r>
              <w:rPr>
                <w:rFonts w:ascii="Arial" w:cs="Arial" w:eastAsia="Arial" w:hAnsi="Arial"/>
                <w:sz w:val="12"/>
                <w:szCs w:val="12"/>
                <w:color w:val="auto"/>
              </w:rPr>
              <w:t>(Pre-Paid Legal Services, Inc.)</w:t>
            </w:r>
          </w:p>
        </w:tc>
        <w:tc>
          <w:tcPr>
            <w:tcW w:w="980" w:type="dxa"/>
            <w:vAlign w:val="bottom"/>
          </w:tcPr>
          <w:p>
            <w:pPr>
              <w:spacing w:after="0"/>
              <w:rPr>
                <w:sz w:val="12"/>
                <w:szCs w:val="12"/>
                <w:color w:val="auto"/>
              </w:rPr>
            </w:pPr>
          </w:p>
        </w:tc>
        <w:tc>
          <w:tcPr>
            <w:tcW w:w="25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00" w:type="dxa"/>
            <w:vAlign w:val="bottom"/>
          </w:tcPr>
          <w:p>
            <w:pPr>
              <w:spacing w:after="0"/>
              <w:rPr>
                <w:sz w:val="12"/>
                <w:szCs w:val="12"/>
                <w:color w:val="auto"/>
              </w:rPr>
            </w:pPr>
          </w:p>
        </w:tc>
      </w:tr>
      <w:tr>
        <w:trPr>
          <w:trHeight w:val="148"/>
        </w:trPr>
        <w:tc>
          <w:tcPr>
            <w:tcW w:w="3080" w:type="dxa"/>
            <w:vAlign w:val="bottom"/>
            <w:shd w:val="clear" w:color="auto" w:fill="CCECFF"/>
          </w:tcPr>
          <w:p>
            <w:pPr>
              <w:spacing w:after="0"/>
              <w:rPr>
                <w:sz w:val="20"/>
                <w:szCs w:val="20"/>
                <w:color w:val="auto"/>
              </w:rPr>
            </w:pPr>
            <w:r>
              <w:rPr>
                <w:rFonts w:ascii="Arial" w:cs="Arial" w:eastAsia="Arial" w:hAnsi="Arial"/>
                <w:sz w:val="12"/>
                <w:szCs w:val="12"/>
                <w:color w:val="auto"/>
              </w:rPr>
              <w:t>Patriot National, Inc.</w:t>
            </w:r>
          </w:p>
        </w:tc>
        <w:tc>
          <w:tcPr>
            <w:tcW w:w="980" w:type="dxa"/>
            <w:vAlign w:val="bottom"/>
            <w:shd w:val="clear" w:color="auto" w:fill="CCECFF"/>
          </w:tcPr>
          <w:p>
            <w:pPr>
              <w:ind w:left="320"/>
              <w:spacing w:after="0"/>
              <w:rPr>
                <w:sz w:val="20"/>
                <w:szCs w:val="20"/>
                <w:color w:val="auto"/>
              </w:rPr>
            </w:pPr>
            <w:r>
              <w:rPr>
                <w:rFonts w:ascii="Arial" w:cs="Arial" w:eastAsia="Arial" w:hAnsi="Arial"/>
                <w:sz w:val="12"/>
                <w:szCs w:val="12"/>
                <w:color w:val="auto"/>
              </w:rPr>
              <w:t>—</w:t>
            </w:r>
          </w:p>
        </w:tc>
        <w:tc>
          <w:tcPr>
            <w:tcW w:w="2640" w:type="dxa"/>
            <w:vAlign w:val="bottom"/>
            <w:gridSpan w:val="2"/>
            <w:shd w:val="clear" w:color="auto" w:fill="CCECFF"/>
          </w:tcPr>
          <w:p>
            <w:pPr>
              <w:jc w:val="center"/>
              <w:ind w:right="300"/>
              <w:spacing w:after="0"/>
              <w:rPr>
                <w:sz w:val="20"/>
                <w:szCs w:val="20"/>
                <w:color w:val="auto"/>
              </w:rPr>
            </w:pPr>
            <w:r>
              <w:rPr>
                <w:rFonts w:ascii="Arial" w:cs="Arial" w:eastAsia="Arial" w:hAnsi="Arial"/>
                <w:sz w:val="12"/>
                <w:szCs w:val="12"/>
                <w:color w:val="auto"/>
                <w:w w:val="87"/>
              </w:rPr>
              <w:t>Insurance</w:t>
            </w:r>
          </w:p>
        </w:tc>
        <w:tc>
          <w:tcPr>
            <w:tcW w:w="960" w:type="dxa"/>
            <w:vAlign w:val="bottom"/>
            <w:gridSpan w:val="2"/>
            <w:shd w:val="clear" w:color="auto" w:fill="CCECFF"/>
          </w:tcPr>
          <w:p>
            <w:pPr>
              <w:jc w:val="right"/>
              <w:ind w:right="300"/>
              <w:spacing w:after="0"/>
              <w:rPr>
                <w:sz w:val="20"/>
                <w:szCs w:val="20"/>
                <w:color w:val="auto"/>
              </w:rPr>
            </w:pPr>
            <w:r>
              <w:rPr>
                <w:rFonts w:ascii="Arial" w:cs="Arial" w:eastAsia="Arial" w:hAnsi="Arial"/>
                <w:sz w:val="12"/>
                <w:szCs w:val="12"/>
                <w:color w:val="auto"/>
              </w:rPr>
              <w:t>—</w:t>
            </w:r>
          </w:p>
        </w:tc>
        <w:tc>
          <w:tcPr>
            <w:tcW w:w="900" w:type="dxa"/>
            <w:vAlign w:val="bottom"/>
            <w:gridSpan w:val="2"/>
            <w:shd w:val="clear" w:color="auto" w:fill="CCECFF"/>
          </w:tcPr>
          <w:p>
            <w:pPr>
              <w:jc w:val="right"/>
              <w:ind w:right="240"/>
              <w:spacing w:after="0"/>
              <w:rPr>
                <w:sz w:val="20"/>
                <w:szCs w:val="20"/>
                <w:color w:val="auto"/>
              </w:rPr>
            </w:pPr>
            <w:r>
              <w:rPr>
                <w:rFonts w:ascii="Arial" w:cs="Arial" w:eastAsia="Arial" w:hAnsi="Arial"/>
                <w:sz w:val="12"/>
                <w:szCs w:val="12"/>
                <w:color w:val="auto"/>
              </w:rPr>
              <w:t>—</w:t>
            </w:r>
          </w:p>
        </w:tc>
        <w:tc>
          <w:tcPr>
            <w:tcW w:w="680" w:type="dxa"/>
            <w:vAlign w:val="bottom"/>
            <w:shd w:val="clear" w:color="auto" w:fill="CCECFF"/>
          </w:tcPr>
          <w:p>
            <w:pPr>
              <w:jc w:val="right"/>
              <w:spacing w:after="0"/>
              <w:rPr>
                <w:sz w:val="20"/>
                <w:szCs w:val="20"/>
                <w:color w:val="auto"/>
              </w:rPr>
            </w:pPr>
            <w:r>
              <w:rPr>
                <w:rFonts w:ascii="Arial" w:cs="Arial" w:eastAsia="Arial" w:hAnsi="Arial"/>
                <w:sz w:val="12"/>
                <w:szCs w:val="12"/>
                <w:color w:val="auto"/>
              </w:rPr>
              <w:t>100,885</w:t>
            </w:r>
          </w:p>
        </w:tc>
        <w:tc>
          <w:tcPr>
            <w:tcW w:w="240" w:type="dxa"/>
            <w:vAlign w:val="bottom"/>
            <w:shd w:val="clear" w:color="auto" w:fill="CCECFF"/>
          </w:tcPr>
          <w:p>
            <w:pPr>
              <w:spacing w:after="0"/>
              <w:rPr>
                <w:sz w:val="12"/>
                <w:szCs w:val="12"/>
                <w:color w:val="auto"/>
              </w:rPr>
            </w:pPr>
          </w:p>
        </w:tc>
        <w:tc>
          <w:tcPr>
            <w:tcW w:w="80" w:type="dxa"/>
            <w:vAlign w:val="bottom"/>
            <w:shd w:val="clear" w:color="auto" w:fill="CCECFF"/>
          </w:tcPr>
          <w:p>
            <w:pPr>
              <w:spacing w:after="0"/>
              <w:rPr>
                <w:sz w:val="12"/>
                <w:szCs w:val="12"/>
                <w:color w:val="auto"/>
              </w:rPr>
            </w:pPr>
          </w:p>
        </w:tc>
        <w:tc>
          <w:tcPr>
            <w:tcW w:w="620" w:type="dxa"/>
            <w:vAlign w:val="bottom"/>
            <w:shd w:val="clear" w:color="auto" w:fill="CCECFF"/>
          </w:tcPr>
          <w:p>
            <w:pPr>
              <w:jc w:val="right"/>
              <w:spacing w:after="0"/>
              <w:rPr>
                <w:sz w:val="20"/>
                <w:szCs w:val="20"/>
                <w:color w:val="auto"/>
              </w:rPr>
            </w:pPr>
            <w:r>
              <w:rPr>
                <w:rFonts w:ascii="Arial" w:cs="Arial" w:eastAsia="Arial" w:hAnsi="Arial"/>
                <w:sz w:val="12"/>
                <w:szCs w:val="12"/>
                <w:color w:val="auto"/>
              </w:rPr>
              <w:t>238,038</w:t>
            </w:r>
          </w:p>
        </w:tc>
        <w:tc>
          <w:tcPr>
            <w:tcW w:w="240" w:type="dxa"/>
            <w:vAlign w:val="bottom"/>
            <w:shd w:val="clear" w:color="auto" w:fill="CCECFF"/>
          </w:tcPr>
          <w:p>
            <w:pPr>
              <w:spacing w:after="0"/>
              <w:rPr>
                <w:sz w:val="12"/>
                <w:szCs w:val="12"/>
                <w:color w:val="auto"/>
              </w:rPr>
            </w:pPr>
          </w:p>
        </w:tc>
        <w:tc>
          <w:tcPr>
            <w:tcW w:w="80" w:type="dxa"/>
            <w:vAlign w:val="bottom"/>
            <w:shd w:val="clear" w:color="auto" w:fill="CCECFF"/>
          </w:tcPr>
          <w:p>
            <w:pPr>
              <w:spacing w:after="0"/>
              <w:rPr>
                <w:sz w:val="12"/>
                <w:szCs w:val="12"/>
                <w:color w:val="auto"/>
              </w:rPr>
            </w:pPr>
          </w:p>
        </w:tc>
        <w:tc>
          <w:tcPr>
            <w:tcW w:w="640" w:type="dxa"/>
            <w:vAlign w:val="bottom"/>
            <w:shd w:val="clear" w:color="auto" w:fill="CCECFF"/>
          </w:tcPr>
          <w:p>
            <w:pPr>
              <w:jc w:val="right"/>
              <w:spacing w:after="0"/>
              <w:rPr>
                <w:sz w:val="20"/>
                <w:szCs w:val="20"/>
                <w:color w:val="auto"/>
              </w:rPr>
            </w:pPr>
            <w:r>
              <w:rPr>
                <w:rFonts w:ascii="Arial" w:cs="Arial" w:eastAsia="Arial" w:hAnsi="Arial"/>
                <w:sz w:val="12"/>
                <w:szCs w:val="12"/>
                <w:color w:val="auto"/>
              </w:rPr>
              <w:t>908,974</w:t>
            </w:r>
          </w:p>
        </w:tc>
        <w:tc>
          <w:tcPr>
            <w:tcW w:w="100" w:type="dxa"/>
            <w:vAlign w:val="bottom"/>
            <w:shd w:val="clear" w:color="auto" w:fill="CCECFF"/>
          </w:tcPr>
          <w:p>
            <w:pPr>
              <w:spacing w:after="0"/>
              <w:rPr>
                <w:sz w:val="12"/>
                <w:szCs w:val="12"/>
                <w:color w:val="auto"/>
              </w:rPr>
            </w:pPr>
          </w:p>
        </w:tc>
      </w:tr>
      <w:tr>
        <w:trPr>
          <w:trHeight w:val="148"/>
        </w:trPr>
        <w:tc>
          <w:tcPr>
            <w:tcW w:w="3080" w:type="dxa"/>
            <w:vAlign w:val="bottom"/>
          </w:tcPr>
          <w:p>
            <w:pPr>
              <w:spacing w:after="0"/>
              <w:rPr>
                <w:sz w:val="20"/>
                <w:szCs w:val="20"/>
                <w:color w:val="auto"/>
              </w:rPr>
            </w:pPr>
            <w:r>
              <w:rPr>
                <w:rFonts w:ascii="Arial" w:cs="Arial" w:eastAsia="Arial" w:hAnsi="Arial"/>
                <w:sz w:val="12"/>
                <w:szCs w:val="12"/>
                <w:color w:val="auto"/>
              </w:rPr>
              <w:t xml:space="preserve">Power Products Holdings, LLC, Class A Units </w:t>
            </w:r>
            <w:r>
              <w:rPr>
                <w:rFonts w:ascii="Arial" w:cs="Arial" w:eastAsia="Arial" w:hAnsi="Arial"/>
                <w:sz w:val="9"/>
                <w:szCs w:val="9"/>
                <w:color w:val="auto"/>
              </w:rPr>
              <w:t>(10)</w:t>
            </w:r>
          </w:p>
        </w:tc>
        <w:tc>
          <w:tcPr>
            <w:tcW w:w="980" w:type="dxa"/>
            <w:vAlign w:val="bottom"/>
          </w:tcPr>
          <w:p>
            <w:pPr>
              <w:ind w:left="320"/>
              <w:spacing w:after="0"/>
              <w:rPr>
                <w:sz w:val="20"/>
                <w:szCs w:val="20"/>
                <w:color w:val="auto"/>
              </w:rPr>
            </w:pPr>
            <w:r>
              <w:rPr>
                <w:rFonts w:ascii="Arial" w:cs="Arial" w:eastAsia="Arial" w:hAnsi="Arial"/>
                <w:sz w:val="12"/>
                <w:szCs w:val="12"/>
                <w:color w:val="auto"/>
              </w:rPr>
              <w:t>—</w:t>
            </w:r>
          </w:p>
        </w:tc>
        <w:tc>
          <w:tcPr>
            <w:tcW w:w="2640" w:type="dxa"/>
            <w:vAlign w:val="bottom"/>
            <w:gridSpan w:val="2"/>
          </w:tcPr>
          <w:p>
            <w:pPr>
              <w:jc w:val="center"/>
              <w:ind w:right="300"/>
              <w:spacing w:after="0"/>
              <w:rPr>
                <w:sz w:val="20"/>
                <w:szCs w:val="20"/>
                <w:color w:val="auto"/>
              </w:rPr>
            </w:pPr>
            <w:r>
              <w:rPr>
                <w:rFonts w:ascii="Arial" w:cs="Arial" w:eastAsia="Arial" w:hAnsi="Arial"/>
                <w:sz w:val="12"/>
                <w:szCs w:val="12"/>
                <w:color w:val="auto"/>
                <w:w w:val="91"/>
              </w:rPr>
              <w:t>Electronics</w:t>
            </w:r>
          </w:p>
        </w:tc>
        <w:tc>
          <w:tcPr>
            <w:tcW w:w="960" w:type="dxa"/>
            <w:vAlign w:val="bottom"/>
            <w:gridSpan w:val="2"/>
          </w:tcPr>
          <w:p>
            <w:pPr>
              <w:jc w:val="right"/>
              <w:ind w:right="300"/>
              <w:spacing w:after="0"/>
              <w:rPr>
                <w:sz w:val="20"/>
                <w:szCs w:val="20"/>
                <w:color w:val="auto"/>
              </w:rPr>
            </w:pPr>
            <w:r>
              <w:rPr>
                <w:rFonts w:ascii="Arial" w:cs="Arial" w:eastAsia="Arial" w:hAnsi="Arial"/>
                <w:sz w:val="12"/>
                <w:szCs w:val="12"/>
                <w:color w:val="auto"/>
              </w:rPr>
              <w:t>—</w:t>
            </w:r>
          </w:p>
        </w:tc>
        <w:tc>
          <w:tcPr>
            <w:tcW w:w="900" w:type="dxa"/>
            <w:vAlign w:val="bottom"/>
            <w:gridSpan w:val="2"/>
          </w:tcPr>
          <w:p>
            <w:pPr>
              <w:jc w:val="right"/>
              <w:ind w:right="240"/>
              <w:spacing w:after="0"/>
              <w:rPr>
                <w:sz w:val="20"/>
                <w:szCs w:val="20"/>
                <w:color w:val="auto"/>
              </w:rPr>
            </w:pPr>
            <w:r>
              <w:rPr>
                <w:rFonts w:ascii="Arial" w:cs="Arial" w:eastAsia="Arial" w:hAnsi="Arial"/>
                <w:sz w:val="12"/>
                <w:szCs w:val="12"/>
                <w:color w:val="auto"/>
              </w:rPr>
              <w:t>—</w:t>
            </w:r>
          </w:p>
        </w:tc>
        <w:tc>
          <w:tcPr>
            <w:tcW w:w="680" w:type="dxa"/>
            <w:vAlign w:val="bottom"/>
          </w:tcPr>
          <w:p>
            <w:pPr>
              <w:jc w:val="right"/>
              <w:spacing w:after="0"/>
              <w:rPr>
                <w:sz w:val="20"/>
                <w:szCs w:val="20"/>
                <w:color w:val="auto"/>
              </w:rPr>
            </w:pPr>
            <w:r>
              <w:rPr>
                <w:rFonts w:ascii="Arial" w:cs="Arial" w:eastAsia="Arial" w:hAnsi="Arial"/>
                <w:sz w:val="12"/>
                <w:szCs w:val="12"/>
                <w:color w:val="auto"/>
              </w:rPr>
              <w:t>1,350,000</w:t>
            </w:r>
          </w:p>
        </w:tc>
        <w:tc>
          <w:tcPr>
            <w:tcW w:w="2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20" w:type="dxa"/>
            <w:vAlign w:val="bottom"/>
          </w:tcPr>
          <w:p>
            <w:pPr>
              <w:jc w:val="right"/>
              <w:spacing w:after="0"/>
              <w:rPr>
                <w:sz w:val="20"/>
                <w:szCs w:val="20"/>
                <w:color w:val="auto"/>
              </w:rPr>
            </w:pPr>
            <w:r>
              <w:rPr>
                <w:rFonts w:ascii="Arial" w:cs="Arial" w:eastAsia="Arial" w:hAnsi="Arial"/>
                <w:sz w:val="12"/>
                <w:szCs w:val="12"/>
                <w:color w:val="auto"/>
              </w:rPr>
              <w:t>901,263</w:t>
            </w:r>
          </w:p>
        </w:tc>
        <w:tc>
          <w:tcPr>
            <w:tcW w:w="2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40" w:type="dxa"/>
            <w:vAlign w:val="bottom"/>
          </w:tcPr>
          <w:p>
            <w:pPr>
              <w:jc w:val="right"/>
              <w:spacing w:after="0"/>
              <w:rPr>
                <w:sz w:val="20"/>
                <w:szCs w:val="20"/>
                <w:color w:val="auto"/>
              </w:rPr>
            </w:pPr>
            <w:r>
              <w:rPr>
                <w:rFonts w:ascii="Arial" w:cs="Arial" w:eastAsia="Arial" w:hAnsi="Arial"/>
                <w:sz w:val="12"/>
                <w:szCs w:val="12"/>
                <w:color w:val="auto"/>
              </w:rPr>
              <w:t>1,223,409</w:t>
            </w:r>
          </w:p>
        </w:tc>
        <w:tc>
          <w:tcPr>
            <w:tcW w:w="100" w:type="dxa"/>
            <w:vAlign w:val="bottom"/>
          </w:tcPr>
          <w:p>
            <w:pPr>
              <w:spacing w:after="0"/>
              <w:rPr>
                <w:sz w:val="12"/>
                <w:szCs w:val="12"/>
                <w:color w:val="auto"/>
              </w:rPr>
            </w:pPr>
          </w:p>
        </w:tc>
      </w:tr>
      <w:tr>
        <w:trPr>
          <w:trHeight w:val="148"/>
        </w:trPr>
        <w:tc>
          <w:tcPr>
            <w:tcW w:w="3080" w:type="dxa"/>
            <w:vAlign w:val="bottom"/>
            <w:shd w:val="clear" w:color="auto" w:fill="CCECFF"/>
          </w:tcPr>
          <w:p>
            <w:pPr>
              <w:spacing w:after="0"/>
              <w:rPr>
                <w:sz w:val="20"/>
                <w:szCs w:val="20"/>
                <w:color w:val="auto"/>
              </w:rPr>
            </w:pPr>
            <w:r>
              <w:rPr>
                <w:rFonts w:ascii="Arial" w:cs="Arial" w:eastAsia="Arial" w:hAnsi="Arial"/>
                <w:sz w:val="12"/>
                <w:szCs w:val="12"/>
                <w:color w:val="auto"/>
              </w:rPr>
              <w:t xml:space="preserve">Power Products Holdings, LLC, Class B Units </w:t>
            </w:r>
            <w:r>
              <w:rPr>
                <w:rFonts w:ascii="Arial" w:cs="Arial" w:eastAsia="Arial" w:hAnsi="Arial"/>
                <w:sz w:val="9"/>
                <w:szCs w:val="9"/>
                <w:color w:val="auto"/>
              </w:rPr>
              <w:t>(10)</w:t>
            </w:r>
          </w:p>
        </w:tc>
        <w:tc>
          <w:tcPr>
            <w:tcW w:w="980" w:type="dxa"/>
            <w:vAlign w:val="bottom"/>
            <w:shd w:val="clear" w:color="auto" w:fill="CCECFF"/>
          </w:tcPr>
          <w:p>
            <w:pPr>
              <w:ind w:left="320"/>
              <w:spacing w:after="0"/>
              <w:rPr>
                <w:sz w:val="20"/>
                <w:szCs w:val="20"/>
                <w:color w:val="auto"/>
              </w:rPr>
            </w:pPr>
            <w:r>
              <w:rPr>
                <w:rFonts w:ascii="Arial" w:cs="Arial" w:eastAsia="Arial" w:hAnsi="Arial"/>
                <w:sz w:val="12"/>
                <w:szCs w:val="12"/>
                <w:color w:val="auto"/>
              </w:rPr>
              <w:t>—</w:t>
            </w:r>
          </w:p>
        </w:tc>
        <w:tc>
          <w:tcPr>
            <w:tcW w:w="2640" w:type="dxa"/>
            <w:vAlign w:val="bottom"/>
            <w:gridSpan w:val="2"/>
            <w:shd w:val="clear" w:color="auto" w:fill="CCECFF"/>
          </w:tcPr>
          <w:p>
            <w:pPr>
              <w:jc w:val="center"/>
              <w:ind w:right="300"/>
              <w:spacing w:after="0"/>
              <w:rPr>
                <w:sz w:val="20"/>
                <w:szCs w:val="20"/>
                <w:color w:val="auto"/>
              </w:rPr>
            </w:pPr>
            <w:r>
              <w:rPr>
                <w:rFonts w:ascii="Arial" w:cs="Arial" w:eastAsia="Arial" w:hAnsi="Arial"/>
                <w:sz w:val="12"/>
                <w:szCs w:val="12"/>
                <w:color w:val="auto"/>
                <w:w w:val="91"/>
              </w:rPr>
              <w:t>Electronics</w:t>
            </w:r>
          </w:p>
        </w:tc>
        <w:tc>
          <w:tcPr>
            <w:tcW w:w="960" w:type="dxa"/>
            <w:vAlign w:val="bottom"/>
            <w:gridSpan w:val="2"/>
            <w:shd w:val="clear" w:color="auto" w:fill="CCECFF"/>
          </w:tcPr>
          <w:p>
            <w:pPr>
              <w:jc w:val="right"/>
              <w:ind w:right="300"/>
              <w:spacing w:after="0"/>
              <w:rPr>
                <w:sz w:val="20"/>
                <w:szCs w:val="20"/>
                <w:color w:val="auto"/>
              </w:rPr>
            </w:pPr>
            <w:r>
              <w:rPr>
                <w:rFonts w:ascii="Arial" w:cs="Arial" w:eastAsia="Arial" w:hAnsi="Arial"/>
                <w:sz w:val="12"/>
                <w:szCs w:val="12"/>
                <w:color w:val="auto"/>
              </w:rPr>
              <w:t>—</w:t>
            </w:r>
          </w:p>
        </w:tc>
        <w:tc>
          <w:tcPr>
            <w:tcW w:w="900" w:type="dxa"/>
            <w:vAlign w:val="bottom"/>
            <w:gridSpan w:val="2"/>
            <w:shd w:val="clear" w:color="auto" w:fill="CCECFF"/>
          </w:tcPr>
          <w:p>
            <w:pPr>
              <w:jc w:val="right"/>
              <w:ind w:right="240"/>
              <w:spacing w:after="0"/>
              <w:rPr>
                <w:sz w:val="20"/>
                <w:szCs w:val="20"/>
                <w:color w:val="auto"/>
              </w:rPr>
            </w:pPr>
            <w:r>
              <w:rPr>
                <w:rFonts w:ascii="Arial" w:cs="Arial" w:eastAsia="Arial" w:hAnsi="Arial"/>
                <w:sz w:val="12"/>
                <w:szCs w:val="12"/>
                <w:color w:val="auto"/>
              </w:rPr>
              <w:t>—</w:t>
            </w:r>
          </w:p>
        </w:tc>
        <w:tc>
          <w:tcPr>
            <w:tcW w:w="680" w:type="dxa"/>
            <w:vAlign w:val="bottom"/>
            <w:shd w:val="clear" w:color="auto" w:fill="CCECFF"/>
          </w:tcPr>
          <w:p>
            <w:pPr>
              <w:jc w:val="right"/>
              <w:spacing w:after="0"/>
              <w:rPr>
                <w:sz w:val="20"/>
                <w:szCs w:val="20"/>
                <w:color w:val="auto"/>
              </w:rPr>
            </w:pPr>
            <w:r>
              <w:rPr>
                <w:rFonts w:ascii="Arial" w:cs="Arial" w:eastAsia="Arial" w:hAnsi="Arial"/>
                <w:sz w:val="12"/>
                <w:szCs w:val="12"/>
                <w:color w:val="auto"/>
              </w:rPr>
              <w:t>150,000</w:t>
            </w:r>
          </w:p>
        </w:tc>
        <w:tc>
          <w:tcPr>
            <w:tcW w:w="240" w:type="dxa"/>
            <w:vAlign w:val="bottom"/>
            <w:shd w:val="clear" w:color="auto" w:fill="CCECFF"/>
          </w:tcPr>
          <w:p>
            <w:pPr>
              <w:spacing w:after="0"/>
              <w:rPr>
                <w:sz w:val="12"/>
                <w:szCs w:val="12"/>
                <w:color w:val="auto"/>
              </w:rPr>
            </w:pPr>
          </w:p>
        </w:tc>
        <w:tc>
          <w:tcPr>
            <w:tcW w:w="80" w:type="dxa"/>
            <w:vAlign w:val="bottom"/>
            <w:shd w:val="clear" w:color="auto" w:fill="CCECFF"/>
          </w:tcPr>
          <w:p>
            <w:pPr>
              <w:spacing w:after="0"/>
              <w:rPr>
                <w:sz w:val="12"/>
                <w:szCs w:val="12"/>
                <w:color w:val="auto"/>
              </w:rPr>
            </w:pPr>
          </w:p>
        </w:tc>
        <w:tc>
          <w:tcPr>
            <w:tcW w:w="620" w:type="dxa"/>
            <w:vAlign w:val="bottom"/>
            <w:shd w:val="clear" w:color="auto" w:fill="CCECFF"/>
          </w:tcPr>
          <w:p>
            <w:pPr>
              <w:jc w:val="right"/>
              <w:spacing w:after="0"/>
              <w:rPr>
                <w:sz w:val="20"/>
                <w:szCs w:val="20"/>
                <w:color w:val="auto"/>
              </w:rPr>
            </w:pPr>
            <w:r>
              <w:rPr>
                <w:rFonts w:ascii="Arial" w:cs="Arial" w:eastAsia="Arial" w:hAnsi="Arial"/>
                <w:sz w:val="12"/>
                <w:szCs w:val="12"/>
                <w:color w:val="auto"/>
              </w:rPr>
              <w:t>142,300</w:t>
            </w:r>
          </w:p>
        </w:tc>
        <w:tc>
          <w:tcPr>
            <w:tcW w:w="240" w:type="dxa"/>
            <w:vAlign w:val="bottom"/>
            <w:shd w:val="clear" w:color="auto" w:fill="CCECFF"/>
          </w:tcPr>
          <w:p>
            <w:pPr>
              <w:spacing w:after="0"/>
              <w:rPr>
                <w:sz w:val="12"/>
                <w:szCs w:val="12"/>
                <w:color w:val="auto"/>
              </w:rPr>
            </w:pPr>
          </w:p>
        </w:tc>
        <w:tc>
          <w:tcPr>
            <w:tcW w:w="80" w:type="dxa"/>
            <w:vAlign w:val="bottom"/>
            <w:shd w:val="clear" w:color="auto" w:fill="CCECFF"/>
          </w:tcPr>
          <w:p>
            <w:pPr>
              <w:spacing w:after="0"/>
              <w:rPr>
                <w:sz w:val="12"/>
                <w:szCs w:val="12"/>
                <w:color w:val="auto"/>
              </w:rPr>
            </w:pPr>
          </w:p>
        </w:tc>
        <w:tc>
          <w:tcPr>
            <w:tcW w:w="640" w:type="dxa"/>
            <w:vAlign w:val="bottom"/>
            <w:shd w:val="clear" w:color="auto" w:fill="CCECFF"/>
          </w:tcPr>
          <w:p>
            <w:pPr>
              <w:jc w:val="right"/>
              <w:spacing w:after="0"/>
              <w:rPr>
                <w:sz w:val="20"/>
                <w:szCs w:val="20"/>
                <w:color w:val="auto"/>
              </w:rPr>
            </w:pPr>
            <w:r>
              <w:rPr>
                <w:rFonts w:ascii="Arial" w:cs="Arial" w:eastAsia="Arial" w:hAnsi="Arial"/>
                <w:sz w:val="12"/>
                <w:szCs w:val="12"/>
                <w:color w:val="auto"/>
              </w:rPr>
              <w:t>2,800,010</w:t>
            </w:r>
          </w:p>
        </w:tc>
        <w:tc>
          <w:tcPr>
            <w:tcW w:w="100" w:type="dxa"/>
            <w:vAlign w:val="bottom"/>
            <w:shd w:val="clear" w:color="auto" w:fill="CCECFF"/>
          </w:tcPr>
          <w:p>
            <w:pPr>
              <w:spacing w:after="0"/>
              <w:rPr>
                <w:sz w:val="12"/>
                <w:szCs w:val="12"/>
                <w:color w:val="auto"/>
              </w:rPr>
            </w:pPr>
          </w:p>
        </w:tc>
      </w:tr>
      <w:tr>
        <w:trPr>
          <w:trHeight w:val="149"/>
        </w:trPr>
        <w:tc>
          <w:tcPr>
            <w:tcW w:w="3080" w:type="dxa"/>
            <w:vAlign w:val="bottom"/>
          </w:tcPr>
          <w:p>
            <w:pPr>
              <w:spacing w:after="0"/>
              <w:rPr>
                <w:sz w:val="20"/>
                <w:szCs w:val="20"/>
                <w:color w:val="auto"/>
              </w:rPr>
            </w:pPr>
            <w:r>
              <w:rPr>
                <w:rFonts w:ascii="Arial" w:cs="Arial" w:eastAsia="Arial" w:hAnsi="Arial"/>
                <w:sz w:val="12"/>
                <w:szCs w:val="12"/>
                <w:color w:val="auto"/>
              </w:rPr>
              <w:t>Roto Holdings, Inc.</w:t>
            </w:r>
          </w:p>
        </w:tc>
        <w:tc>
          <w:tcPr>
            <w:tcW w:w="980" w:type="dxa"/>
            <w:vAlign w:val="bottom"/>
          </w:tcPr>
          <w:p>
            <w:pPr>
              <w:ind w:left="320"/>
              <w:spacing w:after="0"/>
              <w:rPr>
                <w:sz w:val="20"/>
                <w:szCs w:val="20"/>
                <w:color w:val="auto"/>
              </w:rPr>
            </w:pPr>
            <w:r>
              <w:rPr>
                <w:rFonts w:ascii="Arial" w:cs="Arial" w:eastAsia="Arial" w:hAnsi="Arial"/>
                <w:sz w:val="12"/>
                <w:szCs w:val="12"/>
                <w:color w:val="auto"/>
              </w:rPr>
              <w:t>—</w:t>
            </w:r>
          </w:p>
        </w:tc>
        <w:tc>
          <w:tcPr>
            <w:tcW w:w="2640" w:type="dxa"/>
            <w:vAlign w:val="bottom"/>
            <w:gridSpan w:val="2"/>
          </w:tcPr>
          <w:p>
            <w:pPr>
              <w:jc w:val="center"/>
              <w:ind w:right="300"/>
              <w:spacing w:after="0"/>
              <w:rPr>
                <w:sz w:val="20"/>
                <w:szCs w:val="20"/>
                <w:color w:val="auto"/>
              </w:rPr>
            </w:pPr>
            <w:r>
              <w:rPr>
                <w:rFonts w:ascii="Arial" w:cs="Arial" w:eastAsia="Arial" w:hAnsi="Arial"/>
                <w:sz w:val="12"/>
                <w:szCs w:val="12"/>
                <w:color w:val="auto"/>
                <w:w w:val="90"/>
              </w:rPr>
              <w:t>Manufacturing / Basic Industries</w:t>
            </w:r>
          </w:p>
        </w:tc>
        <w:tc>
          <w:tcPr>
            <w:tcW w:w="960" w:type="dxa"/>
            <w:vAlign w:val="bottom"/>
            <w:gridSpan w:val="2"/>
          </w:tcPr>
          <w:p>
            <w:pPr>
              <w:jc w:val="right"/>
              <w:ind w:right="300"/>
              <w:spacing w:after="0"/>
              <w:rPr>
                <w:sz w:val="20"/>
                <w:szCs w:val="20"/>
                <w:color w:val="auto"/>
              </w:rPr>
            </w:pPr>
            <w:r>
              <w:rPr>
                <w:rFonts w:ascii="Arial" w:cs="Arial" w:eastAsia="Arial" w:hAnsi="Arial"/>
                <w:sz w:val="12"/>
                <w:szCs w:val="12"/>
                <w:color w:val="auto"/>
              </w:rPr>
              <w:t>—</w:t>
            </w:r>
          </w:p>
        </w:tc>
        <w:tc>
          <w:tcPr>
            <w:tcW w:w="900" w:type="dxa"/>
            <w:vAlign w:val="bottom"/>
            <w:gridSpan w:val="2"/>
          </w:tcPr>
          <w:p>
            <w:pPr>
              <w:jc w:val="right"/>
              <w:ind w:right="240"/>
              <w:spacing w:after="0"/>
              <w:rPr>
                <w:sz w:val="20"/>
                <w:szCs w:val="20"/>
                <w:color w:val="auto"/>
              </w:rPr>
            </w:pPr>
            <w:r>
              <w:rPr>
                <w:rFonts w:ascii="Arial" w:cs="Arial" w:eastAsia="Arial" w:hAnsi="Arial"/>
                <w:sz w:val="12"/>
                <w:szCs w:val="12"/>
                <w:color w:val="auto"/>
              </w:rPr>
              <w:t>—</w:t>
            </w:r>
          </w:p>
        </w:tc>
        <w:tc>
          <w:tcPr>
            <w:tcW w:w="680" w:type="dxa"/>
            <w:vAlign w:val="bottom"/>
          </w:tcPr>
          <w:p>
            <w:pPr>
              <w:jc w:val="right"/>
              <w:spacing w:after="0"/>
              <w:rPr>
                <w:sz w:val="20"/>
                <w:szCs w:val="20"/>
                <w:color w:val="auto"/>
              </w:rPr>
            </w:pPr>
            <w:r>
              <w:rPr>
                <w:rFonts w:ascii="Arial" w:cs="Arial" w:eastAsia="Arial" w:hAnsi="Arial"/>
                <w:sz w:val="12"/>
                <w:szCs w:val="12"/>
                <w:color w:val="auto"/>
              </w:rPr>
              <w:t>1,330</w:t>
            </w:r>
          </w:p>
        </w:tc>
        <w:tc>
          <w:tcPr>
            <w:tcW w:w="2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20" w:type="dxa"/>
            <w:vAlign w:val="bottom"/>
          </w:tcPr>
          <w:p>
            <w:pPr>
              <w:jc w:val="right"/>
              <w:spacing w:after="0"/>
              <w:rPr>
                <w:sz w:val="20"/>
                <w:szCs w:val="20"/>
                <w:color w:val="auto"/>
              </w:rPr>
            </w:pPr>
            <w:r>
              <w:rPr>
                <w:rFonts w:ascii="Arial" w:cs="Arial" w:eastAsia="Arial" w:hAnsi="Arial"/>
                <w:sz w:val="12"/>
                <w:szCs w:val="12"/>
                <w:color w:val="auto"/>
              </w:rPr>
              <w:t>133,000</w:t>
            </w:r>
          </w:p>
        </w:tc>
        <w:tc>
          <w:tcPr>
            <w:tcW w:w="2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40" w:type="dxa"/>
            <w:vAlign w:val="bottom"/>
          </w:tcPr>
          <w:p>
            <w:pPr>
              <w:jc w:val="right"/>
              <w:spacing w:after="0"/>
              <w:rPr>
                <w:sz w:val="20"/>
                <w:szCs w:val="20"/>
                <w:color w:val="auto"/>
              </w:rPr>
            </w:pPr>
            <w:r>
              <w:rPr>
                <w:rFonts w:ascii="Arial" w:cs="Arial" w:eastAsia="Arial" w:hAnsi="Arial"/>
                <w:sz w:val="12"/>
                <w:szCs w:val="12"/>
                <w:color w:val="auto"/>
              </w:rPr>
              <w:t>1,022,594</w:t>
            </w:r>
          </w:p>
        </w:tc>
        <w:tc>
          <w:tcPr>
            <w:tcW w:w="100" w:type="dxa"/>
            <w:vAlign w:val="bottom"/>
          </w:tcPr>
          <w:p>
            <w:pPr>
              <w:spacing w:after="0"/>
              <w:rPr>
                <w:sz w:val="12"/>
                <w:szCs w:val="12"/>
                <w:color w:val="auto"/>
              </w:rPr>
            </w:pPr>
          </w:p>
        </w:tc>
      </w:tr>
      <w:tr>
        <w:trPr>
          <w:trHeight w:val="148"/>
        </w:trPr>
        <w:tc>
          <w:tcPr>
            <w:tcW w:w="3080" w:type="dxa"/>
            <w:vAlign w:val="bottom"/>
            <w:shd w:val="clear" w:color="auto" w:fill="CCECFF"/>
          </w:tcPr>
          <w:p>
            <w:pPr>
              <w:spacing w:after="0"/>
              <w:rPr>
                <w:sz w:val="20"/>
                <w:szCs w:val="20"/>
                <w:color w:val="auto"/>
              </w:rPr>
            </w:pPr>
            <w:r>
              <w:rPr>
                <w:rFonts w:ascii="Arial" w:cs="Arial" w:eastAsia="Arial" w:hAnsi="Arial"/>
                <w:sz w:val="12"/>
                <w:szCs w:val="12"/>
                <w:color w:val="auto"/>
              </w:rPr>
              <w:t>Vestcom Parent Holdings, Inc.</w:t>
            </w:r>
          </w:p>
        </w:tc>
        <w:tc>
          <w:tcPr>
            <w:tcW w:w="980" w:type="dxa"/>
            <w:vAlign w:val="bottom"/>
            <w:shd w:val="clear" w:color="auto" w:fill="CCECFF"/>
          </w:tcPr>
          <w:p>
            <w:pPr>
              <w:ind w:left="320"/>
              <w:spacing w:after="0"/>
              <w:rPr>
                <w:sz w:val="20"/>
                <w:szCs w:val="20"/>
                <w:color w:val="auto"/>
              </w:rPr>
            </w:pPr>
            <w:r>
              <w:rPr>
                <w:rFonts w:ascii="Arial" w:cs="Arial" w:eastAsia="Arial" w:hAnsi="Arial"/>
                <w:sz w:val="12"/>
                <w:szCs w:val="12"/>
                <w:color w:val="auto"/>
              </w:rPr>
              <w:t>—</w:t>
            </w:r>
          </w:p>
        </w:tc>
        <w:tc>
          <w:tcPr>
            <w:tcW w:w="2640" w:type="dxa"/>
            <w:vAlign w:val="bottom"/>
            <w:gridSpan w:val="2"/>
            <w:shd w:val="clear" w:color="auto" w:fill="CCECFF"/>
          </w:tcPr>
          <w:p>
            <w:pPr>
              <w:jc w:val="center"/>
              <w:ind w:right="300"/>
              <w:spacing w:after="0"/>
              <w:rPr>
                <w:sz w:val="20"/>
                <w:szCs w:val="20"/>
                <w:color w:val="auto"/>
              </w:rPr>
            </w:pPr>
            <w:r>
              <w:rPr>
                <w:rFonts w:ascii="Arial" w:cs="Arial" w:eastAsia="Arial" w:hAnsi="Arial"/>
                <w:sz w:val="12"/>
                <w:szCs w:val="12"/>
                <w:color w:val="auto"/>
                <w:w w:val="89"/>
              </w:rPr>
              <w:t>Printing and Publishing</w:t>
            </w:r>
          </w:p>
        </w:tc>
        <w:tc>
          <w:tcPr>
            <w:tcW w:w="960" w:type="dxa"/>
            <w:vAlign w:val="bottom"/>
            <w:gridSpan w:val="2"/>
            <w:shd w:val="clear" w:color="auto" w:fill="CCECFF"/>
          </w:tcPr>
          <w:p>
            <w:pPr>
              <w:jc w:val="right"/>
              <w:ind w:right="300"/>
              <w:spacing w:after="0"/>
              <w:rPr>
                <w:sz w:val="20"/>
                <w:szCs w:val="20"/>
                <w:color w:val="auto"/>
              </w:rPr>
            </w:pPr>
            <w:r>
              <w:rPr>
                <w:rFonts w:ascii="Arial" w:cs="Arial" w:eastAsia="Arial" w:hAnsi="Arial"/>
                <w:sz w:val="12"/>
                <w:szCs w:val="12"/>
                <w:color w:val="auto"/>
              </w:rPr>
              <w:t>—</w:t>
            </w:r>
          </w:p>
        </w:tc>
        <w:tc>
          <w:tcPr>
            <w:tcW w:w="900" w:type="dxa"/>
            <w:vAlign w:val="bottom"/>
            <w:gridSpan w:val="2"/>
            <w:shd w:val="clear" w:color="auto" w:fill="CCECFF"/>
          </w:tcPr>
          <w:p>
            <w:pPr>
              <w:jc w:val="right"/>
              <w:ind w:right="240"/>
              <w:spacing w:after="0"/>
              <w:rPr>
                <w:sz w:val="20"/>
                <w:szCs w:val="20"/>
                <w:color w:val="auto"/>
              </w:rPr>
            </w:pPr>
            <w:r>
              <w:rPr>
                <w:rFonts w:ascii="Arial" w:cs="Arial" w:eastAsia="Arial" w:hAnsi="Arial"/>
                <w:sz w:val="12"/>
                <w:szCs w:val="12"/>
                <w:color w:val="auto"/>
              </w:rPr>
              <w:t>—</w:t>
            </w:r>
          </w:p>
        </w:tc>
        <w:tc>
          <w:tcPr>
            <w:tcW w:w="680" w:type="dxa"/>
            <w:vAlign w:val="bottom"/>
            <w:shd w:val="clear" w:color="auto" w:fill="CCECFF"/>
          </w:tcPr>
          <w:p>
            <w:pPr>
              <w:jc w:val="right"/>
              <w:spacing w:after="0"/>
              <w:rPr>
                <w:sz w:val="20"/>
                <w:szCs w:val="20"/>
                <w:color w:val="auto"/>
              </w:rPr>
            </w:pPr>
            <w:r>
              <w:rPr>
                <w:rFonts w:ascii="Arial" w:cs="Arial" w:eastAsia="Arial" w:hAnsi="Arial"/>
                <w:sz w:val="12"/>
                <w:szCs w:val="12"/>
                <w:color w:val="auto"/>
              </w:rPr>
              <w:t>211,797</w:t>
            </w:r>
          </w:p>
        </w:tc>
        <w:tc>
          <w:tcPr>
            <w:tcW w:w="240" w:type="dxa"/>
            <w:vAlign w:val="bottom"/>
            <w:shd w:val="clear" w:color="auto" w:fill="CCECFF"/>
          </w:tcPr>
          <w:p>
            <w:pPr>
              <w:spacing w:after="0"/>
              <w:rPr>
                <w:sz w:val="12"/>
                <w:szCs w:val="12"/>
                <w:color w:val="auto"/>
              </w:rPr>
            </w:pPr>
          </w:p>
        </w:tc>
        <w:tc>
          <w:tcPr>
            <w:tcW w:w="80" w:type="dxa"/>
            <w:vAlign w:val="bottom"/>
            <w:tcBorders>
              <w:bottom w:val="single" w:sz="8" w:color="auto"/>
            </w:tcBorders>
            <w:shd w:val="clear" w:color="auto" w:fill="CCECFF"/>
          </w:tcPr>
          <w:p>
            <w:pPr>
              <w:spacing w:after="0"/>
              <w:rPr>
                <w:sz w:val="12"/>
                <w:szCs w:val="12"/>
                <w:color w:val="auto"/>
              </w:rPr>
            </w:pPr>
          </w:p>
        </w:tc>
        <w:tc>
          <w:tcPr>
            <w:tcW w:w="620" w:type="dxa"/>
            <w:vAlign w:val="bottom"/>
            <w:tcBorders>
              <w:bottom w:val="single" w:sz="8" w:color="auto"/>
            </w:tcBorders>
            <w:shd w:val="clear" w:color="auto" w:fill="CCECFF"/>
          </w:tcPr>
          <w:p>
            <w:pPr>
              <w:jc w:val="right"/>
              <w:spacing w:after="0"/>
              <w:rPr>
                <w:sz w:val="20"/>
                <w:szCs w:val="20"/>
                <w:color w:val="auto"/>
              </w:rPr>
            </w:pPr>
            <w:r>
              <w:rPr>
                <w:rFonts w:ascii="Arial" w:cs="Arial" w:eastAsia="Arial" w:hAnsi="Arial"/>
                <w:sz w:val="12"/>
                <w:szCs w:val="12"/>
                <w:color w:val="auto"/>
              </w:rPr>
              <w:t>793,873</w:t>
            </w:r>
          </w:p>
        </w:tc>
        <w:tc>
          <w:tcPr>
            <w:tcW w:w="240" w:type="dxa"/>
            <w:vAlign w:val="bottom"/>
            <w:shd w:val="clear" w:color="auto" w:fill="CCECFF"/>
          </w:tcPr>
          <w:p>
            <w:pPr>
              <w:spacing w:after="0"/>
              <w:rPr>
                <w:sz w:val="12"/>
                <w:szCs w:val="12"/>
                <w:color w:val="auto"/>
              </w:rPr>
            </w:pPr>
          </w:p>
        </w:tc>
        <w:tc>
          <w:tcPr>
            <w:tcW w:w="80" w:type="dxa"/>
            <w:vAlign w:val="bottom"/>
            <w:tcBorders>
              <w:bottom w:val="single" w:sz="8" w:color="auto"/>
            </w:tcBorders>
            <w:shd w:val="clear" w:color="auto" w:fill="CCECFF"/>
          </w:tcPr>
          <w:p>
            <w:pPr>
              <w:spacing w:after="0"/>
              <w:rPr>
                <w:sz w:val="12"/>
                <w:szCs w:val="12"/>
                <w:color w:val="auto"/>
              </w:rPr>
            </w:pPr>
          </w:p>
        </w:tc>
        <w:tc>
          <w:tcPr>
            <w:tcW w:w="640" w:type="dxa"/>
            <w:vAlign w:val="bottom"/>
            <w:tcBorders>
              <w:bottom w:val="single" w:sz="8" w:color="auto"/>
            </w:tcBorders>
            <w:shd w:val="clear" w:color="auto" w:fill="CCECFF"/>
          </w:tcPr>
          <w:p>
            <w:pPr>
              <w:jc w:val="right"/>
              <w:spacing w:after="0"/>
              <w:rPr>
                <w:sz w:val="20"/>
                <w:szCs w:val="20"/>
                <w:color w:val="auto"/>
              </w:rPr>
            </w:pPr>
            <w:r>
              <w:rPr>
                <w:rFonts w:ascii="Arial" w:cs="Arial" w:eastAsia="Arial" w:hAnsi="Arial"/>
                <w:sz w:val="12"/>
                <w:szCs w:val="12"/>
                <w:color w:val="auto"/>
              </w:rPr>
              <w:t>8,051,139</w:t>
            </w:r>
          </w:p>
        </w:tc>
        <w:tc>
          <w:tcPr>
            <w:tcW w:w="100" w:type="dxa"/>
            <w:vAlign w:val="bottom"/>
            <w:shd w:val="clear" w:color="auto" w:fill="CCECFF"/>
          </w:tcPr>
          <w:p>
            <w:pPr>
              <w:spacing w:after="0"/>
              <w:rPr>
                <w:sz w:val="12"/>
                <w:szCs w:val="12"/>
                <w:color w:val="auto"/>
              </w:rPr>
            </w:pPr>
          </w:p>
        </w:tc>
      </w:tr>
      <w:tr>
        <w:trPr>
          <w:trHeight w:val="142"/>
        </w:trPr>
        <w:tc>
          <w:tcPr>
            <w:tcW w:w="3080" w:type="dxa"/>
            <w:vAlign w:val="bottom"/>
            <w:tcBorders>
              <w:bottom w:val="single" w:sz="8" w:color="CCECFF"/>
            </w:tcBorders>
          </w:tcPr>
          <w:p>
            <w:pPr>
              <w:spacing w:after="0"/>
              <w:rPr>
                <w:sz w:val="20"/>
                <w:szCs w:val="20"/>
                <w:color w:val="auto"/>
              </w:rPr>
            </w:pPr>
            <w:r>
              <w:rPr>
                <w:rFonts w:ascii="Arial" w:cs="Arial" w:eastAsia="Arial" w:hAnsi="Arial"/>
                <w:sz w:val="12"/>
                <w:szCs w:val="12"/>
                <w:b w:val="1"/>
                <w:bCs w:val="1"/>
                <w:color w:val="auto"/>
              </w:rPr>
              <w:t>Total Common Equity/Partnership Interests/Warrants</w:t>
            </w:r>
          </w:p>
        </w:tc>
        <w:tc>
          <w:tcPr>
            <w:tcW w:w="980" w:type="dxa"/>
            <w:vAlign w:val="bottom"/>
            <w:tcBorders>
              <w:bottom w:val="single" w:sz="8" w:color="CCECFF"/>
            </w:tcBorders>
          </w:tcPr>
          <w:p>
            <w:pPr>
              <w:spacing w:after="0"/>
              <w:rPr>
                <w:sz w:val="12"/>
                <w:szCs w:val="12"/>
                <w:color w:val="auto"/>
              </w:rPr>
            </w:pPr>
          </w:p>
        </w:tc>
        <w:tc>
          <w:tcPr>
            <w:tcW w:w="2500" w:type="dxa"/>
            <w:vAlign w:val="bottom"/>
            <w:tcBorders>
              <w:bottom w:val="single" w:sz="8" w:color="CCECFF"/>
            </w:tcBorders>
          </w:tcPr>
          <w:p>
            <w:pPr>
              <w:spacing w:after="0"/>
              <w:rPr>
                <w:sz w:val="12"/>
                <w:szCs w:val="12"/>
                <w:color w:val="auto"/>
              </w:rPr>
            </w:pPr>
          </w:p>
        </w:tc>
        <w:tc>
          <w:tcPr>
            <w:tcW w:w="140" w:type="dxa"/>
            <w:vAlign w:val="bottom"/>
            <w:tcBorders>
              <w:bottom w:val="single" w:sz="8" w:color="CCECFF"/>
            </w:tcBorders>
          </w:tcPr>
          <w:p>
            <w:pPr>
              <w:spacing w:after="0"/>
              <w:rPr>
                <w:sz w:val="12"/>
                <w:szCs w:val="12"/>
                <w:color w:val="auto"/>
              </w:rPr>
            </w:pPr>
          </w:p>
        </w:tc>
        <w:tc>
          <w:tcPr>
            <w:tcW w:w="660" w:type="dxa"/>
            <w:vAlign w:val="bottom"/>
            <w:tcBorders>
              <w:bottom w:val="single" w:sz="8" w:color="CCECFF"/>
            </w:tcBorders>
          </w:tcPr>
          <w:p>
            <w:pPr>
              <w:spacing w:after="0"/>
              <w:rPr>
                <w:sz w:val="12"/>
                <w:szCs w:val="12"/>
                <w:color w:val="auto"/>
              </w:rPr>
            </w:pPr>
          </w:p>
        </w:tc>
        <w:tc>
          <w:tcPr>
            <w:tcW w:w="300" w:type="dxa"/>
            <w:vAlign w:val="bottom"/>
            <w:tcBorders>
              <w:bottom w:val="single" w:sz="8" w:color="CCECFF"/>
            </w:tcBorders>
          </w:tcPr>
          <w:p>
            <w:pPr>
              <w:spacing w:after="0"/>
              <w:rPr>
                <w:sz w:val="12"/>
                <w:szCs w:val="12"/>
                <w:color w:val="auto"/>
              </w:rPr>
            </w:pPr>
          </w:p>
        </w:tc>
        <w:tc>
          <w:tcPr>
            <w:tcW w:w="680" w:type="dxa"/>
            <w:vAlign w:val="bottom"/>
            <w:tcBorders>
              <w:bottom w:val="single" w:sz="8" w:color="CCECFF"/>
            </w:tcBorders>
          </w:tcPr>
          <w:p>
            <w:pPr>
              <w:spacing w:after="0"/>
              <w:rPr>
                <w:sz w:val="12"/>
                <w:szCs w:val="12"/>
                <w:color w:val="auto"/>
              </w:rPr>
            </w:pPr>
          </w:p>
        </w:tc>
        <w:tc>
          <w:tcPr>
            <w:tcW w:w="220" w:type="dxa"/>
            <w:vAlign w:val="bottom"/>
            <w:tcBorders>
              <w:bottom w:val="single" w:sz="8" w:color="CCECFF"/>
            </w:tcBorders>
          </w:tcPr>
          <w:p>
            <w:pPr>
              <w:spacing w:after="0"/>
              <w:rPr>
                <w:sz w:val="12"/>
                <w:szCs w:val="12"/>
                <w:color w:val="auto"/>
              </w:rPr>
            </w:pPr>
          </w:p>
        </w:tc>
        <w:tc>
          <w:tcPr>
            <w:tcW w:w="680" w:type="dxa"/>
            <w:vAlign w:val="bottom"/>
            <w:tcBorders>
              <w:bottom w:val="single" w:sz="8" w:color="CCECFF"/>
            </w:tcBorders>
          </w:tcPr>
          <w:p>
            <w:pPr>
              <w:spacing w:after="0"/>
              <w:rPr>
                <w:sz w:val="12"/>
                <w:szCs w:val="12"/>
                <w:color w:val="auto"/>
              </w:rPr>
            </w:pPr>
          </w:p>
        </w:tc>
        <w:tc>
          <w:tcPr>
            <w:tcW w:w="240" w:type="dxa"/>
            <w:vAlign w:val="bottom"/>
            <w:tcBorders>
              <w:bottom w:val="single" w:sz="8" w:color="CCECFF"/>
            </w:tcBorders>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w w:val="99"/>
              </w:rPr>
              <w:t>21,503,373</w:t>
            </w:r>
          </w:p>
        </w:tc>
        <w:tc>
          <w:tcPr>
            <w:tcW w:w="240" w:type="dxa"/>
            <w:vAlign w:val="bottom"/>
            <w:tcBorders>
              <w:bottom w:val="single" w:sz="8" w:color="CCECFF"/>
            </w:tcBorders>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w w:val="99"/>
              </w:rPr>
              <w:t>64,047,463</w:t>
            </w:r>
          </w:p>
        </w:tc>
        <w:tc>
          <w:tcPr>
            <w:tcW w:w="100" w:type="dxa"/>
            <w:vAlign w:val="bottom"/>
            <w:tcBorders>
              <w:bottom w:val="single" w:sz="8" w:color="CCECFF"/>
            </w:tcBorders>
          </w:tcPr>
          <w:p>
            <w:pPr>
              <w:spacing w:after="0"/>
              <w:rPr>
                <w:sz w:val="12"/>
                <w:szCs w:val="12"/>
                <w:color w:val="auto"/>
              </w:rPr>
            </w:pPr>
          </w:p>
        </w:tc>
      </w:tr>
      <w:tr>
        <w:trPr>
          <w:trHeight w:val="142"/>
        </w:trPr>
        <w:tc>
          <w:tcPr>
            <w:tcW w:w="4060" w:type="dxa"/>
            <w:vAlign w:val="bottom"/>
            <w:gridSpan w:val="2"/>
            <w:shd w:val="clear" w:color="auto" w:fill="CCECFF"/>
          </w:tcPr>
          <w:p>
            <w:pPr>
              <w:spacing w:after="0"/>
              <w:rPr>
                <w:sz w:val="20"/>
                <w:szCs w:val="20"/>
                <w:color w:val="auto"/>
              </w:rPr>
            </w:pPr>
            <w:r>
              <w:rPr>
                <w:rFonts w:ascii="Arial" w:cs="Arial" w:eastAsia="Arial" w:hAnsi="Arial"/>
                <w:sz w:val="12"/>
                <w:szCs w:val="12"/>
                <w:b w:val="1"/>
                <w:bCs w:val="1"/>
                <w:color w:val="auto"/>
                <w:w w:val="97"/>
              </w:rPr>
              <w:t>Total Investments in Non-Controlled, Non-Affiliated Portfolio Companies</w:t>
            </w:r>
          </w:p>
        </w:tc>
        <w:tc>
          <w:tcPr>
            <w:tcW w:w="2500" w:type="dxa"/>
            <w:vAlign w:val="bottom"/>
            <w:shd w:val="clear" w:color="auto" w:fill="CCECFF"/>
          </w:tcPr>
          <w:p>
            <w:pPr>
              <w:spacing w:after="0"/>
              <w:rPr>
                <w:sz w:val="12"/>
                <w:szCs w:val="12"/>
                <w:color w:val="auto"/>
              </w:rPr>
            </w:pPr>
          </w:p>
        </w:tc>
        <w:tc>
          <w:tcPr>
            <w:tcW w:w="140" w:type="dxa"/>
            <w:vAlign w:val="bottom"/>
            <w:shd w:val="clear" w:color="auto" w:fill="CCECFF"/>
          </w:tcPr>
          <w:p>
            <w:pPr>
              <w:spacing w:after="0"/>
              <w:rPr>
                <w:sz w:val="12"/>
                <w:szCs w:val="12"/>
                <w:color w:val="auto"/>
              </w:rPr>
            </w:pPr>
          </w:p>
        </w:tc>
        <w:tc>
          <w:tcPr>
            <w:tcW w:w="660" w:type="dxa"/>
            <w:vAlign w:val="bottom"/>
            <w:shd w:val="clear" w:color="auto" w:fill="CCECFF"/>
          </w:tcPr>
          <w:p>
            <w:pPr>
              <w:spacing w:after="0"/>
              <w:rPr>
                <w:sz w:val="12"/>
                <w:szCs w:val="12"/>
                <w:color w:val="auto"/>
              </w:rPr>
            </w:pPr>
          </w:p>
        </w:tc>
        <w:tc>
          <w:tcPr>
            <w:tcW w:w="300" w:type="dxa"/>
            <w:vAlign w:val="bottom"/>
            <w:shd w:val="clear" w:color="auto" w:fill="CCECFF"/>
          </w:tcPr>
          <w:p>
            <w:pPr>
              <w:spacing w:after="0"/>
              <w:rPr>
                <w:sz w:val="12"/>
                <w:szCs w:val="12"/>
                <w:color w:val="auto"/>
              </w:rPr>
            </w:pPr>
          </w:p>
        </w:tc>
        <w:tc>
          <w:tcPr>
            <w:tcW w:w="680" w:type="dxa"/>
            <w:vAlign w:val="bottom"/>
            <w:shd w:val="clear" w:color="auto" w:fill="CCECFF"/>
          </w:tcPr>
          <w:p>
            <w:pPr>
              <w:spacing w:after="0"/>
              <w:rPr>
                <w:sz w:val="12"/>
                <w:szCs w:val="12"/>
                <w:color w:val="auto"/>
              </w:rPr>
            </w:pPr>
          </w:p>
        </w:tc>
        <w:tc>
          <w:tcPr>
            <w:tcW w:w="220" w:type="dxa"/>
            <w:vAlign w:val="bottom"/>
            <w:shd w:val="clear" w:color="auto" w:fill="CCECFF"/>
          </w:tcPr>
          <w:p>
            <w:pPr>
              <w:spacing w:after="0"/>
              <w:rPr>
                <w:sz w:val="12"/>
                <w:szCs w:val="12"/>
                <w:color w:val="auto"/>
              </w:rPr>
            </w:pPr>
          </w:p>
        </w:tc>
        <w:tc>
          <w:tcPr>
            <w:tcW w:w="680" w:type="dxa"/>
            <w:vAlign w:val="bottom"/>
            <w:shd w:val="clear" w:color="auto" w:fill="CCECFF"/>
          </w:tcPr>
          <w:p>
            <w:pPr>
              <w:spacing w:after="0"/>
              <w:rPr>
                <w:sz w:val="12"/>
                <w:szCs w:val="12"/>
                <w:color w:val="auto"/>
              </w:rPr>
            </w:pPr>
          </w:p>
        </w:tc>
        <w:tc>
          <w:tcPr>
            <w:tcW w:w="240" w:type="dxa"/>
            <w:vAlign w:val="bottom"/>
            <w:shd w:val="clear" w:color="auto" w:fill="CCECFF"/>
          </w:tcPr>
          <w:p>
            <w:pPr>
              <w:spacing w:after="0"/>
              <w:rPr>
                <w:sz w:val="12"/>
                <w:szCs w:val="12"/>
                <w:color w:val="auto"/>
              </w:rPr>
            </w:pPr>
          </w:p>
        </w:tc>
        <w:tc>
          <w:tcPr>
            <w:tcW w:w="80" w:type="dxa"/>
            <w:vAlign w:val="bottom"/>
            <w:tcBorders>
              <w:bottom w:val="single" w:sz="8" w:color="auto"/>
            </w:tcBorders>
            <w:shd w:val="clear" w:color="auto" w:fill="CCECFF"/>
          </w:tcPr>
          <w:p>
            <w:pPr>
              <w:spacing w:after="0"/>
              <w:rPr>
                <w:sz w:val="12"/>
                <w:szCs w:val="12"/>
                <w:color w:val="auto"/>
              </w:rPr>
            </w:pPr>
          </w:p>
        </w:tc>
        <w:tc>
          <w:tcPr>
            <w:tcW w:w="620" w:type="dxa"/>
            <w:vAlign w:val="bottom"/>
            <w:tcBorders>
              <w:bottom w:val="single" w:sz="8" w:color="auto"/>
            </w:tcBorders>
            <w:shd w:val="clear" w:color="auto" w:fill="CCECFF"/>
          </w:tcPr>
          <w:p>
            <w:pPr>
              <w:jc w:val="right"/>
              <w:spacing w:after="0"/>
              <w:rPr>
                <w:sz w:val="20"/>
                <w:szCs w:val="20"/>
                <w:color w:val="auto"/>
              </w:rPr>
            </w:pPr>
            <w:r>
              <w:rPr>
                <w:rFonts w:ascii="Arial" w:cs="Arial" w:eastAsia="Arial" w:hAnsi="Arial"/>
                <w:sz w:val="12"/>
                <w:szCs w:val="12"/>
                <w:color w:val="auto"/>
                <w:w w:val="89"/>
              </w:rPr>
              <w:t>805,189,545</w:t>
            </w:r>
          </w:p>
        </w:tc>
        <w:tc>
          <w:tcPr>
            <w:tcW w:w="240" w:type="dxa"/>
            <w:vAlign w:val="bottom"/>
            <w:shd w:val="clear" w:color="auto" w:fill="CCECFF"/>
          </w:tcPr>
          <w:p>
            <w:pPr>
              <w:spacing w:after="0"/>
              <w:rPr>
                <w:sz w:val="12"/>
                <w:szCs w:val="12"/>
                <w:color w:val="auto"/>
              </w:rPr>
            </w:pPr>
          </w:p>
        </w:tc>
        <w:tc>
          <w:tcPr>
            <w:tcW w:w="80" w:type="dxa"/>
            <w:vAlign w:val="bottom"/>
            <w:tcBorders>
              <w:bottom w:val="single" w:sz="8" w:color="auto"/>
            </w:tcBorders>
            <w:shd w:val="clear" w:color="auto" w:fill="CCECFF"/>
          </w:tcPr>
          <w:p>
            <w:pPr>
              <w:spacing w:after="0"/>
              <w:rPr>
                <w:sz w:val="12"/>
                <w:szCs w:val="12"/>
                <w:color w:val="auto"/>
              </w:rPr>
            </w:pPr>
          </w:p>
        </w:tc>
        <w:tc>
          <w:tcPr>
            <w:tcW w:w="640" w:type="dxa"/>
            <w:vAlign w:val="bottom"/>
            <w:tcBorders>
              <w:bottom w:val="single" w:sz="8" w:color="auto"/>
            </w:tcBorders>
            <w:shd w:val="clear" w:color="auto" w:fill="CCECFF"/>
          </w:tcPr>
          <w:p>
            <w:pPr>
              <w:jc w:val="right"/>
              <w:spacing w:after="0"/>
              <w:rPr>
                <w:sz w:val="20"/>
                <w:szCs w:val="20"/>
                <w:color w:val="auto"/>
              </w:rPr>
            </w:pPr>
            <w:r>
              <w:rPr>
                <w:rFonts w:ascii="Arial" w:cs="Arial" w:eastAsia="Arial" w:hAnsi="Arial"/>
                <w:sz w:val="12"/>
                <w:szCs w:val="12"/>
                <w:color w:val="auto"/>
                <w:w w:val="89"/>
              </w:rPr>
              <w:t>813,467,491</w:t>
            </w:r>
          </w:p>
        </w:tc>
        <w:tc>
          <w:tcPr>
            <w:tcW w:w="100" w:type="dxa"/>
            <w:vAlign w:val="bottom"/>
            <w:shd w:val="clear" w:color="auto" w:fill="CCECFF"/>
          </w:tcPr>
          <w:p>
            <w:pPr>
              <w:spacing w:after="0"/>
              <w:rPr>
                <w:sz w:val="12"/>
                <w:szCs w:val="12"/>
                <w:color w:val="auto"/>
              </w:rPr>
            </w:pPr>
          </w:p>
        </w:tc>
      </w:tr>
      <w:tr>
        <w:trPr>
          <w:trHeight w:val="142"/>
        </w:trPr>
        <w:tc>
          <w:tcPr>
            <w:tcW w:w="4060" w:type="dxa"/>
            <w:vAlign w:val="bottom"/>
            <w:gridSpan w:val="2"/>
          </w:tcPr>
          <w:p>
            <w:pPr>
              <w:spacing w:after="0"/>
              <w:rPr>
                <w:sz w:val="20"/>
                <w:szCs w:val="20"/>
                <w:color w:val="auto"/>
              </w:rPr>
            </w:pPr>
            <w:r>
              <w:rPr>
                <w:rFonts w:ascii="Arial" w:cs="Arial" w:eastAsia="Arial" w:hAnsi="Arial"/>
                <w:sz w:val="12"/>
                <w:szCs w:val="12"/>
                <w:b w:val="1"/>
                <w:bCs w:val="1"/>
                <w:color w:val="auto"/>
                <w:w w:val="94"/>
              </w:rPr>
              <w:t xml:space="preserve">Investments in Non-Controlled, Affiliated Portfolio Companies—33.5% </w:t>
            </w:r>
            <w:r>
              <w:rPr>
                <w:rFonts w:ascii="Arial" w:cs="Arial" w:eastAsia="Arial" w:hAnsi="Arial"/>
                <w:sz w:val="9"/>
                <w:szCs w:val="9"/>
                <w:b w:val="1"/>
                <w:bCs w:val="1"/>
                <w:color w:val="auto"/>
                <w:w w:val="94"/>
              </w:rPr>
              <w:t>(1), (2)</w:t>
            </w:r>
          </w:p>
        </w:tc>
        <w:tc>
          <w:tcPr>
            <w:tcW w:w="25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00" w:type="dxa"/>
            <w:vAlign w:val="bottom"/>
          </w:tcPr>
          <w:p>
            <w:pPr>
              <w:spacing w:after="0"/>
              <w:rPr>
                <w:sz w:val="12"/>
                <w:szCs w:val="12"/>
                <w:color w:val="auto"/>
              </w:rPr>
            </w:pPr>
          </w:p>
        </w:tc>
      </w:tr>
      <w:tr>
        <w:trPr>
          <w:trHeight w:val="148"/>
        </w:trPr>
        <w:tc>
          <w:tcPr>
            <w:tcW w:w="3080" w:type="dxa"/>
            <w:vAlign w:val="bottom"/>
            <w:shd w:val="clear" w:color="auto" w:fill="CCECFF"/>
          </w:tcPr>
          <w:p>
            <w:pPr>
              <w:spacing w:after="0"/>
              <w:rPr>
                <w:sz w:val="20"/>
                <w:szCs w:val="20"/>
                <w:color w:val="auto"/>
              </w:rPr>
            </w:pPr>
            <w:r>
              <w:rPr>
                <w:rFonts w:ascii="Arial" w:cs="Arial" w:eastAsia="Arial" w:hAnsi="Arial"/>
                <w:sz w:val="12"/>
                <w:szCs w:val="12"/>
                <w:b w:val="1"/>
                <w:bCs w:val="1"/>
                <w:color w:val="auto"/>
              </w:rPr>
              <w:t>First Lien Secured Debt—8.3%</w:t>
            </w:r>
          </w:p>
        </w:tc>
        <w:tc>
          <w:tcPr>
            <w:tcW w:w="980" w:type="dxa"/>
            <w:vAlign w:val="bottom"/>
            <w:shd w:val="clear" w:color="auto" w:fill="CCECFF"/>
          </w:tcPr>
          <w:p>
            <w:pPr>
              <w:spacing w:after="0"/>
              <w:rPr>
                <w:sz w:val="12"/>
                <w:szCs w:val="12"/>
                <w:color w:val="auto"/>
              </w:rPr>
            </w:pPr>
          </w:p>
        </w:tc>
        <w:tc>
          <w:tcPr>
            <w:tcW w:w="2500" w:type="dxa"/>
            <w:vAlign w:val="bottom"/>
            <w:shd w:val="clear" w:color="auto" w:fill="CCECFF"/>
          </w:tcPr>
          <w:p>
            <w:pPr>
              <w:spacing w:after="0"/>
              <w:rPr>
                <w:sz w:val="12"/>
                <w:szCs w:val="12"/>
                <w:color w:val="auto"/>
              </w:rPr>
            </w:pPr>
          </w:p>
        </w:tc>
        <w:tc>
          <w:tcPr>
            <w:tcW w:w="140" w:type="dxa"/>
            <w:vAlign w:val="bottom"/>
            <w:shd w:val="clear" w:color="auto" w:fill="CCECFF"/>
          </w:tcPr>
          <w:p>
            <w:pPr>
              <w:spacing w:after="0"/>
              <w:rPr>
                <w:sz w:val="12"/>
                <w:szCs w:val="12"/>
                <w:color w:val="auto"/>
              </w:rPr>
            </w:pPr>
          </w:p>
        </w:tc>
        <w:tc>
          <w:tcPr>
            <w:tcW w:w="660" w:type="dxa"/>
            <w:vAlign w:val="bottom"/>
            <w:shd w:val="clear" w:color="auto" w:fill="CCECFF"/>
          </w:tcPr>
          <w:p>
            <w:pPr>
              <w:spacing w:after="0"/>
              <w:rPr>
                <w:sz w:val="12"/>
                <w:szCs w:val="12"/>
                <w:color w:val="auto"/>
              </w:rPr>
            </w:pPr>
          </w:p>
        </w:tc>
        <w:tc>
          <w:tcPr>
            <w:tcW w:w="300" w:type="dxa"/>
            <w:vAlign w:val="bottom"/>
            <w:shd w:val="clear" w:color="auto" w:fill="CCECFF"/>
          </w:tcPr>
          <w:p>
            <w:pPr>
              <w:spacing w:after="0"/>
              <w:rPr>
                <w:sz w:val="12"/>
                <w:szCs w:val="12"/>
                <w:color w:val="auto"/>
              </w:rPr>
            </w:pPr>
          </w:p>
        </w:tc>
        <w:tc>
          <w:tcPr>
            <w:tcW w:w="680" w:type="dxa"/>
            <w:vAlign w:val="bottom"/>
            <w:shd w:val="clear" w:color="auto" w:fill="CCECFF"/>
          </w:tcPr>
          <w:p>
            <w:pPr>
              <w:spacing w:after="0"/>
              <w:rPr>
                <w:sz w:val="12"/>
                <w:szCs w:val="12"/>
                <w:color w:val="auto"/>
              </w:rPr>
            </w:pPr>
          </w:p>
        </w:tc>
        <w:tc>
          <w:tcPr>
            <w:tcW w:w="220" w:type="dxa"/>
            <w:vAlign w:val="bottom"/>
            <w:shd w:val="clear" w:color="auto" w:fill="CCECFF"/>
          </w:tcPr>
          <w:p>
            <w:pPr>
              <w:spacing w:after="0"/>
              <w:rPr>
                <w:sz w:val="12"/>
                <w:szCs w:val="12"/>
                <w:color w:val="auto"/>
              </w:rPr>
            </w:pPr>
          </w:p>
        </w:tc>
        <w:tc>
          <w:tcPr>
            <w:tcW w:w="680" w:type="dxa"/>
            <w:vAlign w:val="bottom"/>
            <w:shd w:val="clear" w:color="auto" w:fill="CCECFF"/>
          </w:tcPr>
          <w:p>
            <w:pPr>
              <w:spacing w:after="0"/>
              <w:rPr>
                <w:sz w:val="12"/>
                <w:szCs w:val="12"/>
                <w:color w:val="auto"/>
              </w:rPr>
            </w:pPr>
          </w:p>
        </w:tc>
        <w:tc>
          <w:tcPr>
            <w:tcW w:w="240" w:type="dxa"/>
            <w:vAlign w:val="bottom"/>
            <w:shd w:val="clear" w:color="auto" w:fill="CCECFF"/>
          </w:tcPr>
          <w:p>
            <w:pPr>
              <w:spacing w:after="0"/>
              <w:rPr>
                <w:sz w:val="12"/>
                <w:szCs w:val="12"/>
                <w:color w:val="auto"/>
              </w:rPr>
            </w:pPr>
          </w:p>
        </w:tc>
        <w:tc>
          <w:tcPr>
            <w:tcW w:w="80" w:type="dxa"/>
            <w:vAlign w:val="bottom"/>
            <w:shd w:val="clear" w:color="auto" w:fill="CCECFF"/>
          </w:tcPr>
          <w:p>
            <w:pPr>
              <w:spacing w:after="0"/>
              <w:rPr>
                <w:sz w:val="12"/>
                <w:szCs w:val="12"/>
                <w:color w:val="auto"/>
              </w:rPr>
            </w:pPr>
          </w:p>
        </w:tc>
        <w:tc>
          <w:tcPr>
            <w:tcW w:w="620" w:type="dxa"/>
            <w:vAlign w:val="bottom"/>
            <w:shd w:val="clear" w:color="auto" w:fill="CCECFF"/>
          </w:tcPr>
          <w:p>
            <w:pPr>
              <w:spacing w:after="0"/>
              <w:rPr>
                <w:sz w:val="12"/>
                <w:szCs w:val="12"/>
                <w:color w:val="auto"/>
              </w:rPr>
            </w:pPr>
          </w:p>
        </w:tc>
        <w:tc>
          <w:tcPr>
            <w:tcW w:w="240" w:type="dxa"/>
            <w:vAlign w:val="bottom"/>
            <w:shd w:val="clear" w:color="auto" w:fill="CCECFF"/>
          </w:tcPr>
          <w:p>
            <w:pPr>
              <w:spacing w:after="0"/>
              <w:rPr>
                <w:sz w:val="12"/>
                <w:szCs w:val="12"/>
                <w:color w:val="auto"/>
              </w:rPr>
            </w:pPr>
          </w:p>
        </w:tc>
        <w:tc>
          <w:tcPr>
            <w:tcW w:w="80" w:type="dxa"/>
            <w:vAlign w:val="bottom"/>
            <w:shd w:val="clear" w:color="auto" w:fill="CCECFF"/>
          </w:tcPr>
          <w:p>
            <w:pPr>
              <w:spacing w:after="0"/>
              <w:rPr>
                <w:sz w:val="12"/>
                <w:szCs w:val="12"/>
                <w:color w:val="auto"/>
              </w:rPr>
            </w:pPr>
          </w:p>
        </w:tc>
        <w:tc>
          <w:tcPr>
            <w:tcW w:w="640" w:type="dxa"/>
            <w:vAlign w:val="bottom"/>
            <w:shd w:val="clear" w:color="auto" w:fill="CCECFF"/>
          </w:tcPr>
          <w:p>
            <w:pPr>
              <w:spacing w:after="0"/>
              <w:rPr>
                <w:sz w:val="12"/>
                <w:szCs w:val="12"/>
                <w:color w:val="auto"/>
              </w:rPr>
            </w:pPr>
          </w:p>
        </w:tc>
        <w:tc>
          <w:tcPr>
            <w:tcW w:w="100" w:type="dxa"/>
            <w:vAlign w:val="bottom"/>
            <w:shd w:val="clear" w:color="auto" w:fill="CCECFF"/>
          </w:tcPr>
          <w:p>
            <w:pPr>
              <w:spacing w:after="0"/>
              <w:rPr>
                <w:sz w:val="12"/>
                <w:szCs w:val="12"/>
                <w:color w:val="auto"/>
              </w:rPr>
            </w:pPr>
          </w:p>
        </w:tc>
      </w:tr>
      <w:tr>
        <w:trPr>
          <w:trHeight w:val="148"/>
        </w:trPr>
        <w:tc>
          <w:tcPr>
            <w:tcW w:w="3080" w:type="dxa"/>
            <w:vAlign w:val="bottom"/>
          </w:tcPr>
          <w:p>
            <w:pPr>
              <w:spacing w:after="0"/>
              <w:rPr>
                <w:sz w:val="20"/>
                <w:szCs w:val="20"/>
                <w:color w:val="auto"/>
              </w:rPr>
            </w:pPr>
            <w:r>
              <w:rPr>
                <w:rFonts w:ascii="Arial" w:cs="Arial" w:eastAsia="Arial" w:hAnsi="Arial"/>
                <w:sz w:val="12"/>
                <w:szCs w:val="12"/>
                <w:color w:val="auto"/>
              </w:rPr>
              <w:t>Corfin Industries LLC</w:t>
            </w:r>
          </w:p>
        </w:tc>
        <w:tc>
          <w:tcPr>
            <w:tcW w:w="980" w:type="dxa"/>
            <w:vAlign w:val="bottom"/>
          </w:tcPr>
          <w:p>
            <w:pPr>
              <w:ind w:left="60"/>
              <w:spacing w:after="0"/>
              <w:rPr>
                <w:sz w:val="20"/>
                <w:szCs w:val="20"/>
                <w:color w:val="auto"/>
              </w:rPr>
            </w:pPr>
            <w:r>
              <w:rPr>
                <w:rFonts w:ascii="Arial" w:cs="Arial" w:eastAsia="Arial" w:hAnsi="Arial"/>
                <w:sz w:val="12"/>
                <w:szCs w:val="12"/>
                <w:color w:val="auto"/>
              </w:rPr>
              <w:t>11/25/2020</w:t>
            </w:r>
          </w:p>
        </w:tc>
        <w:tc>
          <w:tcPr>
            <w:tcW w:w="2640" w:type="dxa"/>
            <w:vAlign w:val="bottom"/>
            <w:gridSpan w:val="2"/>
          </w:tcPr>
          <w:p>
            <w:pPr>
              <w:jc w:val="center"/>
              <w:ind w:right="300"/>
              <w:spacing w:after="0"/>
              <w:rPr>
                <w:sz w:val="20"/>
                <w:szCs w:val="20"/>
                <w:color w:val="auto"/>
              </w:rPr>
            </w:pPr>
            <w:r>
              <w:rPr>
                <w:rFonts w:ascii="Arial" w:cs="Arial" w:eastAsia="Arial" w:hAnsi="Arial"/>
                <w:sz w:val="12"/>
                <w:szCs w:val="12"/>
                <w:color w:val="auto"/>
                <w:w w:val="85"/>
              </w:rPr>
              <w:t>Aerospace and Defense</w:t>
            </w:r>
          </w:p>
        </w:tc>
        <w:tc>
          <w:tcPr>
            <w:tcW w:w="960" w:type="dxa"/>
            <w:vAlign w:val="bottom"/>
            <w:gridSpan w:val="2"/>
          </w:tcPr>
          <w:p>
            <w:pPr>
              <w:jc w:val="right"/>
              <w:ind w:right="200"/>
              <w:spacing w:after="0"/>
              <w:rPr>
                <w:sz w:val="20"/>
                <w:szCs w:val="20"/>
                <w:color w:val="auto"/>
              </w:rPr>
            </w:pPr>
            <w:r>
              <w:rPr>
                <w:rFonts w:ascii="Arial" w:cs="Arial" w:eastAsia="Arial" w:hAnsi="Arial"/>
                <w:sz w:val="12"/>
                <w:szCs w:val="12"/>
                <w:color w:val="auto"/>
              </w:rPr>
              <w:t>10.75%</w:t>
            </w:r>
          </w:p>
        </w:tc>
        <w:tc>
          <w:tcPr>
            <w:tcW w:w="900" w:type="dxa"/>
            <w:vAlign w:val="bottom"/>
            <w:gridSpan w:val="2"/>
          </w:tcPr>
          <w:p>
            <w:pPr>
              <w:jc w:val="right"/>
              <w:ind w:right="240"/>
              <w:spacing w:after="0"/>
              <w:rPr>
                <w:sz w:val="20"/>
                <w:szCs w:val="20"/>
                <w:color w:val="auto"/>
              </w:rPr>
            </w:pPr>
            <w:r>
              <w:rPr>
                <w:rFonts w:ascii="Arial" w:cs="Arial" w:eastAsia="Arial" w:hAnsi="Arial"/>
                <w:sz w:val="12"/>
                <w:szCs w:val="12"/>
                <w:color w:val="auto"/>
              </w:rPr>
              <w:t>L+975</w:t>
            </w:r>
          </w:p>
        </w:tc>
        <w:tc>
          <w:tcPr>
            <w:tcW w:w="680" w:type="dxa"/>
            <w:vAlign w:val="bottom"/>
          </w:tcPr>
          <w:p>
            <w:pPr>
              <w:jc w:val="right"/>
              <w:spacing w:after="0"/>
              <w:rPr>
                <w:sz w:val="20"/>
                <w:szCs w:val="20"/>
                <w:color w:val="auto"/>
              </w:rPr>
            </w:pPr>
            <w:r>
              <w:rPr>
                <w:rFonts w:ascii="Arial" w:cs="Arial" w:eastAsia="Arial" w:hAnsi="Arial"/>
                <w:sz w:val="12"/>
                <w:szCs w:val="12"/>
                <w:color w:val="auto"/>
              </w:rPr>
              <w:t>23,522,250</w:t>
            </w:r>
          </w:p>
        </w:tc>
        <w:tc>
          <w:tcPr>
            <w:tcW w:w="2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20" w:type="dxa"/>
            <w:vAlign w:val="bottom"/>
          </w:tcPr>
          <w:p>
            <w:pPr>
              <w:jc w:val="right"/>
              <w:spacing w:after="0"/>
              <w:rPr>
                <w:sz w:val="20"/>
                <w:szCs w:val="20"/>
                <w:color w:val="auto"/>
              </w:rPr>
            </w:pPr>
            <w:r>
              <w:rPr>
                <w:rFonts w:ascii="Arial" w:cs="Arial" w:eastAsia="Arial" w:hAnsi="Arial"/>
                <w:sz w:val="12"/>
                <w:szCs w:val="12"/>
                <w:color w:val="auto"/>
                <w:w w:val="99"/>
              </w:rPr>
              <w:t>23,114,058</w:t>
            </w:r>
          </w:p>
        </w:tc>
        <w:tc>
          <w:tcPr>
            <w:tcW w:w="2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40" w:type="dxa"/>
            <w:vAlign w:val="bottom"/>
          </w:tcPr>
          <w:p>
            <w:pPr>
              <w:jc w:val="right"/>
              <w:spacing w:after="0"/>
              <w:rPr>
                <w:sz w:val="20"/>
                <w:szCs w:val="20"/>
                <w:color w:val="auto"/>
              </w:rPr>
            </w:pPr>
            <w:r>
              <w:rPr>
                <w:rFonts w:ascii="Arial" w:cs="Arial" w:eastAsia="Arial" w:hAnsi="Arial"/>
                <w:sz w:val="12"/>
                <w:szCs w:val="12"/>
                <w:color w:val="auto"/>
                <w:w w:val="99"/>
              </w:rPr>
              <w:t>23,522,250</w:t>
            </w:r>
          </w:p>
        </w:tc>
        <w:tc>
          <w:tcPr>
            <w:tcW w:w="100" w:type="dxa"/>
            <w:vAlign w:val="bottom"/>
          </w:tcPr>
          <w:p>
            <w:pPr>
              <w:spacing w:after="0"/>
              <w:rPr>
                <w:sz w:val="12"/>
                <w:szCs w:val="12"/>
                <w:color w:val="auto"/>
              </w:rPr>
            </w:pPr>
          </w:p>
        </w:tc>
      </w:tr>
      <w:tr>
        <w:trPr>
          <w:trHeight w:val="148"/>
        </w:trPr>
        <w:tc>
          <w:tcPr>
            <w:tcW w:w="3080" w:type="dxa"/>
            <w:vAlign w:val="bottom"/>
            <w:shd w:val="clear" w:color="auto" w:fill="CCECFF"/>
          </w:tcPr>
          <w:p>
            <w:pPr>
              <w:spacing w:after="0"/>
              <w:rPr>
                <w:sz w:val="20"/>
                <w:szCs w:val="20"/>
                <w:color w:val="auto"/>
              </w:rPr>
            </w:pPr>
            <w:r>
              <w:rPr>
                <w:rFonts w:ascii="Arial" w:cs="Arial" w:eastAsia="Arial" w:hAnsi="Arial"/>
                <w:sz w:val="12"/>
                <w:szCs w:val="12"/>
                <w:color w:val="auto"/>
              </w:rPr>
              <w:t xml:space="preserve">Corfin Industries LLC (Revolver) </w:t>
            </w:r>
            <w:r>
              <w:rPr>
                <w:rFonts w:ascii="Arial" w:cs="Arial" w:eastAsia="Arial" w:hAnsi="Arial"/>
                <w:sz w:val="9"/>
                <w:szCs w:val="9"/>
                <w:color w:val="auto"/>
              </w:rPr>
              <w:t>(8)</w:t>
            </w:r>
          </w:p>
        </w:tc>
        <w:tc>
          <w:tcPr>
            <w:tcW w:w="980" w:type="dxa"/>
            <w:vAlign w:val="bottom"/>
            <w:shd w:val="clear" w:color="auto" w:fill="CCECFF"/>
          </w:tcPr>
          <w:p>
            <w:pPr>
              <w:ind w:left="60"/>
              <w:spacing w:after="0"/>
              <w:rPr>
                <w:sz w:val="20"/>
                <w:szCs w:val="20"/>
                <w:color w:val="auto"/>
              </w:rPr>
            </w:pPr>
            <w:r>
              <w:rPr>
                <w:rFonts w:ascii="Arial" w:cs="Arial" w:eastAsia="Arial" w:hAnsi="Arial"/>
                <w:sz w:val="12"/>
                <w:szCs w:val="12"/>
                <w:color w:val="auto"/>
              </w:rPr>
              <w:t>11/25/2020</w:t>
            </w:r>
          </w:p>
        </w:tc>
        <w:tc>
          <w:tcPr>
            <w:tcW w:w="2640" w:type="dxa"/>
            <w:vAlign w:val="bottom"/>
            <w:gridSpan w:val="2"/>
            <w:shd w:val="clear" w:color="auto" w:fill="CCECFF"/>
          </w:tcPr>
          <w:p>
            <w:pPr>
              <w:jc w:val="center"/>
              <w:ind w:right="300"/>
              <w:spacing w:after="0"/>
              <w:rPr>
                <w:sz w:val="20"/>
                <w:szCs w:val="20"/>
                <w:color w:val="auto"/>
              </w:rPr>
            </w:pPr>
            <w:r>
              <w:rPr>
                <w:rFonts w:ascii="Arial" w:cs="Arial" w:eastAsia="Arial" w:hAnsi="Arial"/>
                <w:sz w:val="12"/>
                <w:szCs w:val="12"/>
                <w:color w:val="auto"/>
                <w:w w:val="85"/>
              </w:rPr>
              <w:t>Aerospace and Defense</w:t>
            </w:r>
          </w:p>
        </w:tc>
        <w:tc>
          <w:tcPr>
            <w:tcW w:w="960" w:type="dxa"/>
            <w:vAlign w:val="bottom"/>
            <w:gridSpan w:val="2"/>
            <w:shd w:val="clear" w:color="auto" w:fill="CCECFF"/>
          </w:tcPr>
          <w:p>
            <w:pPr>
              <w:jc w:val="right"/>
              <w:ind w:right="300"/>
              <w:spacing w:after="0"/>
              <w:rPr>
                <w:sz w:val="20"/>
                <w:szCs w:val="20"/>
                <w:color w:val="auto"/>
              </w:rPr>
            </w:pPr>
            <w:r>
              <w:rPr>
                <w:rFonts w:ascii="Arial" w:cs="Arial" w:eastAsia="Arial" w:hAnsi="Arial"/>
                <w:sz w:val="12"/>
                <w:szCs w:val="12"/>
                <w:color w:val="auto"/>
              </w:rPr>
              <w:t>—</w:t>
            </w:r>
          </w:p>
        </w:tc>
        <w:tc>
          <w:tcPr>
            <w:tcW w:w="900" w:type="dxa"/>
            <w:vAlign w:val="bottom"/>
            <w:gridSpan w:val="2"/>
            <w:shd w:val="clear" w:color="auto" w:fill="CCECFF"/>
          </w:tcPr>
          <w:p>
            <w:pPr>
              <w:jc w:val="right"/>
              <w:ind w:right="240"/>
              <w:spacing w:after="0"/>
              <w:rPr>
                <w:sz w:val="20"/>
                <w:szCs w:val="20"/>
                <w:color w:val="auto"/>
              </w:rPr>
            </w:pPr>
            <w:r>
              <w:rPr>
                <w:rFonts w:ascii="Arial" w:cs="Arial" w:eastAsia="Arial" w:hAnsi="Arial"/>
                <w:sz w:val="12"/>
                <w:szCs w:val="12"/>
                <w:color w:val="auto"/>
              </w:rPr>
              <w:t>—</w:t>
            </w:r>
          </w:p>
        </w:tc>
        <w:tc>
          <w:tcPr>
            <w:tcW w:w="680" w:type="dxa"/>
            <w:vAlign w:val="bottom"/>
            <w:shd w:val="clear" w:color="auto" w:fill="CCECFF"/>
          </w:tcPr>
          <w:p>
            <w:pPr>
              <w:jc w:val="right"/>
              <w:spacing w:after="0"/>
              <w:rPr>
                <w:sz w:val="20"/>
                <w:szCs w:val="20"/>
                <w:color w:val="auto"/>
              </w:rPr>
            </w:pPr>
            <w:r>
              <w:rPr>
                <w:rFonts w:ascii="Arial" w:cs="Arial" w:eastAsia="Arial" w:hAnsi="Arial"/>
                <w:sz w:val="12"/>
                <w:szCs w:val="12"/>
                <w:color w:val="auto"/>
              </w:rPr>
              <w:t>1,942,623</w:t>
            </w:r>
          </w:p>
        </w:tc>
        <w:tc>
          <w:tcPr>
            <w:tcW w:w="240" w:type="dxa"/>
            <w:vAlign w:val="bottom"/>
            <w:shd w:val="clear" w:color="auto" w:fill="CCECFF"/>
          </w:tcPr>
          <w:p>
            <w:pPr>
              <w:spacing w:after="0"/>
              <w:rPr>
                <w:sz w:val="12"/>
                <w:szCs w:val="12"/>
                <w:color w:val="auto"/>
              </w:rPr>
            </w:pPr>
          </w:p>
        </w:tc>
        <w:tc>
          <w:tcPr>
            <w:tcW w:w="80" w:type="dxa"/>
            <w:vAlign w:val="bottom"/>
            <w:shd w:val="clear" w:color="auto" w:fill="CCECFF"/>
          </w:tcPr>
          <w:p>
            <w:pPr>
              <w:spacing w:after="0"/>
              <w:rPr>
                <w:sz w:val="12"/>
                <w:szCs w:val="12"/>
                <w:color w:val="auto"/>
              </w:rPr>
            </w:pPr>
          </w:p>
        </w:tc>
        <w:tc>
          <w:tcPr>
            <w:tcW w:w="620" w:type="dxa"/>
            <w:vAlign w:val="bottom"/>
            <w:shd w:val="clear" w:color="auto" w:fill="CCECFF"/>
          </w:tcPr>
          <w:p>
            <w:pPr>
              <w:jc w:val="right"/>
              <w:spacing w:after="0"/>
              <w:rPr>
                <w:sz w:val="20"/>
                <w:szCs w:val="20"/>
                <w:color w:val="auto"/>
              </w:rPr>
            </w:pPr>
            <w:r>
              <w:rPr>
                <w:rFonts w:ascii="Arial" w:cs="Arial" w:eastAsia="Arial" w:hAnsi="Arial"/>
                <w:sz w:val="12"/>
                <w:szCs w:val="12"/>
                <w:color w:val="auto"/>
              </w:rPr>
              <w:t>—</w:t>
            </w:r>
          </w:p>
        </w:tc>
        <w:tc>
          <w:tcPr>
            <w:tcW w:w="240" w:type="dxa"/>
            <w:vAlign w:val="bottom"/>
            <w:shd w:val="clear" w:color="auto" w:fill="CCECFF"/>
          </w:tcPr>
          <w:p>
            <w:pPr>
              <w:spacing w:after="0"/>
              <w:rPr>
                <w:sz w:val="12"/>
                <w:szCs w:val="12"/>
                <w:color w:val="auto"/>
              </w:rPr>
            </w:pPr>
          </w:p>
        </w:tc>
        <w:tc>
          <w:tcPr>
            <w:tcW w:w="80" w:type="dxa"/>
            <w:vAlign w:val="bottom"/>
            <w:shd w:val="clear" w:color="auto" w:fill="CCECFF"/>
          </w:tcPr>
          <w:p>
            <w:pPr>
              <w:spacing w:after="0"/>
              <w:rPr>
                <w:sz w:val="12"/>
                <w:szCs w:val="12"/>
                <w:color w:val="auto"/>
              </w:rPr>
            </w:pPr>
          </w:p>
        </w:tc>
        <w:tc>
          <w:tcPr>
            <w:tcW w:w="740" w:type="dxa"/>
            <w:vAlign w:val="bottom"/>
            <w:gridSpan w:val="2"/>
            <w:shd w:val="clear" w:color="auto" w:fill="CCECFF"/>
          </w:tcPr>
          <w:p>
            <w:pPr>
              <w:jc w:val="right"/>
              <w:ind w:right="120"/>
              <w:spacing w:after="0"/>
              <w:rPr>
                <w:sz w:val="20"/>
                <w:szCs w:val="20"/>
                <w:color w:val="auto"/>
              </w:rPr>
            </w:pPr>
            <w:r>
              <w:rPr>
                <w:rFonts w:ascii="Arial" w:cs="Arial" w:eastAsia="Arial" w:hAnsi="Arial"/>
                <w:sz w:val="12"/>
                <w:szCs w:val="12"/>
                <w:color w:val="auto"/>
              </w:rPr>
              <w:t>—</w:t>
            </w:r>
          </w:p>
        </w:tc>
      </w:tr>
      <w:tr>
        <w:trPr>
          <w:trHeight w:val="156"/>
        </w:trPr>
        <w:tc>
          <w:tcPr>
            <w:tcW w:w="3080" w:type="dxa"/>
            <w:vAlign w:val="bottom"/>
          </w:tcPr>
          <w:p>
            <w:pPr>
              <w:spacing w:after="0"/>
              <w:rPr>
                <w:sz w:val="20"/>
                <w:szCs w:val="20"/>
                <w:color w:val="auto"/>
              </w:rPr>
            </w:pPr>
            <w:r>
              <w:rPr>
                <w:rFonts w:ascii="Arial" w:cs="Arial" w:eastAsia="Arial" w:hAnsi="Arial"/>
                <w:sz w:val="12"/>
                <w:szCs w:val="12"/>
                <w:color w:val="auto"/>
              </w:rPr>
              <w:t>PAS Technologies, Inc.</w:t>
            </w:r>
          </w:p>
        </w:tc>
        <w:tc>
          <w:tcPr>
            <w:tcW w:w="980" w:type="dxa"/>
            <w:vAlign w:val="bottom"/>
          </w:tcPr>
          <w:p>
            <w:pPr>
              <w:ind w:left="60"/>
              <w:spacing w:after="0"/>
              <w:rPr>
                <w:sz w:val="20"/>
                <w:szCs w:val="20"/>
                <w:color w:val="auto"/>
              </w:rPr>
            </w:pPr>
            <w:r>
              <w:rPr>
                <w:rFonts w:ascii="Arial" w:cs="Arial" w:eastAsia="Arial" w:hAnsi="Arial"/>
                <w:sz w:val="12"/>
                <w:szCs w:val="12"/>
                <w:color w:val="auto"/>
              </w:rPr>
              <w:t>03/21/2017</w:t>
            </w:r>
          </w:p>
        </w:tc>
        <w:tc>
          <w:tcPr>
            <w:tcW w:w="2640" w:type="dxa"/>
            <w:vAlign w:val="bottom"/>
            <w:gridSpan w:val="2"/>
          </w:tcPr>
          <w:p>
            <w:pPr>
              <w:jc w:val="center"/>
              <w:ind w:right="300"/>
              <w:spacing w:after="0"/>
              <w:rPr>
                <w:sz w:val="20"/>
                <w:szCs w:val="20"/>
                <w:color w:val="auto"/>
              </w:rPr>
            </w:pPr>
            <w:r>
              <w:rPr>
                <w:rFonts w:ascii="Arial" w:cs="Arial" w:eastAsia="Arial" w:hAnsi="Arial"/>
                <w:sz w:val="12"/>
                <w:szCs w:val="12"/>
                <w:color w:val="auto"/>
                <w:w w:val="85"/>
              </w:rPr>
              <w:t>Aerospace and Defense</w:t>
            </w:r>
          </w:p>
        </w:tc>
        <w:tc>
          <w:tcPr>
            <w:tcW w:w="960" w:type="dxa"/>
            <w:vAlign w:val="bottom"/>
            <w:gridSpan w:val="2"/>
          </w:tcPr>
          <w:p>
            <w:pPr>
              <w:jc w:val="right"/>
              <w:ind w:right="200"/>
              <w:spacing w:after="0"/>
              <w:rPr>
                <w:sz w:val="20"/>
                <w:szCs w:val="20"/>
                <w:color w:val="auto"/>
              </w:rPr>
            </w:pPr>
            <w:r>
              <w:rPr>
                <w:rFonts w:ascii="Arial" w:cs="Arial" w:eastAsia="Arial" w:hAnsi="Arial"/>
                <w:sz w:val="12"/>
                <w:szCs w:val="12"/>
                <w:color w:val="auto"/>
              </w:rPr>
              <w:t>6.01%</w:t>
            </w:r>
          </w:p>
        </w:tc>
        <w:tc>
          <w:tcPr>
            <w:tcW w:w="900" w:type="dxa"/>
            <w:vAlign w:val="bottom"/>
            <w:gridSpan w:val="2"/>
          </w:tcPr>
          <w:p>
            <w:pPr>
              <w:jc w:val="right"/>
              <w:ind w:right="240"/>
              <w:spacing w:after="0"/>
              <w:rPr>
                <w:sz w:val="20"/>
                <w:szCs w:val="20"/>
                <w:color w:val="auto"/>
              </w:rPr>
            </w:pPr>
            <w:r>
              <w:rPr>
                <w:rFonts w:ascii="Arial" w:cs="Arial" w:eastAsia="Arial" w:hAnsi="Arial"/>
                <w:sz w:val="12"/>
                <w:szCs w:val="12"/>
                <w:color w:val="auto"/>
              </w:rPr>
              <w:t>L+500</w:t>
            </w:r>
          </w:p>
        </w:tc>
        <w:tc>
          <w:tcPr>
            <w:tcW w:w="680" w:type="dxa"/>
            <w:vAlign w:val="bottom"/>
          </w:tcPr>
          <w:p>
            <w:pPr>
              <w:jc w:val="right"/>
              <w:spacing w:after="0"/>
              <w:rPr>
                <w:sz w:val="20"/>
                <w:szCs w:val="20"/>
                <w:color w:val="auto"/>
              </w:rPr>
            </w:pPr>
            <w:r>
              <w:rPr>
                <w:rFonts w:ascii="Arial" w:cs="Arial" w:eastAsia="Arial" w:hAnsi="Arial"/>
                <w:sz w:val="12"/>
                <w:szCs w:val="12"/>
                <w:color w:val="auto"/>
              </w:rPr>
              <w:t>4,434,295</w:t>
            </w:r>
          </w:p>
        </w:tc>
        <w:tc>
          <w:tcPr>
            <w:tcW w:w="2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20" w:type="dxa"/>
            <w:vAlign w:val="bottom"/>
          </w:tcPr>
          <w:p>
            <w:pPr>
              <w:jc w:val="right"/>
              <w:spacing w:after="0"/>
              <w:rPr>
                <w:sz w:val="20"/>
                <w:szCs w:val="20"/>
                <w:color w:val="auto"/>
              </w:rPr>
            </w:pPr>
            <w:r>
              <w:rPr>
                <w:rFonts w:ascii="Arial" w:cs="Arial" w:eastAsia="Arial" w:hAnsi="Arial"/>
                <w:sz w:val="12"/>
                <w:szCs w:val="12"/>
                <w:color w:val="auto"/>
              </w:rPr>
              <w:t>3,357,949</w:t>
            </w:r>
          </w:p>
        </w:tc>
        <w:tc>
          <w:tcPr>
            <w:tcW w:w="2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40" w:type="dxa"/>
            <w:vAlign w:val="bottom"/>
          </w:tcPr>
          <w:p>
            <w:pPr>
              <w:jc w:val="right"/>
              <w:spacing w:after="0"/>
              <w:rPr>
                <w:sz w:val="20"/>
                <w:szCs w:val="20"/>
                <w:color w:val="auto"/>
              </w:rPr>
            </w:pPr>
            <w:r>
              <w:rPr>
                <w:rFonts w:ascii="Arial" w:cs="Arial" w:eastAsia="Arial" w:hAnsi="Arial"/>
                <w:sz w:val="12"/>
                <w:szCs w:val="12"/>
                <w:color w:val="auto"/>
              </w:rPr>
              <w:t>3,946,523</w:t>
            </w:r>
          </w:p>
        </w:tc>
        <w:tc>
          <w:tcPr>
            <w:tcW w:w="100" w:type="dxa"/>
            <w:vAlign w:val="bottom"/>
          </w:tcPr>
          <w:p>
            <w:pPr>
              <w:spacing w:after="0"/>
              <w:rPr>
                <w:sz w:val="13"/>
                <w:szCs w:val="13"/>
                <w:color w:val="auto"/>
              </w:rPr>
            </w:pPr>
          </w:p>
        </w:tc>
      </w:tr>
      <w:tr>
        <w:trPr>
          <w:trHeight w:val="142"/>
        </w:trPr>
        <w:tc>
          <w:tcPr>
            <w:tcW w:w="308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25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60" w:type="dxa"/>
            <w:vAlign w:val="bottom"/>
            <w:gridSpan w:val="2"/>
          </w:tcPr>
          <w:p>
            <w:pPr>
              <w:jc w:val="right"/>
              <w:ind w:right="160"/>
              <w:spacing w:after="0"/>
              <w:rPr>
                <w:sz w:val="20"/>
                <w:szCs w:val="20"/>
                <w:color w:val="auto"/>
              </w:rPr>
            </w:pPr>
            <w:r>
              <w:rPr>
                <w:rFonts w:ascii="Arial" w:cs="Arial" w:eastAsia="Arial" w:hAnsi="Arial"/>
                <w:sz w:val="12"/>
                <w:szCs w:val="12"/>
                <w:color w:val="auto"/>
              </w:rPr>
              <w:t>(PIK 1.00%)</w:t>
            </w:r>
          </w:p>
        </w:tc>
        <w:tc>
          <w:tcPr>
            <w:tcW w:w="6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00" w:type="dxa"/>
            <w:vAlign w:val="bottom"/>
          </w:tcPr>
          <w:p>
            <w:pPr>
              <w:spacing w:after="0"/>
              <w:rPr>
                <w:sz w:val="12"/>
                <w:szCs w:val="12"/>
                <w:color w:val="auto"/>
              </w:rPr>
            </w:pPr>
          </w:p>
        </w:tc>
      </w:tr>
      <w:tr>
        <w:trPr>
          <w:trHeight w:val="148"/>
        </w:trPr>
        <w:tc>
          <w:tcPr>
            <w:tcW w:w="3080" w:type="dxa"/>
            <w:vAlign w:val="bottom"/>
            <w:shd w:val="clear" w:color="auto" w:fill="CCECFF"/>
          </w:tcPr>
          <w:p>
            <w:pPr>
              <w:spacing w:after="0"/>
              <w:rPr>
                <w:sz w:val="20"/>
                <w:szCs w:val="20"/>
                <w:color w:val="auto"/>
              </w:rPr>
            </w:pPr>
            <w:r>
              <w:rPr>
                <w:rFonts w:ascii="Arial" w:cs="Arial" w:eastAsia="Arial" w:hAnsi="Arial"/>
                <w:sz w:val="12"/>
                <w:szCs w:val="12"/>
                <w:color w:val="auto"/>
              </w:rPr>
              <w:t>TRAK Acquisition Corp.</w:t>
            </w:r>
          </w:p>
        </w:tc>
        <w:tc>
          <w:tcPr>
            <w:tcW w:w="980" w:type="dxa"/>
            <w:vAlign w:val="bottom"/>
            <w:shd w:val="clear" w:color="auto" w:fill="CCECFF"/>
          </w:tcPr>
          <w:p>
            <w:pPr>
              <w:ind w:left="60"/>
              <w:spacing w:after="0"/>
              <w:rPr>
                <w:sz w:val="20"/>
                <w:szCs w:val="20"/>
                <w:color w:val="auto"/>
              </w:rPr>
            </w:pPr>
            <w:r>
              <w:rPr>
                <w:rFonts w:ascii="Arial" w:cs="Arial" w:eastAsia="Arial" w:hAnsi="Arial"/>
                <w:sz w:val="12"/>
                <w:szCs w:val="12"/>
                <w:color w:val="auto"/>
              </w:rPr>
              <w:t>04/30/2018</w:t>
            </w:r>
          </w:p>
        </w:tc>
        <w:tc>
          <w:tcPr>
            <w:tcW w:w="2640" w:type="dxa"/>
            <w:vAlign w:val="bottom"/>
            <w:gridSpan w:val="2"/>
            <w:shd w:val="clear" w:color="auto" w:fill="CCECFF"/>
          </w:tcPr>
          <w:p>
            <w:pPr>
              <w:jc w:val="center"/>
              <w:ind w:right="280"/>
              <w:spacing w:after="0"/>
              <w:rPr>
                <w:sz w:val="20"/>
                <w:szCs w:val="20"/>
                <w:color w:val="auto"/>
              </w:rPr>
            </w:pPr>
            <w:r>
              <w:rPr>
                <w:rFonts w:ascii="Arial" w:cs="Arial" w:eastAsia="Arial" w:hAnsi="Arial"/>
                <w:sz w:val="12"/>
                <w:szCs w:val="12"/>
                <w:color w:val="auto"/>
                <w:w w:val="85"/>
              </w:rPr>
              <w:t>Business Services</w:t>
            </w:r>
          </w:p>
        </w:tc>
        <w:tc>
          <w:tcPr>
            <w:tcW w:w="960" w:type="dxa"/>
            <w:vAlign w:val="bottom"/>
            <w:gridSpan w:val="2"/>
            <w:shd w:val="clear" w:color="auto" w:fill="CCECFF"/>
          </w:tcPr>
          <w:p>
            <w:pPr>
              <w:jc w:val="right"/>
              <w:ind w:right="200"/>
              <w:spacing w:after="0"/>
              <w:rPr>
                <w:sz w:val="20"/>
                <w:szCs w:val="20"/>
                <w:color w:val="auto"/>
              </w:rPr>
            </w:pPr>
            <w:r>
              <w:rPr>
                <w:rFonts w:ascii="Arial" w:cs="Arial" w:eastAsia="Arial" w:hAnsi="Arial"/>
                <w:sz w:val="12"/>
                <w:szCs w:val="12"/>
                <w:color w:val="auto"/>
              </w:rPr>
              <w:t>12.00%</w:t>
            </w:r>
          </w:p>
        </w:tc>
        <w:tc>
          <w:tcPr>
            <w:tcW w:w="900" w:type="dxa"/>
            <w:vAlign w:val="bottom"/>
            <w:gridSpan w:val="2"/>
            <w:shd w:val="clear" w:color="auto" w:fill="CCECFF"/>
          </w:tcPr>
          <w:p>
            <w:pPr>
              <w:jc w:val="right"/>
              <w:ind w:right="240"/>
              <w:spacing w:after="0"/>
              <w:rPr>
                <w:sz w:val="20"/>
                <w:szCs w:val="20"/>
                <w:color w:val="auto"/>
              </w:rPr>
            </w:pPr>
            <w:r>
              <w:rPr>
                <w:rFonts w:ascii="Arial" w:cs="Arial" w:eastAsia="Arial" w:hAnsi="Arial"/>
                <w:sz w:val="12"/>
                <w:szCs w:val="12"/>
                <w:color w:val="auto"/>
              </w:rPr>
              <w:t>L+1,050</w:t>
            </w:r>
          </w:p>
        </w:tc>
        <w:tc>
          <w:tcPr>
            <w:tcW w:w="680" w:type="dxa"/>
            <w:vAlign w:val="bottom"/>
            <w:shd w:val="clear" w:color="auto" w:fill="CCECFF"/>
          </w:tcPr>
          <w:p>
            <w:pPr>
              <w:jc w:val="right"/>
              <w:spacing w:after="0"/>
              <w:rPr>
                <w:sz w:val="20"/>
                <w:szCs w:val="20"/>
                <w:color w:val="auto"/>
              </w:rPr>
            </w:pPr>
            <w:r>
              <w:rPr>
                <w:rFonts w:ascii="Arial" w:cs="Arial" w:eastAsia="Arial" w:hAnsi="Arial"/>
                <w:sz w:val="12"/>
                <w:szCs w:val="12"/>
                <w:color w:val="auto"/>
              </w:rPr>
              <w:t>22,764,911</w:t>
            </w:r>
          </w:p>
        </w:tc>
        <w:tc>
          <w:tcPr>
            <w:tcW w:w="240" w:type="dxa"/>
            <w:vAlign w:val="bottom"/>
            <w:shd w:val="clear" w:color="auto" w:fill="CCECFF"/>
          </w:tcPr>
          <w:p>
            <w:pPr>
              <w:spacing w:after="0"/>
              <w:rPr>
                <w:sz w:val="12"/>
                <w:szCs w:val="12"/>
                <w:color w:val="auto"/>
              </w:rPr>
            </w:pPr>
          </w:p>
        </w:tc>
        <w:tc>
          <w:tcPr>
            <w:tcW w:w="80" w:type="dxa"/>
            <w:vAlign w:val="bottom"/>
            <w:shd w:val="clear" w:color="auto" w:fill="CCECFF"/>
          </w:tcPr>
          <w:p>
            <w:pPr>
              <w:spacing w:after="0"/>
              <w:rPr>
                <w:sz w:val="12"/>
                <w:szCs w:val="12"/>
                <w:color w:val="auto"/>
              </w:rPr>
            </w:pPr>
          </w:p>
        </w:tc>
        <w:tc>
          <w:tcPr>
            <w:tcW w:w="620" w:type="dxa"/>
            <w:vAlign w:val="bottom"/>
            <w:shd w:val="clear" w:color="auto" w:fill="CCECFF"/>
          </w:tcPr>
          <w:p>
            <w:pPr>
              <w:jc w:val="right"/>
              <w:spacing w:after="0"/>
              <w:rPr>
                <w:sz w:val="20"/>
                <w:szCs w:val="20"/>
                <w:color w:val="auto"/>
              </w:rPr>
            </w:pPr>
            <w:r>
              <w:rPr>
                <w:rFonts w:ascii="Arial" w:cs="Arial" w:eastAsia="Arial" w:hAnsi="Arial"/>
                <w:sz w:val="12"/>
                <w:szCs w:val="12"/>
                <w:color w:val="auto"/>
                <w:w w:val="99"/>
              </w:rPr>
              <w:t>22,613,930</w:t>
            </w:r>
          </w:p>
        </w:tc>
        <w:tc>
          <w:tcPr>
            <w:tcW w:w="240" w:type="dxa"/>
            <w:vAlign w:val="bottom"/>
            <w:shd w:val="clear" w:color="auto" w:fill="CCECFF"/>
          </w:tcPr>
          <w:p>
            <w:pPr>
              <w:spacing w:after="0"/>
              <w:rPr>
                <w:sz w:val="12"/>
                <w:szCs w:val="12"/>
                <w:color w:val="auto"/>
              </w:rPr>
            </w:pPr>
          </w:p>
        </w:tc>
        <w:tc>
          <w:tcPr>
            <w:tcW w:w="80" w:type="dxa"/>
            <w:vAlign w:val="bottom"/>
            <w:shd w:val="clear" w:color="auto" w:fill="CCECFF"/>
          </w:tcPr>
          <w:p>
            <w:pPr>
              <w:spacing w:after="0"/>
              <w:rPr>
                <w:sz w:val="12"/>
                <w:szCs w:val="12"/>
                <w:color w:val="auto"/>
              </w:rPr>
            </w:pPr>
          </w:p>
        </w:tc>
        <w:tc>
          <w:tcPr>
            <w:tcW w:w="640" w:type="dxa"/>
            <w:vAlign w:val="bottom"/>
            <w:shd w:val="clear" w:color="auto" w:fill="CCECFF"/>
          </w:tcPr>
          <w:p>
            <w:pPr>
              <w:jc w:val="right"/>
              <w:spacing w:after="0"/>
              <w:rPr>
                <w:sz w:val="20"/>
                <w:szCs w:val="20"/>
                <w:color w:val="auto"/>
              </w:rPr>
            </w:pPr>
            <w:r>
              <w:rPr>
                <w:rFonts w:ascii="Arial" w:cs="Arial" w:eastAsia="Arial" w:hAnsi="Arial"/>
                <w:sz w:val="12"/>
                <w:szCs w:val="12"/>
                <w:color w:val="auto"/>
                <w:w w:val="99"/>
              </w:rPr>
              <w:t>22,764,911</w:t>
            </w:r>
          </w:p>
        </w:tc>
        <w:tc>
          <w:tcPr>
            <w:tcW w:w="100" w:type="dxa"/>
            <w:vAlign w:val="bottom"/>
            <w:shd w:val="clear" w:color="auto" w:fill="CCECFF"/>
          </w:tcPr>
          <w:p>
            <w:pPr>
              <w:spacing w:after="0"/>
              <w:rPr>
                <w:sz w:val="12"/>
                <w:szCs w:val="12"/>
                <w:color w:val="auto"/>
              </w:rPr>
            </w:pPr>
          </w:p>
        </w:tc>
      </w:tr>
      <w:tr>
        <w:trPr>
          <w:trHeight w:val="148"/>
        </w:trPr>
        <w:tc>
          <w:tcPr>
            <w:tcW w:w="3080" w:type="dxa"/>
            <w:vAlign w:val="bottom"/>
            <w:tcBorders>
              <w:bottom w:val="single" w:sz="8" w:color="CCECFF"/>
            </w:tcBorders>
          </w:tcPr>
          <w:p>
            <w:pPr>
              <w:spacing w:after="0"/>
              <w:rPr>
                <w:sz w:val="20"/>
                <w:szCs w:val="20"/>
                <w:color w:val="auto"/>
              </w:rPr>
            </w:pPr>
            <w:r>
              <w:rPr>
                <w:rFonts w:ascii="Arial" w:cs="Arial" w:eastAsia="Arial" w:hAnsi="Arial"/>
                <w:sz w:val="12"/>
                <w:szCs w:val="12"/>
                <w:color w:val="auto"/>
              </w:rPr>
              <w:t>TRAK Acquisition Corp. (Revolver)</w:t>
            </w:r>
          </w:p>
        </w:tc>
        <w:tc>
          <w:tcPr>
            <w:tcW w:w="980" w:type="dxa"/>
            <w:vAlign w:val="bottom"/>
            <w:tcBorders>
              <w:bottom w:val="single" w:sz="8" w:color="CCECFF"/>
            </w:tcBorders>
          </w:tcPr>
          <w:p>
            <w:pPr>
              <w:ind w:left="60"/>
              <w:spacing w:after="0"/>
              <w:rPr>
                <w:sz w:val="20"/>
                <w:szCs w:val="20"/>
                <w:color w:val="auto"/>
              </w:rPr>
            </w:pPr>
            <w:r>
              <w:rPr>
                <w:rFonts w:ascii="Arial" w:cs="Arial" w:eastAsia="Arial" w:hAnsi="Arial"/>
                <w:sz w:val="12"/>
                <w:szCs w:val="12"/>
                <w:color w:val="auto"/>
              </w:rPr>
              <w:t>11/22/2016</w:t>
            </w:r>
          </w:p>
        </w:tc>
        <w:tc>
          <w:tcPr>
            <w:tcW w:w="2640" w:type="dxa"/>
            <w:vAlign w:val="bottom"/>
            <w:tcBorders>
              <w:bottom w:val="single" w:sz="8" w:color="CCECFF"/>
            </w:tcBorders>
            <w:gridSpan w:val="2"/>
          </w:tcPr>
          <w:p>
            <w:pPr>
              <w:jc w:val="center"/>
              <w:ind w:right="280"/>
              <w:spacing w:after="0"/>
              <w:rPr>
                <w:sz w:val="20"/>
                <w:szCs w:val="20"/>
                <w:color w:val="auto"/>
              </w:rPr>
            </w:pPr>
            <w:r>
              <w:rPr>
                <w:rFonts w:ascii="Arial" w:cs="Arial" w:eastAsia="Arial" w:hAnsi="Arial"/>
                <w:sz w:val="12"/>
                <w:szCs w:val="12"/>
                <w:color w:val="auto"/>
                <w:w w:val="85"/>
              </w:rPr>
              <w:t>Business Services</w:t>
            </w:r>
          </w:p>
        </w:tc>
        <w:tc>
          <w:tcPr>
            <w:tcW w:w="960" w:type="dxa"/>
            <w:vAlign w:val="bottom"/>
            <w:tcBorders>
              <w:bottom w:val="single" w:sz="8" w:color="CCECFF"/>
            </w:tcBorders>
            <w:gridSpan w:val="2"/>
          </w:tcPr>
          <w:p>
            <w:pPr>
              <w:jc w:val="right"/>
              <w:ind w:right="200"/>
              <w:spacing w:after="0"/>
              <w:rPr>
                <w:sz w:val="20"/>
                <w:szCs w:val="20"/>
                <w:color w:val="auto"/>
              </w:rPr>
            </w:pPr>
            <w:r>
              <w:rPr>
                <w:rFonts w:ascii="Arial" w:cs="Arial" w:eastAsia="Arial" w:hAnsi="Arial"/>
                <w:sz w:val="12"/>
                <w:szCs w:val="12"/>
                <w:color w:val="auto"/>
              </w:rPr>
              <w:t>12.00%</w:t>
            </w:r>
          </w:p>
        </w:tc>
        <w:tc>
          <w:tcPr>
            <w:tcW w:w="900" w:type="dxa"/>
            <w:vAlign w:val="bottom"/>
            <w:tcBorders>
              <w:bottom w:val="single" w:sz="8" w:color="CCECFF"/>
            </w:tcBorders>
            <w:gridSpan w:val="2"/>
          </w:tcPr>
          <w:p>
            <w:pPr>
              <w:jc w:val="right"/>
              <w:ind w:right="240"/>
              <w:spacing w:after="0"/>
              <w:rPr>
                <w:sz w:val="20"/>
                <w:szCs w:val="20"/>
                <w:color w:val="auto"/>
              </w:rPr>
            </w:pPr>
            <w:r>
              <w:rPr>
                <w:rFonts w:ascii="Arial" w:cs="Arial" w:eastAsia="Arial" w:hAnsi="Arial"/>
                <w:sz w:val="12"/>
                <w:szCs w:val="12"/>
                <w:color w:val="auto"/>
              </w:rPr>
              <w:t>L+1,050</w:t>
            </w:r>
          </w:p>
        </w:tc>
        <w:tc>
          <w:tcPr>
            <w:tcW w:w="680" w:type="dxa"/>
            <w:vAlign w:val="bottom"/>
            <w:tcBorders>
              <w:bottom w:val="single" w:sz="8" w:color="CCECFF"/>
            </w:tcBorders>
          </w:tcPr>
          <w:p>
            <w:pPr>
              <w:jc w:val="right"/>
              <w:spacing w:after="0"/>
              <w:rPr>
                <w:sz w:val="20"/>
                <w:szCs w:val="20"/>
                <w:color w:val="auto"/>
              </w:rPr>
            </w:pPr>
            <w:r>
              <w:rPr>
                <w:rFonts w:ascii="Arial" w:cs="Arial" w:eastAsia="Arial" w:hAnsi="Arial"/>
                <w:sz w:val="12"/>
                <w:szCs w:val="12"/>
                <w:color w:val="auto"/>
              </w:rPr>
              <w:t>3,000,000</w:t>
            </w:r>
          </w:p>
        </w:tc>
        <w:tc>
          <w:tcPr>
            <w:tcW w:w="240" w:type="dxa"/>
            <w:vAlign w:val="bottom"/>
            <w:tcBorders>
              <w:bottom w:val="single" w:sz="8" w:color="CCECFF"/>
            </w:tcBorders>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3,000,000</w:t>
            </w:r>
          </w:p>
        </w:tc>
        <w:tc>
          <w:tcPr>
            <w:tcW w:w="240" w:type="dxa"/>
            <w:vAlign w:val="bottom"/>
            <w:tcBorders>
              <w:bottom w:val="single" w:sz="8" w:color="CCECFF"/>
            </w:tcBorders>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3,000,000</w:t>
            </w:r>
          </w:p>
        </w:tc>
        <w:tc>
          <w:tcPr>
            <w:tcW w:w="100" w:type="dxa"/>
            <w:vAlign w:val="bottom"/>
            <w:tcBorders>
              <w:bottom w:val="single" w:sz="8" w:color="CCECFF"/>
            </w:tcBorders>
          </w:tcPr>
          <w:p>
            <w:pPr>
              <w:spacing w:after="0"/>
              <w:rPr>
                <w:sz w:val="12"/>
                <w:szCs w:val="12"/>
                <w:color w:val="auto"/>
              </w:rPr>
            </w:pPr>
          </w:p>
        </w:tc>
      </w:tr>
      <w:tr>
        <w:trPr>
          <w:trHeight w:val="142"/>
        </w:trPr>
        <w:tc>
          <w:tcPr>
            <w:tcW w:w="3080" w:type="dxa"/>
            <w:vAlign w:val="bottom"/>
            <w:shd w:val="clear" w:color="auto" w:fill="CCECFF"/>
          </w:tcPr>
          <w:p>
            <w:pPr>
              <w:spacing w:after="0"/>
              <w:rPr>
                <w:sz w:val="20"/>
                <w:szCs w:val="20"/>
                <w:color w:val="auto"/>
              </w:rPr>
            </w:pPr>
            <w:r>
              <w:rPr>
                <w:rFonts w:ascii="Arial" w:cs="Arial" w:eastAsia="Arial" w:hAnsi="Arial"/>
                <w:sz w:val="12"/>
                <w:szCs w:val="12"/>
                <w:b w:val="1"/>
                <w:bCs w:val="1"/>
                <w:color w:val="auto"/>
              </w:rPr>
              <w:t>Total First Lien Secured Debt</w:t>
            </w:r>
          </w:p>
        </w:tc>
        <w:tc>
          <w:tcPr>
            <w:tcW w:w="980" w:type="dxa"/>
            <w:vAlign w:val="bottom"/>
            <w:shd w:val="clear" w:color="auto" w:fill="CCECFF"/>
          </w:tcPr>
          <w:p>
            <w:pPr>
              <w:spacing w:after="0"/>
              <w:rPr>
                <w:sz w:val="12"/>
                <w:szCs w:val="12"/>
                <w:color w:val="auto"/>
              </w:rPr>
            </w:pPr>
          </w:p>
        </w:tc>
        <w:tc>
          <w:tcPr>
            <w:tcW w:w="2500" w:type="dxa"/>
            <w:vAlign w:val="bottom"/>
            <w:shd w:val="clear" w:color="auto" w:fill="CCECFF"/>
          </w:tcPr>
          <w:p>
            <w:pPr>
              <w:spacing w:after="0"/>
              <w:rPr>
                <w:sz w:val="12"/>
                <w:szCs w:val="12"/>
                <w:color w:val="auto"/>
              </w:rPr>
            </w:pPr>
          </w:p>
        </w:tc>
        <w:tc>
          <w:tcPr>
            <w:tcW w:w="140" w:type="dxa"/>
            <w:vAlign w:val="bottom"/>
            <w:shd w:val="clear" w:color="auto" w:fill="CCECFF"/>
          </w:tcPr>
          <w:p>
            <w:pPr>
              <w:spacing w:after="0"/>
              <w:rPr>
                <w:sz w:val="12"/>
                <w:szCs w:val="12"/>
                <w:color w:val="auto"/>
              </w:rPr>
            </w:pPr>
          </w:p>
        </w:tc>
        <w:tc>
          <w:tcPr>
            <w:tcW w:w="660" w:type="dxa"/>
            <w:vAlign w:val="bottom"/>
            <w:shd w:val="clear" w:color="auto" w:fill="CCECFF"/>
          </w:tcPr>
          <w:p>
            <w:pPr>
              <w:spacing w:after="0"/>
              <w:rPr>
                <w:sz w:val="12"/>
                <w:szCs w:val="12"/>
                <w:color w:val="auto"/>
              </w:rPr>
            </w:pPr>
          </w:p>
        </w:tc>
        <w:tc>
          <w:tcPr>
            <w:tcW w:w="300" w:type="dxa"/>
            <w:vAlign w:val="bottom"/>
            <w:shd w:val="clear" w:color="auto" w:fill="CCECFF"/>
          </w:tcPr>
          <w:p>
            <w:pPr>
              <w:spacing w:after="0"/>
              <w:rPr>
                <w:sz w:val="12"/>
                <w:szCs w:val="12"/>
                <w:color w:val="auto"/>
              </w:rPr>
            </w:pPr>
          </w:p>
        </w:tc>
        <w:tc>
          <w:tcPr>
            <w:tcW w:w="680" w:type="dxa"/>
            <w:vAlign w:val="bottom"/>
            <w:shd w:val="clear" w:color="auto" w:fill="CCECFF"/>
          </w:tcPr>
          <w:p>
            <w:pPr>
              <w:spacing w:after="0"/>
              <w:rPr>
                <w:sz w:val="12"/>
                <w:szCs w:val="12"/>
                <w:color w:val="auto"/>
              </w:rPr>
            </w:pPr>
          </w:p>
        </w:tc>
        <w:tc>
          <w:tcPr>
            <w:tcW w:w="220" w:type="dxa"/>
            <w:vAlign w:val="bottom"/>
            <w:shd w:val="clear" w:color="auto" w:fill="CCECFF"/>
          </w:tcPr>
          <w:p>
            <w:pPr>
              <w:spacing w:after="0"/>
              <w:rPr>
                <w:sz w:val="12"/>
                <w:szCs w:val="12"/>
                <w:color w:val="auto"/>
              </w:rPr>
            </w:pPr>
          </w:p>
        </w:tc>
        <w:tc>
          <w:tcPr>
            <w:tcW w:w="680" w:type="dxa"/>
            <w:vAlign w:val="bottom"/>
            <w:shd w:val="clear" w:color="auto" w:fill="CCECFF"/>
          </w:tcPr>
          <w:p>
            <w:pPr>
              <w:spacing w:after="0"/>
              <w:rPr>
                <w:sz w:val="12"/>
                <w:szCs w:val="12"/>
                <w:color w:val="auto"/>
              </w:rPr>
            </w:pPr>
          </w:p>
        </w:tc>
        <w:tc>
          <w:tcPr>
            <w:tcW w:w="240" w:type="dxa"/>
            <w:vAlign w:val="bottom"/>
            <w:shd w:val="clear" w:color="auto" w:fill="CCECFF"/>
          </w:tcPr>
          <w:p>
            <w:pPr>
              <w:spacing w:after="0"/>
              <w:rPr>
                <w:sz w:val="12"/>
                <w:szCs w:val="12"/>
                <w:color w:val="auto"/>
              </w:rPr>
            </w:pPr>
          </w:p>
        </w:tc>
        <w:tc>
          <w:tcPr>
            <w:tcW w:w="80" w:type="dxa"/>
            <w:vAlign w:val="bottom"/>
            <w:tcBorders>
              <w:bottom w:val="single" w:sz="8" w:color="auto"/>
            </w:tcBorders>
            <w:shd w:val="clear" w:color="auto" w:fill="CCECFF"/>
          </w:tcPr>
          <w:p>
            <w:pPr>
              <w:spacing w:after="0"/>
              <w:rPr>
                <w:sz w:val="12"/>
                <w:szCs w:val="12"/>
                <w:color w:val="auto"/>
              </w:rPr>
            </w:pPr>
          </w:p>
        </w:tc>
        <w:tc>
          <w:tcPr>
            <w:tcW w:w="620" w:type="dxa"/>
            <w:vAlign w:val="bottom"/>
            <w:tcBorders>
              <w:bottom w:val="single" w:sz="8" w:color="auto"/>
            </w:tcBorders>
            <w:shd w:val="clear" w:color="auto" w:fill="CCECFF"/>
          </w:tcPr>
          <w:p>
            <w:pPr>
              <w:jc w:val="right"/>
              <w:spacing w:after="0"/>
              <w:rPr>
                <w:sz w:val="20"/>
                <w:szCs w:val="20"/>
                <w:color w:val="auto"/>
              </w:rPr>
            </w:pPr>
            <w:r>
              <w:rPr>
                <w:rFonts w:ascii="Arial" w:cs="Arial" w:eastAsia="Arial" w:hAnsi="Arial"/>
                <w:sz w:val="12"/>
                <w:szCs w:val="12"/>
                <w:color w:val="auto"/>
                <w:w w:val="99"/>
              </w:rPr>
              <w:t>52,085,937</w:t>
            </w:r>
          </w:p>
        </w:tc>
        <w:tc>
          <w:tcPr>
            <w:tcW w:w="240" w:type="dxa"/>
            <w:vAlign w:val="bottom"/>
            <w:shd w:val="clear" w:color="auto" w:fill="CCECFF"/>
          </w:tcPr>
          <w:p>
            <w:pPr>
              <w:spacing w:after="0"/>
              <w:rPr>
                <w:sz w:val="12"/>
                <w:szCs w:val="12"/>
                <w:color w:val="auto"/>
              </w:rPr>
            </w:pPr>
          </w:p>
        </w:tc>
        <w:tc>
          <w:tcPr>
            <w:tcW w:w="80" w:type="dxa"/>
            <w:vAlign w:val="bottom"/>
            <w:tcBorders>
              <w:bottom w:val="single" w:sz="8" w:color="auto"/>
            </w:tcBorders>
            <w:shd w:val="clear" w:color="auto" w:fill="CCECFF"/>
          </w:tcPr>
          <w:p>
            <w:pPr>
              <w:spacing w:after="0"/>
              <w:rPr>
                <w:sz w:val="12"/>
                <w:szCs w:val="12"/>
                <w:color w:val="auto"/>
              </w:rPr>
            </w:pPr>
          </w:p>
        </w:tc>
        <w:tc>
          <w:tcPr>
            <w:tcW w:w="640" w:type="dxa"/>
            <w:vAlign w:val="bottom"/>
            <w:tcBorders>
              <w:bottom w:val="single" w:sz="8" w:color="auto"/>
            </w:tcBorders>
            <w:shd w:val="clear" w:color="auto" w:fill="CCECFF"/>
          </w:tcPr>
          <w:p>
            <w:pPr>
              <w:jc w:val="right"/>
              <w:spacing w:after="0"/>
              <w:rPr>
                <w:sz w:val="20"/>
                <w:szCs w:val="20"/>
                <w:color w:val="auto"/>
              </w:rPr>
            </w:pPr>
            <w:r>
              <w:rPr>
                <w:rFonts w:ascii="Arial" w:cs="Arial" w:eastAsia="Arial" w:hAnsi="Arial"/>
                <w:sz w:val="12"/>
                <w:szCs w:val="12"/>
                <w:color w:val="auto"/>
                <w:w w:val="99"/>
              </w:rPr>
              <w:t>53,233,684</w:t>
            </w:r>
          </w:p>
        </w:tc>
        <w:tc>
          <w:tcPr>
            <w:tcW w:w="100" w:type="dxa"/>
            <w:vAlign w:val="bottom"/>
            <w:shd w:val="clear" w:color="auto" w:fill="CCECFF"/>
          </w:tcPr>
          <w:p>
            <w:pPr>
              <w:spacing w:after="0"/>
              <w:rPr>
                <w:sz w:val="12"/>
                <w:szCs w:val="12"/>
                <w:color w:val="auto"/>
              </w:rPr>
            </w:pPr>
          </w:p>
        </w:tc>
      </w:tr>
      <w:tr>
        <w:trPr>
          <w:trHeight w:val="142"/>
        </w:trPr>
        <w:tc>
          <w:tcPr>
            <w:tcW w:w="3080" w:type="dxa"/>
            <w:vAlign w:val="bottom"/>
          </w:tcPr>
          <w:p>
            <w:pPr>
              <w:spacing w:after="0"/>
              <w:rPr>
                <w:sz w:val="20"/>
                <w:szCs w:val="20"/>
                <w:color w:val="auto"/>
              </w:rPr>
            </w:pPr>
            <w:r>
              <w:rPr>
                <w:rFonts w:ascii="Arial" w:cs="Arial" w:eastAsia="Arial" w:hAnsi="Arial"/>
                <w:sz w:val="12"/>
                <w:szCs w:val="12"/>
                <w:b w:val="1"/>
                <w:bCs w:val="1"/>
                <w:color w:val="auto"/>
              </w:rPr>
              <w:t>Second Lien Secured Debt—3.9%</w:t>
            </w:r>
          </w:p>
        </w:tc>
        <w:tc>
          <w:tcPr>
            <w:tcW w:w="980" w:type="dxa"/>
            <w:vAlign w:val="bottom"/>
          </w:tcPr>
          <w:p>
            <w:pPr>
              <w:spacing w:after="0"/>
              <w:rPr>
                <w:sz w:val="12"/>
                <w:szCs w:val="12"/>
                <w:color w:val="auto"/>
              </w:rPr>
            </w:pPr>
          </w:p>
        </w:tc>
        <w:tc>
          <w:tcPr>
            <w:tcW w:w="25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00" w:type="dxa"/>
            <w:vAlign w:val="bottom"/>
          </w:tcPr>
          <w:p>
            <w:pPr>
              <w:spacing w:after="0"/>
              <w:rPr>
                <w:sz w:val="12"/>
                <w:szCs w:val="12"/>
                <w:color w:val="auto"/>
              </w:rPr>
            </w:pPr>
          </w:p>
        </w:tc>
      </w:tr>
      <w:tr>
        <w:trPr>
          <w:trHeight w:val="148"/>
        </w:trPr>
        <w:tc>
          <w:tcPr>
            <w:tcW w:w="3080" w:type="dxa"/>
            <w:vAlign w:val="bottom"/>
            <w:shd w:val="clear" w:color="auto" w:fill="CCECFF"/>
          </w:tcPr>
          <w:p>
            <w:pPr>
              <w:spacing w:after="0"/>
              <w:rPr>
                <w:sz w:val="20"/>
                <w:szCs w:val="20"/>
                <w:color w:val="auto"/>
              </w:rPr>
            </w:pPr>
            <w:r>
              <w:rPr>
                <w:rFonts w:ascii="Arial" w:cs="Arial" w:eastAsia="Arial" w:hAnsi="Arial"/>
                <w:sz w:val="12"/>
                <w:szCs w:val="12"/>
                <w:color w:val="auto"/>
              </w:rPr>
              <w:t>Affinion Group, Inc.</w:t>
            </w:r>
          </w:p>
        </w:tc>
        <w:tc>
          <w:tcPr>
            <w:tcW w:w="980" w:type="dxa"/>
            <w:vAlign w:val="bottom"/>
            <w:shd w:val="clear" w:color="auto" w:fill="CCECFF"/>
          </w:tcPr>
          <w:p>
            <w:pPr>
              <w:ind w:left="60"/>
              <w:spacing w:after="0"/>
              <w:rPr>
                <w:sz w:val="20"/>
                <w:szCs w:val="20"/>
                <w:color w:val="auto"/>
              </w:rPr>
            </w:pPr>
            <w:r>
              <w:rPr>
                <w:rFonts w:ascii="Arial" w:cs="Arial" w:eastAsia="Arial" w:hAnsi="Arial"/>
                <w:sz w:val="12"/>
                <w:szCs w:val="12"/>
                <w:color w:val="auto"/>
              </w:rPr>
              <w:t>10/31/2018</w:t>
            </w:r>
          </w:p>
        </w:tc>
        <w:tc>
          <w:tcPr>
            <w:tcW w:w="2640" w:type="dxa"/>
            <w:vAlign w:val="bottom"/>
            <w:gridSpan w:val="2"/>
            <w:shd w:val="clear" w:color="auto" w:fill="CCECFF"/>
          </w:tcPr>
          <w:p>
            <w:pPr>
              <w:jc w:val="center"/>
              <w:ind w:right="280"/>
              <w:spacing w:after="0"/>
              <w:rPr>
                <w:sz w:val="20"/>
                <w:szCs w:val="20"/>
                <w:color w:val="auto"/>
              </w:rPr>
            </w:pPr>
            <w:r>
              <w:rPr>
                <w:rFonts w:ascii="Arial" w:cs="Arial" w:eastAsia="Arial" w:hAnsi="Arial"/>
                <w:sz w:val="12"/>
                <w:szCs w:val="12"/>
                <w:color w:val="auto"/>
                <w:w w:val="86"/>
              </w:rPr>
              <w:t>Consumer Products</w:t>
            </w:r>
          </w:p>
        </w:tc>
        <w:tc>
          <w:tcPr>
            <w:tcW w:w="960" w:type="dxa"/>
            <w:vAlign w:val="bottom"/>
            <w:gridSpan w:val="2"/>
            <w:shd w:val="clear" w:color="auto" w:fill="CCECFF"/>
          </w:tcPr>
          <w:p>
            <w:pPr>
              <w:jc w:val="right"/>
              <w:ind w:right="200"/>
              <w:spacing w:after="0"/>
              <w:rPr>
                <w:sz w:val="20"/>
                <w:szCs w:val="20"/>
                <w:color w:val="auto"/>
              </w:rPr>
            </w:pPr>
            <w:r>
              <w:rPr>
                <w:rFonts w:ascii="Arial" w:cs="Arial" w:eastAsia="Arial" w:hAnsi="Arial"/>
                <w:sz w:val="12"/>
                <w:szCs w:val="12"/>
                <w:color w:val="auto"/>
              </w:rPr>
              <w:t>8.50%</w:t>
            </w:r>
          </w:p>
        </w:tc>
        <w:tc>
          <w:tcPr>
            <w:tcW w:w="900" w:type="dxa"/>
            <w:vAlign w:val="bottom"/>
            <w:gridSpan w:val="2"/>
            <w:shd w:val="clear" w:color="auto" w:fill="CCECFF"/>
          </w:tcPr>
          <w:p>
            <w:pPr>
              <w:jc w:val="right"/>
              <w:ind w:right="240"/>
              <w:spacing w:after="0"/>
              <w:rPr>
                <w:sz w:val="20"/>
                <w:szCs w:val="20"/>
                <w:color w:val="auto"/>
              </w:rPr>
            </w:pPr>
            <w:r>
              <w:rPr>
                <w:rFonts w:ascii="Arial" w:cs="Arial" w:eastAsia="Arial" w:hAnsi="Arial"/>
                <w:sz w:val="12"/>
                <w:szCs w:val="12"/>
                <w:color w:val="auto"/>
              </w:rPr>
              <w:t>L+700</w:t>
            </w:r>
          </w:p>
        </w:tc>
        <w:tc>
          <w:tcPr>
            <w:tcW w:w="680" w:type="dxa"/>
            <w:vAlign w:val="bottom"/>
            <w:shd w:val="clear" w:color="auto" w:fill="CCECFF"/>
          </w:tcPr>
          <w:p>
            <w:pPr>
              <w:jc w:val="right"/>
              <w:spacing w:after="0"/>
              <w:rPr>
                <w:sz w:val="20"/>
                <w:szCs w:val="20"/>
                <w:color w:val="auto"/>
              </w:rPr>
            </w:pPr>
            <w:r>
              <w:rPr>
                <w:rFonts w:ascii="Arial" w:cs="Arial" w:eastAsia="Arial" w:hAnsi="Arial"/>
                <w:sz w:val="12"/>
                <w:szCs w:val="12"/>
                <w:color w:val="auto"/>
              </w:rPr>
              <w:t>18,000,000</w:t>
            </w:r>
          </w:p>
        </w:tc>
        <w:tc>
          <w:tcPr>
            <w:tcW w:w="240" w:type="dxa"/>
            <w:vAlign w:val="bottom"/>
            <w:shd w:val="clear" w:color="auto" w:fill="CCECFF"/>
          </w:tcPr>
          <w:p>
            <w:pPr>
              <w:spacing w:after="0"/>
              <w:rPr>
                <w:sz w:val="12"/>
                <w:szCs w:val="12"/>
                <w:color w:val="auto"/>
              </w:rPr>
            </w:pPr>
          </w:p>
        </w:tc>
        <w:tc>
          <w:tcPr>
            <w:tcW w:w="80" w:type="dxa"/>
            <w:vAlign w:val="bottom"/>
            <w:shd w:val="clear" w:color="auto" w:fill="CCECFF"/>
          </w:tcPr>
          <w:p>
            <w:pPr>
              <w:spacing w:after="0"/>
              <w:rPr>
                <w:sz w:val="12"/>
                <w:szCs w:val="12"/>
                <w:color w:val="auto"/>
              </w:rPr>
            </w:pPr>
          </w:p>
        </w:tc>
        <w:tc>
          <w:tcPr>
            <w:tcW w:w="620" w:type="dxa"/>
            <w:vAlign w:val="bottom"/>
            <w:shd w:val="clear" w:color="auto" w:fill="CCECFF"/>
          </w:tcPr>
          <w:p>
            <w:pPr>
              <w:jc w:val="right"/>
              <w:spacing w:after="0"/>
              <w:rPr>
                <w:sz w:val="20"/>
                <w:szCs w:val="20"/>
                <w:color w:val="auto"/>
              </w:rPr>
            </w:pPr>
            <w:r>
              <w:rPr>
                <w:rFonts w:ascii="Arial" w:cs="Arial" w:eastAsia="Arial" w:hAnsi="Arial"/>
                <w:sz w:val="12"/>
                <w:szCs w:val="12"/>
                <w:color w:val="auto"/>
                <w:w w:val="99"/>
              </w:rPr>
              <w:t>16,960,967</w:t>
            </w:r>
          </w:p>
        </w:tc>
        <w:tc>
          <w:tcPr>
            <w:tcW w:w="240" w:type="dxa"/>
            <w:vAlign w:val="bottom"/>
            <w:shd w:val="clear" w:color="auto" w:fill="CCECFF"/>
          </w:tcPr>
          <w:p>
            <w:pPr>
              <w:spacing w:after="0"/>
              <w:rPr>
                <w:sz w:val="12"/>
                <w:szCs w:val="12"/>
                <w:color w:val="auto"/>
              </w:rPr>
            </w:pPr>
          </w:p>
        </w:tc>
        <w:tc>
          <w:tcPr>
            <w:tcW w:w="80" w:type="dxa"/>
            <w:vAlign w:val="bottom"/>
            <w:shd w:val="clear" w:color="auto" w:fill="CCECFF"/>
          </w:tcPr>
          <w:p>
            <w:pPr>
              <w:spacing w:after="0"/>
              <w:rPr>
                <w:sz w:val="12"/>
                <w:szCs w:val="12"/>
                <w:color w:val="auto"/>
              </w:rPr>
            </w:pPr>
          </w:p>
        </w:tc>
        <w:tc>
          <w:tcPr>
            <w:tcW w:w="640" w:type="dxa"/>
            <w:vAlign w:val="bottom"/>
            <w:shd w:val="clear" w:color="auto" w:fill="CCECFF"/>
          </w:tcPr>
          <w:p>
            <w:pPr>
              <w:jc w:val="right"/>
              <w:spacing w:after="0"/>
              <w:rPr>
                <w:sz w:val="20"/>
                <w:szCs w:val="20"/>
                <w:color w:val="auto"/>
              </w:rPr>
            </w:pPr>
            <w:r>
              <w:rPr>
                <w:rFonts w:ascii="Arial" w:cs="Arial" w:eastAsia="Arial" w:hAnsi="Arial"/>
                <w:sz w:val="12"/>
                <w:szCs w:val="12"/>
                <w:color w:val="auto"/>
                <w:w w:val="99"/>
              </w:rPr>
              <w:t>15,825,060</w:t>
            </w:r>
          </w:p>
        </w:tc>
        <w:tc>
          <w:tcPr>
            <w:tcW w:w="100" w:type="dxa"/>
            <w:vAlign w:val="bottom"/>
            <w:shd w:val="clear" w:color="auto" w:fill="CCECFF"/>
          </w:tcPr>
          <w:p>
            <w:pPr>
              <w:spacing w:after="0"/>
              <w:rPr>
                <w:sz w:val="12"/>
                <w:szCs w:val="12"/>
                <w:color w:val="auto"/>
              </w:rPr>
            </w:pPr>
          </w:p>
        </w:tc>
      </w:tr>
      <w:tr>
        <w:trPr>
          <w:trHeight w:val="149"/>
        </w:trPr>
        <w:tc>
          <w:tcPr>
            <w:tcW w:w="3080" w:type="dxa"/>
            <w:vAlign w:val="bottom"/>
            <w:tcBorders>
              <w:bottom w:val="single" w:sz="8" w:color="CCECFF"/>
            </w:tcBorders>
          </w:tcPr>
          <w:p>
            <w:pPr>
              <w:spacing w:after="0"/>
              <w:rPr>
                <w:sz w:val="20"/>
                <w:szCs w:val="20"/>
                <w:color w:val="auto"/>
              </w:rPr>
            </w:pPr>
            <w:r>
              <w:rPr>
                <w:rFonts w:ascii="Arial" w:cs="Arial" w:eastAsia="Arial" w:hAnsi="Arial"/>
                <w:sz w:val="12"/>
                <w:szCs w:val="12"/>
                <w:color w:val="auto"/>
              </w:rPr>
              <w:t>EnviroSolutions Real Property Holdings, Inc.</w:t>
            </w:r>
          </w:p>
        </w:tc>
        <w:tc>
          <w:tcPr>
            <w:tcW w:w="980" w:type="dxa"/>
            <w:vAlign w:val="bottom"/>
            <w:tcBorders>
              <w:bottom w:val="single" w:sz="8" w:color="CCECFF"/>
            </w:tcBorders>
          </w:tcPr>
          <w:p>
            <w:pPr>
              <w:ind w:left="60"/>
              <w:spacing w:after="0"/>
              <w:rPr>
                <w:sz w:val="20"/>
                <w:szCs w:val="20"/>
                <w:color w:val="auto"/>
              </w:rPr>
            </w:pPr>
            <w:r>
              <w:rPr>
                <w:rFonts w:ascii="Arial" w:cs="Arial" w:eastAsia="Arial" w:hAnsi="Arial"/>
                <w:sz w:val="12"/>
                <w:szCs w:val="12"/>
                <w:color w:val="auto"/>
              </w:rPr>
              <w:t>12/26/2017</w:t>
            </w:r>
          </w:p>
        </w:tc>
        <w:tc>
          <w:tcPr>
            <w:tcW w:w="2640" w:type="dxa"/>
            <w:vAlign w:val="bottom"/>
            <w:tcBorders>
              <w:bottom w:val="single" w:sz="8" w:color="CCECFF"/>
            </w:tcBorders>
            <w:gridSpan w:val="2"/>
          </w:tcPr>
          <w:p>
            <w:pPr>
              <w:jc w:val="center"/>
              <w:ind w:right="280"/>
              <w:spacing w:after="0"/>
              <w:rPr>
                <w:sz w:val="20"/>
                <w:szCs w:val="20"/>
                <w:color w:val="auto"/>
              </w:rPr>
            </w:pPr>
            <w:r>
              <w:rPr>
                <w:rFonts w:ascii="Arial" w:cs="Arial" w:eastAsia="Arial" w:hAnsi="Arial"/>
                <w:sz w:val="12"/>
                <w:szCs w:val="12"/>
                <w:color w:val="auto"/>
                <w:w w:val="88"/>
              </w:rPr>
              <w:t>Environmental Services</w:t>
            </w:r>
          </w:p>
        </w:tc>
        <w:tc>
          <w:tcPr>
            <w:tcW w:w="960" w:type="dxa"/>
            <w:vAlign w:val="bottom"/>
            <w:tcBorders>
              <w:bottom w:val="single" w:sz="8" w:color="CCECFF"/>
            </w:tcBorders>
            <w:gridSpan w:val="2"/>
          </w:tcPr>
          <w:p>
            <w:pPr>
              <w:jc w:val="right"/>
              <w:ind w:right="200"/>
              <w:spacing w:after="0"/>
              <w:rPr>
                <w:sz w:val="20"/>
                <w:szCs w:val="20"/>
                <w:color w:val="auto"/>
              </w:rPr>
            </w:pPr>
            <w:r>
              <w:rPr>
                <w:rFonts w:ascii="Arial" w:cs="Arial" w:eastAsia="Arial" w:hAnsi="Arial"/>
                <w:sz w:val="12"/>
                <w:szCs w:val="12"/>
                <w:color w:val="auto"/>
              </w:rPr>
              <w:t>9.00%</w:t>
            </w:r>
          </w:p>
        </w:tc>
        <w:tc>
          <w:tcPr>
            <w:tcW w:w="900" w:type="dxa"/>
            <w:vAlign w:val="bottom"/>
            <w:tcBorders>
              <w:bottom w:val="single" w:sz="8" w:color="CCECFF"/>
            </w:tcBorders>
            <w:gridSpan w:val="2"/>
          </w:tcPr>
          <w:p>
            <w:pPr>
              <w:jc w:val="right"/>
              <w:ind w:right="240"/>
              <w:spacing w:after="0"/>
              <w:rPr>
                <w:sz w:val="20"/>
                <w:szCs w:val="20"/>
                <w:color w:val="auto"/>
              </w:rPr>
            </w:pPr>
            <w:r>
              <w:rPr>
                <w:rFonts w:ascii="Arial" w:cs="Arial" w:eastAsia="Arial" w:hAnsi="Arial"/>
                <w:sz w:val="12"/>
                <w:szCs w:val="12"/>
                <w:color w:val="auto"/>
              </w:rPr>
              <w:t>L+800</w:t>
            </w:r>
          </w:p>
        </w:tc>
        <w:tc>
          <w:tcPr>
            <w:tcW w:w="680" w:type="dxa"/>
            <w:vAlign w:val="bottom"/>
            <w:tcBorders>
              <w:bottom w:val="single" w:sz="8" w:color="CCECFF"/>
            </w:tcBorders>
          </w:tcPr>
          <w:p>
            <w:pPr>
              <w:jc w:val="right"/>
              <w:spacing w:after="0"/>
              <w:rPr>
                <w:sz w:val="20"/>
                <w:szCs w:val="20"/>
                <w:color w:val="auto"/>
              </w:rPr>
            </w:pPr>
            <w:r>
              <w:rPr>
                <w:rFonts w:ascii="Arial" w:cs="Arial" w:eastAsia="Arial" w:hAnsi="Arial"/>
                <w:sz w:val="12"/>
                <w:szCs w:val="12"/>
                <w:color w:val="auto"/>
              </w:rPr>
              <w:t>9,409,740</w:t>
            </w:r>
          </w:p>
        </w:tc>
        <w:tc>
          <w:tcPr>
            <w:tcW w:w="240" w:type="dxa"/>
            <w:vAlign w:val="bottom"/>
            <w:tcBorders>
              <w:bottom w:val="single" w:sz="8" w:color="CCECFF"/>
            </w:tcBorders>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9,307,548</w:t>
            </w:r>
          </w:p>
        </w:tc>
        <w:tc>
          <w:tcPr>
            <w:tcW w:w="240" w:type="dxa"/>
            <w:vAlign w:val="bottom"/>
            <w:tcBorders>
              <w:bottom w:val="single" w:sz="8" w:color="CCECFF"/>
            </w:tcBorders>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9,409,740</w:t>
            </w:r>
          </w:p>
        </w:tc>
        <w:tc>
          <w:tcPr>
            <w:tcW w:w="100" w:type="dxa"/>
            <w:vAlign w:val="bottom"/>
            <w:tcBorders>
              <w:bottom w:val="single" w:sz="8" w:color="CCECFF"/>
            </w:tcBorders>
          </w:tcPr>
          <w:p>
            <w:pPr>
              <w:spacing w:after="0"/>
              <w:rPr>
                <w:sz w:val="12"/>
                <w:szCs w:val="12"/>
                <w:color w:val="auto"/>
              </w:rPr>
            </w:pPr>
          </w:p>
        </w:tc>
      </w:tr>
      <w:tr>
        <w:trPr>
          <w:trHeight w:val="142"/>
        </w:trPr>
        <w:tc>
          <w:tcPr>
            <w:tcW w:w="3080" w:type="dxa"/>
            <w:vAlign w:val="bottom"/>
            <w:shd w:val="clear" w:color="auto" w:fill="CCECFF"/>
          </w:tcPr>
          <w:p>
            <w:pPr>
              <w:spacing w:after="0"/>
              <w:rPr>
                <w:sz w:val="20"/>
                <w:szCs w:val="20"/>
                <w:color w:val="auto"/>
              </w:rPr>
            </w:pPr>
            <w:r>
              <w:rPr>
                <w:rFonts w:ascii="Arial" w:cs="Arial" w:eastAsia="Arial" w:hAnsi="Arial"/>
                <w:sz w:val="12"/>
                <w:szCs w:val="12"/>
                <w:b w:val="1"/>
                <w:bCs w:val="1"/>
                <w:color w:val="auto"/>
              </w:rPr>
              <w:t>Total Second Lien Secured Debt</w:t>
            </w:r>
          </w:p>
        </w:tc>
        <w:tc>
          <w:tcPr>
            <w:tcW w:w="980" w:type="dxa"/>
            <w:vAlign w:val="bottom"/>
            <w:shd w:val="clear" w:color="auto" w:fill="CCECFF"/>
          </w:tcPr>
          <w:p>
            <w:pPr>
              <w:spacing w:after="0"/>
              <w:rPr>
                <w:sz w:val="12"/>
                <w:szCs w:val="12"/>
                <w:color w:val="auto"/>
              </w:rPr>
            </w:pPr>
          </w:p>
        </w:tc>
        <w:tc>
          <w:tcPr>
            <w:tcW w:w="2500" w:type="dxa"/>
            <w:vAlign w:val="bottom"/>
            <w:shd w:val="clear" w:color="auto" w:fill="CCECFF"/>
          </w:tcPr>
          <w:p>
            <w:pPr>
              <w:spacing w:after="0"/>
              <w:rPr>
                <w:sz w:val="12"/>
                <w:szCs w:val="12"/>
                <w:color w:val="auto"/>
              </w:rPr>
            </w:pPr>
          </w:p>
        </w:tc>
        <w:tc>
          <w:tcPr>
            <w:tcW w:w="140" w:type="dxa"/>
            <w:vAlign w:val="bottom"/>
            <w:shd w:val="clear" w:color="auto" w:fill="CCECFF"/>
          </w:tcPr>
          <w:p>
            <w:pPr>
              <w:spacing w:after="0"/>
              <w:rPr>
                <w:sz w:val="12"/>
                <w:szCs w:val="12"/>
                <w:color w:val="auto"/>
              </w:rPr>
            </w:pPr>
          </w:p>
        </w:tc>
        <w:tc>
          <w:tcPr>
            <w:tcW w:w="660" w:type="dxa"/>
            <w:vAlign w:val="bottom"/>
            <w:shd w:val="clear" w:color="auto" w:fill="CCECFF"/>
          </w:tcPr>
          <w:p>
            <w:pPr>
              <w:spacing w:after="0"/>
              <w:rPr>
                <w:sz w:val="12"/>
                <w:szCs w:val="12"/>
                <w:color w:val="auto"/>
              </w:rPr>
            </w:pPr>
          </w:p>
        </w:tc>
        <w:tc>
          <w:tcPr>
            <w:tcW w:w="300" w:type="dxa"/>
            <w:vAlign w:val="bottom"/>
            <w:shd w:val="clear" w:color="auto" w:fill="CCECFF"/>
          </w:tcPr>
          <w:p>
            <w:pPr>
              <w:spacing w:after="0"/>
              <w:rPr>
                <w:sz w:val="12"/>
                <w:szCs w:val="12"/>
                <w:color w:val="auto"/>
              </w:rPr>
            </w:pPr>
          </w:p>
        </w:tc>
        <w:tc>
          <w:tcPr>
            <w:tcW w:w="680" w:type="dxa"/>
            <w:vAlign w:val="bottom"/>
            <w:shd w:val="clear" w:color="auto" w:fill="CCECFF"/>
          </w:tcPr>
          <w:p>
            <w:pPr>
              <w:spacing w:after="0"/>
              <w:rPr>
                <w:sz w:val="12"/>
                <w:szCs w:val="12"/>
                <w:color w:val="auto"/>
              </w:rPr>
            </w:pPr>
          </w:p>
        </w:tc>
        <w:tc>
          <w:tcPr>
            <w:tcW w:w="220" w:type="dxa"/>
            <w:vAlign w:val="bottom"/>
            <w:shd w:val="clear" w:color="auto" w:fill="CCECFF"/>
          </w:tcPr>
          <w:p>
            <w:pPr>
              <w:spacing w:after="0"/>
              <w:rPr>
                <w:sz w:val="12"/>
                <w:szCs w:val="12"/>
                <w:color w:val="auto"/>
              </w:rPr>
            </w:pPr>
          </w:p>
        </w:tc>
        <w:tc>
          <w:tcPr>
            <w:tcW w:w="680" w:type="dxa"/>
            <w:vAlign w:val="bottom"/>
            <w:shd w:val="clear" w:color="auto" w:fill="CCECFF"/>
          </w:tcPr>
          <w:p>
            <w:pPr>
              <w:spacing w:after="0"/>
              <w:rPr>
                <w:sz w:val="12"/>
                <w:szCs w:val="12"/>
                <w:color w:val="auto"/>
              </w:rPr>
            </w:pPr>
          </w:p>
        </w:tc>
        <w:tc>
          <w:tcPr>
            <w:tcW w:w="240" w:type="dxa"/>
            <w:vAlign w:val="bottom"/>
            <w:shd w:val="clear" w:color="auto" w:fill="CCECFF"/>
          </w:tcPr>
          <w:p>
            <w:pPr>
              <w:spacing w:after="0"/>
              <w:rPr>
                <w:sz w:val="12"/>
                <w:szCs w:val="12"/>
                <w:color w:val="auto"/>
              </w:rPr>
            </w:pPr>
          </w:p>
        </w:tc>
        <w:tc>
          <w:tcPr>
            <w:tcW w:w="80" w:type="dxa"/>
            <w:vAlign w:val="bottom"/>
            <w:tcBorders>
              <w:bottom w:val="single" w:sz="8" w:color="auto"/>
            </w:tcBorders>
            <w:shd w:val="clear" w:color="auto" w:fill="CCECFF"/>
          </w:tcPr>
          <w:p>
            <w:pPr>
              <w:spacing w:after="0"/>
              <w:rPr>
                <w:sz w:val="12"/>
                <w:szCs w:val="12"/>
                <w:color w:val="auto"/>
              </w:rPr>
            </w:pPr>
          </w:p>
        </w:tc>
        <w:tc>
          <w:tcPr>
            <w:tcW w:w="620" w:type="dxa"/>
            <w:vAlign w:val="bottom"/>
            <w:tcBorders>
              <w:bottom w:val="single" w:sz="8" w:color="auto"/>
            </w:tcBorders>
            <w:shd w:val="clear" w:color="auto" w:fill="CCECFF"/>
          </w:tcPr>
          <w:p>
            <w:pPr>
              <w:jc w:val="right"/>
              <w:spacing w:after="0"/>
              <w:rPr>
                <w:sz w:val="20"/>
                <w:szCs w:val="20"/>
                <w:color w:val="auto"/>
              </w:rPr>
            </w:pPr>
            <w:r>
              <w:rPr>
                <w:rFonts w:ascii="Arial" w:cs="Arial" w:eastAsia="Arial" w:hAnsi="Arial"/>
                <w:sz w:val="12"/>
                <w:szCs w:val="12"/>
                <w:color w:val="auto"/>
                <w:w w:val="99"/>
              </w:rPr>
              <w:t>26,268,515</w:t>
            </w:r>
          </w:p>
        </w:tc>
        <w:tc>
          <w:tcPr>
            <w:tcW w:w="240" w:type="dxa"/>
            <w:vAlign w:val="bottom"/>
            <w:shd w:val="clear" w:color="auto" w:fill="CCECFF"/>
          </w:tcPr>
          <w:p>
            <w:pPr>
              <w:spacing w:after="0"/>
              <w:rPr>
                <w:sz w:val="12"/>
                <w:szCs w:val="12"/>
                <w:color w:val="auto"/>
              </w:rPr>
            </w:pPr>
          </w:p>
        </w:tc>
        <w:tc>
          <w:tcPr>
            <w:tcW w:w="80" w:type="dxa"/>
            <w:vAlign w:val="bottom"/>
            <w:tcBorders>
              <w:bottom w:val="single" w:sz="8" w:color="auto"/>
            </w:tcBorders>
            <w:shd w:val="clear" w:color="auto" w:fill="CCECFF"/>
          </w:tcPr>
          <w:p>
            <w:pPr>
              <w:spacing w:after="0"/>
              <w:rPr>
                <w:sz w:val="12"/>
                <w:szCs w:val="12"/>
                <w:color w:val="auto"/>
              </w:rPr>
            </w:pPr>
          </w:p>
        </w:tc>
        <w:tc>
          <w:tcPr>
            <w:tcW w:w="640" w:type="dxa"/>
            <w:vAlign w:val="bottom"/>
            <w:tcBorders>
              <w:bottom w:val="single" w:sz="8" w:color="auto"/>
            </w:tcBorders>
            <w:shd w:val="clear" w:color="auto" w:fill="CCECFF"/>
          </w:tcPr>
          <w:p>
            <w:pPr>
              <w:jc w:val="right"/>
              <w:spacing w:after="0"/>
              <w:rPr>
                <w:sz w:val="20"/>
                <w:szCs w:val="20"/>
                <w:color w:val="auto"/>
              </w:rPr>
            </w:pPr>
            <w:r>
              <w:rPr>
                <w:rFonts w:ascii="Arial" w:cs="Arial" w:eastAsia="Arial" w:hAnsi="Arial"/>
                <w:sz w:val="12"/>
                <w:szCs w:val="12"/>
                <w:color w:val="auto"/>
                <w:w w:val="99"/>
              </w:rPr>
              <w:t>25,234,800</w:t>
            </w:r>
          </w:p>
        </w:tc>
        <w:tc>
          <w:tcPr>
            <w:tcW w:w="100" w:type="dxa"/>
            <w:vAlign w:val="bottom"/>
            <w:shd w:val="clear" w:color="auto" w:fill="CCECFF"/>
          </w:tcPr>
          <w:p>
            <w:pPr>
              <w:spacing w:after="0"/>
              <w:rPr>
                <w:sz w:val="12"/>
                <w:szCs w:val="12"/>
                <w:color w:val="auto"/>
              </w:rPr>
            </w:pPr>
          </w:p>
        </w:tc>
      </w:tr>
      <w:tr>
        <w:trPr>
          <w:trHeight w:val="142"/>
        </w:trPr>
        <w:tc>
          <w:tcPr>
            <w:tcW w:w="3080" w:type="dxa"/>
            <w:vAlign w:val="bottom"/>
          </w:tcPr>
          <w:p>
            <w:pPr>
              <w:spacing w:after="0"/>
              <w:rPr>
                <w:sz w:val="20"/>
                <w:szCs w:val="20"/>
                <w:color w:val="auto"/>
              </w:rPr>
            </w:pPr>
            <w:r>
              <w:rPr>
                <w:rFonts w:ascii="Arial" w:cs="Arial" w:eastAsia="Arial" w:hAnsi="Arial"/>
                <w:sz w:val="12"/>
                <w:szCs w:val="12"/>
                <w:b w:val="1"/>
                <w:bCs w:val="1"/>
                <w:color w:val="auto"/>
              </w:rPr>
              <w:t>Subordinated Debt/Corporate Notes—11.7%</w:t>
            </w:r>
          </w:p>
        </w:tc>
        <w:tc>
          <w:tcPr>
            <w:tcW w:w="980" w:type="dxa"/>
            <w:vAlign w:val="bottom"/>
          </w:tcPr>
          <w:p>
            <w:pPr>
              <w:spacing w:after="0"/>
              <w:rPr>
                <w:sz w:val="12"/>
                <w:szCs w:val="12"/>
                <w:color w:val="auto"/>
              </w:rPr>
            </w:pPr>
          </w:p>
        </w:tc>
        <w:tc>
          <w:tcPr>
            <w:tcW w:w="25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00" w:type="dxa"/>
            <w:vAlign w:val="bottom"/>
          </w:tcPr>
          <w:p>
            <w:pPr>
              <w:spacing w:after="0"/>
              <w:rPr>
                <w:sz w:val="12"/>
                <w:szCs w:val="12"/>
                <w:color w:val="auto"/>
              </w:rPr>
            </w:pPr>
          </w:p>
        </w:tc>
      </w:tr>
      <w:tr>
        <w:trPr>
          <w:trHeight w:val="149"/>
        </w:trPr>
        <w:tc>
          <w:tcPr>
            <w:tcW w:w="3080" w:type="dxa"/>
            <w:vAlign w:val="bottom"/>
            <w:shd w:val="clear" w:color="auto" w:fill="CCECFF"/>
          </w:tcPr>
          <w:p>
            <w:pPr>
              <w:spacing w:after="0"/>
              <w:rPr>
                <w:sz w:val="20"/>
                <w:szCs w:val="20"/>
                <w:color w:val="auto"/>
              </w:rPr>
            </w:pPr>
            <w:r>
              <w:rPr>
                <w:rFonts w:ascii="Arial" w:cs="Arial" w:eastAsia="Arial" w:hAnsi="Arial"/>
                <w:sz w:val="12"/>
                <w:szCs w:val="12"/>
                <w:color w:val="auto"/>
              </w:rPr>
              <w:t xml:space="preserve">Affinion International Holdings Limited </w:t>
            </w:r>
            <w:r>
              <w:rPr>
                <w:rFonts w:ascii="Arial" w:cs="Arial" w:eastAsia="Arial" w:hAnsi="Arial"/>
                <w:sz w:val="9"/>
                <w:szCs w:val="9"/>
                <w:color w:val="auto"/>
              </w:rPr>
              <w:t>(5), (9), (12)</w:t>
            </w:r>
          </w:p>
        </w:tc>
        <w:tc>
          <w:tcPr>
            <w:tcW w:w="980" w:type="dxa"/>
            <w:vAlign w:val="bottom"/>
            <w:shd w:val="clear" w:color="auto" w:fill="CCECFF"/>
          </w:tcPr>
          <w:p>
            <w:pPr>
              <w:ind w:left="60"/>
              <w:spacing w:after="0"/>
              <w:rPr>
                <w:sz w:val="20"/>
                <w:szCs w:val="20"/>
                <w:color w:val="auto"/>
              </w:rPr>
            </w:pPr>
            <w:r>
              <w:rPr>
                <w:rFonts w:ascii="Arial" w:cs="Arial" w:eastAsia="Arial" w:hAnsi="Arial"/>
                <w:sz w:val="12"/>
                <w:szCs w:val="12"/>
                <w:color w:val="auto"/>
              </w:rPr>
              <w:t>07/30/2018</w:t>
            </w:r>
          </w:p>
        </w:tc>
        <w:tc>
          <w:tcPr>
            <w:tcW w:w="2640" w:type="dxa"/>
            <w:vAlign w:val="bottom"/>
            <w:gridSpan w:val="2"/>
            <w:shd w:val="clear" w:color="auto" w:fill="CCECFF"/>
          </w:tcPr>
          <w:p>
            <w:pPr>
              <w:jc w:val="center"/>
              <w:ind w:right="280"/>
              <w:spacing w:after="0"/>
              <w:rPr>
                <w:sz w:val="20"/>
                <w:szCs w:val="20"/>
                <w:color w:val="auto"/>
              </w:rPr>
            </w:pPr>
            <w:r>
              <w:rPr>
                <w:rFonts w:ascii="Arial" w:cs="Arial" w:eastAsia="Arial" w:hAnsi="Arial"/>
                <w:sz w:val="12"/>
                <w:szCs w:val="12"/>
                <w:color w:val="auto"/>
                <w:w w:val="86"/>
              </w:rPr>
              <w:t>Consumer Products</w:t>
            </w:r>
          </w:p>
        </w:tc>
        <w:tc>
          <w:tcPr>
            <w:tcW w:w="960" w:type="dxa"/>
            <w:vAlign w:val="bottom"/>
            <w:gridSpan w:val="2"/>
            <w:shd w:val="clear" w:color="auto" w:fill="CCECFF"/>
          </w:tcPr>
          <w:p>
            <w:pPr>
              <w:jc w:val="right"/>
              <w:ind w:right="200"/>
              <w:spacing w:after="0"/>
              <w:rPr>
                <w:sz w:val="20"/>
                <w:szCs w:val="20"/>
                <w:color w:val="auto"/>
              </w:rPr>
            </w:pPr>
            <w:r>
              <w:rPr>
                <w:rFonts w:ascii="Arial" w:cs="Arial" w:eastAsia="Arial" w:hAnsi="Arial"/>
                <w:sz w:val="12"/>
                <w:szCs w:val="12"/>
                <w:color w:val="auto"/>
              </w:rPr>
              <w:t>7.50%</w:t>
            </w:r>
          </w:p>
        </w:tc>
        <w:tc>
          <w:tcPr>
            <w:tcW w:w="900" w:type="dxa"/>
            <w:vAlign w:val="bottom"/>
            <w:gridSpan w:val="2"/>
            <w:shd w:val="clear" w:color="auto" w:fill="CCECFF"/>
          </w:tcPr>
          <w:p>
            <w:pPr>
              <w:jc w:val="right"/>
              <w:ind w:right="240"/>
              <w:spacing w:after="0"/>
              <w:rPr>
                <w:sz w:val="20"/>
                <w:szCs w:val="20"/>
                <w:color w:val="auto"/>
              </w:rPr>
            </w:pPr>
            <w:r>
              <w:rPr>
                <w:rFonts w:ascii="Arial" w:cs="Arial" w:eastAsia="Arial" w:hAnsi="Arial"/>
                <w:sz w:val="12"/>
                <w:szCs w:val="12"/>
                <w:color w:val="auto"/>
              </w:rPr>
              <w:t>—</w:t>
            </w:r>
          </w:p>
        </w:tc>
        <w:tc>
          <w:tcPr>
            <w:tcW w:w="680" w:type="dxa"/>
            <w:vAlign w:val="bottom"/>
            <w:shd w:val="clear" w:color="auto" w:fill="CCECFF"/>
          </w:tcPr>
          <w:p>
            <w:pPr>
              <w:jc w:val="right"/>
              <w:spacing w:after="0"/>
              <w:rPr>
                <w:sz w:val="20"/>
                <w:szCs w:val="20"/>
                <w:color w:val="auto"/>
              </w:rPr>
            </w:pPr>
            <w:r>
              <w:rPr>
                <w:rFonts w:ascii="Arial" w:cs="Arial" w:eastAsia="Arial" w:hAnsi="Arial"/>
                <w:sz w:val="12"/>
                <w:szCs w:val="12"/>
                <w:color w:val="auto"/>
              </w:rPr>
              <w:t>9,858,025</w:t>
            </w:r>
          </w:p>
        </w:tc>
        <w:tc>
          <w:tcPr>
            <w:tcW w:w="240" w:type="dxa"/>
            <w:vAlign w:val="bottom"/>
            <w:shd w:val="clear" w:color="auto" w:fill="CCECFF"/>
          </w:tcPr>
          <w:p>
            <w:pPr>
              <w:spacing w:after="0"/>
              <w:rPr>
                <w:sz w:val="12"/>
                <w:szCs w:val="12"/>
                <w:color w:val="auto"/>
              </w:rPr>
            </w:pPr>
          </w:p>
        </w:tc>
        <w:tc>
          <w:tcPr>
            <w:tcW w:w="80" w:type="dxa"/>
            <w:vAlign w:val="bottom"/>
            <w:shd w:val="clear" w:color="auto" w:fill="CCECFF"/>
          </w:tcPr>
          <w:p>
            <w:pPr>
              <w:spacing w:after="0"/>
              <w:rPr>
                <w:sz w:val="12"/>
                <w:szCs w:val="12"/>
                <w:color w:val="auto"/>
              </w:rPr>
            </w:pPr>
          </w:p>
        </w:tc>
        <w:tc>
          <w:tcPr>
            <w:tcW w:w="620" w:type="dxa"/>
            <w:vAlign w:val="bottom"/>
            <w:shd w:val="clear" w:color="auto" w:fill="CCECFF"/>
          </w:tcPr>
          <w:p>
            <w:pPr>
              <w:jc w:val="right"/>
              <w:spacing w:after="0"/>
              <w:rPr>
                <w:sz w:val="20"/>
                <w:szCs w:val="20"/>
                <w:color w:val="auto"/>
              </w:rPr>
            </w:pPr>
            <w:r>
              <w:rPr>
                <w:rFonts w:ascii="Arial" w:cs="Arial" w:eastAsia="Arial" w:hAnsi="Arial"/>
                <w:sz w:val="12"/>
                <w:szCs w:val="12"/>
                <w:color w:val="auto"/>
              </w:rPr>
              <w:t>8,946,674</w:t>
            </w:r>
          </w:p>
        </w:tc>
        <w:tc>
          <w:tcPr>
            <w:tcW w:w="240" w:type="dxa"/>
            <w:vAlign w:val="bottom"/>
            <w:shd w:val="clear" w:color="auto" w:fill="CCECFF"/>
          </w:tcPr>
          <w:p>
            <w:pPr>
              <w:spacing w:after="0"/>
              <w:rPr>
                <w:sz w:val="12"/>
                <w:szCs w:val="12"/>
                <w:color w:val="auto"/>
              </w:rPr>
            </w:pPr>
          </w:p>
        </w:tc>
        <w:tc>
          <w:tcPr>
            <w:tcW w:w="80" w:type="dxa"/>
            <w:vAlign w:val="bottom"/>
            <w:shd w:val="clear" w:color="auto" w:fill="CCECFF"/>
          </w:tcPr>
          <w:p>
            <w:pPr>
              <w:spacing w:after="0"/>
              <w:rPr>
                <w:sz w:val="12"/>
                <w:szCs w:val="12"/>
                <w:color w:val="auto"/>
              </w:rPr>
            </w:pPr>
          </w:p>
        </w:tc>
        <w:tc>
          <w:tcPr>
            <w:tcW w:w="640" w:type="dxa"/>
            <w:vAlign w:val="bottom"/>
            <w:shd w:val="clear" w:color="auto" w:fill="CCECFF"/>
          </w:tcPr>
          <w:p>
            <w:pPr>
              <w:jc w:val="right"/>
              <w:spacing w:after="0"/>
              <w:rPr>
                <w:sz w:val="20"/>
                <w:szCs w:val="20"/>
                <w:color w:val="auto"/>
              </w:rPr>
            </w:pPr>
            <w:r>
              <w:rPr>
                <w:rFonts w:ascii="Arial" w:cs="Arial" w:eastAsia="Arial" w:hAnsi="Arial"/>
                <w:sz w:val="12"/>
                <w:szCs w:val="12"/>
                <w:color w:val="auto"/>
              </w:rPr>
              <w:t>8,995,448</w:t>
            </w:r>
          </w:p>
        </w:tc>
        <w:tc>
          <w:tcPr>
            <w:tcW w:w="100" w:type="dxa"/>
            <w:vAlign w:val="bottom"/>
            <w:shd w:val="clear" w:color="auto" w:fill="CCECFF"/>
          </w:tcPr>
          <w:p>
            <w:pPr>
              <w:spacing w:after="0"/>
              <w:rPr>
                <w:sz w:val="12"/>
                <w:szCs w:val="12"/>
                <w:color w:val="auto"/>
              </w:rPr>
            </w:pPr>
          </w:p>
        </w:tc>
      </w:tr>
      <w:tr>
        <w:trPr>
          <w:trHeight w:val="148"/>
        </w:trPr>
        <w:tc>
          <w:tcPr>
            <w:tcW w:w="3080" w:type="dxa"/>
            <w:vAlign w:val="bottom"/>
            <w:shd w:val="clear" w:color="auto" w:fill="CCECFF"/>
          </w:tcPr>
          <w:p>
            <w:pPr>
              <w:spacing w:after="0"/>
              <w:rPr>
                <w:sz w:val="12"/>
                <w:szCs w:val="12"/>
                <w:color w:val="auto"/>
              </w:rPr>
            </w:pPr>
          </w:p>
        </w:tc>
        <w:tc>
          <w:tcPr>
            <w:tcW w:w="980" w:type="dxa"/>
            <w:vAlign w:val="bottom"/>
            <w:shd w:val="clear" w:color="auto" w:fill="CCECFF"/>
          </w:tcPr>
          <w:p>
            <w:pPr>
              <w:spacing w:after="0"/>
              <w:rPr>
                <w:sz w:val="12"/>
                <w:szCs w:val="12"/>
                <w:color w:val="auto"/>
              </w:rPr>
            </w:pPr>
          </w:p>
        </w:tc>
        <w:tc>
          <w:tcPr>
            <w:tcW w:w="2500" w:type="dxa"/>
            <w:vAlign w:val="bottom"/>
            <w:shd w:val="clear" w:color="auto" w:fill="CCECFF"/>
          </w:tcPr>
          <w:p>
            <w:pPr>
              <w:spacing w:after="0"/>
              <w:rPr>
                <w:sz w:val="12"/>
                <w:szCs w:val="12"/>
                <w:color w:val="auto"/>
              </w:rPr>
            </w:pPr>
          </w:p>
        </w:tc>
        <w:tc>
          <w:tcPr>
            <w:tcW w:w="140" w:type="dxa"/>
            <w:vAlign w:val="bottom"/>
            <w:shd w:val="clear" w:color="auto" w:fill="CCECFF"/>
          </w:tcPr>
          <w:p>
            <w:pPr>
              <w:spacing w:after="0"/>
              <w:rPr>
                <w:sz w:val="12"/>
                <w:szCs w:val="12"/>
                <w:color w:val="auto"/>
              </w:rPr>
            </w:pPr>
          </w:p>
        </w:tc>
        <w:tc>
          <w:tcPr>
            <w:tcW w:w="960" w:type="dxa"/>
            <w:vAlign w:val="bottom"/>
            <w:gridSpan w:val="2"/>
            <w:shd w:val="clear" w:color="auto" w:fill="CCECFF"/>
          </w:tcPr>
          <w:p>
            <w:pPr>
              <w:jc w:val="right"/>
              <w:ind w:right="160"/>
              <w:spacing w:after="0"/>
              <w:rPr>
                <w:sz w:val="20"/>
                <w:szCs w:val="20"/>
                <w:color w:val="auto"/>
              </w:rPr>
            </w:pPr>
            <w:r>
              <w:rPr>
                <w:rFonts w:ascii="Arial" w:cs="Arial" w:eastAsia="Arial" w:hAnsi="Arial"/>
                <w:sz w:val="12"/>
                <w:szCs w:val="12"/>
                <w:color w:val="auto"/>
              </w:rPr>
              <w:t>(PIK 4.00%)</w:t>
            </w:r>
          </w:p>
        </w:tc>
        <w:tc>
          <w:tcPr>
            <w:tcW w:w="680" w:type="dxa"/>
            <w:vAlign w:val="bottom"/>
            <w:shd w:val="clear" w:color="auto" w:fill="CCECFF"/>
          </w:tcPr>
          <w:p>
            <w:pPr>
              <w:spacing w:after="0"/>
              <w:rPr>
                <w:sz w:val="12"/>
                <w:szCs w:val="12"/>
                <w:color w:val="auto"/>
              </w:rPr>
            </w:pPr>
          </w:p>
        </w:tc>
        <w:tc>
          <w:tcPr>
            <w:tcW w:w="220" w:type="dxa"/>
            <w:vAlign w:val="bottom"/>
            <w:shd w:val="clear" w:color="auto" w:fill="CCECFF"/>
          </w:tcPr>
          <w:p>
            <w:pPr>
              <w:spacing w:after="0"/>
              <w:rPr>
                <w:sz w:val="12"/>
                <w:szCs w:val="12"/>
                <w:color w:val="auto"/>
              </w:rPr>
            </w:pPr>
          </w:p>
        </w:tc>
        <w:tc>
          <w:tcPr>
            <w:tcW w:w="680" w:type="dxa"/>
            <w:vAlign w:val="bottom"/>
            <w:shd w:val="clear" w:color="auto" w:fill="CCECFF"/>
          </w:tcPr>
          <w:p>
            <w:pPr>
              <w:spacing w:after="0"/>
              <w:rPr>
                <w:sz w:val="12"/>
                <w:szCs w:val="12"/>
                <w:color w:val="auto"/>
              </w:rPr>
            </w:pPr>
          </w:p>
        </w:tc>
        <w:tc>
          <w:tcPr>
            <w:tcW w:w="240" w:type="dxa"/>
            <w:vAlign w:val="bottom"/>
            <w:shd w:val="clear" w:color="auto" w:fill="CCECFF"/>
          </w:tcPr>
          <w:p>
            <w:pPr>
              <w:spacing w:after="0"/>
              <w:rPr>
                <w:sz w:val="12"/>
                <w:szCs w:val="12"/>
                <w:color w:val="auto"/>
              </w:rPr>
            </w:pPr>
          </w:p>
        </w:tc>
        <w:tc>
          <w:tcPr>
            <w:tcW w:w="80" w:type="dxa"/>
            <w:vAlign w:val="bottom"/>
            <w:shd w:val="clear" w:color="auto" w:fill="CCECFF"/>
          </w:tcPr>
          <w:p>
            <w:pPr>
              <w:spacing w:after="0"/>
              <w:rPr>
                <w:sz w:val="12"/>
                <w:szCs w:val="12"/>
                <w:color w:val="auto"/>
              </w:rPr>
            </w:pPr>
          </w:p>
        </w:tc>
        <w:tc>
          <w:tcPr>
            <w:tcW w:w="620" w:type="dxa"/>
            <w:vAlign w:val="bottom"/>
            <w:shd w:val="clear" w:color="auto" w:fill="CCECFF"/>
          </w:tcPr>
          <w:p>
            <w:pPr>
              <w:spacing w:after="0"/>
              <w:rPr>
                <w:sz w:val="12"/>
                <w:szCs w:val="12"/>
                <w:color w:val="auto"/>
              </w:rPr>
            </w:pPr>
          </w:p>
        </w:tc>
        <w:tc>
          <w:tcPr>
            <w:tcW w:w="240" w:type="dxa"/>
            <w:vAlign w:val="bottom"/>
            <w:shd w:val="clear" w:color="auto" w:fill="CCECFF"/>
          </w:tcPr>
          <w:p>
            <w:pPr>
              <w:spacing w:after="0"/>
              <w:rPr>
                <w:sz w:val="12"/>
                <w:szCs w:val="12"/>
                <w:color w:val="auto"/>
              </w:rPr>
            </w:pPr>
          </w:p>
        </w:tc>
        <w:tc>
          <w:tcPr>
            <w:tcW w:w="80" w:type="dxa"/>
            <w:vAlign w:val="bottom"/>
            <w:shd w:val="clear" w:color="auto" w:fill="CCECFF"/>
          </w:tcPr>
          <w:p>
            <w:pPr>
              <w:spacing w:after="0"/>
              <w:rPr>
                <w:sz w:val="12"/>
                <w:szCs w:val="12"/>
                <w:color w:val="auto"/>
              </w:rPr>
            </w:pPr>
          </w:p>
        </w:tc>
        <w:tc>
          <w:tcPr>
            <w:tcW w:w="640" w:type="dxa"/>
            <w:vAlign w:val="bottom"/>
            <w:shd w:val="clear" w:color="auto" w:fill="CCECFF"/>
          </w:tcPr>
          <w:p>
            <w:pPr>
              <w:spacing w:after="0"/>
              <w:rPr>
                <w:sz w:val="12"/>
                <w:szCs w:val="12"/>
                <w:color w:val="auto"/>
              </w:rPr>
            </w:pPr>
          </w:p>
        </w:tc>
        <w:tc>
          <w:tcPr>
            <w:tcW w:w="100" w:type="dxa"/>
            <w:vAlign w:val="bottom"/>
            <w:shd w:val="clear" w:color="auto" w:fill="CCECFF"/>
          </w:tcPr>
          <w:p>
            <w:pPr>
              <w:spacing w:after="0"/>
              <w:rPr>
                <w:sz w:val="12"/>
                <w:szCs w:val="12"/>
                <w:color w:val="auto"/>
              </w:rPr>
            </w:pPr>
          </w:p>
        </w:tc>
      </w:tr>
      <w:tr>
        <w:trPr>
          <w:trHeight w:val="148"/>
        </w:trPr>
        <w:tc>
          <w:tcPr>
            <w:tcW w:w="3080" w:type="dxa"/>
            <w:vAlign w:val="bottom"/>
          </w:tcPr>
          <w:p>
            <w:pPr>
              <w:spacing w:after="0"/>
              <w:rPr>
                <w:sz w:val="20"/>
                <w:szCs w:val="20"/>
                <w:color w:val="auto"/>
              </w:rPr>
            </w:pPr>
            <w:r>
              <w:rPr>
                <w:rFonts w:ascii="Arial" w:cs="Arial" w:eastAsia="Arial" w:hAnsi="Arial"/>
                <w:sz w:val="12"/>
                <w:szCs w:val="12"/>
                <w:color w:val="auto"/>
              </w:rPr>
              <w:t>DirectBuy Holdings, Inc.</w:t>
            </w:r>
          </w:p>
        </w:tc>
        <w:tc>
          <w:tcPr>
            <w:tcW w:w="980" w:type="dxa"/>
            <w:vAlign w:val="bottom"/>
          </w:tcPr>
          <w:p>
            <w:pPr>
              <w:ind w:left="60"/>
              <w:spacing w:after="0"/>
              <w:rPr>
                <w:sz w:val="20"/>
                <w:szCs w:val="20"/>
                <w:color w:val="auto"/>
              </w:rPr>
            </w:pPr>
            <w:r>
              <w:rPr>
                <w:rFonts w:ascii="Arial" w:cs="Arial" w:eastAsia="Arial" w:hAnsi="Arial"/>
                <w:sz w:val="12"/>
                <w:szCs w:val="12"/>
                <w:color w:val="auto"/>
              </w:rPr>
              <w:t>11/05/2019</w:t>
            </w:r>
          </w:p>
        </w:tc>
        <w:tc>
          <w:tcPr>
            <w:tcW w:w="2640" w:type="dxa"/>
            <w:vAlign w:val="bottom"/>
            <w:gridSpan w:val="2"/>
          </w:tcPr>
          <w:p>
            <w:pPr>
              <w:jc w:val="center"/>
              <w:ind w:right="280"/>
              <w:spacing w:after="0"/>
              <w:rPr>
                <w:sz w:val="20"/>
                <w:szCs w:val="20"/>
                <w:color w:val="auto"/>
              </w:rPr>
            </w:pPr>
            <w:r>
              <w:rPr>
                <w:rFonts w:ascii="Arial" w:cs="Arial" w:eastAsia="Arial" w:hAnsi="Arial"/>
                <w:sz w:val="12"/>
                <w:szCs w:val="12"/>
                <w:color w:val="auto"/>
                <w:w w:val="86"/>
              </w:rPr>
              <w:t>Consumer Products</w:t>
            </w:r>
          </w:p>
        </w:tc>
        <w:tc>
          <w:tcPr>
            <w:tcW w:w="960" w:type="dxa"/>
            <w:vAlign w:val="bottom"/>
            <w:gridSpan w:val="2"/>
          </w:tcPr>
          <w:p>
            <w:pPr>
              <w:jc w:val="right"/>
              <w:ind w:right="20"/>
              <w:spacing w:after="0"/>
              <w:rPr>
                <w:sz w:val="20"/>
                <w:szCs w:val="20"/>
                <w:color w:val="auto"/>
              </w:rPr>
            </w:pPr>
            <w:r>
              <w:rPr>
                <w:rFonts w:ascii="Arial" w:cs="Arial" w:eastAsia="Arial" w:hAnsi="Arial"/>
                <w:sz w:val="12"/>
                <w:szCs w:val="12"/>
                <w:color w:val="auto"/>
              </w:rPr>
              <w:t xml:space="preserve">—   </w:t>
            </w:r>
            <w:r>
              <w:rPr>
                <w:rFonts w:ascii="Arial" w:cs="Arial" w:eastAsia="Arial" w:hAnsi="Arial"/>
                <w:sz w:val="9"/>
                <w:szCs w:val="9"/>
                <w:color w:val="auto"/>
              </w:rPr>
              <w:t>(6)</w:t>
            </w:r>
          </w:p>
        </w:tc>
        <w:tc>
          <w:tcPr>
            <w:tcW w:w="900" w:type="dxa"/>
            <w:vAlign w:val="bottom"/>
            <w:gridSpan w:val="2"/>
          </w:tcPr>
          <w:p>
            <w:pPr>
              <w:jc w:val="right"/>
              <w:ind w:right="240"/>
              <w:spacing w:after="0"/>
              <w:rPr>
                <w:sz w:val="20"/>
                <w:szCs w:val="20"/>
                <w:color w:val="auto"/>
              </w:rPr>
            </w:pPr>
            <w:r>
              <w:rPr>
                <w:rFonts w:ascii="Arial" w:cs="Arial" w:eastAsia="Arial" w:hAnsi="Arial"/>
                <w:sz w:val="12"/>
                <w:szCs w:val="12"/>
                <w:color w:val="auto"/>
              </w:rPr>
              <w:t>—</w:t>
            </w:r>
          </w:p>
        </w:tc>
        <w:tc>
          <w:tcPr>
            <w:tcW w:w="680" w:type="dxa"/>
            <w:vAlign w:val="bottom"/>
          </w:tcPr>
          <w:p>
            <w:pPr>
              <w:jc w:val="right"/>
              <w:spacing w:after="0"/>
              <w:rPr>
                <w:sz w:val="20"/>
                <w:szCs w:val="20"/>
                <w:color w:val="auto"/>
              </w:rPr>
            </w:pPr>
            <w:r>
              <w:rPr>
                <w:rFonts w:ascii="Arial" w:cs="Arial" w:eastAsia="Arial" w:hAnsi="Arial"/>
                <w:sz w:val="12"/>
                <w:szCs w:val="12"/>
                <w:color w:val="auto"/>
              </w:rPr>
              <w:t>14,735,238</w:t>
            </w:r>
          </w:p>
        </w:tc>
        <w:tc>
          <w:tcPr>
            <w:tcW w:w="2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20" w:type="dxa"/>
            <w:vAlign w:val="bottom"/>
          </w:tcPr>
          <w:p>
            <w:pPr>
              <w:jc w:val="right"/>
              <w:spacing w:after="0"/>
              <w:rPr>
                <w:sz w:val="20"/>
                <w:szCs w:val="20"/>
                <w:color w:val="auto"/>
              </w:rPr>
            </w:pPr>
            <w:r>
              <w:rPr>
                <w:rFonts w:ascii="Arial" w:cs="Arial" w:eastAsia="Arial" w:hAnsi="Arial"/>
                <w:sz w:val="12"/>
                <w:szCs w:val="12"/>
                <w:color w:val="auto"/>
                <w:w w:val="99"/>
              </w:rPr>
              <w:t>12,340,534</w:t>
            </w:r>
          </w:p>
        </w:tc>
        <w:tc>
          <w:tcPr>
            <w:tcW w:w="2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40" w:type="dxa"/>
            <w:vAlign w:val="bottom"/>
          </w:tcPr>
          <w:p>
            <w:pPr>
              <w:jc w:val="right"/>
              <w:spacing w:after="0"/>
              <w:rPr>
                <w:sz w:val="20"/>
                <w:szCs w:val="20"/>
                <w:color w:val="auto"/>
              </w:rPr>
            </w:pPr>
            <w:r>
              <w:rPr>
                <w:rFonts w:ascii="Arial" w:cs="Arial" w:eastAsia="Arial" w:hAnsi="Arial"/>
                <w:sz w:val="12"/>
                <w:szCs w:val="12"/>
                <w:color w:val="auto"/>
              </w:rPr>
              <w:t>2,799,695</w:t>
            </w:r>
          </w:p>
        </w:tc>
        <w:tc>
          <w:tcPr>
            <w:tcW w:w="100" w:type="dxa"/>
            <w:vAlign w:val="bottom"/>
          </w:tcPr>
          <w:p>
            <w:pPr>
              <w:spacing w:after="0"/>
              <w:rPr>
                <w:sz w:val="12"/>
                <w:szCs w:val="12"/>
                <w:color w:val="auto"/>
              </w:rPr>
            </w:pPr>
          </w:p>
        </w:tc>
      </w:tr>
      <w:tr>
        <w:trPr>
          <w:trHeight w:val="149"/>
        </w:trPr>
        <w:tc>
          <w:tcPr>
            <w:tcW w:w="3080" w:type="dxa"/>
            <w:vAlign w:val="bottom"/>
            <w:shd w:val="clear" w:color="auto" w:fill="CCECFF"/>
          </w:tcPr>
          <w:p>
            <w:pPr>
              <w:spacing w:after="0"/>
              <w:rPr>
                <w:sz w:val="20"/>
                <w:szCs w:val="20"/>
                <w:color w:val="auto"/>
              </w:rPr>
            </w:pPr>
            <w:r>
              <w:rPr>
                <w:rFonts w:ascii="Arial" w:cs="Arial" w:eastAsia="Arial" w:hAnsi="Arial"/>
                <w:sz w:val="12"/>
                <w:szCs w:val="12"/>
                <w:color w:val="auto"/>
              </w:rPr>
              <w:t>ETX Energy, LLC (f/k/a New Gulf Resources, LLC),</w:t>
            </w:r>
          </w:p>
        </w:tc>
        <w:tc>
          <w:tcPr>
            <w:tcW w:w="980" w:type="dxa"/>
            <w:vAlign w:val="bottom"/>
            <w:shd w:val="clear" w:color="auto" w:fill="CCECFF"/>
          </w:tcPr>
          <w:p>
            <w:pPr>
              <w:ind w:left="60"/>
              <w:spacing w:after="0"/>
              <w:rPr>
                <w:sz w:val="20"/>
                <w:szCs w:val="20"/>
                <w:color w:val="auto"/>
              </w:rPr>
            </w:pPr>
            <w:r>
              <w:rPr>
                <w:rFonts w:ascii="Arial" w:cs="Arial" w:eastAsia="Arial" w:hAnsi="Arial"/>
                <w:sz w:val="12"/>
                <w:szCs w:val="12"/>
                <w:color w:val="auto"/>
              </w:rPr>
              <w:t>05/03/2021</w:t>
            </w:r>
          </w:p>
        </w:tc>
        <w:tc>
          <w:tcPr>
            <w:tcW w:w="2640" w:type="dxa"/>
            <w:vAlign w:val="bottom"/>
            <w:gridSpan w:val="2"/>
            <w:shd w:val="clear" w:color="auto" w:fill="CCECFF"/>
          </w:tcPr>
          <w:p>
            <w:pPr>
              <w:jc w:val="center"/>
              <w:ind w:right="280"/>
              <w:spacing w:after="0"/>
              <w:rPr>
                <w:sz w:val="20"/>
                <w:szCs w:val="20"/>
                <w:color w:val="auto"/>
              </w:rPr>
            </w:pPr>
            <w:r>
              <w:rPr>
                <w:rFonts w:ascii="Arial" w:cs="Arial" w:eastAsia="Arial" w:hAnsi="Arial"/>
                <w:sz w:val="12"/>
                <w:szCs w:val="12"/>
                <w:color w:val="auto"/>
                <w:w w:val="88"/>
              </w:rPr>
              <w:t>Oil and Gas</w:t>
            </w:r>
          </w:p>
        </w:tc>
        <w:tc>
          <w:tcPr>
            <w:tcW w:w="960" w:type="dxa"/>
            <w:vAlign w:val="bottom"/>
            <w:gridSpan w:val="2"/>
            <w:shd w:val="clear" w:color="auto" w:fill="CCECFF"/>
          </w:tcPr>
          <w:p>
            <w:pPr>
              <w:jc w:val="right"/>
              <w:ind w:right="200"/>
              <w:spacing w:after="0"/>
              <w:rPr>
                <w:sz w:val="20"/>
                <w:szCs w:val="20"/>
                <w:color w:val="auto"/>
              </w:rPr>
            </w:pPr>
            <w:r>
              <w:rPr>
                <w:rFonts w:ascii="Arial" w:cs="Arial" w:eastAsia="Arial" w:hAnsi="Arial"/>
                <w:sz w:val="12"/>
                <w:szCs w:val="12"/>
                <w:color w:val="auto"/>
              </w:rPr>
              <w:t>12.50%</w:t>
            </w:r>
          </w:p>
        </w:tc>
        <w:tc>
          <w:tcPr>
            <w:tcW w:w="900" w:type="dxa"/>
            <w:vAlign w:val="bottom"/>
            <w:gridSpan w:val="2"/>
            <w:shd w:val="clear" w:color="auto" w:fill="CCECFF"/>
          </w:tcPr>
          <w:p>
            <w:pPr>
              <w:jc w:val="right"/>
              <w:ind w:right="240"/>
              <w:spacing w:after="0"/>
              <w:rPr>
                <w:sz w:val="20"/>
                <w:szCs w:val="20"/>
                <w:color w:val="auto"/>
              </w:rPr>
            </w:pPr>
            <w:r>
              <w:rPr>
                <w:rFonts w:ascii="Arial" w:cs="Arial" w:eastAsia="Arial" w:hAnsi="Arial"/>
                <w:sz w:val="12"/>
                <w:szCs w:val="12"/>
                <w:color w:val="auto"/>
              </w:rPr>
              <w:t>—</w:t>
            </w:r>
          </w:p>
        </w:tc>
        <w:tc>
          <w:tcPr>
            <w:tcW w:w="680" w:type="dxa"/>
            <w:vAlign w:val="bottom"/>
            <w:shd w:val="clear" w:color="auto" w:fill="CCECFF"/>
          </w:tcPr>
          <w:p>
            <w:pPr>
              <w:jc w:val="right"/>
              <w:spacing w:after="0"/>
              <w:rPr>
                <w:sz w:val="20"/>
                <w:szCs w:val="20"/>
                <w:color w:val="auto"/>
              </w:rPr>
            </w:pPr>
            <w:r>
              <w:rPr>
                <w:rFonts w:ascii="Arial" w:cs="Arial" w:eastAsia="Arial" w:hAnsi="Arial"/>
                <w:sz w:val="12"/>
                <w:szCs w:val="12"/>
                <w:color w:val="auto"/>
              </w:rPr>
              <w:t>25,297,664</w:t>
            </w:r>
          </w:p>
        </w:tc>
        <w:tc>
          <w:tcPr>
            <w:tcW w:w="240" w:type="dxa"/>
            <w:vAlign w:val="bottom"/>
            <w:shd w:val="clear" w:color="auto" w:fill="CCECFF"/>
          </w:tcPr>
          <w:p>
            <w:pPr>
              <w:spacing w:after="0"/>
              <w:rPr>
                <w:sz w:val="12"/>
                <w:szCs w:val="12"/>
                <w:color w:val="auto"/>
              </w:rPr>
            </w:pPr>
          </w:p>
        </w:tc>
        <w:tc>
          <w:tcPr>
            <w:tcW w:w="80" w:type="dxa"/>
            <w:vAlign w:val="bottom"/>
            <w:shd w:val="clear" w:color="auto" w:fill="CCECFF"/>
          </w:tcPr>
          <w:p>
            <w:pPr>
              <w:spacing w:after="0"/>
              <w:rPr>
                <w:sz w:val="12"/>
                <w:szCs w:val="12"/>
                <w:color w:val="auto"/>
              </w:rPr>
            </w:pPr>
          </w:p>
        </w:tc>
        <w:tc>
          <w:tcPr>
            <w:tcW w:w="620" w:type="dxa"/>
            <w:vAlign w:val="bottom"/>
            <w:shd w:val="clear" w:color="auto" w:fill="CCECFF"/>
          </w:tcPr>
          <w:p>
            <w:pPr>
              <w:jc w:val="right"/>
              <w:spacing w:after="0"/>
              <w:rPr>
                <w:sz w:val="20"/>
                <w:szCs w:val="20"/>
                <w:color w:val="auto"/>
              </w:rPr>
            </w:pPr>
            <w:r>
              <w:rPr>
                <w:rFonts w:ascii="Arial" w:cs="Arial" w:eastAsia="Arial" w:hAnsi="Arial"/>
                <w:sz w:val="12"/>
                <w:szCs w:val="12"/>
                <w:color w:val="auto"/>
                <w:w w:val="99"/>
              </w:rPr>
              <w:t>36,473,119</w:t>
            </w:r>
          </w:p>
        </w:tc>
        <w:tc>
          <w:tcPr>
            <w:tcW w:w="240" w:type="dxa"/>
            <w:vAlign w:val="bottom"/>
            <w:shd w:val="clear" w:color="auto" w:fill="CCECFF"/>
          </w:tcPr>
          <w:p>
            <w:pPr>
              <w:spacing w:after="0"/>
              <w:rPr>
                <w:sz w:val="12"/>
                <w:szCs w:val="12"/>
                <w:color w:val="auto"/>
              </w:rPr>
            </w:pPr>
          </w:p>
        </w:tc>
        <w:tc>
          <w:tcPr>
            <w:tcW w:w="80" w:type="dxa"/>
            <w:vAlign w:val="bottom"/>
            <w:shd w:val="clear" w:color="auto" w:fill="CCECFF"/>
          </w:tcPr>
          <w:p>
            <w:pPr>
              <w:spacing w:after="0"/>
              <w:rPr>
                <w:sz w:val="12"/>
                <w:szCs w:val="12"/>
                <w:color w:val="auto"/>
              </w:rPr>
            </w:pPr>
          </w:p>
        </w:tc>
        <w:tc>
          <w:tcPr>
            <w:tcW w:w="640" w:type="dxa"/>
            <w:vAlign w:val="bottom"/>
            <w:shd w:val="clear" w:color="auto" w:fill="CCECFF"/>
          </w:tcPr>
          <w:p>
            <w:pPr>
              <w:jc w:val="right"/>
              <w:spacing w:after="0"/>
              <w:rPr>
                <w:sz w:val="20"/>
                <w:szCs w:val="20"/>
                <w:color w:val="auto"/>
              </w:rPr>
            </w:pPr>
            <w:r>
              <w:rPr>
                <w:rFonts w:ascii="Arial" w:cs="Arial" w:eastAsia="Arial" w:hAnsi="Arial"/>
                <w:sz w:val="12"/>
                <w:szCs w:val="12"/>
                <w:color w:val="auto"/>
                <w:w w:val="99"/>
              </w:rPr>
              <w:t>35,416,730</w:t>
            </w:r>
          </w:p>
        </w:tc>
        <w:tc>
          <w:tcPr>
            <w:tcW w:w="100" w:type="dxa"/>
            <w:vAlign w:val="bottom"/>
            <w:shd w:val="clear" w:color="auto" w:fill="CCECFF"/>
          </w:tcPr>
          <w:p>
            <w:pPr>
              <w:spacing w:after="0"/>
              <w:rPr>
                <w:sz w:val="12"/>
                <w:szCs w:val="12"/>
                <w:color w:val="auto"/>
              </w:rPr>
            </w:pPr>
          </w:p>
        </w:tc>
      </w:tr>
      <w:tr>
        <w:trPr>
          <w:trHeight w:val="148"/>
        </w:trPr>
        <w:tc>
          <w:tcPr>
            <w:tcW w:w="3080" w:type="dxa"/>
            <w:vAlign w:val="bottom"/>
            <w:shd w:val="clear" w:color="auto" w:fill="CCECFF"/>
          </w:tcPr>
          <w:p>
            <w:pPr>
              <w:ind w:left="100"/>
              <w:spacing w:after="0"/>
              <w:rPr>
                <w:sz w:val="20"/>
                <w:szCs w:val="20"/>
                <w:color w:val="auto"/>
              </w:rPr>
            </w:pPr>
            <w:r>
              <w:rPr>
                <w:rFonts w:ascii="Arial" w:cs="Arial" w:eastAsia="Arial" w:hAnsi="Arial"/>
                <w:sz w:val="12"/>
                <w:szCs w:val="12"/>
                <w:color w:val="auto"/>
              </w:rPr>
              <w:t xml:space="preserve">'Convertible Note </w:t>
            </w:r>
            <w:r>
              <w:rPr>
                <w:rFonts w:ascii="Arial" w:cs="Arial" w:eastAsia="Arial" w:hAnsi="Arial"/>
                <w:sz w:val="9"/>
                <w:szCs w:val="9"/>
                <w:color w:val="auto"/>
              </w:rPr>
              <w:t>(5)</w:t>
            </w:r>
          </w:p>
        </w:tc>
        <w:tc>
          <w:tcPr>
            <w:tcW w:w="980" w:type="dxa"/>
            <w:vAlign w:val="bottom"/>
            <w:shd w:val="clear" w:color="auto" w:fill="CCECFF"/>
          </w:tcPr>
          <w:p>
            <w:pPr>
              <w:spacing w:after="0"/>
              <w:rPr>
                <w:sz w:val="12"/>
                <w:szCs w:val="12"/>
                <w:color w:val="auto"/>
              </w:rPr>
            </w:pPr>
          </w:p>
        </w:tc>
        <w:tc>
          <w:tcPr>
            <w:tcW w:w="2500" w:type="dxa"/>
            <w:vAlign w:val="bottom"/>
            <w:shd w:val="clear" w:color="auto" w:fill="CCECFF"/>
          </w:tcPr>
          <w:p>
            <w:pPr>
              <w:spacing w:after="0"/>
              <w:rPr>
                <w:sz w:val="12"/>
                <w:szCs w:val="12"/>
                <w:color w:val="auto"/>
              </w:rPr>
            </w:pPr>
          </w:p>
        </w:tc>
        <w:tc>
          <w:tcPr>
            <w:tcW w:w="140" w:type="dxa"/>
            <w:vAlign w:val="bottom"/>
            <w:shd w:val="clear" w:color="auto" w:fill="CCECFF"/>
          </w:tcPr>
          <w:p>
            <w:pPr>
              <w:spacing w:after="0"/>
              <w:rPr>
                <w:sz w:val="12"/>
                <w:szCs w:val="12"/>
                <w:color w:val="auto"/>
              </w:rPr>
            </w:pPr>
          </w:p>
        </w:tc>
        <w:tc>
          <w:tcPr>
            <w:tcW w:w="960" w:type="dxa"/>
            <w:vAlign w:val="bottom"/>
            <w:gridSpan w:val="2"/>
            <w:shd w:val="clear" w:color="auto" w:fill="CCECFF"/>
          </w:tcPr>
          <w:p>
            <w:pPr>
              <w:jc w:val="right"/>
              <w:ind w:right="160"/>
              <w:spacing w:after="0"/>
              <w:rPr>
                <w:sz w:val="20"/>
                <w:szCs w:val="20"/>
                <w:color w:val="auto"/>
              </w:rPr>
            </w:pPr>
            <w:r>
              <w:rPr>
                <w:rFonts w:ascii="Arial" w:cs="Arial" w:eastAsia="Arial" w:hAnsi="Arial"/>
                <w:sz w:val="12"/>
                <w:szCs w:val="12"/>
                <w:color w:val="auto"/>
              </w:rPr>
              <w:t>(PIK 12.50%)</w:t>
            </w:r>
          </w:p>
        </w:tc>
        <w:tc>
          <w:tcPr>
            <w:tcW w:w="680" w:type="dxa"/>
            <w:vAlign w:val="bottom"/>
            <w:shd w:val="clear" w:color="auto" w:fill="CCECFF"/>
          </w:tcPr>
          <w:p>
            <w:pPr>
              <w:spacing w:after="0"/>
              <w:rPr>
                <w:sz w:val="12"/>
                <w:szCs w:val="12"/>
                <w:color w:val="auto"/>
              </w:rPr>
            </w:pPr>
          </w:p>
        </w:tc>
        <w:tc>
          <w:tcPr>
            <w:tcW w:w="220" w:type="dxa"/>
            <w:vAlign w:val="bottom"/>
            <w:shd w:val="clear" w:color="auto" w:fill="CCECFF"/>
          </w:tcPr>
          <w:p>
            <w:pPr>
              <w:spacing w:after="0"/>
              <w:rPr>
                <w:sz w:val="12"/>
                <w:szCs w:val="12"/>
                <w:color w:val="auto"/>
              </w:rPr>
            </w:pPr>
          </w:p>
        </w:tc>
        <w:tc>
          <w:tcPr>
            <w:tcW w:w="680" w:type="dxa"/>
            <w:vAlign w:val="bottom"/>
            <w:shd w:val="clear" w:color="auto" w:fill="CCECFF"/>
          </w:tcPr>
          <w:p>
            <w:pPr>
              <w:spacing w:after="0"/>
              <w:rPr>
                <w:sz w:val="12"/>
                <w:szCs w:val="12"/>
                <w:color w:val="auto"/>
              </w:rPr>
            </w:pPr>
          </w:p>
        </w:tc>
        <w:tc>
          <w:tcPr>
            <w:tcW w:w="240" w:type="dxa"/>
            <w:vAlign w:val="bottom"/>
            <w:shd w:val="clear" w:color="auto" w:fill="CCECFF"/>
          </w:tcPr>
          <w:p>
            <w:pPr>
              <w:spacing w:after="0"/>
              <w:rPr>
                <w:sz w:val="12"/>
                <w:szCs w:val="12"/>
                <w:color w:val="auto"/>
              </w:rPr>
            </w:pPr>
          </w:p>
        </w:tc>
        <w:tc>
          <w:tcPr>
            <w:tcW w:w="80" w:type="dxa"/>
            <w:vAlign w:val="bottom"/>
            <w:shd w:val="clear" w:color="auto" w:fill="CCECFF"/>
          </w:tcPr>
          <w:p>
            <w:pPr>
              <w:spacing w:after="0"/>
              <w:rPr>
                <w:sz w:val="12"/>
                <w:szCs w:val="12"/>
                <w:color w:val="auto"/>
              </w:rPr>
            </w:pPr>
          </w:p>
        </w:tc>
        <w:tc>
          <w:tcPr>
            <w:tcW w:w="620" w:type="dxa"/>
            <w:vAlign w:val="bottom"/>
            <w:shd w:val="clear" w:color="auto" w:fill="CCECFF"/>
          </w:tcPr>
          <w:p>
            <w:pPr>
              <w:spacing w:after="0"/>
              <w:rPr>
                <w:sz w:val="12"/>
                <w:szCs w:val="12"/>
                <w:color w:val="auto"/>
              </w:rPr>
            </w:pPr>
          </w:p>
        </w:tc>
        <w:tc>
          <w:tcPr>
            <w:tcW w:w="240" w:type="dxa"/>
            <w:vAlign w:val="bottom"/>
            <w:shd w:val="clear" w:color="auto" w:fill="CCECFF"/>
          </w:tcPr>
          <w:p>
            <w:pPr>
              <w:spacing w:after="0"/>
              <w:rPr>
                <w:sz w:val="12"/>
                <w:szCs w:val="12"/>
                <w:color w:val="auto"/>
              </w:rPr>
            </w:pPr>
          </w:p>
        </w:tc>
        <w:tc>
          <w:tcPr>
            <w:tcW w:w="80" w:type="dxa"/>
            <w:vAlign w:val="bottom"/>
            <w:shd w:val="clear" w:color="auto" w:fill="CCECFF"/>
          </w:tcPr>
          <w:p>
            <w:pPr>
              <w:spacing w:after="0"/>
              <w:rPr>
                <w:sz w:val="12"/>
                <w:szCs w:val="12"/>
                <w:color w:val="auto"/>
              </w:rPr>
            </w:pPr>
          </w:p>
        </w:tc>
        <w:tc>
          <w:tcPr>
            <w:tcW w:w="640" w:type="dxa"/>
            <w:vAlign w:val="bottom"/>
            <w:shd w:val="clear" w:color="auto" w:fill="CCECFF"/>
          </w:tcPr>
          <w:p>
            <w:pPr>
              <w:spacing w:after="0"/>
              <w:rPr>
                <w:sz w:val="12"/>
                <w:szCs w:val="12"/>
                <w:color w:val="auto"/>
              </w:rPr>
            </w:pPr>
          </w:p>
        </w:tc>
        <w:tc>
          <w:tcPr>
            <w:tcW w:w="100" w:type="dxa"/>
            <w:vAlign w:val="bottom"/>
            <w:shd w:val="clear" w:color="auto" w:fill="CCECFF"/>
          </w:tcPr>
          <w:p>
            <w:pPr>
              <w:spacing w:after="0"/>
              <w:rPr>
                <w:sz w:val="12"/>
                <w:szCs w:val="12"/>
                <w:color w:val="auto"/>
              </w:rPr>
            </w:pPr>
          </w:p>
        </w:tc>
      </w:tr>
      <w:tr>
        <w:trPr>
          <w:trHeight w:val="148"/>
        </w:trPr>
        <w:tc>
          <w:tcPr>
            <w:tcW w:w="3080" w:type="dxa"/>
            <w:vAlign w:val="bottom"/>
            <w:tcBorders>
              <w:bottom w:val="single" w:sz="8" w:color="CCECFF"/>
            </w:tcBorders>
          </w:tcPr>
          <w:p>
            <w:pPr>
              <w:spacing w:after="0"/>
              <w:rPr>
                <w:sz w:val="20"/>
                <w:szCs w:val="20"/>
                <w:color w:val="auto"/>
              </w:rPr>
            </w:pPr>
            <w:r>
              <w:rPr>
                <w:rFonts w:ascii="Arial" w:cs="Arial" w:eastAsia="Arial" w:hAnsi="Arial"/>
                <w:sz w:val="12"/>
                <w:szCs w:val="12"/>
                <w:color w:val="auto"/>
              </w:rPr>
              <w:t>Service Champ, Inc.</w:t>
            </w:r>
          </w:p>
        </w:tc>
        <w:tc>
          <w:tcPr>
            <w:tcW w:w="980" w:type="dxa"/>
            <w:vAlign w:val="bottom"/>
            <w:tcBorders>
              <w:bottom w:val="single" w:sz="8" w:color="CCECFF"/>
            </w:tcBorders>
          </w:tcPr>
          <w:p>
            <w:pPr>
              <w:ind w:left="60"/>
              <w:spacing w:after="0"/>
              <w:rPr>
                <w:sz w:val="20"/>
                <w:szCs w:val="20"/>
                <w:color w:val="auto"/>
              </w:rPr>
            </w:pPr>
            <w:r>
              <w:rPr>
                <w:rFonts w:ascii="Arial" w:cs="Arial" w:eastAsia="Arial" w:hAnsi="Arial"/>
                <w:sz w:val="12"/>
                <w:szCs w:val="12"/>
                <w:color w:val="auto"/>
              </w:rPr>
              <w:t>10/02/2017</w:t>
            </w:r>
          </w:p>
        </w:tc>
        <w:tc>
          <w:tcPr>
            <w:tcW w:w="2640" w:type="dxa"/>
            <w:vAlign w:val="bottom"/>
            <w:tcBorders>
              <w:bottom w:val="single" w:sz="8" w:color="CCECFF"/>
            </w:tcBorders>
            <w:gridSpan w:val="2"/>
          </w:tcPr>
          <w:p>
            <w:pPr>
              <w:jc w:val="center"/>
              <w:ind w:right="280"/>
              <w:spacing w:after="0"/>
              <w:rPr>
                <w:sz w:val="20"/>
                <w:szCs w:val="20"/>
                <w:color w:val="auto"/>
              </w:rPr>
            </w:pPr>
            <w:r>
              <w:rPr>
                <w:rFonts w:ascii="Arial" w:cs="Arial" w:eastAsia="Arial" w:hAnsi="Arial"/>
                <w:sz w:val="12"/>
                <w:szCs w:val="12"/>
                <w:color w:val="auto"/>
                <w:w w:val="89"/>
              </w:rPr>
              <w:t>Auto Sector</w:t>
            </w:r>
          </w:p>
        </w:tc>
        <w:tc>
          <w:tcPr>
            <w:tcW w:w="960" w:type="dxa"/>
            <w:vAlign w:val="bottom"/>
            <w:tcBorders>
              <w:bottom w:val="single" w:sz="8" w:color="CCECFF"/>
            </w:tcBorders>
            <w:gridSpan w:val="2"/>
          </w:tcPr>
          <w:p>
            <w:pPr>
              <w:jc w:val="right"/>
              <w:ind w:right="200"/>
              <w:spacing w:after="0"/>
              <w:rPr>
                <w:sz w:val="20"/>
                <w:szCs w:val="20"/>
                <w:color w:val="auto"/>
              </w:rPr>
            </w:pPr>
            <w:r>
              <w:rPr>
                <w:rFonts w:ascii="Arial" w:cs="Arial" w:eastAsia="Arial" w:hAnsi="Arial"/>
                <w:sz w:val="12"/>
                <w:szCs w:val="12"/>
                <w:color w:val="auto"/>
              </w:rPr>
              <w:t>12.50%</w:t>
            </w:r>
          </w:p>
        </w:tc>
        <w:tc>
          <w:tcPr>
            <w:tcW w:w="900" w:type="dxa"/>
            <w:vAlign w:val="bottom"/>
            <w:tcBorders>
              <w:bottom w:val="single" w:sz="8" w:color="CCECFF"/>
            </w:tcBorders>
            <w:gridSpan w:val="2"/>
          </w:tcPr>
          <w:p>
            <w:pPr>
              <w:jc w:val="right"/>
              <w:ind w:right="240"/>
              <w:spacing w:after="0"/>
              <w:rPr>
                <w:sz w:val="20"/>
                <w:szCs w:val="20"/>
                <w:color w:val="auto"/>
              </w:rPr>
            </w:pPr>
            <w:r>
              <w:rPr>
                <w:rFonts w:ascii="Arial" w:cs="Arial" w:eastAsia="Arial" w:hAnsi="Arial"/>
                <w:sz w:val="12"/>
                <w:szCs w:val="12"/>
                <w:color w:val="auto"/>
              </w:rPr>
              <w:t>—</w:t>
            </w:r>
          </w:p>
        </w:tc>
        <w:tc>
          <w:tcPr>
            <w:tcW w:w="680" w:type="dxa"/>
            <w:vAlign w:val="bottom"/>
            <w:tcBorders>
              <w:bottom w:val="single" w:sz="8" w:color="CCECFF"/>
            </w:tcBorders>
          </w:tcPr>
          <w:p>
            <w:pPr>
              <w:jc w:val="right"/>
              <w:spacing w:after="0"/>
              <w:rPr>
                <w:sz w:val="20"/>
                <w:szCs w:val="20"/>
                <w:color w:val="auto"/>
              </w:rPr>
            </w:pPr>
            <w:r>
              <w:rPr>
                <w:rFonts w:ascii="Arial" w:cs="Arial" w:eastAsia="Arial" w:hAnsi="Arial"/>
                <w:sz w:val="12"/>
                <w:szCs w:val="12"/>
                <w:color w:val="auto"/>
              </w:rPr>
              <w:t>28,000,000</w:t>
            </w:r>
          </w:p>
        </w:tc>
        <w:tc>
          <w:tcPr>
            <w:tcW w:w="240" w:type="dxa"/>
            <w:vAlign w:val="bottom"/>
            <w:tcBorders>
              <w:bottom w:val="single" w:sz="8" w:color="CCECFF"/>
            </w:tcBorders>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w w:val="99"/>
              </w:rPr>
              <w:t>27,841,741</w:t>
            </w:r>
          </w:p>
        </w:tc>
        <w:tc>
          <w:tcPr>
            <w:tcW w:w="240" w:type="dxa"/>
            <w:vAlign w:val="bottom"/>
            <w:tcBorders>
              <w:bottom w:val="single" w:sz="8" w:color="CCECFF"/>
            </w:tcBorders>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w w:val="99"/>
              </w:rPr>
              <w:t>27,908,663</w:t>
            </w:r>
          </w:p>
        </w:tc>
        <w:tc>
          <w:tcPr>
            <w:tcW w:w="100" w:type="dxa"/>
            <w:vAlign w:val="bottom"/>
            <w:tcBorders>
              <w:bottom w:val="single" w:sz="8" w:color="CCECFF"/>
            </w:tcBorders>
          </w:tcPr>
          <w:p>
            <w:pPr>
              <w:spacing w:after="0"/>
              <w:rPr>
                <w:sz w:val="12"/>
                <w:szCs w:val="12"/>
                <w:color w:val="auto"/>
              </w:rPr>
            </w:pPr>
          </w:p>
        </w:tc>
      </w:tr>
      <w:tr>
        <w:trPr>
          <w:trHeight w:val="142"/>
        </w:trPr>
        <w:tc>
          <w:tcPr>
            <w:tcW w:w="3080" w:type="dxa"/>
            <w:vAlign w:val="bottom"/>
            <w:shd w:val="clear" w:color="auto" w:fill="CCECFF"/>
          </w:tcPr>
          <w:p>
            <w:pPr>
              <w:spacing w:after="0"/>
              <w:rPr>
                <w:sz w:val="20"/>
                <w:szCs w:val="20"/>
                <w:color w:val="auto"/>
              </w:rPr>
            </w:pPr>
            <w:r>
              <w:rPr>
                <w:rFonts w:ascii="Arial" w:cs="Arial" w:eastAsia="Arial" w:hAnsi="Arial"/>
                <w:sz w:val="12"/>
                <w:szCs w:val="12"/>
                <w:b w:val="1"/>
                <w:bCs w:val="1"/>
                <w:color w:val="auto"/>
              </w:rPr>
              <w:t>Total Subordinated Debt/Corporate Notes</w:t>
            </w:r>
          </w:p>
        </w:tc>
        <w:tc>
          <w:tcPr>
            <w:tcW w:w="980" w:type="dxa"/>
            <w:vAlign w:val="bottom"/>
            <w:shd w:val="clear" w:color="auto" w:fill="CCECFF"/>
          </w:tcPr>
          <w:p>
            <w:pPr>
              <w:spacing w:after="0"/>
              <w:rPr>
                <w:sz w:val="12"/>
                <w:szCs w:val="12"/>
                <w:color w:val="auto"/>
              </w:rPr>
            </w:pPr>
          </w:p>
        </w:tc>
        <w:tc>
          <w:tcPr>
            <w:tcW w:w="2500" w:type="dxa"/>
            <w:vAlign w:val="bottom"/>
            <w:shd w:val="clear" w:color="auto" w:fill="CCECFF"/>
          </w:tcPr>
          <w:p>
            <w:pPr>
              <w:spacing w:after="0"/>
              <w:rPr>
                <w:sz w:val="12"/>
                <w:szCs w:val="12"/>
                <w:color w:val="auto"/>
              </w:rPr>
            </w:pPr>
          </w:p>
        </w:tc>
        <w:tc>
          <w:tcPr>
            <w:tcW w:w="140" w:type="dxa"/>
            <w:vAlign w:val="bottom"/>
            <w:shd w:val="clear" w:color="auto" w:fill="CCECFF"/>
          </w:tcPr>
          <w:p>
            <w:pPr>
              <w:spacing w:after="0"/>
              <w:rPr>
                <w:sz w:val="12"/>
                <w:szCs w:val="12"/>
                <w:color w:val="auto"/>
              </w:rPr>
            </w:pPr>
          </w:p>
        </w:tc>
        <w:tc>
          <w:tcPr>
            <w:tcW w:w="660" w:type="dxa"/>
            <w:vAlign w:val="bottom"/>
            <w:shd w:val="clear" w:color="auto" w:fill="CCECFF"/>
          </w:tcPr>
          <w:p>
            <w:pPr>
              <w:spacing w:after="0"/>
              <w:rPr>
                <w:sz w:val="12"/>
                <w:szCs w:val="12"/>
                <w:color w:val="auto"/>
              </w:rPr>
            </w:pPr>
          </w:p>
        </w:tc>
        <w:tc>
          <w:tcPr>
            <w:tcW w:w="300" w:type="dxa"/>
            <w:vAlign w:val="bottom"/>
            <w:shd w:val="clear" w:color="auto" w:fill="CCECFF"/>
          </w:tcPr>
          <w:p>
            <w:pPr>
              <w:spacing w:after="0"/>
              <w:rPr>
                <w:sz w:val="12"/>
                <w:szCs w:val="12"/>
                <w:color w:val="auto"/>
              </w:rPr>
            </w:pPr>
          </w:p>
        </w:tc>
        <w:tc>
          <w:tcPr>
            <w:tcW w:w="680" w:type="dxa"/>
            <w:vAlign w:val="bottom"/>
            <w:shd w:val="clear" w:color="auto" w:fill="CCECFF"/>
          </w:tcPr>
          <w:p>
            <w:pPr>
              <w:spacing w:after="0"/>
              <w:rPr>
                <w:sz w:val="12"/>
                <w:szCs w:val="12"/>
                <w:color w:val="auto"/>
              </w:rPr>
            </w:pPr>
          </w:p>
        </w:tc>
        <w:tc>
          <w:tcPr>
            <w:tcW w:w="220" w:type="dxa"/>
            <w:vAlign w:val="bottom"/>
            <w:shd w:val="clear" w:color="auto" w:fill="CCECFF"/>
          </w:tcPr>
          <w:p>
            <w:pPr>
              <w:spacing w:after="0"/>
              <w:rPr>
                <w:sz w:val="12"/>
                <w:szCs w:val="12"/>
                <w:color w:val="auto"/>
              </w:rPr>
            </w:pPr>
          </w:p>
        </w:tc>
        <w:tc>
          <w:tcPr>
            <w:tcW w:w="680" w:type="dxa"/>
            <w:vAlign w:val="bottom"/>
            <w:shd w:val="clear" w:color="auto" w:fill="CCECFF"/>
          </w:tcPr>
          <w:p>
            <w:pPr>
              <w:spacing w:after="0"/>
              <w:rPr>
                <w:sz w:val="12"/>
                <w:szCs w:val="12"/>
                <w:color w:val="auto"/>
              </w:rPr>
            </w:pPr>
          </w:p>
        </w:tc>
        <w:tc>
          <w:tcPr>
            <w:tcW w:w="240" w:type="dxa"/>
            <w:vAlign w:val="bottom"/>
            <w:shd w:val="clear" w:color="auto" w:fill="CCECFF"/>
          </w:tcPr>
          <w:p>
            <w:pPr>
              <w:spacing w:after="0"/>
              <w:rPr>
                <w:sz w:val="12"/>
                <w:szCs w:val="12"/>
                <w:color w:val="auto"/>
              </w:rPr>
            </w:pPr>
          </w:p>
        </w:tc>
        <w:tc>
          <w:tcPr>
            <w:tcW w:w="80" w:type="dxa"/>
            <w:vAlign w:val="bottom"/>
            <w:tcBorders>
              <w:bottom w:val="single" w:sz="8" w:color="auto"/>
            </w:tcBorders>
            <w:shd w:val="clear" w:color="auto" w:fill="CCECFF"/>
          </w:tcPr>
          <w:p>
            <w:pPr>
              <w:spacing w:after="0"/>
              <w:rPr>
                <w:sz w:val="12"/>
                <w:szCs w:val="12"/>
                <w:color w:val="auto"/>
              </w:rPr>
            </w:pPr>
          </w:p>
        </w:tc>
        <w:tc>
          <w:tcPr>
            <w:tcW w:w="620" w:type="dxa"/>
            <w:vAlign w:val="bottom"/>
            <w:tcBorders>
              <w:bottom w:val="single" w:sz="8" w:color="auto"/>
            </w:tcBorders>
            <w:shd w:val="clear" w:color="auto" w:fill="CCECFF"/>
          </w:tcPr>
          <w:p>
            <w:pPr>
              <w:jc w:val="right"/>
              <w:spacing w:after="0"/>
              <w:rPr>
                <w:sz w:val="20"/>
                <w:szCs w:val="20"/>
                <w:color w:val="auto"/>
              </w:rPr>
            </w:pPr>
            <w:r>
              <w:rPr>
                <w:rFonts w:ascii="Arial" w:cs="Arial" w:eastAsia="Arial" w:hAnsi="Arial"/>
                <w:sz w:val="12"/>
                <w:szCs w:val="12"/>
                <w:color w:val="auto"/>
                <w:w w:val="99"/>
              </w:rPr>
              <w:t>85,602,068</w:t>
            </w:r>
          </w:p>
        </w:tc>
        <w:tc>
          <w:tcPr>
            <w:tcW w:w="240" w:type="dxa"/>
            <w:vAlign w:val="bottom"/>
            <w:shd w:val="clear" w:color="auto" w:fill="CCECFF"/>
          </w:tcPr>
          <w:p>
            <w:pPr>
              <w:spacing w:after="0"/>
              <w:rPr>
                <w:sz w:val="12"/>
                <w:szCs w:val="12"/>
                <w:color w:val="auto"/>
              </w:rPr>
            </w:pPr>
          </w:p>
        </w:tc>
        <w:tc>
          <w:tcPr>
            <w:tcW w:w="80" w:type="dxa"/>
            <w:vAlign w:val="bottom"/>
            <w:tcBorders>
              <w:bottom w:val="single" w:sz="8" w:color="auto"/>
            </w:tcBorders>
            <w:shd w:val="clear" w:color="auto" w:fill="CCECFF"/>
          </w:tcPr>
          <w:p>
            <w:pPr>
              <w:spacing w:after="0"/>
              <w:rPr>
                <w:sz w:val="12"/>
                <w:szCs w:val="12"/>
                <w:color w:val="auto"/>
              </w:rPr>
            </w:pPr>
          </w:p>
        </w:tc>
        <w:tc>
          <w:tcPr>
            <w:tcW w:w="640" w:type="dxa"/>
            <w:vAlign w:val="bottom"/>
            <w:tcBorders>
              <w:bottom w:val="single" w:sz="8" w:color="auto"/>
            </w:tcBorders>
            <w:shd w:val="clear" w:color="auto" w:fill="CCECFF"/>
          </w:tcPr>
          <w:p>
            <w:pPr>
              <w:jc w:val="right"/>
              <w:spacing w:after="0"/>
              <w:rPr>
                <w:sz w:val="20"/>
                <w:szCs w:val="20"/>
                <w:color w:val="auto"/>
              </w:rPr>
            </w:pPr>
            <w:r>
              <w:rPr>
                <w:rFonts w:ascii="Arial" w:cs="Arial" w:eastAsia="Arial" w:hAnsi="Arial"/>
                <w:sz w:val="12"/>
                <w:szCs w:val="12"/>
                <w:color w:val="auto"/>
                <w:w w:val="99"/>
              </w:rPr>
              <w:t>75,120,536</w:t>
            </w:r>
          </w:p>
        </w:tc>
        <w:tc>
          <w:tcPr>
            <w:tcW w:w="100" w:type="dxa"/>
            <w:vAlign w:val="bottom"/>
            <w:shd w:val="clear" w:color="auto" w:fill="CCECFF"/>
          </w:tcPr>
          <w:p>
            <w:pPr>
              <w:spacing w:after="0"/>
              <w:rPr>
                <w:sz w:val="12"/>
                <w:szCs w:val="12"/>
                <w:color w:val="auto"/>
              </w:rPr>
            </w:pPr>
          </w:p>
        </w:tc>
      </w:tr>
      <w:tr>
        <w:trPr>
          <w:trHeight w:val="142"/>
        </w:trPr>
        <w:tc>
          <w:tcPr>
            <w:tcW w:w="3080" w:type="dxa"/>
            <w:vAlign w:val="bottom"/>
          </w:tcPr>
          <w:p>
            <w:pPr>
              <w:spacing w:after="0"/>
              <w:rPr>
                <w:sz w:val="20"/>
                <w:szCs w:val="20"/>
                <w:color w:val="auto"/>
              </w:rPr>
            </w:pPr>
            <w:r>
              <w:rPr>
                <w:rFonts w:ascii="Arial" w:cs="Arial" w:eastAsia="Arial" w:hAnsi="Arial"/>
                <w:sz w:val="12"/>
                <w:szCs w:val="12"/>
                <w:b w:val="1"/>
                <w:bCs w:val="1"/>
                <w:color w:val="auto"/>
              </w:rPr>
              <w:t xml:space="preserve">Preferred Equity—0.7% </w:t>
            </w:r>
            <w:r>
              <w:rPr>
                <w:rFonts w:ascii="Arial" w:cs="Arial" w:eastAsia="Arial" w:hAnsi="Arial"/>
                <w:sz w:val="9"/>
                <w:szCs w:val="9"/>
                <w:b w:val="1"/>
                <w:bCs w:val="1"/>
                <w:color w:val="auto"/>
              </w:rPr>
              <w:t>(6)</w:t>
            </w:r>
          </w:p>
        </w:tc>
        <w:tc>
          <w:tcPr>
            <w:tcW w:w="980" w:type="dxa"/>
            <w:vAlign w:val="bottom"/>
          </w:tcPr>
          <w:p>
            <w:pPr>
              <w:spacing w:after="0"/>
              <w:rPr>
                <w:sz w:val="12"/>
                <w:szCs w:val="12"/>
                <w:color w:val="auto"/>
              </w:rPr>
            </w:pPr>
          </w:p>
        </w:tc>
        <w:tc>
          <w:tcPr>
            <w:tcW w:w="25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00" w:type="dxa"/>
            <w:vAlign w:val="bottom"/>
          </w:tcPr>
          <w:p>
            <w:pPr>
              <w:spacing w:after="0"/>
              <w:rPr>
                <w:sz w:val="12"/>
                <w:szCs w:val="12"/>
                <w:color w:val="auto"/>
              </w:rPr>
            </w:pPr>
          </w:p>
        </w:tc>
      </w:tr>
      <w:tr>
        <w:trPr>
          <w:trHeight w:val="148"/>
        </w:trPr>
        <w:tc>
          <w:tcPr>
            <w:tcW w:w="3080" w:type="dxa"/>
            <w:vAlign w:val="bottom"/>
            <w:shd w:val="clear" w:color="auto" w:fill="CCECFF"/>
          </w:tcPr>
          <w:p>
            <w:pPr>
              <w:spacing w:after="0"/>
              <w:rPr>
                <w:sz w:val="20"/>
                <w:szCs w:val="20"/>
                <w:color w:val="auto"/>
              </w:rPr>
            </w:pPr>
            <w:r>
              <w:rPr>
                <w:rFonts w:ascii="Arial" w:cs="Arial" w:eastAsia="Arial" w:hAnsi="Arial"/>
                <w:sz w:val="12"/>
                <w:szCs w:val="12"/>
                <w:color w:val="auto"/>
              </w:rPr>
              <w:t>PAS International Holdings, Inc.</w:t>
            </w:r>
          </w:p>
        </w:tc>
        <w:tc>
          <w:tcPr>
            <w:tcW w:w="980" w:type="dxa"/>
            <w:vAlign w:val="bottom"/>
            <w:shd w:val="clear" w:color="auto" w:fill="CCECFF"/>
          </w:tcPr>
          <w:p>
            <w:pPr>
              <w:ind w:left="320"/>
              <w:spacing w:after="0"/>
              <w:rPr>
                <w:sz w:val="20"/>
                <w:szCs w:val="20"/>
                <w:color w:val="auto"/>
              </w:rPr>
            </w:pPr>
            <w:r>
              <w:rPr>
                <w:rFonts w:ascii="Arial" w:cs="Arial" w:eastAsia="Arial" w:hAnsi="Arial"/>
                <w:sz w:val="12"/>
                <w:szCs w:val="12"/>
                <w:color w:val="auto"/>
              </w:rPr>
              <w:t>—</w:t>
            </w:r>
          </w:p>
        </w:tc>
        <w:tc>
          <w:tcPr>
            <w:tcW w:w="2640" w:type="dxa"/>
            <w:vAlign w:val="bottom"/>
            <w:gridSpan w:val="2"/>
            <w:shd w:val="clear" w:color="auto" w:fill="CCECFF"/>
          </w:tcPr>
          <w:p>
            <w:pPr>
              <w:jc w:val="center"/>
              <w:ind w:right="300"/>
              <w:spacing w:after="0"/>
              <w:rPr>
                <w:sz w:val="20"/>
                <w:szCs w:val="20"/>
                <w:color w:val="auto"/>
              </w:rPr>
            </w:pPr>
            <w:r>
              <w:rPr>
                <w:rFonts w:ascii="Arial" w:cs="Arial" w:eastAsia="Arial" w:hAnsi="Arial"/>
                <w:sz w:val="12"/>
                <w:szCs w:val="12"/>
                <w:color w:val="auto"/>
                <w:w w:val="85"/>
              </w:rPr>
              <w:t>Aerospace and Defense</w:t>
            </w:r>
          </w:p>
        </w:tc>
        <w:tc>
          <w:tcPr>
            <w:tcW w:w="960" w:type="dxa"/>
            <w:vAlign w:val="bottom"/>
            <w:gridSpan w:val="2"/>
            <w:shd w:val="clear" w:color="auto" w:fill="CCECFF"/>
          </w:tcPr>
          <w:p>
            <w:pPr>
              <w:jc w:val="right"/>
              <w:ind w:right="300"/>
              <w:spacing w:after="0"/>
              <w:rPr>
                <w:sz w:val="20"/>
                <w:szCs w:val="20"/>
                <w:color w:val="auto"/>
              </w:rPr>
            </w:pPr>
            <w:r>
              <w:rPr>
                <w:rFonts w:ascii="Arial" w:cs="Arial" w:eastAsia="Arial" w:hAnsi="Arial"/>
                <w:sz w:val="12"/>
                <w:szCs w:val="12"/>
                <w:color w:val="auto"/>
              </w:rPr>
              <w:t>—</w:t>
            </w:r>
          </w:p>
        </w:tc>
        <w:tc>
          <w:tcPr>
            <w:tcW w:w="900" w:type="dxa"/>
            <w:vAlign w:val="bottom"/>
            <w:gridSpan w:val="2"/>
            <w:shd w:val="clear" w:color="auto" w:fill="CCECFF"/>
          </w:tcPr>
          <w:p>
            <w:pPr>
              <w:jc w:val="right"/>
              <w:ind w:right="240"/>
              <w:spacing w:after="0"/>
              <w:rPr>
                <w:sz w:val="20"/>
                <w:szCs w:val="20"/>
                <w:color w:val="auto"/>
              </w:rPr>
            </w:pPr>
            <w:r>
              <w:rPr>
                <w:rFonts w:ascii="Arial" w:cs="Arial" w:eastAsia="Arial" w:hAnsi="Arial"/>
                <w:sz w:val="12"/>
                <w:szCs w:val="12"/>
                <w:color w:val="auto"/>
              </w:rPr>
              <w:t>—</w:t>
            </w:r>
          </w:p>
        </w:tc>
        <w:tc>
          <w:tcPr>
            <w:tcW w:w="680" w:type="dxa"/>
            <w:vAlign w:val="bottom"/>
            <w:shd w:val="clear" w:color="auto" w:fill="CCECFF"/>
          </w:tcPr>
          <w:p>
            <w:pPr>
              <w:jc w:val="right"/>
              <w:spacing w:after="0"/>
              <w:rPr>
                <w:sz w:val="20"/>
                <w:szCs w:val="20"/>
                <w:color w:val="auto"/>
              </w:rPr>
            </w:pPr>
            <w:r>
              <w:rPr>
                <w:rFonts w:ascii="Arial" w:cs="Arial" w:eastAsia="Arial" w:hAnsi="Arial"/>
                <w:sz w:val="12"/>
                <w:szCs w:val="12"/>
                <w:color w:val="auto"/>
              </w:rPr>
              <w:t>53,071</w:t>
            </w:r>
          </w:p>
        </w:tc>
        <w:tc>
          <w:tcPr>
            <w:tcW w:w="240" w:type="dxa"/>
            <w:vAlign w:val="bottom"/>
            <w:shd w:val="clear" w:color="auto" w:fill="CCECFF"/>
          </w:tcPr>
          <w:p>
            <w:pPr>
              <w:spacing w:after="0"/>
              <w:rPr>
                <w:sz w:val="12"/>
                <w:szCs w:val="12"/>
                <w:color w:val="auto"/>
              </w:rPr>
            </w:pPr>
          </w:p>
        </w:tc>
        <w:tc>
          <w:tcPr>
            <w:tcW w:w="80" w:type="dxa"/>
            <w:vAlign w:val="bottom"/>
            <w:tcBorders>
              <w:bottom w:val="single" w:sz="8" w:color="auto"/>
            </w:tcBorders>
            <w:shd w:val="clear" w:color="auto" w:fill="CCECFF"/>
          </w:tcPr>
          <w:p>
            <w:pPr>
              <w:spacing w:after="0"/>
              <w:rPr>
                <w:sz w:val="12"/>
                <w:szCs w:val="12"/>
                <w:color w:val="auto"/>
              </w:rPr>
            </w:pPr>
          </w:p>
        </w:tc>
        <w:tc>
          <w:tcPr>
            <w:tcW w:w="620" w:type="dxa"/>
            <w:vAlign w:val="bottom"/>
            <w:tcBorders>
              <w:bottom w:val="single" w:sz="8" w:color="auto"/>
            </w:tcBorders>
            <w:shd w:val="clear" w:color="auto" w:fill="CCECFF"/>
          </w:tcPr>
          <w:p>
            <w:pPr>
              <w:jc w:val="right"/>
              <w:spacing w:after="0"/>
              <w:rPr>
                <w:sz w:val="20"/>
                <w:szCs w:val="20"/>
                <w:color w:val="auto"/>
              </w:rPr>
            </w:pPr>
            <w:r>
              <w:rPr>
                <w:rFonts w:ascii="Arial" w:cs="Arial" w:eastAsia="Arial" w:hAnsi="Arial"/>
                <w:sz w:val="12"/>
                <w:szCs w:val="12"/>
                <w:color w:val="auto"/>
                <w:w w:val="99"/>
              </w:rPr>
              <w:t>20,059,340</w:t>
            </w:r>
          </w:p>
        </w:tc>
        <w:tc>
          <w:tcPr>
            <w:tcW w:w="240" w:type="dxa"/>
            <w:vAlign w:val="bottom"/>
            <w:shd w:val="clear" w:color="auto" w:fill="CCECFF"/>
          </w:tcPr>
          <w:p>
            <w:pPr>
              <w:spacing w:after="0"/>
              <w:rPr>
                <w:sz w:val="12"/>
                <w:szCs w:val="12"/>
                <w:color w:val="auto"/>
              </w:rPr>
            </w:pPr>
          </w:p>
        </w:tc>
        <w:tc>
          <w:tcPr>
            <w:tcW w:w="80" w:type="dxa"/>
            <w:vAlign w:val="bottom"/>
            <w:tcBorders>
              <w:bottom w:val="single" w:sz="8" w:color="auto"/>
            </w:tcBorders>
            <w:shd w:val="clear" w:color="auto" w:fill="CCECFF"/>
          </w:tcPr>
          <w:p>
            <w:pPr>
              <w:spacing w:after="0"/>
              <w:rPr>
                <w:sz w:val="12"/>
                <w:szCs w:val="12"/>
                <w:color w:val="auto"/>
              </w:rPr>
            </w:pPr>
          </w:p>
        </w:tc>
        <w:tc>
          <w:tcPr>
            <w:tcW w:w="640" w:type="dxa"/>
            <w:vAlign w:val="bottom"/>
            <w:tcBorders>
              <w:bottom w:val="single" w:sz="8" w:color="auto"/>
            </w:tcBorders>
            <w:shd w:val="clear" w:color="auto" w:fill="CCECFF"/>
          </w:tcPr>
          <w:p>
            <w:pPr>
              <w:jc w:val="right"/>
              <w:spacing w:after="0"/>
              <w:rPr>
                <w:sz w:val="20"/>
                <w:szCs w:val="20"/>
                <w:color w:val="auto"/>
              </w:rPr>
            </w:pPr>
            <w:r>
              <w:rPr>
                <w:rFonts w:ascii="Arial" w:cs="Arial" w:eastAsia="Arial" w:hAnsi="Arial"/>
                <w:sz w:val="12"/>
                <w:szCs w:val="12"/>
                <w:color w:val="auto"/>
              </w:rPr>
              <w:t>4,287,107</w:t>
            </w:r>
          </w:p>
        </w:tc>
        <w:tc>
          <w:tcPr>
            <w:tcW w:w="100" w:type="dxa"/>
            <w:vAlign w:val="bottom"/>
            <w:shd w:val="clear" w:color="auto" w:fill="CCECFF"/>
          </w:tcPr>
          <w:p>
            <w:pPr>
              <w:spacing w:after="0"/>
              <w:rPr>
                <w:sz w:val="12"/>
                <w:szCs w:val="12"/>
                <w:color w:val="auto"/>
              </w:rPr>
            </w:pPr>
          </w:p>
        </w:tc>
      </w:tr>
      <w:tr>
        <w:trPr>
          <w:trHeight w:val="142"/>
        </w:trPr>
        <w:tc>
          <w:tcPr>
            <w:tcW w:w="3080" w:type="dxa"/>
            <w:vAlign w:val="bottom"/>
          </w:tcPr>
          <w:p>
            <w:pPr>
              <w:spacing w:after="0"/>
              <w:rPr>
                <w:sz w:val="20"/>
                <w:szCs w:val="20"/>
                <w:color w:val="auto"/>
              </w:rPr>
            </w:pPr>
            <w:r>
              <w:rPr>
                <w:rFonts w:ascii="Arial" w:cs="Arial" w:eastAsia="Arial" w:hAnsi="Arial"/>
                <w:sz w:val="12"/>
                <w:szCs w:val="12"/>
                <w:b w:val="1"/>
                <w:bCs w:val="1"/>
                <w:color w:val="auto"/>
                <w:w w:val="94"/>
              </w:rPr>
              <w:t xml:space="preserve">Common Equity/Partnership Interests/Warrants—8.9% </w:t>
            </w:r>
            <w:r>
              <w:rPr>
                <w:rFonts w:ascii="Arial" w:cs="Arial" w:eastAsia="Arial" w:hAnsi="Arial"/>
                <w:sz w:val="9"/>
                <w:szCs w:val="9"/>
                <w:b w:val="1"/>
                <w:bCs w:val="1"/>
                <w:color w:val="auto"/>
                <w:w w:val="94"/>
              </w:rPr>
              <w:t>(6)</w:t>
            </w:r>
          </w:p>
        </w:tc>
        <w:tc>
          <w:tcPr>
            <w:tcW w:w="980" w:type="dxa"/>
            <w:vAlign w:val="bottom"/>
          </w:tcPr>
          <w:p>
            <w:pPr>
              <w:spacing w:after="0"/>
              <w:rPr>
                <w:sz w:val="12"/>
                <w:szCs w:val="12"/>
                <w:color w:val="auto"/>
              </w:rPr>
            </w:pPr>
          </w:p>
        </w:tc>
        <w:tc>
          <w:tcPr>
            <w:tcW w:w="25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00" w:type="dxa"/>
            <w:vAlign w:val="bottom"/>
          </w:tcPr>
          <w:p>
            <w:pPr>
              <w:spacing w:after="0"/>
              <w:rPr>
                <w:sz w:val="12"/>
                <w:szCs w:val="12"/>
                <w:color w:val="auto"/>
              </w:rPr>
            </w:pPr>
          </w:p>
        </w:tc>
      </w:tr>
      <w:tr>
        <w:trPr>
          <w:trHeight w:val="149"/>
        </w:trPr>
        <w:tc>
          <w:tcPr>
            <w:tcW w:w="3080" w:type="dxa"/>
            <w:vAlign w:val="bottom"/>
            <w:shd w:val="clear" w:color="auto" w:fill="CCECFF"/>
          </w:tcPr>
          <w:p>
            <w:pPr>
              <w:spacing w:after="0"/>
              <w:rPr>
                <w:sz w:val="20"/>
                <w:szCs w:val="20"/>
                <w:color w:val="auto"/>
              </w:rPr>
            </w:pPr>
            <w:r>
              <w:rPr>
                <w:rFonts w:ascii="Arial" w:cs="Arial" w:eastAsia="Arial" w:hAnsi="Arial"/>
                <w:sz w:val="12"/>
                <w:szCs w:val="12"/>
                <w:color w:val="auto"/>
              </w:rPr>
              <w:t>Affinion Group Holdings, Inc.</w:t>
            </w:r>
          </w:p>
        </w:tc>
        <w:tc>
          <w:tcPr>
            <w:tcW w:w="980" w:type="dxa"/>
            <w:vAlign w:val="bottom"/>
            <w:shd w:val="clear" w:color="auto" w:fill="CCECFF"/>
          </w:tcPr>
          <w:p>
            <w:pPr>
              <w:ind w:left="320"/>
              <w:spacing w:after="0"/>
              <w:rPr>
                <w:sz w:val="20"/>
                <w:szCs w:val="20"/>
                <w:color w:val="auto"/>
              </w:rPr>
            </w:pPr>
            <w:r>
              <w:rPr>
                <w:rFonts w:ascii="Arial" w:cs="Arial" w:eastAsia="Arial" w:hAnsi="Arial"/>
                <w:sz w:val="12"/>
                <w:szCs w:val="12"/>
                <w:color w:val="auto"/>
              </w:rPr>
              <w:t>—</w:t>
            </w:r>
          </w:p>
        </w:tc>
        <w:tc>
          <w:tcPr>
            <w:tcW w:w="2640" w:type="dxa"/>
            <w:vAlign w:val="bottom"/>
            <w:gridSpan w:val="2"/>
            <w:shd w:val="clear" w:color="auto" w:fill="CCECFF"/>
          </w:tcPr>
          <w:p>
            <w:pPr>
              <w:jc w:val="center"/>
              <w:ind w:right="280"/>
              <w:spacing w:after="0"/>
              <w:rPr>
                <w:sz w:val="20"/>
                <w:szCs w:val="20"/>
                <w:color w:val="auto"/>
              </w:rPr>
            </w:pPr>
            <w:r>
              <w:rPr>
                <w:rFonts w:ascii="Arial" w:cs="Arial" w:eastAsia="Arial" w:hAnsi="Arial"/>
                <w:sz w:val="12"/>
                <w:szCs w:val="12"/>
                <w:color w:val="auto"/>
                <w:w w:val="86"/>
              </w:rPr>
              <w:t>Consumer Products</w:t>
            </w:r>
          </w:p>
        </w:tc>
        <w:tc>
          <w:tcPr>
            <w:tcW w:w="960" w:type="dxa"/>
            <w:vAlign w:val="bottom"/>
            <w:gridSpan w:val="2"/>
            <w:shd w:val="clear" w:color="auto" w:fill="CCECFF"/>
          </w:tcPr>
          <w:p>
            <w:pPr>
              <w:jc w:val="right"/>
              <w:ind w:right="300"/>
              <w:spacing w:after="0"/>
              <w:rPr>
                <w:sz w:val="20"/>
                <w:szCs w:val="20"/>
                <w:color w:val="auto"/>
              </w:rPr>
            </w:pPr>
            <w:r>
              <w:rPr>
                <w:rFonts w:ascii="Arial" w:cs="Arial" w:eastAsia="Arial" w:hAnsi="Arial"/>
                <w:sz w:val="12"/>
                <w:szCs w:val="12"/>
                <w:color w:val="auto"/>
              </w:rPr>
              <w:t>—</w:t>
            </w:r>
          </w:p>
        </w:tc>
        <w:tc>
          <w:tcPr>
            <w:tcW w:w="900" w:type="dxa"/>
            <w:vAlign w:val="bottom"/>
            <w:gridSpan w:val="2"/>
            <w:shd w:val="clear" w:color="auto" w:fill="CCECFF"/>
          </w:tcPr>
          <w:p>
            <w:pPr>
              <w:jc w:val="right"/>
              <w:ind w:right="240"/>
              <w:spacing w:after="0"/>
              <w:rPr>
                <w:sz w:val="20"/>
                <w:szCs w:val="20"/>
                <w:color w:val="auto"/>
              </w:rPr>
            </w:pPr>
            <w:r>
              <w:rPr>
                <w:rFonts w:ascii="Arial" w:cs="Arial" w:eastAsia="Arial" w:hAnsi="Arial"/>
                <w:sz w:val="12"/>
                <w:szCs w:val="12"/>
                <w:color w:val="auto"/>
              </w:rPr>
              <w:t>—</w:t>
            </w:r>
          </w:p>
        </w:tc>
        <w:tc>
          <w:tcPr>
            <w:tcW w:w="680" w:type="dxa"/>
            <w:vAlign w:val="bottom"/>
            <w:shd w:val="clear" w:color="auto" w:fill="CCECFF"/>
          </w:tcPr>
          <w:p>
            <w:pPr>
              <w:jc w:val="right"/>
              <w:spacing w:after="0"/>
              <w:rPr>
                <w:sz w:val="20"/>
                <w:szCs w:val="20"/>
                <w:color w:val="auto"/>
              </w:rPr>
            </w:pPr>
            <w:r>
              <w:rPr>
                <w:rFonts w:ascii="Arial" w:cs="Arial" w:eastAsia="Arial" w:hAnsi="Arial"/>
                <w:sz w:val="12"/>
                <w:szCs w:val="12"/>
                <w:color w:val="auto"/>
              </w:rPr>
              <w:t>859,496</w:t>
            </w:r>
          </w:p>
        </w:tc>
        <w:tc>
          <w:tcPr>
            <w:tcW w:w="240" w:type="dxa"/>
            <w:vAlign w:val="bottom"/>
            <w:shd w:val="clear" w:color="auto" w:fill="CCECFF"/>
          </w:tcPr>
          <w:p>
            <w:pPr>
              <w:spacing w:after="0"/>
              <w:rPr>
                <w:sz w:val="12"/>
                <w:szCs w:val="12"/>
                <w:color w:val="auto"/>
              </w:rPr>
            </w:pPr>
          </w:p>
        </w:tc>
        <w:tc>
          <w:tcPr>
            <w:tcW w:w="80" w:type="dxa"/>
            <w:vAlign w:val="bottom"/>
            <w:shd w:val="clear" w:color="auto" w:fill="CCECFF"/>
          </w:tcPr>
          <w:p>
            <w:pPr>
              <w:spacing w:after="0"/>
              <w:rPr>
                <w:sz w:val="12"/>
                <w:szCs w:val="12"/>
                <w:color w:val="auto"/>
              </w:rPr>
            </w:pPr>
          </w:p>
        </w:tc>
        <w:tc>
          <w:tcPr>
            <w:tcW w:w="620" w:type="dxa"/>
            <w:vAlign w:val="bottom"/>
            <w:shd w:val="clear" w:color="auto" w:fill="CCECFF"/>
          </w:tcPr>
          <w:p>
            <w:pPr>
              <w:jc w:val="right"/>
              <w:spacing w:after="0"/>
              <w:rPr>
                <w:sz w:val="20"/>
                <w:szCs w:val="20"/>
                <w:color w:val="auto"/>
              </w:rPr>
            </w:pPr>
            <w:r>
              <w:rPr>
                <w:rFonts w:ascii="Arial" w:cs="Arial" w:eastAsia="Arial" w:hAnsi="Arial"/>
                <w:sz w:val="12"/>
                <w:szCs w:val="12"/>
                <w:color w:val="auto"/>
                <w:w w:val="99"/>
              </w:rPr>
              <w:t>30,503,493</w:t>
            </w:r>
          </w:p>
        </w:tc>
        <w:tc>
          <w:tcPr>
            <w:tcW w:w="240" w:type="dxa"/>
            <w:vAlign w:val="bottom"/>
            <w:shd w:val="clear" w:color="auto" w:fill="CCECFF"/>
          </w:tcPr>
          <w:p>
            <w:pPr>
              <w:spacing w:after="0"/>
              <w:rPr>
                <w:sz w:val="12"/>
                <w:szCs w:val="12"/>
                <w:color w:val="auto"/>
              </w:rPr>
            </w:pPr>
          </w:p>
        </w:tc>
        <w:tc>
          <w:tcPr>
            <w:tcW w:w="80" w:type="dxa"/>
            <w:vAlign w:val="bottom"/>
            <w:shd w:val="clear" w:color="auto" w:fill="CCECFF"/>
          </w:tcPr>
          <w:p>
            <w:pPr>
              <w:spacing w:after="0"/>
              <w:rPr>
                <w:sz w:val="12"/>
                <w:szCs w:val="12"/>
                <w:color w:val="auto"/>
              </w:rPr>
            </w:pPr>
          </w:p>
        </w:tc>
        <w:tc>
          <w:tcPr>
            <w:tcW w:w="640" w:type="dxa"/>
            <w:vAlign w:val="bottom"/>
            <w:shd w:val="clear" w:color="auto" w:fill="CCECFF"/>
          </w:tcPr>
          <w:p>
            <w:pPr>
              <w:jc w:val="right"/>
              <w:spacing w:after="0"/>
              <w:rPr>
                <w:sz w:val="20"/>
                <w:szCs w:val="20"/>
                <w:color w:val="auto"/>
              </w:rPr>
            </w:pPr>
            <w:r>
              <w:rPr>
                <w:rFonts w:ascii="Arial" w:cs="Arial" w:eastAsia="Arial" w:hAnsi="Arial"/>
                <w:sz w:val="12"/>
                <w:szCs w:val="12"/>
                <w:color w:val="auto"/>
                <w:w w:val="99"/>
              </w:rPr>
              <w:t>32,115,042</w:t>
            </w:r>
          </w:p>
        </w:tc>
        <w:tc>
          <w:tcPr>
            <w:tcW w:w="100" w:type="dxa"/>
            <w:vAlign w:val="bottom"/>
            <w:shd w:val="clear" w:color="auto" w:fill="CCECFF"/>
          </w:tcPr>
          <w:p>
            <w:pPr>
              <w:spacing w:after="0"/>
              <w:rPr>
                <w:sz w:val="12"/>
                <w:szCs w:val="12"/>
                <w:color w:val="auto"/>
              </w:rPr>
            </w:pPr>
          </w:p>
        </w:tc>
      </w:tr>
      <w:tr>
        <w:trPr>
          <w:trHeight w:val="148"/>
        </w:trPr>
        <w:tc>
          <w:tcPr>
            <w:tcW w:w="3080" w:type="dxa"/>
            <w:vAlign w:val="bottom"/>
          </w:tcPr>
          <w:p>
            <w:pPr>
              <w:spacing w:after="0"/>
              <w:rPr>
                <w:sz w:val="20"/>
                <w:szCs w:val="20"/>
                <w:color w:val="auto"/>
              </w:rPr>
            </w:pPr>
            <w:r>
              <w:rPr>
                <w:rFonts w:ascii="Arial" w:cs="Arial" w:eastAsia="Arial" w:hAnsi="Arial"/>
                <w:sz w:val="12"/>
                <w:szCs w:val="12"/>
                <w:color w:val="auto"/>
              </w:rPr>
              <w:t>Affinion Group Holdings, Inc., Series C and Series D</w:t>
            </w:r>
          </w:p>
        </w:tc>
        <w:tc>
          <w:tcPr>
            <w:tcW w:w="980" w:type="dxa"/>
            <w:vAlign w:val="bottom"/>
          </w:tcPr>
          <w:p>
            <w:pPr>
              <w:ind w:left="320"/>
              <w:spacing w:after="0"/>
              <w:rPr>
                <w:sz w:val="20"/>
                <w:szCs w:val="20"/>
                <w:color w:val="auto"/>
              </w:rPr>
            </w:pPr>
            <w:r>
              <w:rPr>
                <w:rFonts w:ascii="Arial" w:cs="Arial" w:eastAsia="Arial" w:hAnsi="Arial"/>
                <w:sz w:val="12"/>
                <w:szCs w:val="12"/>
                <w:color w:val="auto"/>
              </w:rPr>
              <w:t>—</w:t>
            </w:r>
          </w:p>
        </w:tc>
        <w:tc>
          <w:tcPr>
            <w:tcW w:w="2640" w:type="dxa"/>
            <w:vAlign w:val="bottom"/>
            <w:gridSpan w:val="2"/>
          </w:tcPr>
          <w:p>
            <w:pPr>
              <w:jc w:val="center"/>
              <w:ind w:right="280"/>
              <w:spacing w:after="0"/>
              <w:rPr>
                <w:sz w:val="20"/>
                <w:szCs w:val="20"/>
                <w:color w:val="auto"/>
              </w:rPr>
            </w:pPr>
            <w:r>
              <w:rPr>
                <w:rFonts w:ascii="Arial" w:cs="Arial" w:eastAsia="Arial" w:hAnsi="Arial"/>
                <w:sz w:val="12"/>
                <w:szCs w:val="12"/>
                <w:color w:val="auto"/>
                <w:w w:val="86"/>
              </w:rPr>
              <w:t>Consumer Products</w:t>
            </w:r>
          </w:p>
        </w:tc>
        <w:tc>
          <w:tcPr>
            <w:tcW w:w="960" w:type="dxa"/>
            <w:vAlign w:val="bottom"/>
            <w:gridSpan w:val="2"/>
          </w:tcPr>
          <w:p>
            <w:pPr>
              <w:jc w:val="right"/>
              <w:ind w:right="300"/>
              <w:spacing w:after="0"/>
              <w:rPr>
                <w:sz w:val="20"/>
                <w:szCs w:val="20"/>
                <w:color w:val="auto"/>
              </w:rPr>
            </w:pPr>
            <w:r>
              <w:rPr>
                <w:rFonts w:ascii="Arial" w:cs="Arial" w:eastAsia="Arial" w:hAnsi="Arial"/>
                <w:sz w:val="12"/>
                <w:szCs w:val="12"/>
                <w:color w:val="auto"/>
              </w:rPr>
              <w:t>—</w:t>
            </w:r>
          </w:p>
        </w:tc>
        <w:tc>
          <w:tcPr>
            <w:tcW w:w="900" w:type="dxa"/>
            <w:vAlign w:val="bottom"/>
            <w:gridSpan w:val="2"/>
          </w:tcPr>
          <w:p>
            <w:pPr>
              <w:jc w:val="right"/>
              <w:ind w:right="240"/>
              <w:spacing w:after="0"/>
              <w:rPr>
                <w:sz w:val="20"/>
                <w:szCs w:val="20"/>
                <w:color w:val="auto"/>
              </w:rPr>
            </w:pPr>
            <w:r>
              <w:rPr>
                <w:rFonts w:ascii="Arial" w:cs="Arial" w:eastAsia="Arial" w:hAnsi="Arial"/>
                <w:sz w:val="12"/>
                <w:szCs w:val="12"/>
                <w:color w:val="auto"/>
              </w:rPr>
              <w:t>—</w:t>
            </w:r>
          </w:p>
        </w:tc>
        <w:tc>
          <w:tcPr>
            <w:tcW w:w="680" w:type="dxa"/>
            <w:vAlign w:val="bottom"/>
          </w:tcPr>
          <w:p>
            <w:pPr>
              <w:jc w:val="right"/>
              <w:spacing w:after="0"/>
              <w:rPr>
                <w:sz w:val="20"/>
                <w:szCs w:val="20"/>
                <w:color w:val="auto"/>
              </w:rPr>
            </w:pPr>
            <w:r>
              <w:rPr>
                <w:rFonts w:ascii="Arial" w:cs="Arial" w:eastAsia="Arial" w:hAnsi="Arial"/>
                <w:sz w:val="12"/>
                <w:szCs w:val="12"/>
                <w:color w:val="auto"/>
              </w:rPr>
              <w:t>37,181</w:t>
            </w:r>
          </w:p>
        </w:tc>
        <w:tc>
          <w:tcPr>
            <w:tcW w:w="2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20" w:type="dxa"/>
            <w:vAlign w:val="bottom"/>
          </w:tcPr>
          <w:p>
            <w:pPr>
              <w:jc w:val="right"/>
              <w:spacing w:after="0"/>
              <w:rPr>
                <w:sz w:val="20"/>
                <w:szCs w:val="20"/>
                <w:color w:val="auto"/>
              </w:rPr>
            </w:pPr>
            <w:r>
              <w:rPr>
                <w:rFonts w:ascii="Arial" w:cs="Arial" w:eastAsia="Arial" w:hAnsi="Arial"/>
                <w:sz w:val="12"/>
                <w:szCs w:val="12"/>
                <w:color w:val="auto"/>
                <w:w w:val="99"/>
              </w:rPr>
              <w:t>10,265,972</w:t>
            </w:r>
          </w:p>
        </w:tc>
        <w:tc>
          <w:tcPr>
            <w:tcW w:w="2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40" w:type="dxa"/>
            <w:vAlign w:val="bottom"/>
          </w:tcPr>
          <w:p>
            <w:pPr>
              <w:jc w:val="right"/>
              <w:spacing w:after="0"/>
              <w:rPr>
                <w:sz w:val="20"/>
                <w:szCs w:val="20"/>
                <w:color w:val="auto"/>
              </w:rPr>
            </w:pPr>
            <w:r>
              <w:rPr>
                <w:rFonts w:ascii="Arial" w:cs="Arial" w:eastAsia="Arial" w:hAnsi="Arial"/>
                <w:sz w:val="12"/>
                <w:szCs w:val="12"/>
                <w:color w:val="auto"/>
              </w:rPr>
              <w:t>173,844</w:t>
            </w:r>
          </w:p>
        </w:tc>
        <w:tc>
          <w:tcPr>
            <w:tcW w:w="100" w:type="dxa"/>
            <w:vAlign w:val="bottom"/>
          </w:tcPr>
          <w:p>
            <w:pPr>
              <w:spacing w:after="0"/>
              <w:rPr>
                <w:sz w:val="12"/>
                <w:szCs w:val="12"/>
                <w:color w:val="auto"/>
              </w:rPr>
            </w:pPr>
          </w:p>
        </w:tc>
      </w:tr>
      <w:tr>
        <w:trPr>
          <w:trHeight w:val="148"/>
        </w:trPr>
        <w:tc>
          <w:tcPr>
            <w:tcW w:w="3080" w:type="dxa"/>
            <w:vAlign w:val="bottom"/>
            <w:shd w:val="clear" w:color="auto" w:fill="CCECFF"/>
          </w:tcPr>
          <w:p>
            <w:pPr>
              <w:spacing w:after="0"/>
              <w:rPr>
                <w:sz w:val="20"/>
                <w:szCs w:val="20"/>
                <w:color w:val="auto"/>
              </w:rPr>
            </w:pPr>
            <w:r>
              <w:rPr>
                <w:rFonts w:ascii="Arial" w:cs="Arial" w:eastAsia="Arial" w:hAnsi="Arial"/>
                <w:sz w:val="12"/>
                <w:szCs w:val="12"/>
                <w:color w:val="auto"/>
              </w:rPr>
              <w:t>Corfin InvestCo, L.P.</w:t>
            </w:r>
          </w:p>
        </w:tc>
        <w:tc>
          <w:tcPr>
            <w:tcW w:w="980" w:type="dxa"/>
            <w:vAlign w:val="bottom"/>
            <w:shd w:val="clear" w:color="auto" w:fill="CCECFF"/>
          </w:tcPr>
          <w:p>
            <w:pPr>
              <w:ind w:left="320"/>
              <w:spacing w:after="0"/>
              <w:rPr>
                <w:sz w:val="20"/>
                <w:szCs w:val="20"/>
                <w:color w:val="auto"/>
              </w:rPr>
            </w:pPr>
            <w:r>
              <w:rPr>
                <w:rFonts w:ascii="Arial" w:cs="Arial" w:eastAsia="Arial" w:hAnsi="Arial"/>
                <w:sz w:val="12"/>
                <w:szCs w:val="12"/>
                <w:color w:val="auto"/>
              </w:rPr>
              <w:t>—</w:t>
            </w:r>
          </w:p>
        </w:tc>
        <w:tc>
          <w:tcPr>
            <w:tcW w:w="2640" w:type="dxa"/>
            <w:vAlign w:val="bottom"/>
            <w:gridSpan w:val="2"/>
            <w:shd w:val="clear" w:color="auto" w:fill="CCECFF"/>
          </w:tcPr>
          <w:p>
            <w:pPr>
              <w:jc w:val="center"/>
              <w:ind w:right="300"/>
              <w:spacing w:after="0"/>
              <w:rPr>
                <w:sz w:val="20"/>
                <w:szCs w:val="20"/>
                <w:color w:val="auto"/>
              </w:rPr>
            </w:pPr>
            <w:r>
              <w:rPr>
                <w:rFonts w:ascii="Arial" w:cs="Arial" w:eastAsia="Arial" w:hAnsi="Arial"/>
                <w:sz w:val="12"/>
                <w:szCs w:val="12"/>
                <w:color w:val="auto"/>
                <w:w w:val="85"/>
              </w:rPr>
              <w:t>Aerospace and Defense</w:t>
            </w:r>
          </w:p>
        </w:tc>
        <w:tc>
          <w:tcPr>
            <w:tcW w:w="960" w:type="dxa"/>
            <w:vAlign w:val="bottom"/>
            <w:gridSpan w:val="2"/>
            <w:shd w:val="clear" w:color="auto" w:fill="CCECFF"/>
          </w:tcPr>
          <w:p>
            <w:pPr>
              <w:jc w:val="right"/>
              <w:ind w:right="300"/>
              <w:spacing w:after="0"/>
              <w:rPr>
                <w:sz w:val="20"/>
                <w:szCs w:val="20"/>
                <w:color w:val="auto"/>
              </w:rPr>
            </w:pPr>
            <w:r>
              <w:rPr>
                <w:rFonts w:ascii="Arial" w:cs="Arial" w:eastAsia="Arial" w:hAnsi="Arial"/>
                <w:sz w:val="12"/>
                <w:szCs w:val="12"/>
                <w:color w:val="auto"/>
              </w:rPr>
              <w:t>—</w:t>
            </w:r>
          </w:p>
        </w:tc>
        <w:tc>
          <w:tcPr>
            <w:tcW w:w="900" w:type="dxa"/>
            <w:vAlign w:val="bottom"/>
            <w:gridSpan w:val="2"/>
            <w:shd w:val="clear" w:color="auto" w:fill="CCECFF"/>
          </w:tcPr>
          <w:p>
            <w:pPr>
              <w:jc w:val="right"/>
              <w:ind w:right="240"/>
              <w:spacing w:after="0"/>
              <w:rPr>
                <w:sz w:val="20"/>
                <w:szCs w:val="20"/>
                <w:color w:val="auto"/>
              </w:rPr>
            </w:pPr>
            <w:r>
              <w:rPr>
                <w:rFonts w:ascii="Arial" w:cs="Arial" w:eastAsia="Arial" w:hAnsi="Arial"/>
                <w:sz w:val="12"/>
                <w:szCs w:val="12"/>
                <w:color w:val="auto"/>
              </w:rPr>
              <w:t>—</w:t>
            </w:r>
          </w:p>
        </w:tc>
        <w:tc>
          <w:tcPr>
            <w:tcW w:w="680" w:type="dxa"/>
            <w:vAlign w:val="bottom"/>
            <w:shd w:val="clear" w:color="auto" w:fill="CCECFF"/>
          </w:tcPr>
          <w:p>
            <w:pPr>
              <w:jc w:val="right"/>
              <w:spacing w:after="0"/>
              <w:rPr>
                <w:sz w:val="20"/>
                <w:szCs w:val="20"/>
                <w:color w:val="auto"/>
              </w:rPr>
            </w:pPr>
            <w:r>
              <w:rPr>
                <w:rFonts w:ascii="Arial" w:cs="Arial" w:eastAsia="Arial" w:hAnsi="Arial"/>
                <w:sz w:val="12"/>
                <w:szCs w:val="12"/>
                <w:color w:val="auto"/>
              </w:rPr>
              <w:t>11,250</w:t>
            </w:r>
          </w:p>
        </w:tc>
        <w:tc>
          <w:tcPr>
            <w:tcW w:w="240" w:type="dxa"/>
            <w:vAlign w:val="bottom"/>
            <w:shd w:val="clear" w:color="auto" w:fill="CCECFF"/>
          </w:tcPr>
          <w:p>
            <w:pPr>
              <w:spacing w:after="0"/>
              <w:rPr>
                <w:sz w:val="12"/>
                <w:szCs w:val="12"/>
                <w:color w:val="auto"/>
              </w:rPr>
            </w:pPr>
          </w:p>
        </w:tc>
        <w:tc>
          <w:tcPr>
            <w:tcW w:w="80" w:type="dxa"/>
            <w:vAlign w:val="bottom"/>
            <w:shd w:val="clear" w:color="auto" w:fill="CCECFF"/>
          </w:tcPr>
          <w:p>
            <w:pPr>
              <w:spacing w:after="0"/>
              <w:rPr>
                <w:sz w:val="12"/>
                <w:szCs w:val="12"/>
                <w:color w:val="auto"/>
              </w:rPr>
            </w:pPr>
          </w:p>
        </w:tc>
        <w:tc>
          <w:tcPr>
            <w:tcW w:w="620" w:type="dxa"/>
            <w:vAlign w:val="bottom"/>
            <w:shd w:val="clear" w:color="auto" w:fill="CCECFF"/>
          </w:tcPr>
          <w:p>
            <w:pPr>
              <w:jc w:val="right"/>
              <w:spacing w:after="0"/>
              <w:rPr>
                <w:sz w:val="20"/>
                <w:szCs w:val="20"/>
                <w:color w:val="auto"/>
              </w:rPr>
            </w:pPr>
            <w:r>
              <w:rPr>
                <w:rFonts w:ascii="Arial" w:cs="Arial" w:eastAsia="Arial" w:hAnsi="Arial"/>
                <w:sz w:val="12"/>
                <w:szCs w:val="12"/>
                <w:color w:val="auto"/>
              </w:rPr>
              <w:t>1,125,000</w:t>
            </w:r>
          </w:p>
        </w:tc>
        <w:tc>
          <w:tcPr>
            <w:tcW w:w="240" w:type="dxa"/>
            <w:vAlign w:val="bottom"/>
            <w:shd w:val="clear" w:color="auto" w:fill="CCECFF"/>
          </w:tcPr>
          <w:p>
            <w:pPr>
              <w:spacing w:after="0"/>
              <w:rPr>
                <w:sz w:val="12"/>
                <w:szCs w:val="12"/>
                <w:color w:val="auto"/>
              </w:rPr>
            </w:pPr>
          </w:p>
        </w:tc>
        <w:tc>
          <w:tcPr>
            <w:tcW w:w="80" w:type="dxa"/>
            <w:vAlign w:val="bottom"/>
            <w:shd w:val="clear" w:color="auto" w:fill="CCECFF"/>
          </w:tcPr>
          <w:p>
            <w:pPr>
              <w:spacing w:after="0"/>
              <w:rPr>
                <w:sz w:val="12"/>
                <w:szCs w:val="12"/>
                <w:color w:val="auto"/>
              </w:rPr>
            </w:pPr>
          </w:p>
        </w:tc>
        <w:tc>
          <w:tcPr>
            <w:tcW w:w="640" w:type="dxa"/>
            <w:vAlign w:val="bottom"/>
            <w:shd w:val="clear" w:color="auto" w:fill="CCECFF"/>
          </w:tcPr>
          <w:p>
            <w:pPr>
              <w:jc w:val="right"/>
              <w:spacing w:after="0"/>
              <w:rPr>
                <w:sz w:val="20"/>
                <w:szCs w:val="20"/>
                <w:color w:val="auto"/>
              </w:rPr>
            </w:pPr>
            <w:r>
              <w:rPr>
                <w:rFonts w:ascii="Arial" w:cs="Arial" w:eastAsia="Arial" w:hAnsi="Arial"/>
                <w:sz w:val="12"/>
                <w:szCs w:val="12"/>
                <w:color w:val="auto"/>
              </w:rPr>
              <w:t>2,330,813</w:t>
            </w:r>
          </w:p>
        </w:tc>
        <w:tc>
          <w:tcPr>
            <w:tcW w:w="100" w:type="dxa"/>
            <w:vAlign w:val="bottom"/>
            <w:shd w:val="clear" w:color="auto" w:fill="CCECFF"/>
          </w:tcPr>
          <w:p>
            <w:pPr>
              <w:spacing w:after="0"/>
              <w:rPr>
                <w:sz w:val="12"/>
                <w:szCs w:val="12"/>
                <w:color w:val="auto"/>
              </w:rPr>
            </w:pPr>
          </w:p>
        </w:tc>
      </w:tr>
      <w:tr>
        <w:trPr>
          <w:trHeight w:val="149"/>
        </w:trPr>
        <w:tc>
          <w:tcPr>
            <w:tcW w:w="3080" w:type="dxa"/>
            <w:vAlign w:val="bottom"/>
          </w:tcPr>
          <w:p>
            <w:pPr>
              <w:spacing w:after="0"/>
              <w:rPr>
                <w:sz w:val="20"/>
                <w:szCs w:val="20"/>
                <w:color w:val="auto"/>
              </w:rPr>
            </w:pPr>
            <w:r>
              <w:rPr>
                <w:rFonts w:ascii="Arial" w:cs="Arial" w:eastAsia="Arial" w:hAnsi="Arial"/>
                <w:sz w:val="12"/>
                <w:szCs w:val="12"/>
                <w:color w:val="auto"/>
              </w:rPr>
              <w:t xml:space="preserve">Corfin InvestCo, L.P. </w:t>
            </w:r>
            <w:r>
              <w:rPr>
                <w:rFonts w:ascii="Arial" w:cs="Arial" w:eastAsia="Arial" w:hAnsi="Arial"/>
                <w:sz w:val="9"/>
                <w:szCs w:val="9"/>
                <w:color w:val="auto"/>
              </w:rPr>
              <w:t>(8)</w:t>
            </w:r>
          </w:p>
        </w:tc>
        <w:tc>
          <w:tcPr>
            <w:tcW w:w="980" w:type="dxa"/>
            <w:vAlign w:val="bottom"/>
          </w:tcPr>
          <w:p>
            <w:pPr>
              <w:ind w:left="320"/>
              <w:spacing w:after="0"/>
              <w:rPr>
                <w:sz w:val="20"/>
                <w:szCs w:val="20"/>
                <w:color w:val="auto"/>
              </w:rPr>
            </w:pPr>
            <w:r>
              <w:rPr>
                <w:rFonts w:ascii="Arial" w:cs="Arial" w:eastAsia="Arial" w:hAnsi="Arial"/>
                <w:sz w:val="12"/>
                <w:szCs w:val="12"/>
                <w:color w:val="auto"/>
              </w:rPr>
              <w:t>—</w:t>
            </w:r>
          </w:p>
        </w:tc>
        <w:tc>
          <w:tcPr>
            <w:tcW w:w="2640" w:type="dxa"/>
            <w:vAlign w:val="bottom"/>
            <w:gridSpan w:val="2"/>
          </w:tcPr>
          <w:p>
            <w:pPr>
              <w:jc w:val="center"/>
              <w:ind w:right="300"/>
              <w:spacing w:after="0"/>
              <w:rPr>
                <w:sz w:val="20"/>
                <w:szCs w:val="20"/>
                <w:color w:val="auto"/>
              </w:rPr>
            </w:pPr>
            <w:r>
              <w:rPr>
                <w:rFonts w:ascii="Arial" w:cs="Arial" w:eastAsia="Arial" w:hAnsi="Arial"/>
                <w:sz w:val="12"/>
                <w:szCs w:val="12"/>
                <w:color w:val="auto"/>
                <w:w w:val="85"/>
              </w:rPr>
              <w:t>Aerospace and Defense</w:t>
            </w:r>
          </w:p>
        </w:tc>
        <w:tc>
          <w:tcPr>
            <w:tcW w:w="960" w:type="dxa"/>
            <w:vAlign w:val="bottom"/>
            <w:gridSpan w:val="2"/>
          </w:tcPr>
          <w:p>
            <w:pPr>
              <w:jc w:val="right"/>
              <w:ind w:right="300"/>
              <w:spacing w:after="0"/>
              <w:rPr>
                <w:sz w:val="20"/>
                <w:szCs w:val="20"/>
                <w:color w:val="auto"/>
              </w:rPr>
            </w:pPr>
            <w:r>
              <w:rPr>
                <w:rFonts w:ascii="Arial" w:cs="Arial" w:eastAsia="Arial" w:hAnsi="Arial"/>
                <w:sz w:val="12"/>
                <w:szCs w:val="12"/>
                <w:color w:val="auto"/>
              </w:rPr>
              <w:t>—</w:t>
            </w:r>
          </w:p>
        </w:tc>
        <w:tc>
          <w:tcPr>
            <w:tcW w:w="900" w:type="dxa"/>
            <w:vAlign w:val="bottom"/>
            <w:gridSpan w:val="2"/>
          </w:tcPr>
          <w:p>
            <w:pPr>
              <w:jc w:val="right"/>
              <w:ind w:right="240"/>
              <w:spacing w:after="0"/>
              <w:rPr>
                <w:sz w:val="20"/>
                <w:szCs w:val="20"/>
                <w:color w:val="auto"/>
              </w:rPr>
            </w:pPr>
            <w:r>
              <w:rPr>
                <w:rFonts w:ascii="Arial" w:cs="Arial" w:eastAsia="Arial" w:hAnsi="Arial"/>
                <w:sz w:val="12"/>
                <w:szCs w:val="12"/>
                <w:color w:val="auto"/>
              </w:rPr>
              <w:t>—</w:t>
            </w:r>
          </w:p>
        </w:tc>
        <w:tc>
          <w:tcPr>
            <w:tcW w:w="680" w:type="dxa"/>
            <w:vAlign w:val="bottom"/>
          </w:tcPr>
          <w:p>
            <w:pPr>
              <w:jc w:val="right"/>
              <w:spacing w:after="0"/>
              <w:rPr>
                <w:sz w:val="20"/>
                <w:szCs w:val="20"/>
                <w:color w:val="auto"/>
              </w:rPr>
            </w:pPr>
            <w:r>
              <w:rPr>
                <w:rFonts w:ascii="Arial" w:cs="Arial" w:eastAsia="Arial" w:hAnsi="Arial"/>
                <w:sz w:val="12"/>
                <w:szCs w:val="12"/>
                <w:color w:val="auto"/>
              </w:rPr>
              <w:t>11,250</w:t>
            </w:r>
          </w:p>
        </w:tc>
        <w:tc>
          <w:tcPr>
            <w:tcW w:w="2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20" w:type="dxa"/>
            <w:vAlign w:val="bottom"/>
          </w:tcPr>
          <w:p>
            <w:pPr>
              <w:jc w:val="right"/>
              <w:spacing w:after="0"/>
              <w:rPr>
                <w:sz w:val="20"/>
                <w:szCs w:val="20"/>
                <w:color w:val="auto"/>
              </w:rPr>
            </w:pPr>
            <w:r>
              <w:rPr>
                <w:rFonts w:ascii="Arial" w:cs="Arial" w:eastAsia="Arial" w:hAnsi="Arial"/>
                <w:sz w:val="12"/>
                <w:szCs w:val="12"/>
                <w:color w:val="auto"/>
              </w:rPr>
              <w:t>—</w:t>
            </w:r>
          </w:p>
        </w:tc>
        <w:tc>
          <w:tcPr>
            <w:tcW w:w="2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40" w:type="dxa"/>
            <w:vAlign w:val="bottom"/>
            <w:gridSpan w:val="2"/>
          </w:tcPr>
          <w:p>
            <w:pPr>
              <w:jc w:val="right"/>
              <w:ind w:right="120"/>
              <w:spacing w:after="0"/>
              <w:rPr>
                <w:sz w:val="20"/>
                <w:szCs w:val="20"/>
                <w:color w:val="auto"/>
              </w:rPr>
            </w:pPr>
            <w:r>
              <w:rPr>
                <w:rFonts w:ascii="Arial" w:cs="Arial" w:eastAsia="Arial" w:hAnsi="Arial"/>
                <w:sz w:val="12"/>
                <w:szCs w:val="12"/>
                <w:color w:val="auto"/>
              </w:rPr>
              <w:t>—</w:t>
            </w:r>
          </w:p>
        </w:tc>
      </w:tr>
      <w:tr>
        <w:trPr>
          <w:trHeight w:val="148"/>
        </w:trPr>
        <w:tc>
          <w:tcPr>
            <w:tcW w:w="3080" w:type="dxa"/>
            <w:vAlign w:val="bottom"/>
            <w:shd w:val="clear" w:color="auto" w:fill="CCECFF"/>
          </w:tcPr>
          <w:p>
            <w:pPr>
              <w:spacing w:after="0"/>
              <w:rPr>
                <w:sz w:val="20"/>
                <w:szCs w:val="20"/>
                <w:color w:val="auto"/>
              </w:rPr>
            </w:pPr>
            <w:r>
              <w:rPr>
                <w:rFonts w:ascii="Arial" w:cs="Arial" w:eastAsia="Arial" w:hAnsi="Arial"/>
                <w:sz w:val="12"/>
                <w:szCs w:val="12"/>
                <w:color w:val="auto"/>
              </w:rPr>
              <w:t>DirectBuy Holdings, Inc.</w:t>
            </w:r>
          </w:p>
        </w:tc>
        <w:tc>
          <w:tcPr>
            <w:tcW w:w="980" w:type="dxa"/>
            <w:vAlign w:val="bottom"/>
            <w:shd w:val="clear" w:color="auto" w:fill="CCECFF"/>
          </w:tcPr>
          <w:p>
            <w:pPr>
              <w:ind w:left="320"/>
              <w:spacing w:after="0"/>
              <w:rPr>
                <w:sz w:val="20"/>
                <w:szCs w:val="20"/>
                <w:color w:val="auto"/>
              </w:rPr>
            </w:pPr>
            <w:r>
              <w:rPr>
                <w:rFonts w:ascii="Arial" w:cs="Arial" w:eastAsia="Arial" w:hAnsi="Arial"/>
                <w:sz w:val="12"/>
                <w:szCs w:val="12"/>
                <w:color w:val="auto"/>
              </w:rPr>
              <w:t>—</w:t>
            </w:r>
          </w:p>
        </w:tc>
        <w:tc>
          <w:tcPr>
            <w:tcW w:w="2640" w:type="dxa"/>
            <w:vAlign w:val="bottom"/>
            <w:gridSpan w:val="2"/>
            <w:shd w:val="clear" w:color="auto" w:fill="CCECFF"/>
          </w:tcPr>
          <w:p>
            <w:pPr>
              <w:jc w:val="center"/>
              <w:ind w:right="280"/>
              <w:spacing w:after="0"/>
              <w:rPr>
                <w:sz w:val="20"/>
                <w:szCs w:val="20"/>
                <w:color w:val="auto"/>
              </w:rPr>
            </w:pPr>
            <w:r>
              <w:rPr>
                <w:rFonts w:ascii="Arial" w:cs="Arial" w:eastAsia="Arial" w:hAnsi="Arial"/>
                <w:sz w:val="12"/>
                <w:szCs w:val="12"/>
                <w:color w:val="auto"/>
                <w:w w:val="86"/>
              </w:rPr>
              <w:t>Consumer Products</w:t>
            </w:r>
          </w:p>
        </w:tc>
        <w:tc>
          <w:tcPr>
            <w:tcW w:w="960" w:type="dxa"/>
            <w:vAlign w:val="bottom"/>
            <w:gridSpan w:val="2"/>
            <w:shd w:val="clear" w:color="auto" w:fill="CCECFF"/>
          </w:tcPr>
          <w:p>
            <w:pPr>
              <w:jc w:val="right"/>
              <w:ind w:right="300"/>
              <w:spacing w:after="0"/>
              <w:rPr>
                <w:sz w:val="20"/>
                <w:szCs w:val="20"/>
                <w:color w:val="auto"/>
              </w:rPr>
            </w:pPr>
            <w:r>
              <w:rPr>
                <w:rFonts w:ascii="Arial" w:cs="Arial" w:eastAsia="Arial" w:hAnsi="Arial"/>
                <w:sz w:val="12"/>
                <w:szCs w:val="12"/>
                <w:color w:val="auto"/>
              </w:rPr>
              <w:t>—</w:t>
            </w:r>
          </w:p>
        </w:tc>
        <w:tc>
          <w:tcPr>
            <w:tcW w:w="900" w:type="dxa"/>
            <w:vAlign w:val="bottom"/>
            <w:gridSpan w:val="2"/>
            <w:shd w:val="clear" w:color="auto" w:fill="CCECFF"/>
          </w:tcPr>
          <w:p>
            <w:pPr>
              <w:jc w:val="right"/>
              <w:ind w:right="240"/>
              <w:spacing w:after="0"/>
              <w:rPr>
                <w:sz w:val="20"/>
                <w:szCs w:val="20"/>
                <w:color w:val="auto"/>
              </w:rPr>
            </w:pPr>
            <w:r>
              <w:rPr>
                <w:rFonts w:ascii="Arial" w:cs="Arial" w:eastAsia="Arial" w:hAnsi="Arial"/>
                <w:sz w:val="12"/>
                <w:szCs w:val="12"/>
                <w:color w:val="auto"/>
              </w:rPr>
              <w:t>—</w:t>
            </w:r>
          </w:p>
        </w:tc>
        <w:tc>
          <w:tcPr>
            <w:tcW w:w="680" w:type="dxa"/>
            <w:vAlign w:val="bottom"/>
            <w:shd w:val="clear" w:color="auto" w:fill="CCECFF"/>
          </w:tcPr>
          <w:p>
            <w:pPr>
              <w:jc w:val="right"/>
              <w:spacing w:after="0"/>
              <w:rPr>
                <w:sz w:val="20"/>
                <w:szCs w:val="20"/>
                <w:color w:val="auto"/>
              </w:rPr>
            </w:pPr>
            <w:r>
              <w:rPr>
                <w:rFonts w:ascii="Arial" w:cs="Arial" w:eastAsia="Arial" w:hAnsi="Arial"/>
                <w:sz w:val="12"/>
                <w:szCs w:val="12"/>
                <w:color w:val="auto"/>
              </w:rPr>
              <w:t>104,719</w:t>
            </w:r>
          </w:p>
        </w:tc>
        <w:tc>
          <w:tcPr>
            <w:tcW w:w="240" w:type="dxa"/>
            <w:vAlign w:val="bottom"/>
            <w:shd w:val="clear" w:color="auto" w:fill="CCECFF"/>
          </w:tcPr>
          <w:p>
            <w:pPr>
              <w:spacing w:after="0"/>
              <w:rPr>
                <w:sz w:val="12"/>
                <w:szCs w:val="12"/>
                <w:color w:val="auto"/>
              </w:rPr>
            </w:pPr>
          </w:p>
        </w:tc>
        <w:tc>
          <w:tcPr>
            <w:tcW w:w="80" w:type="dxa"/>
            <w:vAlign w:val="bottom"/>
            <w:shd w:val="clear" w:color="auto" w:fill="CCECFF"/>
          </w:tcPr>
          <w:p>
            <w:pPr>
              <w:spacing w:after="0"/>
              <w:rPr>
                <w:sz w:val="12"/>
                <w:szCs w:val="12"/>
                <w:color w:val="auto"/>
              </w:rPr>
            </w:pPr>
          </w:p>
        </w:tc>
        <w:tc>
          <w:tcPr>
            <w:tcW w:w="620" w:type="dxa"/>
            <w:vAlign w:val="bottom"/>
            <w:shd w:val="clear" w:color="auto" w:fill="CCECFF"/>
          </w:tcPr>
          <w:p>
            <w:pPr>
              <w:jc w:val="right"/>
              <w:spacing w:after="0"/>
              <w:rPr>
                <w:sz w:val="20"/>
                <w:szCs w:val="20"/>
                <w:color w:val="auto"/>
              </w:rPr>
            </w:pPr>
            <w:r>
              <w:rPr>
                <w:rFonts w:ascii="Arial" w:cs="Arial" w:eastAsia="Arial" w:hAnsi="Arial"/>
                <w:sz w:val="12"/>
                <w:szCs w:val="12"/>
                <w:color w:val="auto"/>
                <w:w w:val="99"/>
              </w:rPr>
              <w:t>21,492,822</w:t>
            </w:r>
          </w:p>
        </w:tc>
        <w:tc>
          <w:tcPr>
            <w:tcW w:w="240" w:type="dxa"/>
            <w:vAlign w:val="bottom"/>
            <w:shd w:val="clear" w:color="auto" w:fill="CCECFF"/>
          </w:tcPr>
          <w:p>
            <w:pPr>
              <w:spacing w:after="0"/>
              <w:rPr>
                <w:sz w:val="12"/>
                <w:szCs w:val="12"/>
                <w:color w:val="auto"/>
              </w:rPr>
            </w:pPr>
          </w:p>
        </w:tc>
        <w:tc>
          <w:tcPr>
            <w:tcW w:w="80" w:type="dxa"/>
            <w:vAlign w:val="bottom"/>
            <w:shd w:val="clear" w:color="auto" w:fill="CCECFF"/>
          </w:tcPr>
          <w:p>
            <w:pPr>
              <w:spacing w:after="0"/>
              <w:rPr>
                <w:sz w:val="12"/>
                <w:szCs w:val="12"/>
                <w:color w:val="auto"/>
              </w:rPr>
            </w:pPr>
          </w:p>
        </w:tc>
        <w:tc>
          <w:tcPr>
            <w:tcW w:w="740" w:type="dxa"/>
            <w:vAlign w:val="bottom"/>
            <w:gridSpan w:val="2"/>
            <w:shd w:val="clear" w:color="auto" w:fill="CCECFF"/>
          </w:tcPr>
          <w:p>
            <w:pPr>
              <w:jc w:val="right"/>
              <w:ind w:right="120"/>
              <w:spacing w:after="0"/>
              <w:rPr>
                <w:sz w:val="20"/>
                <w:szCs w:val="20"/>
                <w:color w:val="auto"/>
              </w:rPr>
            </w:pPr>
            <w:r>
              <w:rPr>
                <w:rFonts w:ascii="Arial" w:cs="Arial" w:eastAsia="Arial" w:hAnsi="Arial"/>
                <w:sz w:val="12"/>
                <w:szCs w:val="12"/>
                <w:color w:val="auto"/>
              </w:rPr>
              <w:t>—</w:t>
            </w:r>
          </w:p>
        </w:tc>
      </w:tr>
      <w:tr>
        <w:trPr>
          <w:trHeight w:val="148"/>
        </w:trPr>
        <w:tc>
          <w:tcPr>
            <w:tcW w:w="3080" w:type="dxa"/>
            <w:vAlign w:val="bottom"/>
          </w:tcPr>
          <w:p>
            <w:pPr>
              <w:spacing w:after="0"/>
              <w:rPr>
                <w:sz w:val="20"/>
                <w:szCs w:val="20"/>
                <w:color w:val="auto"/>
              </w:rPr>
            </w:pPr>
            <w:r>
              <w:rPr>
                <w:rFonts w:ascii="Arial" w:cs="Arial" w:eastAsia="Arial" w:hAnsi="Arial"/>
                <w:sz w:val="12"/>
                <w:szCs w:val="12"/>
                <w:color w:val="auto"/>
              </w:rPr>
              <w:t>DirectBuy Holdings, Inc. (Warrants)</w:t>
            </w:r>
          </w:p>
        </w:tc>
        <w:tc>
          <w:tcPr>
            <w:tcW w:w="980" w:type="dxa"/>
            <w:vAlign w:val="bottom"/>
          </w:tcPr>
          <w:p>
            <w:pPr>
              <w:ind w:left="60"/>
              <w:spacing w:after="0"/>
              <w:rPr>
                <w:sz w:val="20"/>
                <w:szCs w:val="20"/>
                <w:color w:val="auto"/>
              </w:rPr>
            </w:pPr>
            <w:r>
              <w:rPr>
                <w:rFonts w:ascii="Arial" w:cs="Arial" w:eastAsia="Arial" w:hAnsi="Arial"/>
                <w:sz w:val="12"/>
                <w:szCs w:val="12"/>
                <w:color w:val="auto"/>
              </w:rPr>
              <w:t>11/05/2022</w:t>
            </w:r>
          </w:p>
        </w:tc>
        <w:tc>
          <w:tcPr>
            <w:tcW w:w="2640" w:type="dxa"/>
            <w:vAlign w:val="bottom"/>
            <w:gridSpan w:val="2"/>
          </w:tcPr>
          <w:p>
            <w:pPr>
              <w:jc w:val="center"/>
              <w:ind w:right="280"/>
              <w:spacing w:after="0"/>
              <w:rPr>
                <w:sz w:val="20"/>
                <w:szCs w:val="20"/>
                <w:color w:val="auto"/>
              </w:rPr>
            </w:pPr>
            <w:r>
              <w:rPr>
                <w:rFonts w:ascii="Arial" w:cs="Arial" w:eastAsia="Arial" w:hAnsi="Arial"/>
                <w:sz w:val="12"/>
                <w:szCs w:val="12"/>
                <w:color w:val="auto"/>
                <w:w w:val="86"/>
              </w:rPr>
              <w:t>Consumer Products</w:t>
            </w:r>
          </w:p>
        </w:tc>
        <w:tc>
          <w:tcPr>
            <w:tcW w:w="960" w:type="dxa"/>
            <w:vAlign w:val="bottom"/>
            <w:gridSpan w:val="2"/>
          </w:tcPr>
          <w:p>
            <w:pPr>
              <w:jc w:val="right"/>
              <w:ind w:right="300"/>
              <w:spacing w:after="0"/>
              <w:rPr>
                <w:sz w:val="20"/>
                <w:szCs w:val="20"/>
                <w:color w:val="auto"/>
              </w:rPr>
            </w:pPr>
            <w:r>
              <w:rPr>
                <w:rFonts w:ascii="Arial" w:cs="Arial" w:eastAsia="Arial" w:hAnsi="Arial"/>
                <w:sz w:val="12"/>
                <w:szCs w:val="12"/>
                <w:color w:val="auto"/>
              </w:rPr>
              <w:t>—</w:t>
            </w:r>
          </w:p>
        </w:tc>
        <w:tc>
          <w:tcPr>
            <w:tcW w:w="900" w:type="dxa"/>
            <w:vAlign w:val="bottom"/>
            <w:gridSpan w:val="2"/>
          </w:tcPr>
          <w:p>
            <w:pPr>
              <w:jc w:val="right"/>
              <w:ind w:right="240"/>
              <w:spacing w:after="0"/>
              <w:rPr>
                <w:sz w:val="20"/>
                <w:szCs w:val="20"/>
                <w:color w:val="auto"/>
              </w:rPr>
            </w:pPr>
            <w:r>
              <w:rPr>
                <w:rFonts w:ascii="Arial" w:cs="Arial" w:eastAsia="Arial" w:hAnsi="Arial"/>
                <w:sz w:val="12"/>
                <w:szCs w:val="12"/>
                <w:color w:val="auto"/>
              </w:rPr>
              <w:t>—</w:t>
            </w:r>
          </w:p>
        </w:tc>
        <w:tc>
          <w:tcPr>
            <w:tcW w:w="680" w:type="dxa"/>
            <w:vAlign w:val="bottom"/>
          </w:tcPr>
          <w:p>
            <w:pPr>
              <w:jc w:val="right"/>
              <w:spacing w:after="0"/>
              <w:rPr>
                <w:sz w:val="20"/>
                <w:szCs w:val="20"/>
                <w:color w:val="auto"/>
              </w:rPr>
            </w:pPr>
            <w:r>
              <w:rPr>
                <w:rFonts w:ascii="Arial" w:cs="Arial" w:eastAsia="Arial" w:hAnsi="Arial"/>
                <w:sz w:val="12"/>
                <w:szCs w:val="12"/>
                <w:color w:val="auto"/>
              </w:rPr>
              <w:t>15,486</w:t>
            </w:r>
          </w:p>
        </w:tc>
        <w:tc>
          <w:tcPr>
            <w:tcW w:w="2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20" w:type="dxa"/>
            <w:vAlign w:val="bottom"/>
          </w:tcPr>
          <w:p>
            <w:pPr>
              <w:jc w:val="right"/>
              <w:spacing w:after="0"/>
              <w:rPr>
                <w:sz w:val="20"/>
                <w:szCs w:val="20"/>
                <w:color w:val="auto"/>
              </w:rPr>
            </w:pPr>
            <w:r>
              <w:rPr>
                <w:rFonts w:ascii="Arial" w:cs="Arial" w:eastAsia="Arial" w:hAnsi="Arial"/>
                <w:sz w:val="12"/>
                <w:szCs w:val="12"/>
                <w:color w:val="auto"/>
              </w:rPr>
              <w:t>—</w:t>
            </w:r>
          </w:p>
        </w:tc>
        <w:tc>
          <w:tcPr>
            <w:tcW w:w="2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40" w:type="dxa"/>
            <w:vAlign w:val="bottom"/>
            <w:gridSpan w:val="2"/>
          </w:tcPr>
          <w:p>
            <w:pPr>
              <w:jc w:val="right"/>
              <w:ind w:right="120"/>
              <w:spacing w:after="0"/>
              <w:rPr>
                <w:sz w:val="20"/>
                <w:szCs w:val="20"/>
                <w:color w:val="auto"/>
              </w:rPr>
            </w:pPr>
            <w:r>
              <w:rPr>
                <w:rFonts w:ascii="Arial" w:cs="Arial" w:eastAsia="Arial" w:hAnsi="Arial"/>
                <w:sz w:val="12"/>
                <w:szCs w:val="12"/>
                <w:color w:val="auto"/>
              </w:rPr>
              <w:t>—</w:t>
            </w:r>
          </w:p>
        </w:tc>
      </w:tr>
      <w:tr>
        <w:trPr>
          <w:trHeight w:val="149"/>
        </w:trPr>
        <w:tc>
          <w:tcPr>
            <w:tcW w:w="3080" w:type="dxa"/>
            <w:vAlign w:val="bottom"/>
            <w:shd w:val="clear" w:color="auto" w:fill="CCECFF"/>
          </w:tcPr>
          <w:p>
            <w:pPr>
              <w:spacing w:after="0"/>
              <w:rPr>
                <w:sz w:val="20"/>
                <w:szCs w:val="20"/>
                <w:color w:val="auto"/>
              </w:rPr>
            </w:pPr>
            <w:r>
              <w:rPr>
                <w:rFonts w:ascii="Arial" w:cs="Arial" w:eastAsia="Arial" w:hAnsi="Arial"/>
                <w:sz w:val="12"/>
                <w:szCs w:val="12"/>
                <w:color w:val="auto"/>
              </w:rPr>
              <w:t>EnviroSolutions Holdings, Inc.</w:t>
            </w:r>
          </w:p>
        </w:tc>
        <w:tc>
          <w:tcPr>
            <w:tcW w:w="980" w:type="dxa"/>
            <w:vAlign w:val="bottom"/>
            <w:shd w:val="clear" w:color="auto" w:fill="CCECFF"/>
          </w:tcPr>
          <w:p>
            <w:pPr>
              <w:ind w:left="320"/>
              <w:spacing w:after="0"/>
              <w:rPr>
                <w:sz w:val="20"/>
                <w:szCs w:val="20"/>
                <w:color w:val="auto"/>
              </w:rPr>
            </w:pPr>
            <w:r>
              <w:rPr>
                <w:rFonts w:ascii="Arial" w:cs="Arial" w:eastAsia="Arial" w:hAnsi="Arial"/>
                <w:sz w:val="12"/>
                <w:szCs w:val="12"/>
                <w:color w:val="auto"/>
              </w:rPr>
              <w:t>—</w:t>
            </w:r>
          </w:p>
        </w:tc>
        <w:tc>
          <w:tcPr>
            <w:tcW w:w="2640" w:type="dxa"/>
            <w:vAlign w:val="bottom"/>
            <w:gridSpan w:val="2"/>
            <w:shd w:val="clear" w:color="auto" w:fill="CCECFF"/>
          </w:tcPr>
          <w:p>
            <w:pPr>
              <w:jc w:val="center"/>
              <w:ind w:right="280"/>
              <w:spacing w:after="0"/>
              <w:rPr>
                <w:sz w:val="20"/>
                <w:szCs w:val="20"/>
                <w:color w:val="auto"/>
              </w:rPr>
            </w:pPr>
            <w:r>
              <w:rPr>
                <w:rFonts w:ascii="Arial" w:cs="Arial" w:eastAsia="Arial" w:hAnsi="Arial"/>
                <w:sz w:val="12"/>
                <w:szCs w:val="12"/>
                <w:color w:val="auto"/>
                <w:w w:val="88"/>
              </w:rPr>
              <w:t>Environmental Services</w:t>
            </w:r>
          </w:p>
        </w:tc>
        <w:tc>
          <w:tcPr>
            <w:tcW w:w="960" w:type="dxa"/>
            <w:vAlign w:val="bottom"/>
            <w:gridSpan w:val="2"/>
            <w:shd w:val="clear" w:color="auto" w:fill="CCECFF"/>
          </w:tcPr>
          <w:p>
            <w:pPr>
              <w:jc w:val="right"/>
              <w:ind w:right="300"/>
              <w:spacing w:after="0"/>
              <w:rPr>
                <w:sz w:val="20"/>
                <w:szCs w:val="20"/>
                <w:color w:val="auto"/>
              </w:rPr>
            </w:pPr>
            <w:r>
              <w:rPr>
                <w:rFonts w:ascii="Arial" w:cs="Arial" w:eastAsia="Arial" w:hAnsi="Arial"/>
                <w:sz w:val="12"/>
                <w:szCs w:val="12"/>
                <w:color w:val="auto"/>
              </w:rPr>
              <w:t>—</w:t>
            </w:r>
          </w:p>
        </w:tc>
        <w:tc>
          <w:tcPr>
            <w:tcW w:w="900" w:type="dxa"/>
            <w:vAlign w:val="bottom"/>
            <w:gridSpan w:val="2"/>
            <w:shd w:val="clear" w:color="auto" w:fill="CCECFF"/>
          </w:tcPr>
          <w:p>
            <w:pPr>
              <w:jc w:val="right"/>
              <w:ind w:right="240"/>
              <w:spacing w:after="0"/>
              <w:rPr>
                <w:sz w:val="20"/>
                <w:szCs w:val="20"/>
                <w:color w:val="auto"/>
              </w:rPr>
            </w:pPr>
            <w:r>
              <w:rPr>
                <w:rFonts w:ascii="Arial" w:cs="Arial" w:eastAsia="Arial" w:hAnsi="Arial"/>
                <w:sz w:val="12"/>
                <w:szCs w:val="12"/>
                <w:color w:val="auto"/>
              </w:rPr>
              <w:t>—</w:t>
            </w:r>
          </w:p>
        </w:tc>
        <w:tc>
          <w:tcPr>
            <w:tcW w:w="680" w:type="dxa"/>
            <w:vAlign w:val="bottom"/>
            <w:shd w:val="clear" w:color="auto" w:fill="CCECFF"/>
          </w:tcPr>
          <w:p>
            <w:pPr>
              <w:jc w:val="right"/>
              <w:spacing w:after="0"/>
              <w:rPr>
                <w:sz w:val="20"/>
                <w:szCs w:val="20"/>
                <w:color w:val="auto"/>
              </w:rPr>
            </w:pPr>
            <w:r>
              <w:rPr>
                <w:rFonts w:ascii="Arial" w:cs="Arial" w:eastAsia="Arial" w:hAnsi="Arial"/>
                <w:sz w:val="12"/>
                <w:szCs w:val="12"/>
                <w:color w:val="auto"/>
              </w:rPr>
              <w:t>143,668</w:t>
            </w:r>
          </w:p>
        </w:tc>
        <w:tc>
          <w:tcPr>
            <w:tcW w:w="240" w:type="dxa"/>
            <w:vAlign w:val="bottom"/>
            <w:shd w:val="clear" w:color="auto" w:fill="CCECFF"/>
          </w:tcPr>
          <w:p>
            <w:pPr>
              <w:spacing w:after="0"/>
              <w:rPr>
                <w:sz w:val="12"/>
                <w:szCs w:val="12"/>
                <w:color w:val="auto"/>
              </w:rPr>
            </w:pPr>
          </w:p>
        </w:tc>
        <w:tc>
          <w:tcPr>
            <w:tcW w:w="80" w:type="dxa"/>
            <w:vAlign w:val="bottom"/>
            <w:shd w:val="clear" w:color="auto" w:fill="CCECFF"/>
          </w:tcPr>
          <w:p>
            <w:pPr>
              <w:spacing w:after="0"/>
              <w:rPr>
                <w:sz w:val="12"/>
                <w:szCs w:val="12"/>
                <w:color w:val="auto"/>
              </w:rPr>
            </w:pPr>
          </w:p>
        </w:tc>
        <w:tc>
          <w:tcPr>
            <w:tcW w:w="620" w:type="dxa"/>
            <w:vAlign w:val="bottom"/>
            <w:shd w:val="clear" w:color="auto" w:fill="CCECFF"/>
          </w:tcPr>
          <w:p>
            <w:pPr>
              <w:jc w:val="right"/>
              <w:spacing w:after="0"/>
              <w:rPr>
                <w:sz w:val="20"/>
                <w:szCs w:val="20"/>
                <w:color w:val="auto"/>
              </w:rPr>
            </w:pPr>
            <w:r>
              <w:rPr>
                <w:rFonts w:ascii="Arial" w:cs="Arial" w:eastAsia="Arial" w:hAnsi="Arial"/>
                <w:sz w:val="12"/>
                <w:szCs w:val="12"/>
                <w:color w:val="auto"/>
                <w:w w:val="99"/>
              </w:rPr>
              <w:t>11,960,702</w:t>
            </w:r>
          </w:p>
        </w:tc>
        <w:tc>
          <w:tcPr>
            <w:tcW w:w="240" w:type="dxa"/>
            <w:vAlign w:val="bottom"/>
            <w:shd w:val="clear" w:color="auto" w:fill="CCECFF"/>
          </w:tcPr>
          <w:p>
            <w:pPr>
              <w:spacing w:after="0"/>
              <w:rPr>
                <w:sz w:val="12"/>
                <w:szCs w:val="12"/>
                <w:color w:val="auto"/>
              </w:rPr>
            </w:pPr>
          </w:p>
        </w:tc>
        <w:tc>
          <w:tcPr>
            <w:tcW w:w="80" w:type="dxa"/>
            <w:vAlign w:val="bottom"/>
            <w:shd w:val="clear" w:color="auto" w:fill="CCECFF"/>
          </w:tcPr>
          <w:p>
            <w:pPr>
              <w:spacing w:after="0"/>
              <w:rPr>
                <w:sz w:val="12"/>
                <w:szCs w:val="12"/>
                <w:color w:val="auto"/>
              </w:rPr>
            </w:pPr>
          </w:p>
        </w:tc>
        <w:tc>
          <w:tcPr>
            <w:tcW w:w="640" w:type="dxa"/>
            <w:vAlign w:val="bottom"/>
            <w:shd w:val="clear" w:color="auto" w:fill="CCECFF"/>
          </w:tcPr>
          <w:p>
            <w:pPr>
              <w:jc w:val="right"/>
              <w:spacing w:after="0"/>
              <w:rPr>
                <w:sz w:val="20"/>
                <w:szCs w:val="20"/>
                <w:color w:val="auto"/>
              </w:rPr>
            </w:pPr>
            <w:r>
              <w:rPr>
                <w:rFonts w:ascii="Arial" w:cs="Arial" w:eastAsia="Arial" w:hAnsi="Arial"/>
                <w:sz w:val="12"/>
                <w:szCs w:val="12"/>
                <w:color w:val="auto"/>
                <w:w w:val="99"/>
              </w:rPr>
              <w:t>13,112,260</w:t>
            </w:r>
          </w:p>
        </w:tc>
        <w:tc>
          <w:tcPr>
            <w:tcW w:w="100" w:type="dxa"/>
            <w:vAlign w:val="bottom"/>
            <w:shd w:val="clear" w:color="auto" w:fill="CCECFF"/>
          </w:tcPr>
          <w:p>
            <w:pPr>
              <w:spacing w:after="0"/>
              <w:rPr>
                <w:sz w:val="12"/>
                <w:szCs w:val="12"/>
                <w:color w:val="auto"/>
              </w:rPr>
            </w:pPr>
          </w:p>
        </w:tc>
      </w:tr>
      <w:tr>
        <w:trPr>
          <w:trHeight w:val="148"/>
        </w:trPr>
        <w:tc>
          <w:tcPr>
            <w:tcW w:w="3080" w:type="dxa"/>
            <w:vAlign w:val="bottom"/>
          </w:tcPr>
          <w:p>
            <w:pPr>
              <w:spacing w:after="0"/>
              <w:rPr>
                <w:sz w:val="20"/>
                <w:szCs w:val="20"/>
                <w:color w:val="auto"/>
              </w:rPr>
            </w:pPr>
            <w:r>
              <w:rPr>
                <w:rFonts w:ascii="Arial" w:cs="Arial" w:eastAsia="Arial" w:hAnsi="Arial"/>
                <w:sz w:val="12"/>
                <w:szCs w:val="12"/>
                <w:color w:val="auto"/>
              </w:rPr>
              <w:t xml:space="preserve">ETX Energy, LLC (f/k/a New Gulf Resources, LLC) </w:t>
            </w:r>
            <w:r>
              <w:rPr>
                <w:rFonts w:ascii="Arial" w:cs="Arial" w:eastAsia="Arial" w:hAnsi="Arial"/>
                <w:sz w:val="9"/>
                <w:szCs w:val="9"/>
                <w:color w:val="auto"/>
              </w:rPr>
              <w:t>(10)</w:t>
            </w:r>
          </w:p>
        </w:tc>
        <w:tc>
          <w:tcPr>
            <w:tcW w:w="980" w:type="dxa"/>
            <w:vAlign w:val="bottom"/>
          </w:tcPr>
          <w:p>
            <w:pPr>
              <w:ind w:left="320"/>
              <w:spacing w:after="0"/>
              <w:rPr>
                <w:sz w:val="20"/>
                <w:szCs w:val="20"/>
                <w:color w:val="auto"/>
              </w:rPr>
            </w:pPr>
            <w:r>
              <w:rPr>
                <w:rFonts w:ascii="Arial" w:cs="Arial" w:eastAsia="Arial" w:hAnsi="Arial"/>
                <w:sz w:val="12"/>
                <w:szCs w:val="12"/>
                <w:color w:val="auto"/>
              </w:rPr>
              <w:t>—</w:t>
            </w:r>
          </w:p>
        </w:tc>
        <w:tc>
          <w:tcPr>
            <w:tcW w:w="2640" w:type="dxa"/>
            <w:vAlign w:val="bottom"/>
            <w:gridSpan w:val="2"/>
          </w:tcPr>
          <w:p>
            <w:pPr>
              <w:jc w:val="center"/>
              <w:ind w:right="280"/>
              <w:spacing w:after="0"/>
              <w:rPr>
                <w:sz w:val="20"/>
                <w:szCs w:val="20"/>
                <w:color w:val="auto"/>
              </w:rPr>
            </w:pPr>
            <w:r>
              <w:rPr>
                <w:rFonts w:ascii="Arial" w:cs="Arial" w:eastAsia="Arial" w:hAnsi="Arial"/>
                <w:sz w:val="12"/>
                <w:szCs w:val="12"/>
                <w:color w:val="auto"/>
                <w:w w:val="88"/>
              </w:rPr>
              <w:t>Oil and Gas</w:t>
            </w:r>
          </w:p>
        </w:tc>
        <w:tc>
          <w:tcPr>
            <w:tcW w:w="960" w:type="dxa"/>
            <w:vAlign w:val="bottom"/>
            <w:gridSpan w:val="2"/>
          </w:tcPr>
          <w:p>
            <w:pPr>
              <w:jc w:val="right"/>
              <w:ind w:right="300"/>
              <w:spacing w:after="0"/>
              <w:rPr>
                <w:sz w:val="20"/>
                <w:szCs w:val="20"/>
                <w:color w:val="auto"/>
              </w:rPr>
            </w:pPr>
            <w:r>
              <w:rPr>
                <w:rFonts w:ascii="Arial" w:cs="Arial" w:eastAsia="Arial" w:hAnsi="Arial"/>
                <w:sz w:val="12"/>
                <w:szCs w:val="12"/>
                <w:color w:val="auto"/>
              </w:rPr>
              <w:t>—</w:t>
            </w:r>
          </w:p>
        </w:tc>
        <w:tc>
          <w:tcPr>
            <w:tcW w:w="900" w:type="dxa"/>
            <w:vAlign w:val="bottom"/>
            <w:gridSpan w:val="2"/>
          </w:tcPr>
          <w:p>
            <w:pPr>
              <w:jc w:val="right"/>
              <w:ind w:right="240"/>
              <w:spacing w:after="0"/>
              <w:rPr>
                <w:sz w:val="20"/>
                <w:szCs w:val="20"/>
                <w:color w:val="auto"/>
              </w:rPr>
            </w:pPr>
            <w:r>
              <w:rPr>
                <w:rFonts w:ascii="Arial" w:cs="Arial" w:eastAsia="Arial" w:hAnsi="Arial"/>
                <w:sz w:val="12"/>
                <w:szCs w:val="12"/>
                <w:color w:val="auto"/>
              </w:rPr>
              <w:t>—</w:t>
            </w:r>
          </w:p>
        </w:tc>
        <w:tc>
          <w:tcPr>
            <w:tcW w:w="680" w:type="dxa"/>
            <w:vAlign w:val="bottom"/>
          </w:tcPr>
          <w:p>
            <w:pPr>
              <w:jc w:val="right"/>
              <w:spacing w:after="0"/>
              <w:rPr>
                <w:sz w:val="20"/>
                <w:szCs w:val="20"/>
                <w:color w:val="auto"/>
              </w:rPr>
            </w:pPr>
            <w:r>
              <w:rPr>
                <w:rFonts w:ascii="Arial" w:cs="Arial" w:eastAsia="Arial" w:hAnsi="Arial"/>
                <w:sz w:val="12"/>
                <w:szCs w:val="12"/>
                <w:color w:val="auto"/>
              </w:rPr>
              <w:t>113,610</w:t>
            </w:r>
          </w:p>
        </w:tc>
        <w:tc>
          <w:tcPr>
            <w:tcW w:w="2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20" w:type="dxa"/>
            <w:vAlign w:val="bottom"/>
          </w:tcPr>
          <w:p>
            <w:pPr>
              <w:jc w:val="right"/>
              <w:spacing w:after="0"/>
              <w:rPr>
                <w:sz w:val="20"/>
                <w:szCs w:val="20"/>
                <w:color w:val="auto"/>
              </w:rPr>
            </w:pPr>
            <w:r>
              <w:rPr>
                <w:rFonts w:ascii="Arial" w:cs="Arial" w:eastAsia="Arial" w:hAnsi="Arial"/>
                <w:sz w:val="12"/>
                <w:szCs w:val="12"/>
                <w:color w:val="auto"/>
              </w:rPr>
              <w:t>—</w:t>
            </w:r>
          </w:p>
        </w:tc>
        <w:tc>
          <w:tcPr>
            <w:tcW w:w="2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40" w:type="dxa"/>
            <w:vAlign w:val="bottom"/>
            <w:gridSpan w:val="2"/>
          </w:tcPr>
          <w:p>
            <w:pPr>
              <w:jc w:val="right"/>
              <w:ind w:right="120"/>
              <w:spacing w:after="0"/>
              <w:rPr>
                <w:sz w:val="20"/>
                <w:szCs w:val="20"/>
                <w:color w:val="auto"/>
              </w:rPr>
            </w:pPr>
            <w:r>
              <w:rPr>
                <w:rFonts w:ascii="Arial" w:cs="Arial" w:eastAsia="Arial" w:hAnsi="Arial"/>
                <w:sz w:val="12"/>
                <w:szCs w:val="12"/>
                <w:color w:val="auto"/>
              </w:rPr>
              <w:t>—</w:t>
            </w:r>
          </w:p>
        </w:tc>
      </w:tr>
      <w:tr>
        <w:trPr>
          <w:trHeight w:val="142"/>
        </w:trPr>
        <w:tc>
          <w:tcPr>
            <w:tcW w:w="3080" w:type="dxa"/>
            <w:vAlign w:val="bottom"/>
            <w:shd w:val="clear" w:color="auto" w:fill="CCECFF"/>
          </w:tcPr>
          <w:p>
            <w:pPr>
              <w:spacing w:after="0"/>
              <w:rPr>
                <w:sz w:val="20"/>
                <w:szCs w:val="20"/>
                <w:color w:val="auto"/>
              </w:rPr>
            </w:pPr>
            <w:r>
              <w:rPr>
                <w:rFonts w:ascii="Arial" w:cs="Arial" w:eastAsia="Arial" w:hAnsi="Arial"/>
                <w:sz w:val="12"/>
                <w:szCs w:val="12"/>
                <w:color w:val="auto"/>
              </w:rPr>
              <w:t>ETX Energy Management Company, LLC</w:t>
            </w:r>
          </w:p>
        </w:tc>
        <w:tc>
          <w:tcPr>
            <w:tcW w:w="980" w:type="dxa"/>
            <w:vAlign w:val="bottom"/>
            <w:shd w:val="clear" w:color="auto" w:fill="CCECFF"/>
          </w:tcPr>
          <w:p>
            <w:pPr>
              <w:ind w:left="320"/>
              <w:spacing w:after="0"/>
              <w:rPr>
                <w:sz w:val="20"/>
                <w:szCs w:val="20"/>
                <w:color w:val="auto"/>
              </w:rPr>
            </w:pPr>
            <w:r>
              <w:rPr>
                <w:rFonts w:ascii="Arial" w:cs="Arial" w:eastAsia="Arial" w:hAnsi="Arial"/>
                <w:sz w:val="12"/>
                <w:szCs w:val="12"/>
                <w:color w:val="auto"/>
              </w:rPr>
              <w:t>—</w:t>
            </w:r>
          </w:p>
        </w:tc>
        <w:tc>
          <w:tcPr>
            <w:tcW w:w="2640" w:type="dxa"/>
            <w:vAlign w:val="bottom"/>
            <w:gridSpan w:val="2"/>
            <w:shd w:val="clear" w:color="auto" w:fill="CCECFF"/>
          </w:tcPr>
          <w:p>
            <w:pPr>
              <w:jc w:val="center"/>
              <w:ind w:right="280"/>
              <w:spacing w:after="0"/>
              <w:rPr>
                <w:sz w:val="20"/>
                <w:szCs w:val="20"/>
                <w:color w:val="auto"/>
              </w:rPr>
            </w:pPr>
            <w:r>
              <w:rPr>
                <w:rFonts w:ascii="Arial" w:cs="Arial" w:eastAsia="Arial" w:hAnsi="Arial"/>
                <w:sz w:val="12"/>
                <w:szCs w:val="12"/>
                <w:color w:val="auto"/>
                <w:w w:val="88"/>
              </w:rPr>
              <w:t>Oil and Gas</w:t>
            </w:r>
          </w:p>
        </w:tc>
        <w:tc>
          <w:tcPr>
            <w:tcW w:w="960" w:type="dxa"/>
            <w:vAlign w:val="bottom"/>
            <w:gridSpan w:val="2"/>
            <w:shd w:val="clear" w:color="auto" w:fill="CCECFF"/>
          </w:tcPr>
          <w:p>
            <w:pPr>
              <w:jc w:val="right"/>
              <w:ind w:right="300"/>
              <w:spacing w:after="0"/>
              <w:rPr>
                <w:sz w:val="20"/>
                <w:szCs w:val="20"/>
                <w:color w:val="auto"/>
              </w:rPr>
            </w:pPr>
            <w:r>
              <w:rPr>
                <w:rFonts w:ascii="Arial" w:cs="Arial" w:eastAsia="Arial" w:hAnsi="Arial"/>
                <w:sz w:val="12"/>
                <w:szCs w:val="12"/>
                <w:color w:val="auto"/>
              </w:rPr>
              <w:t>—</w:t>
            </w:r>
          </w:p>
        </w:tc>
        <w:tc>
          <w:tcPr>
            <w:tcW w:w="900" w:type="dxa"/>
            <w:vAlign w:val="bottom"/>
            <w:gridSpan w:val="2"/>
            <w:shd w:val="clear" w:color="auto" w:fill="CCECFF"/>
          </w:tcPr>
          <w:p>
            <w:pPr>
              <w:jc w:val="right"/>
              <w:ind w:right="240"/>
              <w:spacing w:after="0"/>
              <w:rPr>
                <w:sz w:val="20"/>
                <w:szCs w:val="20"/>
                <w:color w:val="auto"/>
              </w:rPr>
            </w:pPr>
            <w:r>
              <w:rPr>
                <w:rFonts w:ascii="Arial" w:cs="Arial" w:eastAsia="Arial" w:hAnsi="Arial"/>
                <w:sz w:val="12"/>
                <w:szCs w:val="12"/>
                <w:color w:val="auto"/>
              </w:rPr>
              <w:t>—</w:t>
            </w:r>
          </w:p>
        </w:tc>
        <w:tc>
          <w:tcPr>
            <w:tcW w:w="680" w:type="dxa"/>
            <w:vAlign w:val="bottom"/>
            <w:shd w:val="clear" w:color="auto" w:fill="CCECFF"/>
          </w:tcPr>
          <w:p>
            <w:pPr>
              <w:jc w:val="right"/>
              <w:spacing w:after="0"/>
              <w:rPr>
                <w:sz w:val="20"/>
                <w:szCs w:val="20"/>
                <w:color w:val="auto"/>
              </w:rPr>
            </w:pPr>
            <w:r>
              <w:rPr>
                <w:rFonts w:ascii="Arial" w:cs="Arial" w:eastAsia="Arial" w:hAnsi="Arial"/>
                <w:sz w:val="12"/>
                <w:szCs w:val="12"/>
                <w:color w:val="auto"/>
              </w:rPr>
              <w:t>119,603</w:t>
            </w:r>
          </w:p>
        </w:tc>
        <w:tc>
          <w:tcPr>
            <w:tcW w:w="240" w:type="dxa"/>
            <w:vAlign w:val="bottom"/>
            <w:shd w:val="clear" w:color="auto" w:fill="CCECFF"/>
          </w:tcPr>
          <w:p>
            <w:pPr>
              <w:spacing w:after="0"/>
              <w:rPr>
                <w:sz w:val="12"/>
                <w:szCs w:val="12"/>
                <w:color w:val="auto"/>
              </w:rPr>
            </w:pPr>
          </w:p>
        </w:tc>
        <w:tc>
          <w:tcPr>
            <w:tcW w:w="80" w:type="dxa"/>
            <w:vAlign w:val="bottom"/>
            <w:shd w:val="clear" w:color="auto" w:fill="CCECFF"/>
          </w:tcPr>
          <w:p>
            <w:pPr>
              <w:spacing w:after="0"/>
              <w:rPr>
                <w:sz w:val="12"/>
                <w:szCs w:val="12"/>
                <w:color w:val="auto"/>
              </w:rPr>
            </w:pPr>
          </w:p>
        </w:tc>
        <w:tc>
          <w:tcPr>
            <w:tcW w:w="620" w:type="dxa"/>
            <w:vAlign w:val="bottom"/>
            <w:shd w:val="clear" w:color="auto" w:fill="CCECFF"/>
          </w:tcPr>
          <w:p>
            <w:pPr>
              <w:jc w:val="right"/>
              <w:spacing w:after="0"/>
              <w:rPr>
                <w:sz w:val="20"/>
                <w:szCs w:val="20"/>
                <w:color w:val="auto"/>
              </w:rPr>
            </w:pPr>
            <w:r>
              <w:rPr>
                <w:rFonts w:ascii="Arial" w:cs="Arial" w:eastAsia="Arial" w:hAnsi="Arial"/>
                <w:sz w:val="12"/>
                <w:szCs w:val="12"/>
                <w:color w:val="auto"/>
              </w:rPr>
              <w:t>—</w:t>
            </w:r>
          </w:p>
        </w:tc>
        <w:tc>
          <w:tcPr>
            <w:tcW w:w="240" w:type="dxa"/>
            <w:vAlign w:val="bottom"/>
            <w:shd w:val="clear" w:color="auto" w:fill="CCECFF"/>
          </w:tcPr>
          <w:p>
            <w:pPr>
              <w:spacing w:after="0"/>
              <w:rPr>
                <w:sz w:val="12"/>
                <w:szCs w:val="12"/>
                <w:color w:val="auto"/>
              </w:rPr>
            </w:pPr>
          </w:p>
        </w:tc>
        <w:tc>
          <w:tcPr>
            <w:tcW w:w="80" w:type="dxa"/>
            <w:vAlign w:val="bottom"/>
            <w:shd w:val="clear" w:color="auto" w:fill="CCECFF"/>
          </w:tcPr>
          <w:p>
            <w:pPr>
              <w:spacing w:after="0"/>
              <w:rPr>
                <w:sz w:val="12"/>
                <w:szCs w:val="12"/>
                <w:color w:val="auto"/>
              </w:rPr>
            </w:pPr>
          </w:p>
        </w:tc>
        <w:tc>
          <w:tcPr>
            <w:tcW w:w="740" w:type="dxa"/>
            <w:vAlign w:val="bottom"/>
            <w:gridSpan w:val="2"/>
            <w:shd w:val="clear" w:color="auto" w:fill="CCECFF"/>
          </w:tcPr>
          <w:p>
            <w:pPr>
              <w:jc w:val="right"/>
              <w:ind w:right="120"/>
              <w:spacing w:after="0"/>
              <w:rPr>
                <w:sz w:val="20"/>
                <w:szCs w:val="20"/>
                <w:color w:val="auto"/>
              </w:rPr>
            </w:pPr>
            <w:r>
              <w:rPr>
                <w:rFonts w:ascii="Arial" w:cs="Arial" w:eastAsia="Arial" w:hAnsi="Arial"/>
                <w:sz w:val="12"/>
                <w:szCs w:val="12"/>
                <w:color w:val="auto"/>
              </w:rPr>
              <w:t>—</w:t>
            </w:r>
          </w:p>
        </w:tc>
      </w:tr>
      <w:tr>
        <w:trPr>
          <w:trHeight w:val="141"/>
        </w:trPr>
        <w:tc>
          <w:tcPr>
            <w:tcW w:w="3080" w:type="dxa"/>
            <w:vAlign w:val="bottom"/>
            <w:shd w:val="clear" w:color="auto" w:fill="CCECFF"/>
          </w:tcPr>
          <w:p>
            <w:pPr>
              <w:ind w:left="100"/>
              <w:spacing w:after="0"/>
              <w:rPr>
                <w:sz w:val="20"/>
                <w:szCs w:val="20"/>
                <w:color w:val="auto"/>
              </w:rPr>
            </w:pPr>
            <w:r>
              <w:rPr>
                <w:rFonts w:ascii="Arial" w:cs="Arial" w:eastAsia="Arial" w:hAnsi="Arial"/>
                <w:sz w:val="12"/>
                <w:szCs w:val="12"/>
                <w:color w:val="auto"/>
              </w:rPr>
              <w:t xml:space="preserve">(f/k/a NGR Management Company LLC) </w:t>
            </w:r>
            <w:r>
              <w:rPr>
                <w:rFonts w:ascii="Arial" w:cs="Arial" w:eastAsia="Arial" w:hAnsi="Arial"/>
                <w:sz w:val="9"/>
                <w:szCs w:val="9"/>
                <w:color w:val="auto"/>
              </w:rPr>
              <w:t>(10)</w:t>
            </w:r>
          </w:p>
        </w:tc>
        <w:tc>
          <w:tcPr>
            <w:tcW w:w="980" w:type="dxa"/>
            <w:vAlign w:val="bottom"/>
            <w:shd w:val="clear" w:color="auto" w:fill="CCECFF"/>
          </w:tcPr>
          <w:p>
            <w:pPr>
              <w:spacing w:after="0"/>
              <w:rPr>
                <w:sz w:val="12"/>
                <w:szCs w:val="12"/>
                <w:color w:val="auto"/>
              </w:rPr>
            </w:pPr>
          </w:p>
        </w:tc>
        <w:tc>
          <w:tcPr>
            <w:tcW w:w="2500" w:type="dxa"/>
            <w:vAlign w:val="bottom"/>
            <w:shd w:val="clear" w:color="auto" w:fill="CCECFF"/>
          </w:tcPr>
          <w:p>
            <w:pPr>
              <w:spacing w:after="0"/>
              <w:rPr>
                <w:sz w:val="12"/>
                <w:szCs w:val="12"/>
                <w:color w:val="auto"/>
              </w:rPr>
            </w:pPr>
          </w:p>
        </w:tc>
        <w:tc>
          <w:tcPr>
            <w:tcW w:w="140" w:type="dxa"/>
            <w:vAlign w:val="bottom"/>
            <w:shd w:val="clear" w:color="auto" w:fill="CCECFF"/>
          </w:tcPr>
          <w:p>
            <w:pPr>
              <w:spacing w:after="0"/>
              <w:rPr>
                <w:sz w:val="12"/>
                <w:szCs w:val="12"/>
                <w:color w:val="auto"/>
              </w:rPr>
            </w:pPr>
          </w:p>
        </w:tc>
        <w:tc>
          <w:tcPr>
            <w:tcW w:w="660" w:type="dxa"/>
            <w:vAlign w:val="bottom"/>
            <w:shd w:val="clear" w:color="auto" w:fill="CCECFF"/>
          </w:tcPr>
          <w:p>
            <w:pPr>
              <w:spacing w:after="0"/>
              <w:rPr>
                <w:sz w:val="12"/>
                <w:szCs w:val="12"/>
                <w:color w:val="auto"/>
              </w:rPr>
            </w:pPr>
          </w:p>
        </w:tc>
        <w:tc>
          <w:tcPr>
            <w:tcW w:w="300" w:type="dxa"/>
            <w:vAlign w:val="bottom"/>
            <w:shd w:val="clear" w:color="auto" w:fill="CCECFF"/>
          </w:tcPr>
          <w:p>
            <w:pPr>
              <w:spacing w:after="0"/>
              <w:rPr>
                <w:sz w:val="12"/>
                <w:szCs w:val="12"/>
                <w:color w:val="auto"/>
              </w:rPr>
            </w:pPr>
          </w:p>
        </w:tc>
        <w:tc>
          <w:tcPr>
            <w:tcW w:w="680" w:type="dxa"/>
            <w:vAlign w:val="bottom"/>
            <w:shd w:val="clear" w:color="auto" w:fill="CCECFF"/>
          </w:tcPr>
          <w:p>
            <w:pPr>
              <w:spacing w:after="0"/>
              <w:rPr>
                <w:sz w:val="12"/>
                <w:szCs w:val="12"/>
                <w:color w:val="auto"/>
              </w:rPr>
            </w:pPr>
          </w:p>
        </w:tc>
        <w:tc>
          <w:tcPr>
            <w:tcW w:w="220" w:type="dxa"/>
            <w:vAlign w:val="bottom"/>
            <w:shd w:val="clear" w:color="auto" w:fill="CCECFF"/>
          </w:tcPr>
          <w:p>
            <w:pPr>
              <w:spacing w:after="0"/>
              <w:rPr>
                <w:sz w:val="12"/>
                <w:szCs w:val="12"/>
                <w:color w:val="auto"/>
              </w:rPr>
            </w:pPr>
          </w:p>
        </w:tc>
        <w:tc>
          <w:tcPr>
            <w:tcW w:w="680" w:type="dxa"/>
            <w:vAlign w:val="bottom"/>
            <w:shd w:val="clear" w:color="auto" w:fill="CCECFF"/>
          </w:tcPr>
          <w:p>
            <w:pPr>
              <w:spacing w:after="0"/>
              <w:rPr>
                <w:sz w:val="12"/>
                <w:szCs w:val="12"/>
                <w:color w:val="auto"/>
              </w:rPr>
            </w:pPr>
          </w:p>
        </w:tc>
        <w:tc>
          <w:tcPr>
            <w:tcW w:w="240" w:type="dxa"/>
            <w:vAlign w:val="bottom"/>
            <w:shd w:val="clear" w:color="auto" w:fill="CCECFF"/>
          </w:tcPr>
          <w:p>
            <w:pPr>
              <w:spacing w:after="0"/>
              <w:rPr>
                <w:sz w:val="12"/>
                <w:szCs w:val="12"/>
                <w:color w:val="auto"/>
              </w:rPr>
            </w:pPr>
          </w:p>
        </w:tc>
        <w:tc>
          <w:tcPr>
            <w:tcW w:w="80" w:type="dxa"/>
            <w:vAlign w:val="bottom"/>
            <w:shd w:val="clear" w:color="auto" w:fill="CCECFF"/>
          </w:tcPr>
          <w:p>
            <w:pPr>
              <w:spacing w:after="0"/>
              <w:rPr>
                <w:sz w:val="12"/>
                <w:szCs w:val="12"/>
                <w:color w:val="auto"/>
              </w:rPr>
            </w:pPr>
          </w:p>
        </w:tc>
        <w:tc>
          <w:tcPr>
            <w:tcW w:w="620" w:type="dxa"/>
            <w:vAlign w:val="bottom"/>
            <w:shd w:val="clear" w:color="auto" w:fill="CCECFF"/>
          </w:tcPr>
          <w:p>
            <w:pPr>
              <w:spacing w:after="0"/>
              <w:rPr>
                <w:sz w:val="12"/>
                <w:szCs w:val="12"/>
                <w:color w:val="auto"/>
              </w:rPr>
            </w:pPr>
          </w:p>
        </w:tc>
        <w:tc>
          <w:tcPr>
            <w:tcW w:w="240" w:type="dxa"/>
            <w:vAlign w:val="bottom"/>
            <w:shd w:val="clear" w:color="auto" w:fill="CCECFF"/>
          </w:tcPr>
          <w:p>
            <w:pPr>
              <w:spacing w:after="0"/>
              <w:rPr>
                <w:sz w:val="12"/>
                <w:szCs w:val="12"/>
                <w:color w:val="auto"/>
              </w:rPr>
            </w:pPr>
          </w:p>
        </w:tc>
        <w:tc>
          <w:tcPr>
            <w:tcW w:w="80" w:type="dxa"/>
            <w:vAlign w:val="bottom"/>
            <w:shd w:val="clear" w:color="auto" w:fill="CCECFF"/>
          </w:tcPr>
          <w:p>
            <w:pPr>
              <w:spacing w:after="0"/>
              <w:rPr>
                <w:sz w:val="12"/>
                <w:szCs w:val="12"/>
                <w:color w:val="auto"/>
              </w:rPr>
            </w:pPr>
          </w:p>
        </w:tc>
        <w:tc>
          <w:tcPr>
            <w:tcW w:w="640" w:type="dxa"/>
            <w:vAlign w:val="bottom"/>
            <w:shd w:val="clear" w:color="auto" w:fill="CCECFF"/>
          </w:tcPr>
          <w:p>
            <w:pPr>
              <w:spacing w:after="0"/>
              <w:rPr>
                <w:sz w:val="12"/>
                <w:szCs w:val="12"/>
                <w:color w:val="auto"/>
              </w:rPr>
            </w:pPr>
          </w:p>
        </w:tc>
        <w:tc>
          <w:tcPr>
            <w:tcW w:w="100" w:type="dxa"/>
            <w:vAlign w:val="bottom"/>
            <w:shd w:val="clear" w:color="auto" w:fill="CCECFF"/>
          </w:tcPr>
          <w:p>
            <w:pPr>
              <w:spacing w:after="0"/>
              <w:rPr>
                <w:sz w:val="12"/>
                <w:szCs w:val="12"/>
                <w:color w:val="auto"/>
              </w:rPr>
            </w:pPr>
          </w:p>
        </w:tc>
      </w:tr>
      <w:tr>
        <w:trPr>
          <w:trHeight w:val="149"/>
        </w:trPr>
        <w:tc>
          <w:tcPr>
            <w:tcW w:w="3080" w:type="dxa"/>
            <w:vAlign w:val="bottom"/>
          </w:tcPr>
          <w:p>
            <w:pPr>
              <w:spacing w:after="0"/>
              <w:rPr>
                <w:sz w:val="20"/>
                <w:szCs w:val="20"/>
                <w:color w:val="auto"/>
              </w:rPr>
            </w:pPr>
            <w:r>
              <w:rPr>
                <w:rFonts w:ascii="Arial" w:cs="Arial" w:eastAsia="Arial" w:hAnsi="Arial"/>
                <w:sz w:val="12"/>
                <w:szCs w:val="12"/>
                <w:color w:val="auto"/>
              </w:rPr>
              <w:t>New Service Champ Holdings, Inc.</w:t>
            </w:r>
          </w:p>
        </w:tc>
        <w:tc>
          <w:tcPr>
            <w:tcW w:w="980" w:type="dxa"/>
            <w:vAlign w:val="bottom"/>
          </w:tcPr>
          <w:p>
            <w:pPr>
              <w:ind w:left="320"/>
              <w:spacing w:after="0"/>
              <w:rPr>
                <w:sz w:val="20"/>
                <w:szCs w:val="20"/>
                <w:color w:val="auto"/>
              </w:rPr>
            </w:pPr>
            <w:r>
              <w:rPr>
                <w:rFonts w:ascii="Arial" w:cs="Arial" w:eastAsia="Arial" w:hAnsi="Arial"/>
                <w:sz w:val="12"/>
                <w:szCs w:val="12"/>
                <w:color w:val="auto"/>
              </w:rPr>
              <w:t>—</w:t>
            </w:r>
          </w:p>
        </w:tc>
        <w:tc>
          <w:tcPr>
            <w:tcW w:w="2640" w:type="dxa"/>
            <w:vAlign w:val="bottom"/>
            <w:gridSpan w:val="2"/>
          </w:tcPr>
          <w:p>
            <w:pPr>
              <w:jc w:val="center"/>
              <w:ind w:right="280"/>
              <w:spacing w:after="0"/>
              <w:rPr>
                <w:sz w:val="20"/>
                <w:szCs w:val="20"/>
                <w:color w:val="auto"/>
              </w:rPr>
            </w:pPr>
            <w:r>
              <w:rPr>
                <w:rFonts w:ascii="Arial" w:cs="Arial" w:eastAsia="Arial" w:hAnsi="Arial"/>
                <w:sz w:val="12"/>
                <w:szCs w:val="12"/>
                <w:color w:val="auto"/>
                <w:w w:val="89"/>
              </w:rPr>
              <w:t>Auto Sector</w:t>
            </w:r>
          </w:p>
        </w:tc>
        <w:tc>
          <w:tcPr>
            <w:tcW w:w="960" w:type="dxa"/>
            <w:vAlign w:val="bottom"/>
            <w:gridSpan w:val="2"/>
          </w:tcPr>
          <w:p>
            <w:pPr>
              <w:jc w:val="right"/>
              <w:ind w:right="300"/>
              <w:spacing w:after="0"/>
              <w:rPr>
                <w:sz w:val="20"/>
                <w:szCs w:val="20"/>
                <w:color w:val="auto"/>
              </w:rPr>
            </w:pPr>
            <w:r>
              <w:rPr>
                <w:rFonts w:ascii="Arial" w:cs="Arial" w:eastAsia="Arial" w:hAnsi="Arial"/>
                <w:sz w:val="12"/>
                <w:szCs w:val="12"/>
                <w:color w:val="auto"/>
              </w:rPr>
              <w:t>—</w:t>
            </w:r>
          </w:p>
        </w:tc>
        <w:tc>
          <w:tcPr>
            <w:tcW w:w="900" w:type="dxa"/>
            <w:vAlign w:val="bottom"/>
            <w:gridSpan w:val="2"/>
          </w:tcPr>
          <w:p>
            <w:pPr>
              <w:jc w:val="right"/>
              <w:ind w:right="240"/>
              <w:spacing w:after="0"/>
              <w:rPr>
                <w:sz w:val="20"/>
                <w:szCs w:val="20"/>
                <w:color w:val="auto"/>
              </w:rPr>
            </w:pPr>
            <w:r>
              <w:rPr>
                <w:rFonts w:ascii="Arial" w:cs="Arial" w:eastAsia="Arial" w:hAnsi="Arial"/>
                <w:sz w:val="12"/>
                <w:szCs w:val="12"/>
                <w:color w:val="auto"/>
              </w:rPr>
              <w:t>—</w:t>
            </w:r>
          </w:p>
        </w:tc>
        <w:tc>
          <w:tcPr>
            <w:tcW w:w="680" w:type="dxa"/>
            <w:vAlign w:val="bottom"/>
          </w:tcPr>
          <w:p>
            <w:pPr>
              <w:jc w:val="right"/>
              <w:spacing w:after="0"/>
              <w:rPr>
                <w:sz w:val="20"/>
                <w:szCs w:val="20"/>
                <w:color w:val="auto"/>
              </w:rPr>
            </w:pPr>
            <w:r>
              <w:rPr>
                <w:rFonts w:ascii="Arial" w:cs="Arial" w:eastAsia="Arial" w:hAnsi="Arial"/>
                <w:sz w:val="12"/>
                <w:szCs w:val="12"/>
                <w:color w:val="auto"/>
              </w:rPr>
              <w:t>16,800</w:t>
            </w:r>
          </w:p>
        </w:tc>
        <w:tc>
          <w:tcPr>
            <w:tcW w:w="2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20" w:type="dxa"/>
            <w:vAlign w:val="bottom"/>
          </w:tcPr>
          <w:p>
            <w:pPr>
              <w:jc w:val="right"/>
              <w:spacing w:after="0"/>
              <w:rPr>
                <w:sz w:val="20"/>
                <w:szCs w:val="20"/>
                <w:color w:val="auto"/>
              </w:rPr>
            </w:pPr>
            <w:r>
              <w:rPr>
                <w:rFonts w:ascii="Arial" w:cs="Arial" w:eastAsia="Arial" w:hAnsi="Arial"/>
                <w:sz w:val="12"/>
                <w:szCs w:val="12"/>
                <w:color w:val="auto"/>
              </w:rPr>
              <w:t>2,721,600</w:t>
            </w:r>
          </w:p>
        </w:tc>
        <w:tc>
          <w:tcPr>
            <w:tcW w:w="2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40" w:type="dxa"/>
            <w:vAlign w:val="bottom"/>
          </w:tcPr>
          <w:p>
            <w:pPr>
              <w:jc w:val="right"/>
              <w:spacing w:after="0"/>
              <w:rPr>
                <w:sz w:val="20"/>
                <w:szCs w:val="20"/>
                <w:color w:val="auto"/>
              </w:rPr>
            </w:pPr>
            <w:r>
              <w:rPr>
                <w:rFonts w:ascii="Arial" w:cs="Arial" w:eastAsia="Arial" w:hAnsi="Arial"/>
                <w:sz w:val="12"/>
                <w:szCs w:val="12"/>
                <w:color w:val="auto"/>
              </w:rPr>
              <w:t>6,989,362</w:t>
            </w:r>
          </w:p>
        </w:tc>
        <w:tc>
          <w:tcPr>
            <w:tcW w:w="100" w:type="dxa"/>
            <w:vAlign w:val="bottom"/>
          </w:tcPr>
          <w:p>
            <w:pPr>
              <w:spacing w:after="0"/>
              <w:rPr>
                <w:sz w:val="12"/>
                <w:szCs w:val="12"/>
                <w:color w:val="auto"/>
              </w:rPr>
            </w:pPr>
          </w:p>
        </w:tc>
      </w:tr>
      <w:tr>
        <w:trPr>
          <w:trHeight w:val="148"/>
        </w:trPr>
        <w:tc>
          <w:tcPr>
            <w:tcW w:w="3080" w:type="dxa"/>
            <w:vAlign w:val="bottom"/>
            <w:shd w:val="clear" w:color="auto" w:fill="CCECFF"/>
          </w:tcPr>
          <w:p>
            <w:pPr>
              <w:spacing w:after="0"/>
              <w:rPr>
                <w:sz w:val="20"/>
                <w:szCs w:val="20"/>
                <w:color w:val="auto"/>
              </w:rPr>
            </w:pPr>
            <w:r>
              <w:rPr>
                <w:rFonts w:ascii="Arial" w:cs="Arial" w:eastAsia="Arial" w:hAnsi="Arial"/>
                <w:sz w:val="12"/>
                <w:szCs w:val="12"/>
                <w:color w:val="auto"/>
              </w:rPr>
              <w:t>PAS International Holdings, Inc.</w:t>
            </w:r>
          </w:p>
        </w:tc>
        <w:tc>
          <w:tcPr>
            <w:tcW w:w="980" w:type="dxa"/>
            <w:vAlign w:val="bottom"/>
            <w:shd w:val="clear" w:color="auto" w:fill="CCECFF"/>
          </w:tcPr>
          <w:p>
            <w:pPr>
              <w:ind w:left="320"/>
              <w:spacing w:after="0"/>
              <w:rPr>
                <w:sz w:val="20"/>
                <w:szCs w:val="20"/>
                <w:color w:val="auto"/>
              </w:rPr>
            </w:pPr>
            <w:r>
              <w:rPr>
                <w:rFonts w:ascii="Arial" w:cs="Arial" w:eastAsia="Arial" w:hAnsi="Arial"/>
                <w:sz w:val="12"/>
                <w:szCs w:val="12"/>
                <w:color w:val="auto"/>
              </w:rPr>
              <w:t>—</w:t>
            </w:r>
          </w:p>
        </w:tc>
        <w:tc>
          <w:tcPr>
            <w:tcW w:w="2640" w:type="dxa"/>
            <w:vAlign w:val="bottom"/>
            <w:gridSpan w:val="2"/>
            <w:shd w:val="clear" w:color="auto" w:fill="CCECFF"/>
          </w:tcPr>
          <w:p>
            <w:pPr>
              <w:jc w:val="center"/>
              <w:ind w:right="300"/>
              <w:spacing w:after="0"/>
              <w:rPr>
                <w:sz w:val="20"/>
                <w:szCs w:val="20"/>
                <w:color w:val="auto"/>
              </w:rPr>
            </w:pPr>
            <w:r>
              <w:rPr>
                <w:rFonts w:ascii="Arial" w:cs="Arial" w:eastAsia="Arial" w:hAnsi="Arial"/>
                <w:sz w:val="12"/>
                <w:szCs w:val="12"/>
                <w:color w:val="auto"/>
                <w:w w:val="85"/>
              </w:rPr>
              <w:t>Aerospace and Defense</w:t>
            </w:r>
          </w:p>
        </w:tc>
        <w:tc>
          <w:tcPr>
            <w:tcW w:w="960" w:type="dxa"/>
            <w:vAlign w:val="bottom"/>
            <w:gridSpan w:val="2"/>
            <w:shd w:val="clear" w:color="auto" w:fill="CCECFF"/>
          </w:tcPr>
          <w:p>
            <w:pPr>
              <w:jc w:val="right"/>
              <w:ind w:right="300"/>
              <w:spacing w:after="0"/>
              <w:rPr>
                <w:sz w:val="20"/>
                <w:szCs w:val="20"/>
                <w:color w:val="auto"/>
              </w:rPr>
            </w:pPr>
            <w:r>
              <w:rPr>
                <w:rFonts w:ascii="Arial" w:cs="Arial" w:eastAsia="Arial" w:hAnsi="Arial"/>
                <w:sz w:val="12"/>
                <w:szCs w:val="12"/>
                <w:color w:val="auto"/>
              </w:rPr>
              <w:t>—</w:t>
            </w:r>
          </w:p>
        </w:tc>
        <w:tc>
          <w:tcPr>
            <w:tcW w:w="900" w:type="dxa"/>
            <w:vAlign w:val="bottom"/>
            <w:gridSpan w:val="2"/>
            <w:shd w:val="clear" w:color="auto" w:fill="CCECFF"/>
          </w:tcPr>
          <w:p>
            <w:pPr>
              <w:jc w:val="right"/>
              <w:ind w:right="240"/>
              <w:spacing w:after="0"/>
              <w:rPr>
                <w:sz w:val="20"/>
                <w:szCs w:val="20"/>
                <w:color w:val="auto"/>
              </w:rPr>
            </w:pPr>
            <w:r>
              <w:rPr>
                <w:rFonts w:ascii="Arial" w:cs="Arial" w:eastAsia="Arial" w:hAnsi="Arial"/>
                <w:sz w:val="12"/>
                <w:szCs w:val="12"/>
                <w:color w:val="auto"/>
              </w:rPr>
              <w:t>—</w:t>
            </w:r>
          </w:p>
        </w:tc>
        <w:tc>
          <w:tcPr>
            <w:tcW w:w="680" w:type="dxa"/>
            <w:vAlign w:val="bottom"/>
            <w:shd w:val="clear" w:color="auto" w:fill="CCECFF"/>
          </w:tcPr>
          <w:p>
            <w:pPr>
              <w:jc w:val="right"/>
              <w:spacing w:after="0"/>
              <w:rPr>
                <w:sz w:val="20"/>
                <w:szCs w:val="20"/>
                <w:color w:val="auto"/>
              </w:rPr>
            </w:pPr>
            <w:r>
              <w:rPr>
                <w:rFonts w:ascii="Arial" w:cs="Arial" w:eastAsia="Arial" w:hAnsi="Arial"/>
                <w:sz w:val="12"/>
                <w:szCs w:val="12"/>
                <w:color w:val="auto"/>
              </w:rPr>
              <w:t>53,071</w:t>
            </w:r>
          </w:p>
        </w:tc>
        <w:tc>
          <w:tcPr>
            <w:tcW w:w="240" w:type="dxa"/>
            <w:vAlign w:val="bottom"/>
            <w:shd w:val="clear" w:color="auto" w:fill="CCECFF"/>
          </w:tcPr>
          <w:p>
            <w:pPr>
              <w:spacing w:after="0"/>
              <w:rPr>
                <w:sz w:val="12"/>
                <w:szCs w:val="12"/>
                <w:color w:val="auto"/>
              </w:rPr>
            </w:pPr>
          </w:p>
        </w:tc>
        <w:tc>
          <w:tcPr>
            <w:tcW w:w="80" w:type="dxa"/>
            <w:vAlign w:val="bottom"/>
            <w:shd w:val="clear" w:color="auto" w:fill="CCECFF"/>
          </w:tcPr>
          <w:p>
            <w:pPr>
              <w:spacing w:after="0"/>
              <w:rPr>
                <w:sz w:val="12"/>
                <w:szCs w:val="12"/>
                <w:color w:val="auto"/>
              </w:rPr>
            </w:pPr>
          </w:p>
        </w:tc>
        <w:tc>
          <w:tcPr>
            <w:tcW w:w="620" w:type="dxa"/>
            <w:vAlign w:val="bottom"/>
            <w:shd w:val="clear" w:color="auto" w:fill="CCECFF"/>
          </w:tcPr>
          <w:p>
            <w:pPr>
              <w:jc w:val="right"/>
              <w:spacing w:after="0"/>
              <w:rPr>
                <w:sz w:val="20"/>
                <w:szCs w:val="20"/>
                <w:color w:val="auto"/>
              </w:rPr>
            </w:pPr>
            <w:r>
              <w:rPr>
                <w:rFonts w:ascii="Arial" w:cs="Arial" w:eastAsia="Arial" w:hAnsi="Arial"/>
                <w:sz w:val="12"/>
                <w:szCs w:val="12"/>
                <w:color w:val="auto"/>
              </w:rPr>
              <w:t>202,620</w:t>
            </w:r>
          </w:p>
        </w:tc>
        <w:tc>
          <w:tcPr>
            <w:tcW w:w="240" w:type="dxa"/>
            <w:vAlign w:val="bottom"/>
            <w:shd w:val="clear" w:color="auto" w:fill="CCECFF"/>
          </w:tcPr>
          <w:p>
            <w:pPr>
              <w:spacing w:after="0"/>
              <w:rPr>
                <w:sz w:val="12"/>
                <w:szCs w:val="12"/>
                <w:color w:val="auto"/>
              </w:rPr>
            </w:pPr>
          </w:p>
        </w:tc>
        <w:tc>
          <w:tcPr>
            <w:tcW w:w="80" w:type="dxa"/>
            <w:vAlign w:val="bottom"/>
            <w:shd w:val="clear" w:color="auto" w:fill="CCECFF"/>
          </w:tcPr>
          <w:p>
            <w:pPr>
              <w:spacing w:after="0"/>
              <w:rPr>
                <w:sz w:val="12"/>
                <w:szCs w:val="12"/>
                <w:color w:val="auto"/>
              </w:rPr>
            </w:pPr>
          </w:p>
        </w:tc>
        <w:tc>
          <w:tcPr>
            <w:tcW w:w="740" w:type="dxa"/>
            <w:vAlign w:val="bottom"/>
            <w:gridSpan w:val="2"/>
            <w:shd w:val="clear" w:color="auto" w:fill="CCECFF"/>
          </w:tcPr>
          <w:p>
            <w:pPr>
              <w:jc w:val="right"/>
              <w:ind w:right="120"/>
              <w:spacing w:after="0"/>
              <w:rPr>
                <w:sz w:val="20"/>
                <w:szCs w:val="20"/>
                <w:color w:val="auto"/>
              </w:rPr>
            </w:pPr>
            <w:r>
              <w:rPr>
                <w:rFonts w:ascii="Arial" w:cs="Arial" w:eastAsia="Arial" w:hAnsi="Arial"/>
                <w:sz w:val="12"/>
                <w:szCs w:val="12"/>
                <w:color w:val="auto"/>
              </w:rPr>
              <w:t>—</w:t>
            </w:r>
          </w:p>
        </w:tc>
      </w:tr>
      <w:tr>
        <w:trPr>
          <w:trHeight w:val="149"/>
        </w:trPr>
        <w:tc>
          <w:tcPr>
            <w:tcW w:w="3080" w:type="dxa"/>
            <w:vAlign w:val="bottom"/>
            <w:tcBorders>
              <w:bottom w:val="single" w:sz="8" w:color="CCECFF"/>
            </w:tcBorders>
          </w:tcPr>
          <w:p>
            <w:pPr>
              <w:spacing w:after="0"/>
              <w:rPr>
                <w:sz w:val="20"/>
                <w:szCs w:val="20"/>
                <w:color w:val="auto"/>
              </w:rPr>
            </w:pPr>
            <w:r>
              <w:rPr>
                <w:rFonts w:ascii="Arial" w:cs="Arial" w:eastAsia="Arial" w:hAnsi="Arial"/>
                <w:sz w:val="12"/>
                <w:szCs w:val="12"/>
                <w:color w:val="auto"/>
              </w:rPr>
              <w:t>TRAK Acquisition Corp.</w:t>
            </w:r>
          </w:p>
        </w:tc>
        <w:tc>
          <w:tcPr>
            <w:tcW w:w="980" w:type="dxa"/>
            <w:vAlign w:val="bottom"/>
            <w:tcBorders>
              <w:bottom w:val="single" w:sz="8" w:color="CCECFF"/>
            </w:tcBorders>
          </w:tcPr>
          <w:p>
            <w:pPr>
              <w:ind w:left="320"/>
              <w:spacing w:after="0"/>
              <w:rPr>
                <w:sz w:val="20"/>
                <w:szCs w:val="20"/>
                <w:color w:val="auto"/>
              </w:rPr>
            </w:pPr>
            <w:r>
              <w:rPr>
                <w:rFonts w:ascii="Arial" w:cs="Arial" w:eastAsia="Arial" w:hAnsi="Arial"/>
                <w:sz w:val="12"/>
                <w:szCs w:val="12"/>
                <w:color w:val="auto"/>
              </w:rPr>
              <w:t>—</w:t>
            </w:r>
          </w:p>
        </w:tc>
        <w:tc>
          <w:tcPr>
            <w:tcW w:w="2640" w:type="dxa"/>
            <w:vAlign w:val="bottom"/>
            <w:tcBorders>
              <w:bottom w:val="single" w:sz="8" w:color="CCECFF"/>
            </w:tcBorders>
            <w:gridSpan w:val="2"/>
          </w:tcPr>
          <w:p>
            <w:pPr>
              <w:jc w:val="center"/>
              <w:ind w:right="280"/>
              <w:spacing w:after="0"/>
              <w:rPr>
                <w:sz w:val="20"/>
                <w:szCs w:val="20"/>
                <w:color w:val="auto"/>
              </w:rPr>
            </w:pPr>
            <w:r>
              <w:rPr>
                <w:rFonts w:ascii="Arial" w:cs="Arial" w:eastAsia="Arial" w:hAnsi="Arial"/>
                <w:sz w:val="12"/>
                <w:szCs w:val="12"/>
                <w:color w:val="auto"/>
                <w:w w:val="85"/>
              </w:rPr>
              <w:t>Business Services</w:t>
            </w:r>
          </w:p>
        </w:tc>
        <w:tc>
          <w:tcPr>
            <w:tcW w:w="960" w:type="dxa"/>
            <w:vAlign w:val="bottom"/>
            <w:tcBorders>
              <w:bottom w:val="single" w:sz="8" w:color="CCECFF"/>
            </w:tcBorders>
            <w:gridSpan w:val="2"/>
          </w:tcPr>
          <w:p>
            <w:pPr>
              <w:jc w:val="right"/>
              <w:ind w:right="300"/>
              <w:spacing w:after="0"/>
              <w:rPr>
                <w:sz w:val="20"/>
                <w:szCs w:val="20"/>
                <w:color w:val="auto"/>
              </w:rPr>
            </w:pPr>
            <w:r>
              <w:rPr>
                <w:rFonts w:ascii="Arial" w:cs="Arial" w:eastAsia="Arial" w:hAnsi="Arial"/>
                <w:sz w:val="12"/>
                <w:szCs w:val="12"/>
                <w:color w:val="auto"/>
              </w:rPr>
              <w:t>—</w:t>
            </w:r>
          </w:p>
        </w:tc>
        <w:tc>
          <w:tcPr>
            <w:tcW w:w="900" w:type="dxa"/>
            <w:vAlign w:val="bottom"/>
            <w:tcBorders>
              <w:bottom w:val="single" w:sz="8" w:color="CCECFF"/>
            </w:tcBorders>
            <w:gridSpan w:val="2"/>
          </w:tcPr>
          <w:p>
            <w:pPr>
              <w:jc w:val="right"/>
              <w:ind w:right="240"/>
              <w:spacing w:after="0"/>
              <w:rPr>
                <w:sz w:val="20"/>
                <w:szCs w:val="20"/>
                <w:color w:val="auto"/>
              </w:rPr>
            </w:pPr>
            <w:r>
              <w:rPr>
                <w:rFonts w:ascii="Arial" w:cs="Arial" w:eastAsia="Arial" w:hAnsi="Arial"/>
                <w:sz w:val="12"/>
                <w:szCs w:val="12"/>
                <w:color w:val="auto"/>
              </w:rPr>
              <w:t>—</w:t>
            </w:r>
          </w:p>
        </w:tc>
        <w:tc>
          <w:tcPr>
            <w:tcW w:w="680" w:type="dxa"/>
            <w:vAlign w:val="bottom"/>
            <w:tcBorders>
              <w:bottom w:val="single" w:sz="8" w:color="CCECFF"/>
            </w:tcBorders>
          </w:tcPr>
          <w:p>
            <w:pPr>
              <w:jc w:val="right"/>
              <w:spacing w:after="0"/>
              <w:rPr>
                <w:sz w:val="20"/>
                <w:szCs w:val="20"/>
                <w:color w:val="auto"/>
              </w:rPr>
            </w:pPr>
            <w:r>
              <w:rPr>
                <w:rFonts w:ascii="Arial" w:cs="Arial" w:eastAsia="Arial" w:hAnsi="Arial"/>
                <w:sz w:val="12"/>
                <w:szCs w:val="12"/>
                <w:color w:val="auto"/>
              </w:rPr>
              <w:t>491,755</w:t>
            </w:r>
          </w:p>
        </w:tc>
        <w:tc>
          <w:tcPr>
            <w:tcW w:w="240" w:type="dxa"/>
            <w:vAlign w:val="bottom"/>
            <w:tcBorders>
              <w:bottom w:val="single" w:sz="8" w:color="CCECFF"/>
            </w:tcBorders>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188,837</w:t>
            </w:r>
          </w:p>
        </w:tc>
        <w:tc>
          <w:tcPr>
            <w:tcW w:w="240" w:type="dxa"/>
            <w:vAlign w:val="bottom"/>
            <w:tcBorders>
              <w:bottom w:val="single" w:sz="8" w:color="CCECFF"/>
            </w:tcBorders>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2,595,099</w:t>
            </w:r>
          </w:p>
        </w:tc>
        <w:tc>
          <w:tcPr>
            <w:tcW w:w="100" w:type="dxa"/>
            <w:vAlign w:val="bottom"/>
            <w:tcBorders>
              <w:bottom w:val="single" w:sz="8" w:color="CCECFF"/>
            </w:tcBorders>
          </w:tcPr>
          <w:p>
            <w:pPr>
              <w:spacing w:after="0"/>
              <w:rPr>
                <w:sz w:val="12"/>
                <w:szCs w:val="12"/>
                <w:color w:val="auto"/>
              </w:rPr>
            </w:pPr>
          </w:p>
        </w:tc>
      </w:tr>
      <w:tr>
        <w:trPr>
          <w:trHeight w:val="142"/>
        </w:trPr>
        <w:tc>
          <w:tcPr>
            <w:tcW w:w="3080" w:type="dxa"/>
            <w:vAlign w:val="bottom"/>
            <w:shd w:val="clear" w:color="auto" w:fill="CCECFF"/>
          </w:tcPr>
          <w:p>
            <w:pPr>
              <w:spacing w:after="0"/>
              <w:rPr>
                <w:sz w:val="20"/>
                <w:szCs w:val="20"/>
                <w:color w:val="auto"/>
              </w:rPr>
            </w:pPr>
            <w:r>
              <w:rPr>
                <w:rFonts w:ascii="Arial" w:cs="Arial" w:eastAsia="Arial" w:hAnsi="Arial"/>
                <w:sz w:val="12"/>
                <w:szCs w:val="12"/>
                <w:b w:val="1"/>
                <w:bCs w:val="1"/>
                <w:color w:val="auto"/>
              </w:rPr>
              <w:t>Total Common Equity/Partnership Interests/Warrants</w:t>
            </w:r>
          </w:p>
        </w:tc>
        <w:tc>
          <w:tcPr>
            <w:tcW w:w="980" w:type="dxa"/>
            <w:vAlign w:val="bottom"/>
            <w:shd w:val="clear" w:color="auto" w:fill="CCECFF"/>
          </w:tcPr>
          <w:p>
            <w:pPr>
              <w:spacing w:after="0"/>
              <w:rPr>
                <w:sz w:val="12"/>
                <w:szCs w:val="12"/>
                <w:color w:val="auto"/>
              </w:rPr>
            </w:pPr>
          </w:p>
        </w:tc>
        <w:tc>
          <w:tcPr>
            <w:tcW w:w="2500" w:type="dxa"/>
            <w:vAlign w:val="bottom"/>
            <w:shd w:val="clear" w:color="auto" w:fill="CCECFF"/>
          </w:tcPr>
          <w:p>
            <w:pPr>
              <w:spacing w:after="0"/>
              <w:rPr>
                <w:sz w:val="12"/>
                <w:szCs w:val="12"/>
                <w:color w:val="auto"/>
              </w:rPr>
            </w:pPr>
          </w:p>
        </w:tc>
        <w:tc>
          <w:tcPr>
            <w:tcW w:w="140" w:type="dxa"/>
            <w:vAlign w:val="bottom"/>
            <w:shd w:val="clear" w:color="auto" w:fill="CCECFF"/>
          </w:tcPr>
          <w:p>
            <w:pPr>
              <w:spacing w:after="0"/>
              <w:rPr>
                <w:sz w:val="12"/>
                <w:szCs w:val="12"/>
                <w:color w:val="auto"/>
              </w:rPr>
            </w:pPr>
          </w:p>
        </w:tc>
        <w:tc>
          <w:tcPr>
            <w:tcW w:w="660" w:type="dxa"/>
            <w:vAlign w:val="bottom"/>
            <w:shd w:val="clear" w:color="auto" w:fill="CCECFF"/>
          </w:tcPr>
          <w:p>
            <w:pPr>
              <w:spacing w:after="0"/>
              <w:rPr>
                <w:sz w:val="12"/>
                <w:szCs w:val="12"/>
                <w:color w:val="auto"/>
              </w:rPr>
            </w:pPr>
          </w:p>
        </w:tc>
        <w:tc>
          <w:tcPr>
            <w:tcW w:w="300" w:type="dxa"/>
            <w:vAlign w:val="bottom"/>
            <w:shd w:val="clear" w:color="auto" w:fill="CCECFF"/>
          </w:tcPr>
          <w:p>
            <w:pPr>
              <w:spacing w:after="0"/>
              <w:rPr>
                <w:sz w:val="12"/>
                <w:szCs w:val="12"/>
                <w:color w:val="auto"/>
              </w:rPr>
            </w:pPr>
          </w:p>
        </w:tc>
        <w:tc>
          <w:tcPr>
            <w:tcW w:w="680" w:type="dxa"/>
            <w:vAlign w:val="bottom"/>
            <w:shd w:val="clear" w:color="auto" w:fill="CCECFF"/>
          </w:tcPr>
          <w:p>
            <w:pPr>
              <w:spacing w:after="0"/>
              <w:rPr>
                <w:sz w:val="12"/>
                <w:szCs w:val="12"/>
                <w:color w:val="auto"/>
              </w:rPr>
            </w:pPr>
          </w:p>
        </w:tc>
        <w:tc>
          <w:tcPr>
            <w:tcW w:w="220" w:type="dxa"/>
            <w:vAlign w:val="bottom"/>
            <w:shd w:val="clear" w:color="auto" w:fill="CCECFF"/>
          </w:tcPr>
          <w:p>
            <w:pPr>
              <w:spacing w:after="0"/>
              <w:rPr>
                <w:sz w:val="12"/>
                <w:szCs w:val="12"/>
                <w:color w:val="auto"/>
              </w:rPr>
            </w:pPr>
          </w:p>
        </w:tc>
        <w:tc>
          <w:tcPr>
            <w:tcW w:w="680" w:type="dxa"/>
            <w:vAlign w:val="bottom"/>
            <w:shd w:val="clear" w:color="auto" w:fill="CCECFF"/>
          </w:tcPr>
          <w:p>
            <w:pPr>
              <w:spacing w:after="0"/>
              <w:rPr>
                <w:sz w:val="12"/>
                <w:szCs w:val="12"/>
                <w:color w:val="auto"/>
              </w:rPr>
            </w:pPr>
          </w:p>
        </w:tc>
        <w:tc>
          <w:tcPr>
            <w:tcW w:w="240" w:type="dxa"/>
            <w:vAlign w:val="bottom"/>
            <w:shd w:val="clear" w:color="auto" w:fill="CCECFF"/>
          </w:tcPr>
          <w:p>
            <w:pPr>
              <w:spacing w:after="0"/>
              <w:rPr>
                <w:sz w:val="12"/>
                <w:szCs w:val="12"/>
                <w:color w:val="auto"/>
              </w:rPr>
            </w:pPr>
          </w:p>
        </w:tc>
        <w:tc>
          <w:tcPr>
            <w:tcW w:w="80" w:type="dxa"/>
            <w:vAlign w:val="bottom"/>
            <w:tcBorders>
              <w:bottom w:val="single" w:sz="8" w:color="auto"/>
            </w:tcBorders>
            <w:shd w:val="clear" w:color="auto" w:fill="CCECFF"/>
          </w:tcPr>
          <w:p>
            <w:pPr>
              <w:spacing w:after="0"/>
              <w:rPr>
                <w:sz w:val="12"/>
                <w:szCs w:val="12"/>
                <w:color w:val="auto"/>
              </w:rPr>
            </w:pPr>
          </w:p>
        </w:tc>
        <w:tc>
          <w:tcPr>
            <w:tcW w:w="620" w:type="dxa"/>
            <w:vAlign w:val="bottom"/>
            <w:tcBorders>
              <w:bottom w:val="single" w:sz="8" w:color="auto"/>
            </w:tcBorders>
            <w:shd w:val="clear" w:color="auto" w:fill="CCECFF"/>
          </w:tcPr>
          <w:p>
            <w:pPr>
              <w:jc w:val="right"/>
              <w:spacing w:after="0"/>
              <w:rPr>
                <w:sz w:val="20"/>
                <w:szCs w:val="20"/>
                <w:color w:val="auto"/>
              </w:rPr>
            </w:pPr>
            <w:r>
              <w:rPr>
                <w:rFonts w:ascii="Arial" w:cs="Arial" w:eastAsia="Arial" w:hAnsi="Arial"/>
                <w:sz w:val="12"/>
                <w:szCs w:val="12"/>
                <w:color w:val="auto"/>
                <w:w w:val="99"/>
              </w:rPr>
              <w:t>78,461,046</w:t>
            </w:r>
          </w:p>
        </w:tc>
        <w:tc>
          <w:tcPr>
            <w:tcW w:w="240" w:type="dxa"/>
            <w:vAlign w:val="bottom"/>
            <w:shd w:val="clear" w:color="auto" w:fill="CCECFF"/>
          </w:tcPr>
          <w:p>
            <w:pPr>
              <w:spacing w:after="0"/>
              <w:rPr>
                <w:sz w:val="12"/>
                <w:szCs w:val="12"/>
                <w:color w:val="auto"/>
              </w:rPr>
            </w:pPr>
          </w:p>
        </w:tc>
        <w:tc>
          <w:tcPr>
            <w:tcW w:w="80" w:type="dxa"/>
            <w:vAlign w:val="bottom"/>
            <w:tcBorders>
              <w:bottom w:val="single" w:sz="8" w:color="auto"/>
            </w:tcBorders>
            <w:shd w:val="clear" w:color="auto" w:fill="CCECFF"/>
          </w:tcPr>
          <w:p>
            <w:pPr>
              <w:spacing w:after="0"/>
              <w:rPr>
                <w:sz w:val="12"/>
                <w:szCs w:val="12"/>
                <w:color w:val="auto"/>
              </w:rPr>
            </w:pPr>
          </w:p>
        </w:tc>
        <w:tc>
          <w:tcPr>
            <w:tcW w:w="640" w:type="dxa"/>
            <w:vAlign w:val="bottom"/>
            <w:tcBorders>
              <w:bottom w:val="single" w:sz="8" w:color="auto"/>
            </w:tcBorders>
            <w:shd w:val="clear" w:color="auto" w:fill="CCECFF"/>
          </w:tcPr>
          <w:p>
            <w:pPr>
              <w:jc w:val="right"/>
              <w:spacing w:after="0"/>
              <w:rPr>
                <w:sz w:val="20"/>
                <w:szCs w:val="20"/>
                <w:color w:val="auto"/>
              </w:rPr>
            </w:pPr>
            <w:r>
              <w:rPr>
                <w:rFonts w:ascii="Arial" w:cs="Arial" w:eastAsia="Arial" w:hAnsi="Arial"/>
                <w:sz w:val="12"/>
                <w:szCs w:val="12"/>
                <w:color w:val="auto"/>
                <w:w w:val="99"/>
              </w:rPr>
              <w:t>57,316,420</w:t>
            </w:r>
          </w:p>
        </w:tc>
        <w:tc>
          <w:tcPr>
            <w:tcW w:w="100" w:type="dxa"/>
            <w:vAlign w:val="bottom"/>
            <w:shd w:val="clear" w:color="auto" w:fill="CCECFF"/>
          </w:tcPr>
          <w:p>
            <w:pPr>
              <w:spacing w:after="0"/>
              <w:rPr>
                <w:sz w:val="12"/>
                <w:szCs w:val="12"/>
                <w:color w:val="auto"/>
              </w:rPr>
            </w:pPr>
          </w:p>
        </w:tc>
      </w:tr>
      <w:tr>
        <w:trPr>
          <w:trHeight w:val="142"/>
        </w:trPr>
        <w:tc>
          <w:tcPr>
            <w:tcW w:w="4060" w:type="dxa"/>
            <w:vAlign w:val="bottom"/>
            <w:gridSpan w:val="2"/>
          </w:tcPr>
          <w:p>
            <w:pPr>
              <w:spacing w:after="0"/>
              <w:rPr>
                <w:sz w:val="20"/>
                <w:szCs w:val="20"/>
                <w:color w:val="auto"/>
              </w:rPr>
            </w:pPr>
            <w:r>
              <w:rPr>
                <w:rFonts w:ascii="Arial" w:cs="Arial" w:eastAsia="Arial" w:hAnsi="Arial"/>
                <w:sz w:val="12"/>
                <w:szCs w:val="12"/>
                <w:b w:val="1"/>
                <w:bCs w:val="1"/>
                <w:color w:val="auto"/>
              </w:rPr>
              <w:t>Total Investments in Non-Controlled, Affiliated Portfolio Companies</w:t>
            </w:r>
          </w:p>
        </w:tc>
        <w:tc>
          <w:tcPr>
            <w:tcW w:w="25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w w:val="89"/>
              </w:rPr>
              <w:t>262,476,906</w:t>
            </w:r>
          </w:p>
        </w:tc>
        <w:tc>
          <w:tcPr>
            <w:tcW w:w="240" w:type="dxa"/>
            <w:vAlign w:val="bottom"/>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w w:val="89"/>
              </w:rPr>
              <w:t>215,192,547</w:t>
            </w:r>
          </w:p>
        </w:tc>
        <w:tc>
          <w:tcPr>
            <w:tcW w:w="100" w:type="dxa"/>
            <w:vAlign w:val="bottom"/>
          </w:tcPr>
          <w:p>
            <w:pPr>
              <w:spacing w:after="0"/>
              <w:rPr>
                <w:sz w:val="12"/>
                <w:szCs w:val="12"/>
                <w:color w:val="auto"/>
              </w:rPr>
            </w:pPr>
          </w:p>
        </w:tc>
      </w:tr>
    </w:tbl>
    <w:p>
      <w:pPr>
        <w:spacing w:after="0" w:line="197"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SEE NOTES TO CONSOLIDATED FINANCIAL STATEMENTS</w:t>
      </w:r>
    </w:p>
    <w:p>
      <w:pPr>
        <w:spacing w:after="0" w:line="136"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72390</wp:posOffset>
            </wp:positionV>
            <wp:extent cx="7149465" cy="171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333" w:right="339" w:bottom="1440" w:gutter="0" w:footer="0" w:header="0"/>
        </w:sectPr>
      </w:pPr>
    </w:p>
    <w:bookmarkStart w:id="12" w:name="page13"/>
    <w:bookmarkEnd w:id="12"/>
    <w:p>
      <w:pPr>
        <w:jc w:val="center"/>
        <w:spacing w:after="0"/>
        <w:rPr>
          <w:sz w:val="20"/>
          <w:szCs w:val="20"/>
          <w:color w:val="auto"/>
        </w:rPr>
      </w:pPr>
      <w:r>
        <w:rPr>
          <w:rFonts w:ascii="Arial" w:cs="Arial" w:eastAsia="Arial" w:hAnsi="Arial"/>
          <w:sz w:val="14"/>
          <w:szCs w:val="14"/>
          <w:b w:val="1"/>
          <w:bCs w:val="1"/>
          <w:color w:val="auto"/>
        </w:rPr>
        <w:t>PENNANTPARK INVESTMENT CORPORATION AND SUBSIDIARIES</w:t>
      </w:r>
    </w:p>
    <w:p>
      <w:pPr>
        <w:jc w:val="center"/>
        <w:spacing w:after="0" w:line="226" w:lineRule="auto"/>
        <w:rPr>
          <w:sz w:val="20"/>
          <w:szCs w:val="20"/>
          <w:color w:val="auto"/>
        </w:rPr>
      </w:pPr>
      <w:r>
        <w:rPr>
          <w:rFonts w:ascii="Arial" w:cs="Arial" w:eastAsia="Arial" w:hAnsi="Arial"/>
          <w:sz w:val="14"/>
          <w:szCs w:val="14"/>
          <w:b w:val="1"/>
          <w:bCs w:val="1"/>
          <w:color w:val="auto"/>
        </w:rPr>
        <w:t>CONSOLIDATED SCHEDULE OF INVESTMENTS – (Continued)</w:t>
      </w:r>
    </w:p>
    <w:p>
      <w:pPr>
        <w:jc w:val="center"/>
        <w:spacing w:after="0"/>
        <w:rPr>
          <w:sz w:val="20"/>
          <w:szCs w:val="20"/>
          <w:color w:val="auto"/>
        </w:rPr>
      </w:pPr>
      <w:r>
        <w:rPr>
          <w:rFonts w:ascii="Arial" w:cs="Arial" w:eastAsia="Arial" w:hAnsi="Arial"/>
          <w:sz w:val="14"/>
          <w:szCs w:val="14"/>
          <w:b w:val="1"/>
          <w:bCs w:val="1"/>
          <w:color w:val="auto"/>
        </w:rPr>
        <w:t>SEPTEMBER 30, 2016</w:t>
      </w:r>
    </w:p>
    <w:p>
      <w:pPr>
        <w:spacing w:after="0" w:line="294" w:lineRule="exact"/>
        <w:rPr>
          <w:sz w:val="20"/>
          <w:szCs w:val="20"/>
          <w:color w:val="auto"/>
        </w:rPr>
      </w:pPr>
    </w:p>
    <w:tbl>
      <w:tblPr>
        <w:tblLayout w:type="fixed"/>
        <w:tblInd w:w="0" w:type="dxa"/>
        <w:tblCellMar>
          <w:top w:w="0" w:type="dxa"/>
          <w:left w:w="0" w:type="dxa"/>
          <w:bottom w:w="0" w:type="dxa"/>
          <w:right w:w="0" w:type="dxa"/>
        </w:tblCellMar>
      </w:tblPr>
      <w:tr>
        <w:trPr>
          <w:trHeight w:val="138"/>
        </w:trPr>
        <w:tc>
          <w:tcPr>
            <w:tcW w:w="2940" w:type="dxa"/>
            <w:vAlign w:val="bottom"/>
          </w:tcPr>
          <w:p>
            <w:pPr>
              <w:spacing w:after="0"/>
              <w:rPr>
                <w:sz w:val="12"/>
                <w:szCs w:val="12"/>
                <w:color w:val="auto"/>
              </w:rPr>
            </w:pPr>
          </w:p>
        </w:tc>
        <w:tc>
          <w:tcPr>
            <w:tcW w:w="1200" w:type="dxa"/>
            <w:vAlign w:val="bottom"/>
          </w:tcPr>
          <w:p>
            <w:pPr>
              <w:spacing w:after="0"/>
              <w:rPr>
                <w:sz w:val="12"/>
                <w:szCs w:val="12"/>
                <w:color w:val="auto"/>
              </w:rPr>
            </w:pPr>
          </w:p>
        </w:tc>
        <w:tc>
          <w:tcPr>
            <w:tcW w:w="22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900" w:type="dxa"/>
            <w:vAlign w:val="bottom"/>
            <w:gridSpan w:val="2"/>
          </w:tcPr>
          <w:p>
            <w:pPr>
              <w:jc w:val="center"/>
              <w:ind w:right="240"/>
              <w:spacing w:after="0"/>
              <w:rPr>
                <w:sz w:val="20"/>
                <w:szCs w:val="20"/>
                <w:color w:val="auto"/>
              </w:rPr>
            </w:pPr>
            <w:r>
              <w:rPr>
                <w:rFonts w:ascii="Arial" w:cs="Arial" w:eastAsia="Arial" w:hAnsi="Arial"/>
                <w:sz w:val="12"/>
                <w:szCs w:val="12"/>
                <w:b w:val="1"/>
                <w:bCs w:val="1"/>
                <w:color w:val="auto"/>
                <w:w w:val="82"/>
              </w:rPr>
              <w:t>Basis Point</w:t>
            </w:r>
          </w:p>
        </w:tc>
        <w:tc>
          <w:tcPr>
            <w:tcW w:w="6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5"/>
        </w:trPr>
        <w:tc>
          <w:tcPr>
            <w:tcW w:w="294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22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900" w:type="dxa"/>
            <w:vAlign w:val="bottom"/>
            <w:gridSpan w:val="2"/>
          </w:tcPr>
          <w:p>
            <w:pPr>
              <w:jc w:val="center"/>
              <w:ind w:right="240"/>
              <w:spacing w:after="0" w:line="135" w:lineRule="exact"/>
              <w:rPr>
                <w:sz w:val="20"/>
                <w:szCs w:val="20"/>
                <w:color w:val="auto"/>
              </w:rPr>
            </w:pPr>
            <w:r>
              <w:rPr>
                <w:rFonts w:ascii="Arial" w:cs="Arial" w:eastAsia="Arial" w:hAnsi="Arial"/>
                <w:sz w:val="12"/>
                <w:szCs w:val="12"/>
                <w:b w:val="1"/>
                <w:bCs w:val="1"/>
                <w:color w:val="auto"/>
                <w:w w:val="83"/>
              </w:rPr>
              <w:t>Spread</w:t>
            </w:r>
          </w:p>
        </w:tc>
        <w:tc>
          <w:tcPr>
            <w:tcW w:w="6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940" w:type="dxa"/>
            <w:vAlign w:val="bottom"/>
          </w:tcPr>
          <w:p>
            <w:pPr>
              <w:spacing w:after="0"/>
              <w:rPr>
                <w:sz w:val="11"/>
                <w:szCs w:val="11"/>
                <w:color w:val="auto"/>
              </w:rPr>
            </w:pPr>
          </w:p>
        </w:tc>
        <w:tc>
          <w:tcPr>
            <w:tcW w:w="1200" w:type="dxa"/>
            <w:vAlign w:val="bottom"/>
          </w:tcPr>
          <w:p>
            <w:pPr>
              <w:ind w:left="120"/>
              <w:spacing w:after="0" w:line="135" w:lineRule="exact"/>
              <w:rPr>
                <w:sz w:val="20"/>
                <w:szCs w:val="20"/>
                <w:color w:val="auto"/>
              </w:rPr>
            </w:pPr>
            <w:r>
              <w:rPr>
                <w:rFonts w:ascii="Arial" w:cs="Arial" w:eastAsia="Arial" w:hAnsi="Arial"/>
                <w:sz w:val="12"/>
                <w:szCs w:val="12"/>
                <w:b w:val="1"/>
                <w:bCs w:val="1"/>
                <w:color w:val="auto"/>
              </w:rPr>
              <w:t>Maturity /</w:t>
            </w:r>
          </w:p>
        </w:tc>
        <w:tc>
          <w:tcPr>
            <w:tcW w:w="22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960" w:type="dxa"/>
            <w:vAlign w:val="bottom"/>
            <w:gridSpan w:val="2"/>
          </w:tcPr>
          <w:p>
            <w:pPr>
              <w:ind w:left="120"/>
              <w:spacing w:after="0" w:line="135" w:lineRule="exact"/>
              <w:rPr>
                <w:sz w:val="20"/>
                <w:szCs w:val="20"/>
                <w:color w:val="auto"/>
              </w:rPr>
            </w:pPr>
            <w:r>
              <w:rPr>
                <w:rFonts w:ascii="Arial" w:cs="Arial" w:eastAsia="Arial" w:hAnsi="Arial"/>
                <w:sz w:val="12"/>
                <w:szCs w:val="12"/>
                <w:b w:val="1"/>
                <w:bCs w:val="1"/>
                <w:color w:val="auto"/>
              </w:rPr>
              <w:t>Current</w:t>
            </w:r>
          </w:p>
        </w:tc>
        <w:tc>
          <w:tcPr>
            <w:tcW w:w="900" w:type="dxa"/>
            <w:vAlign w:val="bottom"/>
            <w:gridSpan w:val="2"/>
          </w:tcPr>
          <w:p>
            <w:pPr>
              <w:jc w:val="center"/>
              <w:ind w:right="220"/>
              <w:spacing w:after="0" w:line="135" w:lineRule="exact"/>
              <w:rPr>
                <w:sz w:val="20"/>
                <w:szCs w:val="20"/>
                <w:color w:val="auto"/>
              </w:rPr>
            </w:pPr>
            <w:r>
              <w:rPr>
                <w:rFonts w:ascii="Arial" w:cs="Arial" w:eastAsia="Arial" w:hAnsi="Arial"/>
                <w:sz w:val="12"/>
                <w:szCs w:val="12"/>
                <w:b w:val="1"/>
                <w:bCs w:val="1"/>
                <w:color w:val="auto"/>
                <w:w w:val="87"/>
              </w:rPr>
              <w:t>Above</w:t>
            </w:r>
          </w:p>
        </w:tc>
        <w:tc>
          <w:tcPr>
            <w:tcW w:w="680" w:type="dxa"/>
            <w:vAlign w:val="bottom"/>
          </w:tcPr>
          <w:p>
            <w:pPr>
              <w:jc w:val="right"/>
              <w:ind w:right="162"/>
              <w:spacing w:after="0" w:line="135" w:lineRule="exact"/>
              <w:rPr>
                <w:sz w:val="20"/>
                <w:szCs w:val="20"/>
                <w:color w:val="auto"/>
              </w:rPr>
            </w:pPr>
            <w:r>
              <w:rPr>
                <w:rFonts w:ascii="Arial" w:cs="Arial" w:eastAsia="Arial" w:hAnsi="Arial"/>
                <w:sz w:val="12"/>
                <w:szCs w:val="12"/>
                <w:b w:val="1"/>
                <w:bCs w:val="1"/>
                <w:color w:val="auto"/>
              </w:rPr>
              <w:t>Par /</w:t>
            </w:r>
          </w:p>
        </w:tc>
        <w:tc>
          <w:tcPr>
            <w:tcW w:w="2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3"/>
        </w:trPr>
        <w:tc>
          <w:tcPr>
            <w:tcW w:w="2940" w:type="dxa"/>
            <w:vAlign w:val="bottom"/>
          </w:tcPr>
          <w:p>
            <w:pPr>
              <w:spacing w:after="0"/>
              <w:rPr>
                <w:sz w:val="20"/>
                <w:szCs w:val="20"/>
                <w:color w:val="auto"/>
              </w:rPr>
            </w:pPr>
            <w:r>
              <w:rPr>
                <w:rFonts w:ascii="Arial" w:cs="Arial" w:eastAsia="Arial" w:hAnsi="Arial"/>
                <w:sz w:val="12"/>
                <w:szCs w:val="12"/>
                <w:b w:val="1"/>
                <w:bCs w:val="1"/>
                <w:color w:val="auto"/>
              </w:rPr>
              <w:t>Issuer Name</w:t>
            </w:r>
          </w:p>
        </w:tc>
        <w:tc>
          <w:tcPr>
            <w:tcW w:w="1200" w:type="dxa"/>
            <w:vAlign w:val="bottom"/>
          </w:tcPr>
          <w:p>
            <w:pPr>
              <w:ind w:left="120"/>
              <w:spacing w:after="0"/>
              <w:rPr>
                <w:sz w:val="20"/>
                <w:szCs w:val="20"/>
                <w:color w:val="auto"/>
              </w:rPr>
            </w:pPr>
            <w:r>
              <w:rPr>
                <w:rFonts w:ascii="Arial" w:cs="Arial" w:eastAsia="Arial" w:hAnsi="Arial"/>
                <w:sz w:val="12"/>
                <w:szCs w:val="12"/>
                <w:b w:val="1"/>
                <w:bCs w:val="1"/>
                <w:color w:val="auto"/>
              </w:rPr>
              <w:t>Expiration</w:t>
            </w:r>
          </w:p>
        </w:tc>
        <w:tc>
          <w:tcPr>
            <w:tcW w:w="2400" w:type="dxa"/>
            <w:vAlign w:val="bottom"/>
            <w:gridSpan w:val="2"/>
          </w:tcPr>
          <w:p>
            <w:pPr>
              <w:jc w:val="center"/>
              <w:ind w:right="440"/>
              <w:spacing w:after="0"/>
              <w:rPr>
                <w:sz w:val="20"/>
                <w:szCs w:val="20"/>
                <w:color w:val="auto"/>
              </w:rPr>
            </w:pPr>
            <w:r>
              <w:rPr>
                <w:rFonts w:ascii="Arial" w:cs="Arial" w:eastAsia="Arial" w:hAnsi="Arial"/>
                <w:sz w:val="12"/>
                <w:szCs w:val="12"/>
                <w:b w:val="1"/>
                <w:bCs w:val="1"/>
                <w:color w:val="auto"/>
                <w:w w:val="92"/>
              </w:rPr>
              <w:t>Industry</w:t>
            </w:r>
          </w:p>
        </w:tc>
        <w:tc>
          <w:tcPr>
            <w:tcW w:w="960" w:type="dxa"/>
            <w:vAlign w:val="bottom"/>
            <w:gridSpan w:val="2"/>
          </w:tcPr>
          <w:p>
            <w:pPr>
              <w:ind w:left="140"/>
              <w:spacing w:after="0"/>
              <w:rPr>
                <w:sz w:val="20"/>
                <w:szCs w:val="20"/>
                <w:color w:val="auto"/>
              </w:rPr>
            </w:pPr>
            <w:r>
              <w:rPr>
                <w:rFonts w:ascii="Arial" w:cs="Arial" w:eastAsia="Arial" w:hAnsi="Arial"/>
                <w:sz w:val="12"/>
                <w:szCs w:val="12"/>
                <w:b w:val="1"/>
                <w:bCs w:val="1"/>
                <w:color w:val="auto"/>
              </w:rPr>
              <w:t>Coupon</w:t>
            </w:r>
          </w:p>
        </w:tc>
        <w:tc>
          <w:tcPr>
            <w:tcW w:w="900" w:type="dxa"/>
            <w:vAlign w:val="bottom"/>
            <w:gridSpan w:val="2"/>
          </w:tcPr>
          <w:p>
            <w:pPr>
              <w:jc w:val="center"/>
              <w:ind w:right="240"/>
              <w:spacing w:after="0"/>
              <w:rPr>
                <w:sz w:val="20"/>
                <w:szCs w:val="20"/>
                <w:color w:val="auto"/>
              </w:rPr>
            </w:pPr>
            <w:r>
              <w:rPr>
                <w:rFonts w:ascii="Arial" w:cs="Arial" w:eastAsia="Arial" w:hAnsi="Arial"/>
                <w:sz w:val="12"/>
                <w:szCs w:val="12"/>
                <w:b w:val="1"/>
                <w:bCs w:val="1"/>
                <w:color w:val="auto"/>
                <w:w w:val="91"/>
              </w:rPr>
              <w:t xml:space="preserve">Index </w:t>
            </w:r>
            <w:r>
              <w:rPr>
                <w:rFonts w:ascii="Arial" w:cs="Arial" w:eastAsia="Arial" w:hAnsi="Arial"/>
                <w:sz w:val="9"/>
                <w:szCs w:val="9"/>
                <w:b w:val="1"/>
                <w:bCs w:val="1"/>
                <w:color w:val="auto"/>
                <w:w w:val="91"/>
              </w:rPr>
              <w:t>(4)</w:t>
            </w:r>
          </w:p>
        </w:tc>
        <w:tc>
          <w:tcPr>
            <w:tcW w:w="680" w:type="dxa"/>
            <w:vAlign w:val="bottom"/>
          </w:tcPr>
          <w:p>
            <w:pPr>
              <w:jc w:val="right"/>
              <w:ind w:right="122"/>
              <w:spacing w:after="0"/>
              <w:rPr>
                <w:sz w:val="20"/>
                <w:szCs w:val="20"/>
                <w:color w:val="auto"/>
              </w:rPr>
            </w:pPr>
            <w:r>
              <w:rPr>
                <w:rFonts w:ascii="Arial" w:cs="Arial" w:eastAsia="Arial" w:hAnsi="Arial"/>
                <w:sz w:val="12"/>
                <w:szCs w:val="12"/>
                <w:b w:val="1"/>
                <w:bCs w:val="1"/>
                <w:color w:val="auto"/>
              </w:rPr>
              <w:t>Shares</w:t>
            </w: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00" w:type="dxa"/>
            <w:vAlign w:val="bottom"/>
          </w:tcPr>
          <w:p>
            <w:pPr>
              <w:jc w:val="right"/>
              <w:ind w:right="222"/>
              <w:spacing w:after="0"/>
              <w:rPr>
                <w:sz w:val="20"/>
                <w:szCs w:val="20"/>
                <w:color w:val="auto"/>
              </w:rPr>
            </w:pPr>
            <w:r>
              <w:rPr>
                <w:rFonts w:ascii="Arial" w:cs="Arial" w:eastAsia="Arial" w:hAnsi="Arial"/>
                <w:sz w:val="12"/>
                <w:szCs w:val="12"/>
                <w:b w:val="1"/>
                <w:bCs w:val="1"/>
                <w:color w:val="auto"/>
              </w:rPr>
              <w:t>Cost</w:t>
            </w:r>
          </w:p>
        </w:tc>
        <w:tc>
          <w:tcPr>
            <w:tcW w:w="240" w:type="dxa"/>
            <w:vAlign w:val="bottom"/>
          </w:tcPr>
          <w:p>
            <w:pPr>
              <w:spacing w:after="0"/>
              <w:rPr>
                <w:sz w:val="12"/>
                <w:szCs w:val="12"/>
                <w:color w:val="auto"/>
              </w:rPr>
            </w:pPr>
          </w:p>
        </w:tc>
        <w:tc>
          <w:tcPr>
            <w:tcW w:w="900" w:type="dxa"/>
            <w:vAlign w:val="bottom"/>
            <w:gridSpan w:val="3"/>
          </w:tcPr>
          <w:p>
            <w:pPr>
              <w:jc w:val="right"/>
              <w:ind w:right="139"/>
              <w:spacing w:after="0"/>
              <w:rPr>
                <w:sz w:val="20"/>
                <w:szCs w:val="20"/>
                <w:color w:val="auto"/>
              </w:rPr>
            </w:pPr>
            <w:r>
              <w:rPr>
                <w:rFonts w:ascii="Arial" w:cs="Arial" w:eastAsia="Arial" w:hAnsi="Arial"/>
                <w:sz w:val="12"/>
                <w:szCs w:val="12"/>
                <w:b w:val="1"/>
                <w:bCs w:val="1"/>
                <w:color w:val="auto"/>
                <w:w w:val="97"/>
              </w:rPr>
              <w:t xml:space="preserve">Fair Value </w:t>
            </w:r>
            <w:r>
              <w:rPr>
                <w:rFonts w:ascii="Arial" w:cs="Arial" w:eastAsia="Arial" w:hAnsi="Arial"/>
                <w:sz w:val="9"/>
                <w:szCs w:val="9"/>
                <w:b w:val="1"/>
                <w:bCs w:val="1"/>
                <w:color w:val="auto"/>
                <w:w w:val="97"/>
              </w:rPr>
              <w:t>(3)</w:t>
            </w:r>
          </w:p>
        </w:tc>
        <w:tc>
          <w:tcPr>
            <w:tcW w:w="0" w:type="dxa"/>
            <w:vAlign w:val="bottom"/>
          </w:tcPr>
          <w:p>
            <w:pPr>
              <w:spacing w:after="0"/>
              <w:rPr>
                <w:sz w:val="1"/>
                <w:szCs w:val="1"/>
                <w:color w:val="auto"/>
              </w:rPr>
            </w:pPr>
          </w:p>
        </w:tc>
      </w:tr>
      <w:tr>
        <w:trPr>
          <w:trHeight w:val="142"/>
        </w:trPr>
        <w:tc>
          <w:tcPr>
            <w:tcW w:w="4140" w:type="dxa"/>
            <w:vAlign w:val="bottom"/>
            <w:tcBorders>
              <w:top w:val="single" w:sz="8" w:color="auto"/>
            </w:tcBorders>
            <w:gridSpan w:val="2"/>
            <w:shd w:val="clear" w:color="auto" w:fill="CCECFF"/>
          </w:tcPr>
          <w:p>
            <w:pPr>
              <w:spacing w:after="0"/>
              <w:rPr>
                <w:sz w:val="20"/>
                <w:szCs w:val="20"/>
                <w:color w:val="auto"/>
              </w:rPr>
            </w:pPr>
            <w:r>
              <w:rPr>
                <w:rFonts w:ascii="Arial" w:cs="Arial" w:eastAsia="Arial" w:hAnsi="Arial"/>
                <w:sz w:val="12"/>
                <w:szCs w:val="12"/>
                <w:b w:val="1"/>
                <w:bCs w:val="1"/>
                <w:color w:val="auto"/>
              </w:rPr>
              <w:t xml:space="preserve">Investments in Controlled, Affiliated Portfolio Companies—19.4% </w:t>
            </w:r>
            <w:r>
              <w:rPr>
                <w:rFonts w:ascii="Arial" w:cs="Arial" w:eastAsia="Arial" w:hAnsi="Arial"/>
                <w:sz w:val="9"/>
                <w:szCs w:val="9"/>
                <w:b w:val="1"/>
                <w:bCs w:val="1"/>
                <w:color w:val="auto"/>
              </w:rPr>
              <w:t>(1), (2)</w:t>
            </w:r>
          </w:p>
        </w:tc>
        <w:tc>
          <w:tcPr>
            <w:tcW w:w="2280" w:type="dxa"/>
            <w:vAlign w:val="bottom"/>
            <w:tcBorders>
              <w:top w:val="single" w:sz="8" w:color="auto"/>
            </w:tcBorders>
            <w:shd w:val="clear" w:color="auto" w:fill="CCECFF"/>
          </w:tcPr>
          <w:p>
            <w:pPr>
              <w:spacing w:after="0"/>
              <w:rPr>
                <w:sz w:val="12"/>
                <w:szCs w:val="12"/>
                <w:color w:val="auto"/>
              </w:rPr>
            </w:pPr>
          </w:p>
        </w:tc>
        <w:tc>
          <w:tcPr>
            <w:tcW w:w="120" w:type="dxa"/>
            <w:vAlign w:val="bottom"/>
            <w:tcBorders>
              <w:top w:val="single" w:sz="8" w:color="CCECFF"/>
            </w:tcBorders>
            <w:shd w:val="clear" w:color="auto" w:fill="CCECFF"/>
          </w:tcPr>
          <w:p>
            <w:pPr>
              <w:spacing w:after="0"/>
              <w:rPr>
                <w:sz w:val="12"/>
                <w:szCs w:val="12"/>
                <w:color w:val="auto"/>
              </w:rPr>
            </w:pPr>
          </w:p>
        </w:tc>
        <w:tc>
          <w:tcPr>
            <w:tcW w:w="680" w:type="dxa"/>
            <w:vAlign w:val="bottom"/>
            <w:tcBorders>
              <w:top w:val="single" w:sz="8" w:color="auto"/>
            </w:tcBorders>
            <w:shd w:val="clear" w:color="auto" w:fill="CCECFF"/>
          </w:tcPr>
          <w:p>
            <w:pPr>
              <w:spacing w:after="0"/>
              <w:rPr>
                <w:sz w:val="12"/>
                <w:szCs w:val="12"/>
                <w:color w:val="auto"/>
              </w:rPr>
            </w:pPr>
          </w:p>
        </w:tc>
        <w:tc>
          <w:tcPr>
            <w:tcW w:w="280" w:type="dxa"/>
            <w:vAlign w:val="bottom"/>
            <w:tcBorders>
              <w:top w:val="single" w:sz="8" w:color="CCECFF"/>
            </w:tcBorders>
            <w:shd w:val="clear" w:color="auto" w:fill="CCECFF"/>
          </w:tcPr>
          <w:p>
            <w:pPr>
              <w:spacing w:after="0"/>
              <w:rPr>
                <w:sz w:val="12"/>
                <w:szCs w:val="12"/>
                <w:color w:val="auto"/>
              </w:rPr>
            </w:pPr>
          </w:p>
        </w:tc>
        <w:tc>
          <w:tcPr>
            <w:tcW w:w="680" w:type="dxa"/>
            <w:vAlign w:val="bottom"/>
            <w:tcBorders>
              <w:top w:val="single" w:sz="8" w:color="auto"/>
            </w:tcBorders>
            <w:shd w:val="clear" w:color="auto" w:fill="CCECFF"/>
          </w:tcPr>
          <w:p>
            <w:pPr>
              <w:spacing w:after="0"/>
              <w:rPr>
                <w:sz w:val="12"/>
                <w:szCs w:val="12"/>
                <w:color w:val="auto"/>
              </w:rPr>
            </w:pPr>
          </w:p>
        </w:tc>
        <w:tc>
          <w:tcPr>
            <w:tcW w:w="220" w:type="dxa"/>
            <w:vAlign w:val="bottom"/>
            <w:tcBorders>
              <w:top w:val="single" w:sz="8" w:color="CCECFF"/>
            </w:tcBorders>
            <w:shd w:val="clear" w:color="auto" w:fill="CCECFF"/>
          </w:tcPr>
          <w:p>
            <w:pPr>
              <w:spacing w:after="0"/>
              <w:rPr>
                <w:sz w:val="12"/>
                <w:szCs w:val="12"/>
                <w:color w:val="auto"/>
              </w:rPr>
            </w:pPr>
          </w:p>
        </w:tc>
        <w:tc>
          <w:tcPr>
            <w:tcW w:w="680" w:type="dxa"/>
            <w:vAlign w:val="bottom"/>
            <w:tcBorders>
              <w:top w:val="single" w:sz="8" w:color="auto"/>
            </w:tcBorders>
            <w:shd w:val="clear" w:color="auto" w:fill="CCECFF"/>
          </w:tcPr>
          <w:p>
            <w:pPr>
              <w:spacing w:after="0"/>
              <w:rPr>
                <w:sz w:val="12"/>
                <w:szCs w:val="12"/>
                <w:color w:val="auto"/>
              </w:rPr>
            </w:pPr>
          </w:p>
        </w:tc>
        <w:tc>
          <w:tcPr>
            <w:tcW w:w="220" w:type="dxa"/>
            <w:vAlign w:val="bottom"/>
            <w:tcBorders>
              <w:top w:val="single" w:sz="8" w:color="CCECFF"/>
            </w:tcBorders>
            <w:shd w:val="clear" w:color="auto" w:fill="CCECFF"/>
          </w:tcPr>
          <w:p>
            <w:pPr>
              <w:spacing w:after="0"/>
              <w:rPr>
                <w:sz w:val="12"/>
                <w:szCs w:val="12"/>
                <w:color w:val="auto"/>
              </w:rPr>
            </w:pPr>
          </w:p>
        </w:tc>
        <w:tc>
          <w:tcPr>
            <w:tcW w:w="100" w:type="dxa"/>
            <w:vAlign w:val="bottom"/>
            <w:tcBorders>
              <w:top w:val="single" w:sz="8" w:color="auto"/>
            </w:tcBorders>
            <w:shd w:val="clear" w:color="auto" w:fill="CCECFF"/>
          </w:tcPr>
          <w:p>
            <w:pPr>
              <w:spacing w:after="0"/>
              <w:rPr>
                <w:sz w:val="12"/>
                <w:szCs w:val="12"/>
                <w:color w:val="auto"/>
              </w:rPr>
            </w:pPr>
          </w:p>
        </w:tc>
        <w:tc>
          <w:tcPr>
            <w:tcW w:w="700" w:type="dxa"/>
            <w:vAlign w:val="bottom"/>
            <w:tcBorders>
              <w:top w:val="single" w:sz="8" w:color="auto"/>
            </w:tcBorders>
            <w:shd w:val="clear" w:color="auto" w:fill="CCECFF"/>
          </w:tcPr>
          <w:p>
            <w:pPr>
              <w:spacing w:after="0"/>
              <w:rPr>
                <w:sz w:val="12"/>
                <w:szCs w:val="12"/>
                <w:color w:val="auto"/>
              </w:rPr>
            </w:pPr>
          </w:p>
        </w:tc>
        <w:tc>
          <w:tcPr>
            <w:tcW w:w="240" w:type="dxa"/>
            <w:vAlign w:val="bottom"/>
            <w:tcBorders>
              <w:top w:val="single" w:sz="8" w:color="CCECFF"/>
            </w:tcBorders>
            <w:shd w:val="clear" w:color="auto" w:fill="CCECFF"/>
          </w:tcPr>
          <w:p>
            <w:pPr>
              <w:spacing w:after="0"/>
              <w:rPr>
                <w:sz w:val="12"/>
                <w:szCs w:val="12"/>
                <w:color w:val="auto"/>
              </w:rPr>
            </w:pPr>
          </w:p>
        </w:tc>
        <w:tc>
          <w:tcPr>
            <w:tcW w:w="80" w:type="dxa"/>
            <w:vAlign w:val="bottom"/>
            <w:tcBorders>
              <w:top w:val="single" w:sz="8" w:color="auto"/>
            </w:tcBorders>
            <w:shd w:val="clear" w:color="auto" w:fill="CCECFF"/>
          </w:tcPr>
          <w:p>
            <w:pPr>
              <w:spacing w:after="0"/>
              <w:rPr>
                <w:sz w:val="12"/>
                <w:szCs w:val="12"/>
                <w:color w:val="auto"/>
              </w:rPr>
            </w:pPr>
          </w:p>
        </w:tc>
        <w:tc>
          <w:tcPr>
            <w:tcW w:w="720" w:type="dxa"/>
            <w:vAlign w:val="bottom"/>
            <w:tcBorders>
              <w:top w:val="single" w:sz="8" w:color="auto"/>
            </w:tcBorders>
            <w:shd w:val="clear" w:color="auto" w:fill="CCECFF"/>
          </w:tcPr>
          <w:p>
            <w:pPr>
              <w:spacing w:after="0"/>
              <w:rPr>
                <w:sz w:val="12"/>
                <w:szCs w:val="12"/>
                <w:color w:val="auto"/>
              </w:rPr>
            </w:pPr>
          </w:p>
        </w:tc>
        <w:tc>
          <w:tcPr>
            <w:tcW w:w="100" w:type="dxa"/>
            <w:vAlign w:val="bottom"/>
            <w:tcBorders>
              <w:top w:val="single" w:sz="8" w:color="CCECFF"/>
            </w:tcBorders>
            <w:shd w:val="clear" w:color="auto" w:fill="CCECFF"/>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940" w:type="dxa"/>
            <w:vAlign w:val="bottom"/>
          </w:tcPr>
          <w:p>
            <w:pPr>
              <w:spacing w:after="0"/>
              <w:rPr>
                <w:sz w:val="20"/>
                <w:szCs w:val="20"/>
                <w:color w:val="auto"/>
              </w:rPr>
            </w:pPr>
            <w:r>
              <w:rPr>
                <w:rFonts w:ascii="Arial" w:cs="Arial" w:eastAsia="Arial" w:hAnsi="Arial"/>
                <w:sz w:val="12"/>
                <w:szCs w:val="12"/>
                <w:b w:val="1"/>
                <w:bCs w:val="1"/>
                <w:color w:val="auto"/>
              </w:rPr>
              <w:t>First Lien Secured Debt—14.7%</w:t>
            </w:r>
          </w:p>
        </w:tc>
        <w:tc>
          <w:tcPr>
            <w:tcW w:w="1200" w:type="dxa"/>
            <w:vAlign w:val="bottom"/>
          </w:tcPr>
          <w:p>
            <w:pPr>
              <w:spacing w:after="0"/>
              <w:rPr>
                <w:sz w:val="12"/>
                <w:szCs w:val="12"/>
                <w:color w:val="auto"/>
              </w:rPr>
            </w:pPr>
          </w:p>
        </w:tc>
        <w:tc>
          <w:tcPr>
            <w:tcW w:w="22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940" w:type="dxa"/>
            <w:vAlign w:val="bottom"/>
            <w:shd w:val="clear" w:color="auto" w:fill="CCECFF"/>
          </w:tcPr>
          <w:p>
            <w:pPr>
              <w:spacing w:after="0"/>
              <w:rPr>
                <w:sz w:val="20"/>
                <w:szCs w:val="20"/>
                <w:color w:val="auto"/>
              </w:rPr>
            </w:pPr>
            <w:r>
              <w:rPr>
                <w:rFonts w:ascii="Arial" w:cs="Arial" w:eastAsia="Arial" w:hAnsi="Arial"/>
                <w:sz w:val="12"/>
                <w:szCs w:val="12"/>
                <w:color w:val="auto"/>
              </w:rPr>
              <w:t>RAM Energy LLC</w:t>
            </w:r>
          </w:p>
        </w:tc>
        <w:tc>
          <w:tcPr>
            <w:tcW w:w="1200" w:type="dxa"/>
            <w:vAlign w:val="bottom"/>
            <w:shd w:val="clear" w:color="auto" w:fill="CCECFF"/>
          </w:tcPr>
          <w:p>
            <w:pPr>
              <w:ind w:left="120"/>
              <w:spacing w:after="0"/>
              <w:rPr>
                <w:sz w:val="20"/>
                <w:szCs w:val="20"/>
                <w:color w:val="auto"/>
              </w:rPr>
            </w:pPr>
            <w:r>
              <w:rPr>
                <w:rFonts w:ascii="Arial" w:cs="Arial" w:eastAsia="Arial" w:hAnsi="Arial"/>
                <w:sz w:val="12"/>
                <w:szCs w:val="12"/>
                <w:color w:val="auto"/>
              </w:rPr>
              <w:t>07/18/2019</w:t>
            </w:r>
          </w:p>
        </w:tc>
        <w:tc>
          <w:tcPr>
            <w:tcW w:w="2400" w:type="dxa"/>
            <w:vAlign w:val="bottom"/>
            <w:gridSpan w:val="2"/>
            <w:shd w:val="clear" w:color="auto" w:fill="CCECFF"/>
          </w:tcPr>
          <w:p>
            <w:pPr>
              <w:jc w:val="center"/>
              <w:ind w:right="460"/>
              <w:spacing w:after="0"/>
              <w:rPr>
                <w:sz w:val="20"/>
                <w:szCs w:val="20"/>
                <w:color w:val="auto"/>
              </w:rPr>
            </w:pPr>
            <w:r>
              <w:rPr>
                <w:rFonts w:ascii="Arial" w:cs="Arial" w:eastAsia="Arial" w:hAnsi="Arial"/>
                <w:sz w:val="12"/>
                <w:szCs w:val="12"/>
                <w:color w:val="auto"/>
                <w:w w:val="90"/>
              </w:rPr>
              <w:t>Energy and Utilities</w:t>
            </w:r>
          </w:p>
        </w:tc>
        <w:tc>
          <w:tcPr>
            <w:tcW w:w="960" w:type="dxa"/>
            <w:vAlign w:val="bottom"/>
            <w:gridSpan w:val="2"/>
            <w:shd w:val="clear" w:color="auto" w:fill="CCECFF"/>
          </w:tcPr>
          <w:p>
            <w:pPr>
              <w:jc w:val="right"/>
              <w:ind w:right="180"/>
              <w:spacing w:after="0"/>
              <w:rPr>
                <w:sz w:val="20"/>
                <w:szCs w:val="20"/>
                <w:color w:val="auto"/>
              </w:rPr>
            </w:pPr>
            <w:r>
              <w:rPr>
                <w:rFonts w:ascii="Arial" w:cs="Arial" w:eastAsia="Arial" w:hAnsi="Arial"/>
                <w:sz w:val="12"/>
                <w:szCs w:val="12"/>
                <w:color w:val="auto"/>
              </w:rPr>
              <w:t>10.00%</w:t>
            </w:r>
          </w:p>
        </w:tc>
        <w:tc>
          <w:tcPr>
            <w:tcW w:w="900" w:type="dxa"/>
            <w:vAlign w:val="bottom"/>
            <w:gridSpan w:val="2"/>
            <w:shd w:val="clear" w:color="auto" w:fill="CCECFF"/>
          </w:tcPr>
          <w:p>
            <w:pPr>
              <w:jc w:val="right"/>
              <w:ind w:right="240"/>
              <w:spacing w:after="0"/>
              <w:rPr>
                <w:sz w:val="20"/>
                <w:szCs w:val="20"/>
                <w:color w:val="auto"/>
              </w:rPr>
            </w:pPr>
            <w:r>
              <w:rPr>
                <w:rFonts w:ascii="Arial" w:cs="Arial" w:eastAsia="Arial" w:hAnsi="Arial"/>
                <w:sz w:val="12"/>
                <w:szCs w:val="12"/>
                <w:color w:val="auto"/>
              </w:rPr>
              <w:t>L+800</w:t>
            </w:r>
          </w:p>
        </w:tc>
        <w:tc>
          <w:tcPr>
            <w:tcW w:w="680" w:type="dxa"/>
            <w:vAlign w:val="bottom"/>
            <w:shd w:val="clear" w:color="auto" w:fill="CCECFF"/>
          </w:tcPr>
          <w:p>
            <w:pPr>
              <w:jc w:val="right"/>
              <w:spacing w:after="0"/>
              <w:rPr>
                <w:sz w:val="20"/>
                <w:szCs w:val="20"/>
                <w:color w:val="auto"/>
              </w:rPr>
            </w:pPr>
            <w:r>
              <w:rPr>
                <w:rFonts w:ascii="Arial" w:cs="Arial" w:eastAsia="Arial" w:hAnsi="Arial"/>
                <w:sz w:val="12"/>
                <w:szCs w:val="12"/>
                <w:color w:val="auto"/>
              </w:rPr>
              <w:t>84,606,067</w:t>
            </w:r>
          </w:p>
        </w:tc>
        <w:tc>
          <w:tcPr>
            <w:tcW w:w="320" w:type="dxa"/>
            <w:vAlign w:val="bottom"/>
            <w:gridSpan w:val="2"/>
            <w:shd w:val="clear" w:color="auto" w:fill="CCECFF"/>
          </w:tcPr>
          <w:p>
            <w:pPr>
              <w:jc w:val="right"/>
              <w:ind w:right="40"/>
              <w:spacing w:after="0"/>
              <w:rPr>
                <w:sz w:val="20"/>
                <w:szCs w:val="20"/>
                <w:color w:val="auto"/>
              </w:rPr>
            </w:pPr>
            <w:r>
              <w:rPr>
                <w:rFonts w:ascii="Arial" w:cs="Arial" w:eastAsia="Arial" w:hAnsi="Arial"/>
                <w:sz w:val="12"/>
                <w:szCs w:val="12"/>
                <w:color w:val="auto"/>
              </w:rPr>
              <w:t>$</w:t>
            </w:r>
          </w:p>
        </w:tc>
        <w:tc>
          <w:tcPr>
            <w:tcW w:w="700" w:type="dxa"/>
            <w:vAlign w:val="bottom"/>
            <w:shd w:val="clear" w:color="auto" w:fill="CCECFF"/>
          </w:tcPr>
          <w:p>
            <w:pPr>
              <w:jc w:val="right"/>
              <w:spacing w:after="0"/>
              <w:rPr>
                <w:sz w:val="20"/>
                <w:szCs w:val="20"/>
                <w:color w:val="auto"/>
              </w:rPr>
            </w:pPr>
            <w:r>
              <w:rPr>
                <w:rFonts w:ascii="Arial" w:cs="Arial" w:eastAsia="Arial" w:hAnsi="Arial"/>
                <w:sz w:val="12"/>
                <w:szCs w:val="12"/>
                <w:color w:val="auto"/>
              </w:rPr>
              <w:t>83,653,689</w:t>
            </w:r>
          </w:p>
        </w:tc>
        <w:tc>
          <w:tcPr>
            <w:tcW w:w="320" w:type="dxa"/>
            <w:vAlign w:val="bottom"/>
            <w:gridSpan w:val="2"/>
            <w:shd w:val="clear" w:color="auto" w:fill="CCECFF"/>
          </w:tcPr>
          <w:p>
            <w:pPr>
              <w:jc w:val="right"/>
              <w:spacing w:after="0"/>
              <w:rPr>
                <w:sz w:val="20"/>
                <w:szCs w:val="20"/>
                <w:color w:val="auto"/>
              </w:rPr>
            </w:pPr>
            <w:r>
              <w:rPr>
                <w:rFonts w:ascii="Arial" w:cs="Arial" w:eastAsia="Arial" w:hAnsi="Arial"/>
                <w:sz w:val="12"/>
                <w:szCs w:val="12"/>
                <w:color w:val="auto"/>
              </w:rPr>
              <w:t>$</w:t>
            </w:r>
          </w:p>
        </w:tc>
        <w:tc>
          <w:tcPr>
            <w:tcW w:w="720" w:type="dxa"/>
            <w:vAlign w:val="bottom"/>
            <w:shd w:val="clear" w:color="auto" w:fill="CCECFF"/>
          </w:tcPr>
          <w:p>
            <w:pPr>
              <w:jc w:val="right"/>
              <w:spacing w:after="0"/>
              <w:rPr>
                <w:sz w:val="20"/>
                <w:szCs w:val="20"/>
                <w:color w:val="auto"/>
              </w:rPr>
            </w:pPr>
            <w:r>
              <w:rPr>
                <w:rFonts w:ascii="Arial" w:cs="Arial" w:eastAsia="Arial" w:hAnsi="Arial"/>
                <w:sz w:val="12"/>
                <w:szCs w:val="12"/>
                <w:color w:val="auto"/>
              </w:rPr>
              <w:t>68,319,399</w:t>
            </w:r>
          </w:p>
        </w:tc>
        <w:tc>
          <w:tcPr>
            <w:tcW w:w="100" w:type="dxa"/>
            <w:vAlign w:val="bottom"/>
            <w:shd w:val="clear" w:color="auto" w:fill="CCEC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940" w:type="dxa"/>
            <w:vAlign w:val="bottom"/>
            <w:shd w:val="clear" w:color="auto" w:fill="CCECFF"/>
          </w:tcPr>
          <w:p>
            <w:pPr>
              <w:spacing w:after="0"/>
              <w:rPr>
                <w:sz w:val="12"/>
                <w:szCs w:val="12"/>
                <w:color w:val="auto"/>
              </w:rPr>
            </w:pPr>
          </w:p>
        </w:tc>
        <w:tc>
          <w:tcPr>
            <w:tcW w:w="1200" w:type="dxa"/>
            <w:vAlign w:val="bottom"/>
            <w:shd w:val="clear" w:color="auto" w:fill="CCECFF"/>
          </w:tcPr>
          <w:p>
            <w:pPr>
              <w:spacing w:after="0"/>
              <w:rPr>
                <w:sz w:val="12"/>
                <w:szCs w:val="12"/>
                <w:color w:val="auto"/>
              </w:rPr>
            </w:pPr>
          </w:p>
        </w:tc>
        <w:tc>
          <w:tcPr>
            <w:tcW w:w="2280" w:type="dxa"/>
            <w:vAlign w:val="bottom"/>
            <w:shd w:val="clear" w:color="auto" w:fill="CCECFF"/>
          </w:tcPr>
          <w:p>
            <w:pPr>
              <w:spacing w:after="0"/>
              <w:rPr>
                <w:sz w:val="12"/>
                <w:szCs w:val="12"/>
                <w:color w:val="auto"/>
              </w:rPr>
            </w:pPr>
          </w:p>
        </w:tc>
        <w:tc>
          <w:tcPr>
            <w:tcW w:w="120" w:type="dxa"/>
            <w:vAlign w:val="bottom"/>
            <w:shd w:val="clear" w:color="auto" w:fill="CCECFF"/>
          </w:tcPr>
          <w:p>
            <w:pPr>
              <w:spacing w:after="0"/>
              <w:rPr>
                <w:sz w:val="12"/>
                <w:szCs w:val="12"/>
                <w:color w:val="auto"/>
              </w:rPr>
            </w:pPr>
          </w:p>
        </w:tc>
        <w:tc>
          <w:tcPr>
            <w:tcW w:w="960" w:type="dxa"/>
            <w:vAlign w:val="bottom"/>
            <w:gridSpan w:val="2"/>
            <w:shd w:val="clear" w:color="auto" w:fill="CCECFF"/>
          </w:tcPr>
          <w:p>
            <w:pPr>
              <w:ind w:left="140"/>
              <w:spacing w:after="0"/>
              <w:rPr>
                <w:sz w:val="20"/>
                <w:szCs w:val="20"/>
                <w:color w:val="auto"/>
              </w:rPr>
            </w:pPr>
            <w:r>
              <w:rPr>
                <w:rFonts w:ascii="Arial" w:cs="Arial" w:eastAsia="Arial" w:hAnsi="Arial"/>
                <w:sz w:val="12"/>
                <w:szCs w:val="12"/>
                <w:color w:val="auto"/>
              </w:rPr>
              <w:t>(PIK 10.00%)</w:t>
            </w:r>
          </w:p>
        </w:tc>
        <w:tc>
          <w:tcPr>
            <w:tcW w:w="680" w:type="dxa"/>
            <w:vAlign w:val="bottom"/>
            <w:shd w:val="clear" w:color="auto" w:fill="CCECFF"/>
          </w:tcPr>
          <w:p>
            <w:pPr>
              <w:spacing w:after="0"/>
              <w:rPr>
                <w:sz w:val="12"/>
                <w:szCs w:val="12"/>
                <w:color w:val="auto"/>
              </w:rPr>
            </w:pPr>
          </w:p>
        </w:tc>
        <w:tc>
          <w:tcPr>
            <w:tcW w:w="220" w:type="dxa"/>
            <w:vAlign w:val="bottom"/>
            <w:shd w:val="clear" w:color="auto" w:fill="CCECFF"/>
          </w:tcPr>
          <w:p>
            <w:pPr>
              <w:spacing w:after="0"/>
              <w:rPr>
                <w:sz w:val="12"/>
                <w:szCs w:val="12"/>
                <w:color w:val="auto"/>
              </w:rPr>
            </w:pPr>
          </w:p>
        </w:tc>
        <w:tc>
          <w:tcPr>
            <w:tcW w:w="680" w:type="dxa"/>
            <w:vAlign w:val="bottom"/>
            <w:shd w:val="clear" w:color="auto" w:fill="CCECFF"/>
          </w:tcPr>
          <w:p>
            <w:pPr>
              <w:spacing w:after="0"/>
              <w:rPr>
                <w:sz w:val="12"/>
                <w:szCs w:val="12"/>
                <w:color w:val="auto"/>
              </w:rPr>
            </w:pPr>
          </w:p>
        </w:tc>
        <w:tc>
          <w:tcPr>
            <w:tcW w:w="220" w:type="dxa"/>
            <w:vAlign w:val="bottom"/>
            <w:shd w:val="clear" w:color="auto" w:fill="CCECFF"/>
          </w:tcPr>
          <w:p>
            <w:pPr>
              <w:spacing w:after="0"/>
              <w:rPr>
                <w:sz w:val="12"/>
                <w:szCs w:val="12"/>
                <w:color w:val="auto"/>
              </w:rPr>
            </w:pPr>
          </w:p>
        </w:tc>
        <w:tc>
          <w:tcPr>
            <w:tcW w:w="100" w:type="dxa"/>
            <w:vAlign w:val="bottom"/>
            <w:shd w:val="clear" w:color="auto" w:fill="CCECFF"/>
          </w:tcPr>
          <w:p>
            <w:pPr>
              <w:spacing w:after="0"/>
              <w:rPr>
                <w:sz w:val="12"/>
                <w:szCs w:val="12"/>
                <w:color w:val="auto"/>
              </w:rPr>
            </w:pPr>
          </w:p>
        </w:tc>
        <w:tc>
          <w:tcPr>
            <w:tcW w:w="700" w:type="dxa"/>
            <w:vAlign w:val="bottom"/>
            <w:shd w:val="clear" w:color="auto" w:fill="CCECFF"/>
          </w:tcPr>
          <w:p>
            <w:pPr>
              <w:spacing w:after="0"/>
              <w:rPr>
                <w:sz w:val="12"/>
                <w:szCs w:val="12"/>
                <w:color w:val="auto"/>
              </w:rPr>
            </w:pPr>
          </w:p>
        </w:tc>
        <w:tc>
          <w:tcPr>
            <w:tcW w:w="240" w:type="dxa"/>
            <w:vAlign w:val="bottom"/>
            <w:shd w:val="clear" w:color="auto" w:fill="CCECFF"/>
          </w:tcPr>
          <w:p>
            <w:pPr>
              <w:spacing w:after="0"/>
              <w:rPr>
                <w:sz w:val="12"/>
                <w:szCs w:val="12"/>
                <w:color w:val="auto"/>
              </w:rPr>
            </w:pPr>
          </w:p>
        </w:tc>
        <w:tc>
          <w:tcPr>
            <w:tcW w:w="80" w:type="dxa"/>
            <w:vAlign w:val="bottom"/>
            <w:shd w:val="clear" w:color="auto" w:fill="CCECFF"/>
          </w:tcPr>
          <w:p>
            <w:pPr>
              <w:spacing w:after="0"/>
              <w:rPr>
                <w:sz w:val="12"/>
                <w:szCs w:val="12"/>
                <w:color w:val="auto"/>
              </w:rPr>
            </w:pPr>
          </w:p>
        </w:tc>
        <w:tc>
          <w:tcPr>
            <w:tcW w:w="720" w:type="dxa"/>
            <w:vAlign w:val="bottom"/>
            <w:shd w:val="clear" w:color="auto" w:fill="CCECFF"/>
          </w:tcPr>
          <w:p>
            <w:pPr>
              <w:spacing w:after="0"/>
              <w:rPr>
                <w:sz w:val="12"/>
                <w:szCs w:val="12"/>
                <w:color w:val="auto"/>
              </w:rPr>
            </w:pPr>
          </w:p>
        </w:tc>
        <w:tc>
          <w:tcPr>
            <w:tcW w:w="100" w:type="dxa"/>
            <w:vAlign w:val="bottom"/>
            <w:shd w:val="clear" w:color="auto" w:fill="CCECFF"/>
          </w:tcPr>
          <w:p>
            <w:pPr>
              <w:spacing w:after="0"/>
              <w:rPr>
                <w:sz w:val="12"/>
                <w:szCs w:val="12"/>
                <w:color w:val="auto"/>
              </w:rPr>
            </w:pPr>
          </w:p>
        </w:tc>
        <w:tc>
          <w:tcPr>
            <w:tcW w:w="0" w:type="dxa"/>
            <w:vAlign w:val="bottom"/>
          </w:tcPr>
          <w:p>
            <w:pPr>
              <w:spacing w:after="0"/>
              <w:rPr>
                <w:sz w:val="1"/>
                <w:szCs w:val="1"/>
                <w:color w:val="auto"/>
              </w:rPr>
            </w:pPr>
          </w:p>
        </w:tc>
      </w:tr>
      <w:tr>
        <w:trPr>
          <w:trHeight w:val="155"/>
        </w:trPr>
        <w:tc>
          <w:tcPr>
            <w:tcW w:w="2940" w:type="dxa"/>
            <w:vAlign w:val="bottom"/>
          </w:tcPr>
          <w:p>
            <w:pPr>
              <w:spacing w:after="0"/>
              <w:rPr>
                <w:sz w:val="20"/>
                <w:szCs w:val="20"/>
                <w:color w:val="auto"/>
              </w:rPr>
            </w:pPr>
            <w:r>
              <w:rPr>
                <w:rFonts w:ascii="Arial" w:cs="Arial" w:eastAsia="Arial" w:hAnsi="Arial"/>
                <w:sz w:val="12"/>
                <w:szCs w:val="12"/>
                <w:color w:val="auto"/>
              </w:rPr>
              <w:t>Superior Digital Displays, LLC</w:t>
            </w:r>
          </w:p>
        </w:tc>
        <w:tc>
          <w:tcPr>
            <w:tcW w:w="1200" w:type="dxa"/>
            <w:vAlign w:val="bottom"/>
          </w:tcPr>
          <w:p>
            <w:pPr>
              <w:ind w:left="120"/>
              <w:spacing w:after="0"/>
              <w:rPr>
                <w:sz w:val="20"/>
                <w:szCs w:val="20"/>
                <w:color w:val="auto"/>
              </w:rPr>
            </w:pPr>
            <w:r>
              <w:rPr>
                <w:rFonts w:ascii="Arial" w:cs="Arial" w:eastAsia="Arial" w:hAnsi="Arial"/>
                <w:sz w:val="12"/>
                <w:szCs w:val="12"/>
                <w:color w:val="auto"/>
              </w:rPr>
              <w:t>12/31/2018</w:t>
            </w:r>
          </w:p>
        </w:tc>
        <w:tc>
          <w:tcPr>
            <w:tcW w:w="2400" w:type="dxa"/>
            <w:vAlign w:val="bottom"/>
            <w:gridSpan w:val="2"/>
          </w:tcPr>
          <w:p>
            <w:pPr>
              <w:jc w:val="center"/>
              <w:ind w:right="460"/>
              <w:spacing w:after="0"/>
              <w:rPr>
                <w:sz w:val="20"/>
                <w:szCs w:val="20"/>
                <w:color w:val="auto"/>
              </w:rPr>
            </w:pPr>
            <w:r>
              <w:rPr>
                <w:rFonts w:ascii="Arial" w:cs="Arial" w:eastAsia="Arial" w:hAnsi="Arial"/>
                <w:sz w:val="12"/>
                <w:szCs w:val="12"/>
                <w:color w:val="auto"/>
                <w:w w:val="91"/>
              </w:rPr>
              <w:t>Media</w:t>
            </w:r>
          </w:p>
        </w:tc>
        <w:tc>
          <w:tcPr>
            <w:tcW w:w="960" w:type="dxa"/>
            <w:vAlign w:val="bottom"/>
            <w:gridSpan w:val="2"/>
          </w:tcPr>
          <w:p>
            <w:pPr>
              <w:jc w:val="right"/>
              <w:ind w:right="180"/>
              <w:spacing w:after="0"/>
              <w:rPr>
                <w:sz w:val="20"/>
                <w:szCs w:val="20"/>
                <w:color w:val="auto"/>
              </w:rPr>
            </w:pPr>
            <w:r>
              <w:rPr>
                <w:rFonts w:ascii="Arial" w:cs="Arial" w:eastAsia="Arial" w:hAnsi="Arial"/>
                <w:sz w:val="12"/>
                <w:szCs w:val="12"/>
                <w:color w:val="auto"/>
              </w:rPr>
              <w:t>14.00%</w:t>
            </w:r>
          </w:p>
        </w:tc>
        <w:tc>
          <w:tcPr>
            <w:tcW w:w="900" w:type="dxa"/>
            <w:vAlign w:val="bottom"/>
            <w:gridSpan w:val="2"/>
          </w:tcPr>
          <w:p>
            <w:pPr>
              <w:jc w:val="right"/>
              <w:ind w:right="240"/>
              <w:spacing w:after="0"/>
              <w:rPr>
                <w:sz w:val="20"/>
                <w:szCs w:val="20"/>
                <w:color w:val="auto"/>
              </w:rPr>
            </w:pPr>
            <w:r>
              <w:rPr>
                <w:rFonts w:ascii="Arial" w:cs="Arial" w:eastAsia="Arial" w:hAnsi="Arial"/>
                <w:sz w:val="12"/>
                <w:szCs w:val="12"/>
                <w:color w:val="auto"/>
              </w:rPr>
              <w:t>L+1,300</w:t>
            </w:r>
          </w:p>
        </w:tc>
        <w:tc>
          <w:tcPr>
            <w:tcW w:w="680" w:type="dxa"/>
            <w:vAlign w:val="bottom"/>
          </w:tcPr>
          <w:p>
            <w:pPr>
              <w:jc w:val="right"/>
              <w:spacing w:after="0"/>
              <w:rPr>
                <w:sz w:val="20"/>
                <w:szCs w:val="20"/>
                <w:color w:val="auto"/>
              </w:rPr>
            </w:pPr>
            <w:r>
              <w:rPr>
                <w:rFonts w:ascii="Arial" w:cs="Arial" w:eastAsia="Arial" w:hAnsi="Arial"/>
                <w:sz w:val="12"/>
                <w:szCs w:val="12"/>
                <w:color w:val="auto"/>
              </w:rPr>
              <w:t>26,516,321</w:t>
            </w:r>
          </w:p>
        </w:tc>
        <w:tc>
          <w:tcPr>
            <w:tcW w:w="2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00" w:type="dxa"/>
            <w:vAlign w:val="bottom"/>
          </w:tcPr>
          <w:p>
            <w:pPr>
              <w:jc w:val="right"/>
              <w:spacing w:after="0"/>
              <w:rPr>
                <w:sz w:val="20"/>
                <w:szCs w:val="20"/>
                <w:color w:val="auto"/>
              </w:rPr>
            </w:pPr>
            <w:r>
              <w:rPr>
                <w:rFonts w:ascii="Arial" w:cs="Arial" w:eastAsia="Arial" w:hAnsi="Arial"/>
                <w:sz w:val="12"/>
                <w:szCs w:val="12"/>
                <w:color w:val="auto"/>
              </w:rPr>
              <w:t>24,845,647</w:t>
            </w:r>
          </w:p>
        </w:tc>
        <w:tc>
          <w:tcPr>
            <w:tcW w:w="2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720" w:type="dxa"/>
            <w:vAlign w:val="bottom"/>
          </w:tcPr>
          <w:p>
            <w:pPr>
              <w:jc w:val="right"/>
              <w:spacing w:after="0"/>
              <w:rPr>
                <w:sz w:val="20"/>
                <w:szCs w:val="20"/>
                <w:color w:val="auto"/>
              </w:rPr>
            </w:pPr>
            <w:r>
              <w:rPr>
                <w:rFonts w:ascii="Arial" w:cs="Arial" w:eastAsia="Arial" w:hAnsi="Arial"/>
                <w:sz w:val="12"/>
                <w:szCs w:val="12"/>
                <w:color w:val="auto"/>
              </w:rPr>
              <w:t>26,516,321</w:t>
            </w: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2"/>
        </w:trPr>
        <w:tc>
          <w:tcPr>
            <w:tcW w:w="2940" w:type="dxa"/>
            <w:vAlign w:val="bottom"/>
            <w:tcBorders>
              <w:bottom w:val="single" w:sz="8" w:color="CCECFF"/>
            </w:tcBorders>
          </w:tcPr>
          <w:p>
            <w:pPr>
              <w:spacing w:after="0"/>
              <w:rPr>
                <w:sz w:val="12"/>
                <w:szCs w:val="12"/>
                <w:color w:val="auto"/>
              </w:rPr>
            </w:pPr>
          </w:p>
        </w:tc>
        <w:tc>
          <w:tcPr>
            <w:tcW w:w="1200" w:type="dxa"/>
            <w:vAlign w:val="bottom"/>
            <w:tcBorders>
              <w:bottom w:val="single" w:sz="8" w:color="CCECFF"/>
            </w:tcBorders>
          </w:tcPr>
          <w:p>
            <w:pPr>
              <w:spacing w:after="0"/>
              <w:rPr>
                <w:sz w:val="12"/>
                <w:szCs w:val="12"/>
                <w:color w:val="auto"/>
              </w:rPr>
            </w:pPr>
          </w:p>
        </w:tc>
        <w:tc>
          <w:tcPr>
            <w:tcW w:w="2280" w:type="dxa"/>
            <w:vAlign w:val="bottom"/>
            <w:tcBorders>
              <w:bottom w:val="single" w:sz="8" w:color="CCECFF"/>
            </w:tcBorders>
          </w:tcPr>
          <w:p>
            <w:pPr>
              <w:spacing w:after="0"/>
              <w:rPr>
                <w:sz w:val="12"/>
                <w:szCs w:val="12"/>
                <w:color w:val="auto"/>
              </w:rPr>
            </w:pPr>
          </w:p>
        </w:tc>
        <w:tc>
          <w:tcPr>
            <w:tcW w:w="120" w:type="dxa"/>
            <w:vAlign w:val="bottom"/>
            <w:tcBorders>
              <w:bottom w:val="single" w:sz="8" w:color="CCECFF"/>
            </w:tcBorders>
          </w:tcPr>
          <w:p>
            <w:pPr>
              <w:spacing w:after="0"/>
              <w:rPr>
                <w:sz w:val="12"/>
                <w:szCs w:val="12"/>
                <w:color w:val="auto"/>
              </w:rPr>
            </w:pPr>
          </w:p>
        </w:tc>
        <w:tc>
          <w:tcPr>
            <w:tcW w:w="960" w:type="dxa"/>
            <w:vAlign w:val="bottom"/>
            <w:tcBorders>
              <w:bottom w:val="single" w:sz="8" w:color="CCECFF"/>
            </w:tcBorders>
            <w:gridSpan w:val="2"/>
          </w:tcPr>
          <w:p>
            <w:pPr>
              <w:ind w:left="140"/>
              <w:spacing w:after="0"/>
              <w:rPr>
                <w:sz w:val="20"/>
                <w:szCs w:val="20"/>
                <w:color w:val="auto"/>
              </w:rPr>
            </w:pPr>
            <w:r>
              <w:rPr>
                <w:rFonts w:ascii="Arial" w:cs="Arial" w:eastAsia="Arial" w:hAnsi="Arial"/>
                <w:sz w:val="12"/>
                <w:szCs w:val="12"/>
                <w:color w:val="auto"/>
              </w:rPr>
              <w:t>(PIK 14.00%)</w:t>
            </w:r>
          </w:p>
        </w:tc>
        <w:tc>
          <w:tcPr>
            <w:tcW w:w="680" w:type="dxa"/>
            <w:vAlign w:val="bottom"/>
            <w:tcBorders>
              <w:bottom w:val="single" w:sz="8" w:color="CCECFF"/>
            </w:tcBorders>
          </w:tcPr>
          <w:p>
            <w:pPr>
              <w:spacing w:after="0"/>
              <w:rPr>
                <w:sz w:val="12"/>
                <w:szCs w:val="12"/>
                <w:color w:val="auto"/>
              </w:rPr>
            </w:pPr>
          </w:p>
        </w:tc>
        <w:tc>
          <w:tcPr>
            <w:tcW w:w="220" w:type="dxa"/>
            <w:vAlign w:val="bottom"/>
            <w:tcBorders>
              <w:bottom w:val="single" w:sz="8" w:color="CCECFF"/>
            </w:tcBorders>
          </w:tcPr>
          <w:p>
            <w:pPr>
              <w:spacing w:after="0"/>
              <w:rPr>
                <w:sz w:val="12"/>
                <w:szCs w:val="12"/>
                <w:color w:val="auto"/>
              </w:rPr>
            </w:pPr>
          </w:p>
        </w:tc>
        <w:tc>
          <w:tcPr>
            <w:tcW w:w="680" w:type="dxa"/>
            <w:vAlign w:val="bottom"/>
            <w:tcBorders>
              <w:bottom w:val="single" w:sz="8" w:color="CCECFF"/>
            </w:tcBorders>
          </w:tcPr>
          <w:p>
            <w:pPr>
              <w:spacing w:after="0"/>
              <w:rPr>
                <w:sz w:val="12"/>
                <w:szCs w:val="12"/>
                <w:color w:val="auto"/>
              </w:rPr>
            </w:pPr>
          </w:p>
        </w:tc>
        <w:tc>
          <w:tcPr>
            <w:tcW w:w="220" w:type="dxa"/>
            <w:vAlign w:val="bottom"/>
            <w:tcBorders>
              <w:bottom w:val="single" w:sz="8" w:color="CCECFF"/>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700" w:type="dxa"/>
            <w:vAlign w:val="bottom"/>
            <w:tcBorders>
              <w:bottom w:val="single" w:sz="8" w:color="auto"/>
            </w:tcBorders>
          </w:tcPr>
          <w:p>
            <w:pPr>
              <w:spacing w:after="0"/>
              <w:rPr>
                <w:sz w:val="12"/>
                <w:szCs w:val="12"/>
                <w:color w:val="auto"/>
              </w:rPr>
            </w:pPr>
          </w:p>
        </w:tc>
        <w:tc>
          <w:tcPr>
            <w:tcW w:w="240" w:type="dxa"/>
            <w:vAlign w:val="bottom"/>
            <w:tcBorders>
              <w:bottom w:val="single" w:sz="8" w:color="CCECFF"/>
            </w:tcBorders>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720" w:type="dxa"/>
            <w:vAlign w:val="bottom"/>
            <w:tcBorders>
              <w:bottom w:val="single" w:sz="8" w:color="auto"/>
            </w:tcBorders>
          </w:tcPr>
          <w:p>
            <w:pPr>
              <w:spacing w:after="0"/>
              <w:rPr>
                <w:sz w:val="12"/>
                <w:szCs w:val="12"/>
                <w:color w:val="auto"/>
              </w:rPr>
            </w:pPr>
          </w:p>
        </w:tc>
        <w:tc>
          <w:tcPr>
            <w:tcW w:w="100" w:type="dxa"/>
            <w:vAlign w:val="bottom"/>
            <w:tcBorders>
              <w:bottom w:val="single" w:sz="8" w:color="CCECFF"/>
            </w:tcBorders>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2940" w:type="dxa"/>
            <w:vAlign w:val="bottom"/>
            <w:shd w:val="clear" w:color="auto" w:fill="CCECFF"/>
          </w:tcPr>
          <w:p>
            <w:pPr>
              <w:spacing w:after="0"/>
              <w:rPr>
                <w:sz w:val="20"/>
                <w:szCs w:val="20"/>
                <w:color w:val="auto"/>
              </w:rPr>
            </w:pPr>
            <w:r>
              <w:rPr>
                <w:rFonts w:ascii="Arial" w:cs="Arial" w:eastAsia="Arial" w:hAnsi="Arial"/>
                <w:sz w:val="12"/>
                <w:szCs w:val="12"/>
                <w:b w:val="1"/>
                <w:bCs w:val="1"/>
                <w:color w:val="auto"/>
              </w:rPr>
              <w:t>Total First Lien Secured Debt</w:t>
            </w:r>
          </w:p>
        </w:tc>
        <w:tc>
          <w:tcPr>
            <w:tcW w:w="1200" w:type="dxa"/>
            <w:vAlign w:val="bottom"/>
            <w:shd w:val="clear" w:color="auto" w:fill="CCECFF"/>
          </w:tcPr>
          <w:p>
            <w:pPr>
              <w:spacing w:after="0"/>
              <w:rPr>
                <w:sz w:val="12"/>
                <w:szCs w:val="12"/>
                <w:color w:val="auto"/>
              </w:rPr>
            </w:pPr>
          </w:p>
        </w:tc>
        <w:tc>
          <w:tcPr>
            <w:tcW w:w="2280" w:type="dxa"/>
            <w:vAlign w:val="bottom"/>
            <w:shd w:val="clear" w:color="auto" w:fill="CCECFF"/>
          </w:tcPr>
          <w:p>
            <w:pPr>
              <w:spacing w:after="0"/>
              <w:rPr>
                <w:sz w:val="12"/>
                <w:szCs w:val="12"/>
                <w:color w:val="auto"/>
              </w:rPr>
            </w:pPr>
          </w:p>
        </w:tc>
        <w:tc>
          <w:tcPr>
            <w:tcW w:w="120" w:type="dxa"/>
            <w:vAlign w:val="bottom"/>
            <w:shd w:val="clear" w:color="auto" w:fill="CCECFF"/>
          </w:tcPr>
          <w:p>
            <w:pPr>
              <w:spacing w:after="0"/>
              <w:rPr>
                <w:sz w:val="12"/>
                <w:szCs w:val="12"/>
                <w:color w:val="auto"/>
              </w:rPr>
            </w:pPr>
          </w:p>
        </w:tc>
        <w:tc>
          <w:tcPr>
            <w:tcW w:w="680" w:type="dxa"/>
            <w:vAlign w:val="bottom"/>
            <w:shd w:val="clear" w:color="auto" w:fill="CCECFF"/>
          </w:tcPr>
          <w:p>
            <w:pPr>
              <w:spacing w:after="0"/>
              <w:rPr>
                <w:sz w:val="12"/>
                <w:szCs w:val="12"/>
                <w:color w:val="auto"/>
              </w:rPr>
            </w:pPr>
          </w:p>
        </w:tc>
        <w:tc>
          <w:tcPr>
            <w:tcW w:w="280" w:type="dxa"/>
            <w:vAlign w:val="bottom"/>
            <w:shd w:val="clear" w:color="auto" w:fill="CCECFF"/>
          </w:tcPr>
          <w:p>
            <w:pPr>
              <w:spacing w:after="0"/>
              <w:rPr>
                <w:sz w:val="12"/>
                <w:szCs w:val="12"/>
                <w:color w:val="auto"/>
              </w:rPr>
            </w:pPr>
          </w:p>
        </w:tc>
        <w:tc>
          <w:tcPr>
            <w:tcW w:w="680" w:type="dxa"/>
            <w:vAlign w:val="bottom"/>
            <w:shd w:val="clear" w:color="auto" w:fill="CCECFF"/>
          </w:tcPr>
          <w:p>
            <w:pPr>
              <w:spacing w:after="0"/>
              <w:rPr>
                <w:sz w:val="12"/>
                <w:szCs w:val="12"/>
                <w:color w:val="auto"/>
              </w:rPr>
            </w:pPr>
          </w:p>
        </w:tc>
        <w:tc>
          <w:tcPr>
            <w:tcW w:w="220" w:type="dxa"/>
            <w:vAlign w:val="bottom"/>
            <w:shd w:val="clear" w:color="auto" w:fill="CCECFF"/>
          </w:tcPr>
          <w:p>
            <w:pPr>
              <w:spacing w:after="0"/>
              <w:rPr>
                <w:sz w:val="12"/>
                <w:szCs w:val="12"/>
                <w:color w:val="auto"/>
              </w:rPr>
            </w:pPr>
          </w:p>
        </w:tc>
        <w:tc>
          <w:tcPr>
            <w:tcW w:w="680" w:type="dxa"/>
            <w:vAlign w:val="bottom"/>
            <w:shd w:val="clear" w:color="auto" w:fill="CCECFF"/>
          </w:tcPr>
          <w:p>
            <w:pPr>
              <w:spacing w:after="0"/>
              <w:rPr>
                <w:sz w:val="12"/>
                <w:szCs w:val="12"/>
                <w:color w:val="auto"/>
              </w:rPr>
            </w:pPr>
          </w:p>
        </w:tc>
        <w:tc>
          <w:tcPr>
            <w:tcW w:w="220" w:type="dxa"/>
            <w:vAlign w:val="bottom"/>
            <w:shd w:val="clear" w:color="auto" w:fill="CCECFF"/>
          </w:tcPr>
          <w:p>
            <w:pPr>
              <w:spacing w:after="0"/>
              <w:rPr>
                <w:sz w:val="12"/>
                <w:szCs w:val="12"/>
                <w:color w:val="auto"/>
              </w:rPr>
            </w:pPr>
          </w:p>
        </w:tc>
        <w:tc>
          <w:tcPr>
            <w:tcW w:w="100" w:type="dxa"/>
            <w:vAlign w:val="bottom"/>
            <w:tcBorders>
              <w:bottom w:val="single" w:sz="8" w:color="auto"/>
            </w:tcBorders>
            <w:shd w:val="clear" w:color="auto" w:fill="CCECFF"/>
          </w:tcPr>
          <w:p>
            <w:pPr>
              <w:spacing w:after="0"/>
              <w:rPr>
                <w:sz w:val="12"/>
                <w:szCs w:val="12"/>
                <w:color w:val="auto"/>
              </w:rPr>
            </w:pPr>
          </w:p>
        </w:tc>
        <w:tc>
          <w:tcPr>
            <w:tcW w:w="700" w:type="dxa"/>
            <w:vAlign w:val="bottom"/>
            <w:tcBorders>
              <w:bottom w:val="single" w:sz="8" w:color="auto"/>
            </w:tcBorders>
            <w:shd w:val="clear" w:color="auto" w:fill="CCECFF"/>
          </w:tcPr>
          <w:p>
            <w:pPr>
              <w:jc w:val="right"/>
              <w:spacing w:after="0"/>
              <w:rPr>
                <w:sz w:val="20"/>
                <w:szCs w:val="20"/>
                <w:color w:val="auto"/>
              </w:rPr>
            </w:pPr>
            <w:r>
              <w:rPr>
                <w:rFonts w:ascii="Arial" w:cs="Arial" w:eastAsia="Arial" w:hAnsi="Arial"/>
                <w:sz w:val="12"/>
                <w:szCs w:val="12"/>
                <w:color w:val="auto"/>
              </w:rPr>
              <w:t>108,499,336</w:t>
            </w:r>
          </w:p>
        </w:tc>
        <w:tc>
          <w:tcPr>
            <w:tcW w:w="240" w:type="dxa"/>
            <w:vAlign w:val="bottom"/>
            <w:shd w:val="clear" w:color="auto" w:fill="CCECFF"/>
          </w:tcPr>
          <w:p>
            <w:pPr>
              <w:spacing w:after="0"/>
              <w:rPr>
                <w:sz w:val="12"/>
                <w:szCs w:val="12"/>
                <w:color w:val="auto"/>
              </w:rPr>
            </w:pPr>
          </w:p>
        </w:tc>
        <w:tc>
          <w:tcPr>
            <w:tcW w:w="80" w:type="dxa"/>
            <w:vAlign w:val="bottom"/>
            <w:tcBorders>
              <w:bottom w:val="single" w:sz="8" w:color="auto"/>
            </w:tcBorders>
            <w:shd w:val="clear" w:color="auto" w:fill="CCECFF"/>
          </w:tcPr>
          <w:p>
            <w:pPr>
              <w:spacing w:after="0"/>
              <w:rPr>
                <w:sz w:val="12"/>
                <w:szCs w:val="12"/>
                <w:color w:val="auto"/>
              </w:rPr>
            </w:pPr>
          </w:p>
        </w:tc>
        <w:tc>
          <w:tcPr>
            <w:tcW w:w="720" w:type="dxa"/>
            <w:vAlign w:val="bottom"/>
            <w:tcBorders>
              <w:bottom w:val="single" w:sz="8" w:color="auto"/>
            </w:tcBorders>
            <w:shd w:val="clear" w:color="auto" w:fill="CCECFF"/>
          </w:tcPr>
          <w:p>
            <w:pPr>
              <w:jc w:val="right"/>
              <w:spacing w:after="0"/>
              <w:rPr>
                <w:sz w:val="20"/>
                <w:szCs w:val="20"/>
                <w:color w:val="auto"/>
              </w:rPr>
            </w:pPr>
            <w:r>
              <w:rPr>
                <w:rFonts w:ascii="Arial" w:cs="Arial" w:eastAsia="Arial" w:hAnsi="Arial"/>
                <w:sz w:val="12"/>
                <w:szCs w:val="12"/>
                <w:color w:val="auto"/>
              </w:rPr>
              <w:t>94,835,720</w:t>
            </w:r>
          </w:p>
        </w:tc>
        <w:tc>
          <w:tcPr>
            <w:tcW w:w="100" w:type="dxa"/>
            <w:vAlign w:val="bottom"/>
            <w:shd w:val="clear" w:color="auto" w:fill="CCECFF"/>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2940" w:type="dxa"/>
            <w:vAlign w:val="bottom"/>
          </w:tcPr>
          <w:p>
            <w:pPr>
              <w:spacing w:after="0"/>
              <w:rPr>
                <w:sz w:val="20"/>
                <w:szCs w:val="20"/>
                <w:color w:val="auto"/>
              </w:rPr>
            </w:pPr>
            <w:r>
              <w:rPr>
                <w:rFonts w:ascii="Arial" w:cs="Arial" w:eastAsia="Arial" w:hAnsi="Arial"/>
                <w:sz w:val="12"/>
                <w:szCs w:val="12"/>
                <w:b w:val="1"/>
                <w:bCs w:val="1"/>
                <w:color w:val="auto"/>
              </w:rPr>
              <w:t>Second Lien Secured Debt—1.2%</w:t>
            </w:r>
          </w:p>
        </w:tc>
        <w:tc>
          <w:tcPr>
            <w:tcW w:w="1200" w:type="dxa"/>
            <w:vAlign w:val="bottom"/>
          </w:tcPr>
          <w:p>
            <w:pPr>
              <w:spacing w:after="0"/>
              <w:rPr>
                <w:sz w:val="12"/>
                <w:szCs w:val="12"/>
                <w:color w:val="auto"/>
              </w:rPr>
            </w:pPr>
          </w:p>
        </w:tc>
        <w:tc>
          <w:tcPr>
            <w:tcW w:w="22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940" w:type="dxa"/>
            <w:vAlign w:val="bottom"/>
            <w:shd w:val="clear" w:color="auto" w:fill="CCECFF"/>
          </w:tcPr>
          <w:p>
            <w:pPr>
              <w:spacing w:after="0"/>
              <w:rPr>
                <w:sz w:val="20"/>
                <w:szCs w:val="20"/>
                <w:color w:val="auto"/>
              </w:rPr>
            </w:pPr>
            <w:r>
              <w:rPr>
                <w:rFonts w:ascii="Arial" w:cs="Arial" w:eastAsia="Arial" w:hAnsi="Arial"/>
                <w:sz w:val="12"/>
                <w:szCs w:val="12"/>
                <w:color w:val="auto"/>
              </w:rPr>
              <w:t>Superior Digital Displays, LLC</w:t>
            </w:r>
          </w:p>
        </w:tc>
        <w:tc>
          <w:tcPr>
            <w:tcW w:w="1200" w:type="dxa"/>
            <w:vAlign w:val="bottom"/>
            <w:shd w:val="clear" w:color="auto" w:fill="CCECFF"/>
          </w:tcPr>
          <w:p>
            <w:pPr>
              <w:ind w:left="120"/>
              <w:spacing w:after="0"/>
              <w:rPr>
                <w:sz w:val="20"/>
                <w:szCs w:val="20"/>
                <w:color w:val="auto"/>
              </w:rPr>
            </w:pPr>
            <w:r>
              <w:rPr>
                <w:rFonts w:ascii="Arial" w:cs="Arial" w:eastAsia="Arial" w:hAnsi="Arial"/>
                <w:sz w:val="12"/>
                <w:szCs w:val="12"/>
                <w:color w:val="auto"/>
              </w:rPr>
              <w:t>07/01/2019</w:t>
            </w:r>
          </w:p>
        </w:tc>
        <w:tc>
          <w:tcPr>
            <w:tcW w:w="2400" w:type="dxa"/>
            <w:vAlign w:val="bottom"/>
            <w:gridSpan w:val="2"/>
            <w:shd w:val="clear" w:color="auto" w:fill="CCECFF"/>
          </w:tcPr>
          <w:p>
            <w:pPr>
              <w:jc w:val="center"/>
              <w:ind w:right="460"/>
              <w:spacing w:after="0"/>
              <w:rPr>
                <w:sz w:val="20"/>
                <w:szCs w:val="20"/>
                <w:color w:val="auto"/>
              </w:rPr>
            </w:pPr>
            <w:r>
              <w:rPr>
                <w:rFonts w:ascii="Arial" w:cs="Arial" w:eastAsia="Arial" w:hAnsi="Arial"/>
                <w:sz w:val="12"/>
                <w:szCs w:val="12"/>
                <w:color w:val="auto"/>
                <w:w w:val="91"/>
              </w:rPr>
              <w:t>Media</w:t>
            </w:r>
          </w:p>
        </w:tc>
        <w:tc>
          <w:tcPr>
            <w:tcW w:w="960" w:type="dxa"/>
            <w:vAlign w:val="bottom"/>
            <w:gridSpan w:val="2"/>
            <w:shd w:val="clear" w:color="auto" w:fill="CCECFF"/>
          </w:tcPr>
          <w:p>
            <w:pPr>
              <w:jc w:val="right"/>
              <w:ind w:right="180"/>
              <w:spacing w:after="0"/>
              <w:rPr>
                <w:sz w:val="20"/>
                <w:szCs w:val="20"/>
                <w:color w:val="auto"/>
              </w:rPr>
            </w:pPr>
            <w:r>
              <w:rPr>
                <w:rFonts w:ascii="Arial" w:cs="Arial" w:eastAsia="Arial" w:hAnsi="Arial"/>
                <w:sz w:val="12"/>
                <w:szCs w:val="12"/>
                <w:color w:val="auto"/>
              </w:rPr>
              <w:t>16.00%</w:t>
            </w:r>
          </w:p>
        </w:tc>
        <w:tc>
          <w:tcPr>
            <w:tcW w:w="900" w:type="dxa"/>
            <w:vAlign w:val="bottom"/>
            <w:gridSpan w:val="2"/>
            <w:shd w:val="clear" w:color="auto" w:fill="CCECFF"/>
          </w:tcPr>
          <w:p>
            <w:pPr>
              <w:jc w:val="right"/>
              <w:ind w:right="240"/>
              <w:spacing w:after="0"/>
              <w:rPr>
                <w:sz w:val="20"/>
                <w:szCs w:val="20"/>
                <w:color w:val="auto"/>
              </w:rPr>
            </w:pPr>
            <w:r>
              <w:rPr>
                <w:rFonts w:ascii="Arial" w:cs="Arial" w:eastAsia="Arial" w:hAnsi="Arial"/>
                <w:sz w:val="12"/>
                <w:szCs w:val="12"/>
                <w:color w:val="auto"/>
              </w:rPr>
              <w:t>L+1,500</w:t>
            </w:r>
          </w:p>
        </w:tc>
        <w:tc>
          <w:tcPr>
            <w:tcW w:w="680" w:type="dxa"/>
            <w:vAlign w:val="bottom"/>
            <w:shd w:val="clear" w:color="auto" w:fill="CCECFF"/>
          </w:tcPr>
          <w:p>
            <w:pPr>
              <w:jc w:val="right"/>
              <w:spacing w:after="0"/>
              <w:rPr>
                <w:sz w:val="20"/>
                <w:szCs w:val="20"/>
                <w:color w:val="auto"/>
              </w:rPr>
            </w:pPr>
            <w:r>
              <w:rPr>
                <w:rFonts w:ascii="Arial" w:cs="Arial" w:eastAsia="Arial" w:hAnsi="Arial"/>
                <w:sz w:val="12"/>
                <w:szCs w:val="12"/>
                <w:color w:val="auto"/>
              </w:rPr>
              <w:t>8,675,815</w:t>
            </w:r>
          </w:p>
        </w:tc>
        <w:tc>
          <w:tcPr>
            <w:tcW w:w="220" w:type="dxa"/>
            <w:vAlign w:val="bottom"/>
            <w:shd w:val="clear" w:color="auto" w:fill="CCECFF"/>
          </w:tcPr>
          <w:p>
            <w:pPr>
              <w:spacing w:after="0"/>
              <w:rPr>
                <w:sz w:val="12"/>
                <w:szCs w:val="12"/>
                <w:color w:val="auto"/>
              </w:rPr>
            </w:pPr>
          </w:p>
        </w:tc>
        <w:tc>
          <w:tcPr>
            <w:tcW w:w="100" w:type="dxa"/>
            <w:vAlign w:val="bottom"/>
            <w:shd w:val="clear" w:color="auto" w:fill="CCECFF"/>
          </w:tcPr>
          <w:p>
            <w:pPr>
              <w:spacing w:after="0"/>
              <w:rPr>
                <w:sz w:val="12"/>
                <w:szCs w:val="12"/>
                <w:color w:val="auto"/>
              </w:rPr>
            </w:pPr>
          </w:p>
        </w:tc>
        <w:tc>
          <w:tcPr>
            <w:tcW w:w="700" w:type="dxa"/>
            <w:vAlign w:val="bottom"/>
            <w:shd w:val="clear" w:color="auto" w:fill="CCECFF"/>
          </w:tcPr>
          <w:p>
            <w:pPr>
              <w:jc w:val="right"/>
              <w:spacing w:after="0"/>
              <w:rPr>
                <w:sz w:val="20"/>
                <w:szCs w:val="20"/>
                <w:color w:val="auto"/>
              </w:rPr>
            </w:pPr>
            <w:r>
              <w:rPr>
                <w:rFonts w:ascii="Arial" w:cs="Arial" w:eastAsia="Arial" w:hAnsi="Arial"/>
                <w:sz w:val="12"/>
                <w:szCs w:val="12"/>
                <w:color w:val="auto"/>
              </w:rPr>
              <w:t>8,675,815</w:t>
            </w:r>
          </w:p>
        </w:tc>
        <w:tc>
          <w:tcPr>
            <w:tcW w:w="240" w:type="dxa"/>
            <w:vAlign w:val="bottom"/>
            <w:shd w:val="clear" w:color="auto" w:fill="CCECFF"/>
          </w:tcPr>
          <w:p>
            <w:pPr>
              <w:spacing w:after="0"/>
              <w:rPr>
                <w:sz w:val="12"/>
                <w:szCs w:val="12"/>
                <w:color w:val="auto"/>
              </w:rPr>
            </w:pPr>
          </w:p>
        </w:tc>
        <w:tc>
          <w:tcPr>
            <w:tcW w:w="80" w:type="dxa"/>
            <w:vAlign w:val="bottom"/>
            <w:shd w:val="clear" w:color="auto" w:fill="CCECFF"/>
          </w:tcPr>
          <w:p>
            <w:pPr>
              <w:spacing w:after="0"/>
              <w:rPr>
                <w:sz w:val="12"/>
                <w:szCs w:val="12"/>
                <w:color w:val="auto"/>
              </w:rPr>
            </w:pPr>
          </w:p>
        </w:tc>
        <w:tc>
          <w:tcPr>
            <w:tcW w:w="720" w:type="dxa"/>
            <w:vAlign w:val="bottom"/>
            <w:shd w:val="clear" w:color="auto" w:fill="CCECFF"/>
          </w:tcPr>
          <w:p>
            <w:pPr>
              <w:jc w:val="right"/>
              <w:spacing w:after="0"/>
              <w:rPr>
                <w:sz w:val="20"/>
                <w:szCs w:val="20"/>
                <w:color w:val="auto"/>
              </w:rPr>
            </w:pPr>
            <w:r>
              <w:rPr>
                <w:rFonts w:ascii="Arial" w:cs="Arial" w:eastAsia="Arial" w:hAnsi="Arial"/>
                <w:sz w:val="12"/>
                <w:szCs w:val="12"/>
                <w:color w:val="auto"/>
              </w:rPr>
              <w:t>7,346,315</w:t>
            </w:r>
          </w:p>
        </w:tc>
        <w:tc>
          <w:tcPr>
            <w:tcW w:w="100" w:type="dxa"/>
            <w:vAlign w:val="bottom"/>
            <w:shd w:val="clear" w:color="auto" w:fill="CCECFF"/>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940" w:type="dxa"/>
            <w:vAlign w:val="bottom"/>
            <w:shd w:val="clear" w:color="auto" w:fill="CCECFF"/>
          </w:tcPr>
          <w:p>
            <w:pPr>
              <w:spacing w:after="0"/>
              <w:rPr>
                <w:sz w:val="12"/>
                <w:szCs w:val="12"/>
                <w:color w:val="auto"/>
              </w:rPr>
            </w:pPr>
          </w:p>
        </w:tc>
        <w:tc>
          <w:tcPr>
            <w:tcW w:w="1200" w:type="dxa"/>
            <w:vAlign w:val="bottom"/>
            <w:shd w:val="clear" w:color="auto" w:fill="CCECFF"/>
          </w:tcPr>
          <w:p>
            <w:pPr>
              <w:spacing w:after="0"/>
              <w:rPr>
                <w:sz w:val="12"/>
                <w:szCs w:val="12"/>
                <w:color w:val="auto"/>
              </w:rPr>
            </w:pPr>
          </w:p>
        </w:tc>
        <w:tc>
          <w:tcPr>
            <w:tcW w:w="2280" w:type="dxa"/>
            <w:vAlign w:val="bottom"/>
            <w:shd w:val="clear" w:color="auto" w:fill="CCECFF"/>
          </w:tcPr>
          <w:p>
            <w:pPr>
              <w:spacing w:after="0"/>
              <w:rPr>
                <w:sz w:val="12"/>
                <w:szCs w:val="12"/>
                <w:color w:val="auto"/>
              </w:rPr>
            </w:pPr>
          </w:p>
        </w:tc>
        <w:tc>
          <w:tcPr>
            <w:tcW w:w="120" w:type="dxa"/>
            <w:vAlign w:val="bottom"/>
            <w:shd w:val="clear" w:color="auto" w:fill="CCECFF"/>
          </w:tcPr>
          <w:p>
            <w:pPr>
              <w:spacing w:after="0"/>
              <w:rPr>
                <w:sz w:val="12"/>
                <w:szCs w:val="12"/>
                <w:color w:val="auto"/>
              </w:rPr>
            </w:pPr>
          </w:p>
        </w:tc>
        <w:tc>
          <w:tcPr>
            <w:tcW w:w="960" w:type="dxa"/>
            <w:vAlign w:val="bottom"/>
            <w:gridSpan w:val="2"/>
            <w:shd w:val="clear" w:color="auto" w:fill="CCECFF"/>
          </w:tcPr>
          <w:p>
            <w:pPr>
              <w:ind w:left="140"/>
              <w:spacing w:after="0"/>
              <w:rPr>
                <w:sz w:val="20"/>
                <w:szCs w:val="20"/>
                <w:color w:val="auto"/>
              </w:rPr>
            </w:pPr>
            <w:r>
              <w:rPr>
                <w:rFonts w:ascii="Arial" w:cs="Arial" w:eastAsia="Arial" w:hAnsi="Arial"/>
                <w:sz w:val="12"/>
                <w:szCs w:val="12"/>
                <w:color w:val="auto"/>
              </w:rPr>
              <w:t>(PIK 16.00%)</w:t>
            </w:r>
          </w:p>
        </w:tc>
        <w:tc>
          <w:tcPr>
            <w:tcW w:w="680" w:type="dxa"/>
            <w:vAlign w:val="bottom"/>
            <w:shd w:val="clear" w:color="auto" w:fill="CCECFF"/>
          </w:tcPr>
          <w:p>
            <w:pPr>
              <w:spacing w:after="0"/>
              <w:rPr>
                <w:sz w:val="12"/>
                <w:szCs w:val="12"/>
                <w:color w:val="auto"/>
              </w:rPr>
            </w:pPr>
          </w:p>
        </w:tc>
        <w:tc>
          <w:tcPr>
            <w:tcW w:w="220" w:type="dxa"/>
            <w:vAlign w:val="bottom"/>
            <w:shd w:val="clear" w:color="auto" w:fill="CCECFF"/>
          </w:tcPr>
          <w:p>
            <w:pPr>
              <w:spacing w:after="0"/>
              <w:rPr>
                <w:sz w:val="12"/>
                <w:szCs w:val="12"/>
                <w:color w:val="auto"/>
              </w:rPr>
            </w:pPr>
          </w:p>
        </w:tc>
        <w:tc>
          <w:tcPr>
            <w:tcW w:w="680" w:type="dxa"/>
            <w:vAlign w:val="bottom"/>
            <w:shd w:val="clear" w:color="auto" w:fill="CCECFF"/>
          </w:tcPr>
          <w:p>
            <w:pPr>
              <w:spacing w:after="0"/>
              <w:rPr>
                <w:sz w:val="12"/>
                <w:szCs w:val="12"/>
                <w:color w:val="auto"/>
              </w:rPr>
            </w:pPr>
          </w:p>
        </w:tc>
        <w:tc>
          <w:tcPr>
            <w:tcW w:w="220" w:type="dxa"/>
            <w:vAlign w:val="bottom"/>
            <w:shd w:val="clear" w:color="auto" w:fill="CCECFF"/>
          </w:tcPr>
          <w:p>
            <w:pPr>
              <w:spacing w:after="0"/>
              <w:rPr>
                <w:sz w:val="12"/>
                <w:szCs w:val="12"/>
                <w:color w:val="auto"/>
              </w:rPr>
            </w:pPr>
          </w:p>
        </w:tc>
        <w:tc>
          <w:tcPr>
            <w:tcW w:w="100" w:type="dxa"/>
            <w:vAlign w:val="bottom"/>
            <w:tcBorders>
              <w:bottom w:val="single" w:sz="8" w:color="auto"/>
            </w:tcBorders>
            <w:shd w:val="clear" w:color="auto" w:fill="CCECFF"/>
          </w:tcPr>
          <w:p>
            <w:pPr>
              <w:spacing w:after="0"/>
              <w:rPr>
                <w:sz w:val="12"/>
                <w:szCs w:val="12"/>
                <w:color w:val="auto"/>
              </w:rPr>
            </w:pPr>
          </w:p>
        </w:tc>
        <w:tc>
          <w:tcPr>
            <w:tcW w:w="700" w:type="dxa"/>
            <w:vAlign w:val="bottom"/>
            <w:tcBorders>
              <w:bottom w:val="single" w:sz="8" w:color="auto"/>
            </w:tcBorders>
            <w:shd w:val="clear" w:color="auto" w:fill="CCECFF"/>
          </w:tcPr>
          <w:p>
            <w:pPr>
              <w:spacing w:after="0"/>
              <w:rPr>
                <w:sz w:val="12"/>
                <w:szCs w:val="12"/>
                <w:color w:val="auto"/>
              </w:rPr>
            </w:pPr>
          </w:p>
        </w:tc>
        <w:tc>
          <w:tcPr>
            <w:tcW w:w="240" w:type="dxa"/>
            <w:vAlign w:val="bottom"/>
            <w:shd w:val="clear" w:color="auto" w:fill="CCECFF"/>
          </w:tcPr>
          <w:p>
            <w:pPr>
              <w:spacing w:after="0"/>
              <w:rPr>
                <w:sz w:val="12"/>
                <w:szCs w:val="12"/>
                <w:color w:val="auto"/>
              </w:rPr>
            </w:pPr>
          </w:p>
        </w:tc>
        <w:tc>
          <w:tcPr>
            <w:tcW w:w="80" w:type="dxa"/>
            <w:vAlign w:val="bottom"/>
            <w:tcBorders>
              <w:bottom w:val="single" w:sz="8" w:color="auto"/>
            </w:tcBorders>
            <w:shd w:val="clear" w:color="auto" w:fill="CCECFF"/>
          </w:tcPr>
          <w:p>
            <w:pPr>
              <w:spacing w:after="0"/>
              <w:rPr>
                <w:sz w:val="12"/>
                <w:szCs w:val="12"/>
                <w:color w:val="auto"/>
              </w:rPr>
            </w:pPr>
          </w:p>
        </w:tc>
        <w:tc>
          <w:tcPr>
            <w:tcW w:w="720" w:type="dxa"/>
            <w:vAlign w:val="bottom"/>
            <w:tcBorders>
              <w:bottom w:val="single" w:sz="8" w:color="auto"/>
            </w:tcBorders>
            <w:shd w:val="clear" w:color="auto" w:fill="CCECFF"/>
          </w:tcPr>
          <w:p>
            <w:pPr>
              <w:spacing w:after="0"/>
              <w:rPr>
                <w:sz w:val="12"/>
                <w:szCs w:val="12"/>
                <w:color w:val="auto"/>
              </w:rPr>
            </w:pPr>
          </w:p>
        </w:tc>
        <w:tc>
          <w:tcPr>
            <w:tcW w:w="100" w:type="dxa"/>
            <w:vAlign w:val="bottom"/>
            <w:shd w:val="clear" w:color="auto" w:fill="CCECFF"/>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2940" w:type="dxa"/>
            <w:vAlign w:val="bottom"/>
          </w:tcPr>
          <w:p>
            <w:pPr>
              <w:spacing w:after="0"/>
              <w:rPr>
                <w:sz w:val="20"/>
                <w:szCs w:val="20"/>
                <w:color w:val="auto"/>
              </w:rPr>
            </w:pPr>
            <w:r>
              <w:rPr>
                <w:rFonts w:ascii="Arial" w:cs="Arial" w:eastAsia="Arial" w:hAnsi="Arial"/>
                <w:sz w:val="12"/>
                <w:szCs w:val="12"/>
                <w:b w:val="1"/>
                <w:bCs w:val="1"/>
                <w:color w:val="auto"/>
              </w:rPr>
              <w:t xml:space="preserve">Preferred Equity—3.1% </w:t>
            </w:r>
            <w:r>
              <w:rPr>
                <w:rFonts w:ascii="Arial" w:cs="Arial" w:eastAsia="Arial" w:hAnsi="Arial"/>
                <w:sz w:val="9"/>
                <w:szCs w:val="9"/>
                <w:b w:val="1"/>
                <w:bCs w:val="1"/>
                <w:color w:val="auto"/>
              </w:rPr>
              <w:t>(6)</w:t>
            </w:r>
          </w:p>
        </w:tc>
        <w:tc>
          <w:tcPr>
            <w:tcW w:w="1200" w:type="dxa"/>
            <w:vAlign w:val="bottom"/>
          </w:tcPr>
          <w:p>
            <w:pPr>
              <w:spacing w:after="0"/>
              <w:rPr>
                <w:sz w:val="12"/>
                <w:szCs w:val="12"/>
                <w:color w:val="auto"/>
              </w:rPr>
            </w:pPr>
          </w:p>
        </w:tc>
        <w:tc>
          <w:tcPr>
            <w:tcW w:w="22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940" w:type="dxa"/>
            <w:vAlign w:val="bottom"/>
            <w:shd w:val="clear" w:color="auto" w:fill="CCECFF"/>
          </w:tcPr>
          <w:p>
            <w:pPr>
              <w:spacing w:after="0"/>
              <w:rPr>
                <w:sz w:val="20"/>
                <w:szCs w:val="20"/>
                <w:color w:val="auto"/>
              </w:rPr>
            </w:pPr>
            <w:r>
              <w:rPr>
                <w:rFonts w:ascii="Arial" w:cs="Arial" w:eastAsia="Arial" w:hAnsi="Arial"/>
                <w:sz w:val="12"/>
                <w:szCs w:val="12"/>
                <w:color w:val="auto"/>
              </w:rPr>
              <w:t>MidOcean JF Holdings Corp.</w:t>
            </w:r>
          </w:p>
        </w:tc>
        <w:tc>
          <w:tcPr>
            <w:tcW w:w="1200" w:type="dxa"/>
            <w:vAlign w:val="bottom"/>
            <w:shd w:val="clear" w:color="auto" w:fill="CCECFF"/>
          </w:tcPr>
          <w:p>
            <w:pPr>
              <w:ind w:left="380"/>
              <w:spacing w:after="0"/>
              <w:rPr>
                <w:sz w:val="20"/>
                <w:szCs w:val="20"/>
                <w:color w:val="auto"/>
              </w:rPr>
            </w:pPr>
            <w:r>
              <w:rPr>
                <w:rFonts w:ascii="Arial" w:cs="Arial" w:eastAsia="Arial" w:hAnsi="Arial"/>
                <w:sz w:val="12"/>
                <w:szCs w:val="12"/>
                <w:color w:val="auto"/>
              </w:rPr>
              <w:t>—</w:t>
            </w:r>
          </w:p>
        </w:tc>
        <w:tc>
          <w:tcPr>
            <w:tcW w:w="2400" w:type="dxa"/>
            <w:vAlign w:val="bottom"/>
            <w:gridSpan w:val="2"/>
            <w:shd w:val="clear" w:color="auto" w:fill="CCECFF"/>
          </w:tcPr>
          <w:p>
            <w:pPr>
              <w:jc w:val="center"/>
              <w:ind w:right="440"/>
              <w:spacing w:after="0"/>
              <w:rPr>
                <w:sz w:val="20"/>
                <w:szCs w:val="20"/>
                <w:color w:val="auto"/>
              </w:rPr>
            </w:pPr>
            <w:r>
              <w:rPr>
                <w:rFonts w:ascii="Arial" w:cs="Arial" w:eastAsia="Arial" w:hAnsi="Arial"/>
                <w:sz w:val="12"/>
                <w:szCs w:val="12"/>
                <w:color w:val="auto"/>
                <w:w w:val="93"/>
              </w:rPr>
              <w:t>Distribution</w:t>
            </w:r>
          </w:p>
        </w:tc>
        <w:tc>
          <w:tcPr>
            <w:tcW w:w="960" w:type="dxa"/>
            <w:vAlign w:val="bottom"/>
            <w:gridSpan w:val="2"/>
            <w:shd w:val="clear" w:color="auto" w:fill="CCECFF"/>
          </w:tcPr>
          <w:p>
            <w:pPr>
              <w:jc w:val="right"/>
              <w:ind w:right="300"/>
              <w:spacing w:after="0"/>
              <w:rPr>
                <w:sz w:val="20"/>
                <w:szCs w:val="20"/>
                <w:color w:val="auto"/>
              </w:rPr>
            </w:pPr>
            <w:r>
              <w:rPr>
                <w:rFonts w:ascii="Arial" w:cs="Arial" w:eastAsia="Arial" w:hAnsi="Arial"/>
                <w:sz w:val="12"/>
                <w:szCs w:val="12"/>
                <w:color w:val="auto"/>
              </w:rPr>
              <w:t>—</w:t>
            </w:r>
          </w:p>
        </w:tc>
        <w:tc>
          <w:tcPr>
            <w:tcW w:w="900" w:type="dxa"/>
            <w:vAlign w:val="bottom"/>
            <w:gridSpan w:val="2"/>
            <w:shd w:val="clear" w:color="auto" w:fill="CCECFF"/>
          </w:tcPr>
          <w:p>
            <w:pPr>
              <w:jc w:val="right"/>
              <w:ind w:right="240"/>
              <w:spacing w:after="0"/>
              <w:rPr>
                <w:sz w:val="20"/>
                <w:szCs w:val="20"/>
                <w:color w:val="auto"/>
              </w:rPr>
            </w:pPr>
            <w:r>
              <w:rPr>
                <w:rFonts w:ascii="Arial" w:cs="Arial" w:eastAsia="Arial" w:hAnsi="Arial"/>
                <w:sz w:val="12"/>
                <w:szCs w:val="12"/>
                <w:color w:val="auto"/>
              </w:rPr>
              <w:t>—</w:t>
            </w:r>
          </w:p>
        </w:tc>
        <w:tc>
          <w:tcPr>
            <w:tcW w:w="680" w:type="dxa"/>
            <w:vAlign w:val="bottom"/>
            <w:shd w:val="clear" w:color="auto" w:fill="CCECFF"/>
          </w:tcPr>
          <w:p>
            <w:pPr>
              <w:jc w:val="right"/>
              <w:spacing w:after="0"/>
              <w:rPr>
                <w:sz w:val="20"/>
                <w:szCs w:val="20"/>
                <w:color w:val="auto"/>
              </w:rPr>
            </w:pPr>
            <w:r>
              <w:rPr>
                <w:rFonts w:ascii="Arial" w:cs="Arial" w:eastAsia="Arial" w:hAnsi="Arial"/>
                <w:sz w:val="12"/>
                <w:szCs w:val="12"/>
                <w:color w:val="auto"/>
              </w:rPr>
              <w:t>143,183</w:t>
            </w:r>
          </w:p>
        </w:tc>
        <w:tc>
          <w:tcPr>
            <w:tcW w:w="220" w:type="dxa"/>
            <w:vAlign w:val="bottom"/>
            <w:shd w:val="clear" w:color="auto" w:fill="CCECFF"/>
          </w:tcPr>
          <w:p>
            <w:pPr>
              <w:spacing w:after="0"/>
              <w:rPr>
                <w:sz w:val="12"/>
                <w:szCs w:val="12"/>
                <w:color w:val="auto"/>
              </w:rPr>
            </w:pPr>
          </w:p>
        </w:tc>
        <w:tc>
          <w:tcPr>
            <w:tcW w:w="100" w:type="dxa"/>
            <w:vAlign w:val="bottom"/>
            <w:shd w:val="clear" w:color="auto" w:fill="CCECFF"/>
          </w:tcPr>
          <w:p>
            <w:pPr>
              <w:spacing w:after="0"/>
              <w:rPr>
                <w:sz w:val="12"/>
                <w:szCs w:val="12"/>
                <w:color w:val="auto"/>
              </w:rPr>
            </w:pPr>
          </w:p>
        </w:tc>
        <w:tc>
          <w:tcPr>
            <w:tcW w:w="700" w:type="dxa"/>
            <w:vAlign w:val="bottom"/>
            <w:shd w:val="clear" w:color="auto" w:fill="CCECFF"/>
          </w:tcPr>
          <w:p>
            <w:pPr>
              <w:jc w:val="right"/>
              <w:spacing w:after="0"/>
              <w:rPr>
                <w:sz w:val="20"/>
                <w:szCs w:val="20"/>
                <w:color w:val="auto"/>
              </w:rPr>
            </w:pPr>
            <w:r>
              <w:rPr>
                <w:rFonts w:ascii="Arial" w:cs="Arial" w:eastAsia="Arial" w:hAnsi="Arial"/>
                <w:sz w:val="12"/>
                <w:szCs w:val="12"/>
                <w:color w:val="auto"/>
              </w:rPr>
              <w:t>14,318,325</w:t>
            </w:r>
          </w:p>
        </w:tc>
        <w:tc>
          <w:tcPr>
            <w:tcW w:w="240" w:type="dxa"/>
            <w:vAlign w:val="bottom"/>
            <w:shd w:val="clear" w:color="auto" w:fill="CCECFF"/>
          </w:tcPr>
          <w:p>
            <w:pPr>
              <w:spacing w:after="0"/>
              <w:rPr>
                <w:sz w:val="12"/>
                <w:szCs w:val="12"/>
                <w:color w:val="auto"/>
              </w:rPr>
            </w:pPr>
          </w:p>
        </w:tc>
        <w:tc>
          <w:tcPr>
            <w:tcW w:w="80" w:type="dxa"/>
            <w:vAlign w:val="bottom"/>
            <w:shd w:val="clear" w:color="auto" w:fill="CCECFF"/>
          </w:tcPr>
          <w:p>
            <w:pPr>
              <w:spacing w:after="0"/>
              <w:rPr>
                <w:sz w:val="12"/>
                <w:szCs w:val="12"/>
                <w:color w:val="auto"/>
              </w:rPr>
            </w:pPr>
          </w:p>
        </w:tc>
        <w:tc>
          <w:tcPr>
            <w:tcW w:w="720" w:type="dxa"/>
            <w:vAlign w:val="bottom"/>
            <w:shd w:val="clear" w:color="auto" w:fill="CCECFF"/>
          </w:tcPr>
          <w:p>
            <w:pPr>
              <w:jc w:val="right"/>
              <w:spacing w:after="0"/>
              <w:rPr>
                <w:sz w:val="20"/>
                <w:szCs w:val="20"/>
                <w:color w:val="auto"/>
              </w:rPr>
            </w:pPr>
            <w:r>
              <w:rPr>
                <w:rFonts w:ascii="Arial" w:cs="Arial" w:eastAsia="Arial" w:hAnsi="Arial"/>
                <w:sz w:val="12"/>
                <w:szCs w:val="12"/>
                <w:color w:val="auto"/>
              </w:rPr>
              <w:t>20,151,529</w:t>
            </w:r>
          </w:p>
        </w:tc>
        <w:tc>
          <w:tcPr>
            <w:tcW w:w="100" w:type="dxa"/>
            <w:vAlign w:val="bottom"/>
            <w:shd w:val="clear" w:color="auto" w:fill="CCECFF"/>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940" w:type="dxa"/>
            <w:vAlign w:val="bottom"/>
          </w:tcPr>
          <w:p>
            <w:pPr>
              <w:spacing w:after="0"/>
              <w:rPr>
                <w:sz w:val="20"/>
                <w:szCs w:val="20"/>
                <w:color w:val="auto"/>
              </w:rPr>
            </w:pPr>
            <w:r>
              <w:rPr>
                <w:rFonts w:ascii="Arial" w:cs="Arial" w:eastAsia="Arial" w:hAnsi="Arial"/>
                <w:sz w:val="12"/>
                <w:szCs w:val="12"/>
                <w:color w:val="auto"/>
              </w:rPr>
              <w:t>Superior Digital Displays Holdings, Inc.</w:t>
            </w:r>
          </w:p>
        </w:tc>
        <w:tc>
          <w:tcPr>
            <w:tcW w:w="1200" w:type="dxa"/>
            <w:vAlign w:val="bottom"/>
          </w:tcPr>
          <w:p>
            <w:pPr>
              <w:ind w:left="380"/>
              <w:spacing w:after="0"/>
              <w:rPr>
                <w:sz w:val="20"/>
                <w:szCs w:val="20"/>
                <w:color w:val="auto"/>
              </w:rPr>
            </w:pPr>
            <w:r>
              <w:rPr>
                <w:rFonts w:ascii="Arial" w:cs="Arial" w:eastAsia="Arial" w:hAnsi="Arial"/>
                <w:sz w:val="12"/>
                <w:szCs w:val="12"/>
                <w:color w:val="auto"/>
              </w:rPr>
              <w:t>—</w:t>
            </w:r>
          </w:p>
        </w:tc>
        <w:tc>
          <w:tcPr>
            <w:tcW w:w="2400" w:type="dxa"/>
            <w:vAlign w:val="bottom"/>
            <w:gridSpan w:val="2"/>
          </w:tcPr>
          <w:p>
            <w:pPr>
              <w:jc w:val="center"/>
              <w:ind w:right="460"/>
              <w:spacing w:after="0"/>
              <w:rPr>
                <w:sz w:val="20"/>
                <w:szCs w:val="20"/>
                <w:color w:val="auto"/>
              </w:rPr>
            </w:pPr>
            <w:r>
              <w:rPr>
                <w:rFonts w:ascii="Arial" w:cs="Arial" w:eastAsia="Arial" w:hAnsi="Arial"/>
                <w:sz w:val="12"/>
                <w:szCs w:val="12"/>
                <w:color w:val="auto"/>
                <w:w w:val="91"/>
              </w:rPr>
              <w:t>Media</w:t>
            </w:r>
          </w:p>
        </w:tc>
        <w:tc>
          <w:tcPr>
            <w:tcW w:w="960" w:type="dxa"/>
            <w:vAlign w:val="bottom"/>
            <w:gridSpan w:val="2"/>
          </w:tcPr>
          <w:p>
            <w:pPr>
              <w:jc w:val="right"/>
              <w:ind w:right="180"/>
              <w:spacing w:after="0"/>
              <w:rPr>
                <w:sz w:val="20"/>
                <w:szCs w:val="20"/>
                <w:color w:val="auto"/>
              </w:rPr>
            </w:pPr>
            <w:r>
              <w:rPr>
                <w:rFonts w:ascii="Arial" w:cs="Arial" w:eastAsia="Arial" w:hAnsi="Arial"/>
                <w:sz w:val="12"/>
                <w:szCs w:val="12"/>
                <w:color w:val="auto"/>
              </w:rPr>
              <w:t>15.00%</w:t>
            </w:r>
          </w:p>
        </w:tc>
        <w:tc>
          <w:tcPr>
            <w:tcW w:w="900" w:type="dxa"/>
            <w:vAlign w:val="bottom"/>
            <w:gridSpan w:val="2"/>
          </w:tcPr>
          <w:p>
            <w:pPr>
              <w:jc w:val="right"/>
              <w:ind w:right="240"/>
              <w:spacing w:after="0"/>
              <w:rPr>
                <w:sz w:val="20"/>
                <w:szCs w:val="20"/>
                <w:color w:val="auto"/>
              </w:rPr>
            </w:pPr>
            <w:r>
              <w:rPr>
                <w:rFonts w:ascii="Arial" w:cs="Arial" w:eastAsia="Arial" w:hAnsi="Arial"/>
                <w:sz w:val="12"/>
                <w:szCs w:val="12"/>
                <w:color w:val="auto"/>
              </w:rPr>
              <w:t>—</w:t>
            </w:r>
          </w:p>
        </w:tc>
        <w:tc>
          <w:tcPr>
            <w:tcW w:w="680" w:type="dxa"/>
            <w:vAlign w:val="bottom"/>
          </w:tcPr>
          <w:p>
            <w:pPr>
              <w:jc w:val="right"/>
              <w:spacing w:after="0"/>
              <w:rPr>
                <w:sz w:val="20"/>
                <w:szCs w:val="20"/>
                <w:color w:val="auto"/>
              </w:rPr>
            </w:pPr>
            <w:r>
              <w:rPr>
                <w:rFonts w:ascii="Arial" w:cs="Arial" w:eastAsia="Arial" w:hAnsi="Arial"/>
                <w:sz w:val="12"/>
                <w:szCs w:val="12"/>
                <w:color w:val="auto"/>
              </w:rPr>
              <w:t>103,916</w:t>
            </w: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00" w:type="dxa"/>
            <w:vAlign w:val="bottom"/>
          </w:tcPr>
          <w:p>
            <w:pPr>
              <w:jc w:val="right"/>
              <w:spacing w:after="0"/>
              <w:rPr>
                <w:sz w:val="20"/>
                <w:szCs w:val="20"/>
                <w:color w:val="auto"/>
              </w:rPr>
            </w:pPr>
            <w:r>
              <w:rPr>
                <w:rFonts w:ascii="Arial" w:cs="Arial" w:eastAsia="Arial" w:hAnsi="Arial"/>
                <w:sz w:val="12"/>
                <w:szCs w:val="12"/>
                <w:color w:val="auto"/>
              </w:rPr>
              <w:t>7,000,000</w:t>
            </w:r>
          </w:p>
        </w:tc>
        <w:tc>
          <w:tcPr>
            <w:tcW w:w="2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20" w:type="dxa"/>
            <w:vAlign w:val="bottom"/>
            <w:gridSpan w:val="2"/>
          </w:tcPr>
          <w:p>
            <w:pPr>
              <w:jc w:val="right"/>
              <w:ind w:right="79"/>
              <w:spacing w:after="0"/>
              <w:rPr>
                <w:sz w:val="20"/>
                <w:szCs w:val="20"/>
                <w:color w:val="auto"/>
              </w:rPr>
            </w:pPr>
            <w:r>
              <w:rPr>
                <w:rFonts w:ascii="Arial" w:cs="Arial" w:eastAsia="Arial" w:hAnsi="Arial"/>
                <w:sz w:val="12"/>
                <w:szCs w:val="12"/>
                <w:color w:val="auto"/>
              </w:rPr>
              <w:t>—</w:t>
            </w:r>
          </w:p>
        </w:tc>
        <w:tc>
          <w:tcPr>
            <w:tcW w:w="0" w:type="dxa"/>
            <w:vAlign w:val="bottom"/>
          </w:tcPr>
          <w:p>
            <w:pPr>
              <w:spacing w:after="0"/>
              <w:rPr>
                <w:sz w:val="1"/>
                <w:szCs w:val="1"/>
                <w:color w:val="auto"/>
              </w:rPr>
            </w:pPr>
          </w:p>
        </w:tc>
      </w:tr>
      <w:tr>
        <w:trPr>
          <w:trHeight w:val="142"/>
        </w:trPr>
        <w:tc>
          <w:tcPr>
            <w:tcW w:w="2940" w:type="dxa"/>
            <w:vAlign w:val="bottom"/>
            <w:tcBorders>
              <w:top w:val="single" w:sz="8" w:color="CCECFF"/>
            </w:tcBorders>
            <w:shd w:val="clear" w:color="auto" w:fill="CCECFF"/>
          </w:tcPr>
          <w:p>
            <w:pPr>
              <w:spacing w:after="0"/>
              <w:rPr>
                <w:sz w:val="20"/>
                <w:szCs w:val="20"/>
                <w:color w:val="auto"/>
              </w:rPr>
            </w:pPr>
            <w:r>
              <w:rPr>
                <w:rFonts w:ascii="Arial" w:cs="Arial" w:eastAsia="Arial" w:hAnsi="Arial"/>
                <w:sz w:val="12"/>
                <w:szCs w:val="12"/>
                <w:b w:val="1"/>
                <w:bCs w:val="1"/>
                <w:color w:val="auto"/>
              </w:rPr>
              <w:t>Total Preferred Equity</w:t>
            </w:r>
          </w:p>
        </w:tc>
        <w:tc>
          <w:tcPr>
            <w:tcW w:w="1200" w:type="dxa"/>
            <w:vAlign w:val="bottom"/>
            <w:tcBorders>
              <w:top w:val="single" w:sz="8" w:color="CCECFF"/>
            </w:tcBorders>
            <w:shd w:val="clear" w:color="auto" w:fill="CCECFF"/>
          </w:tcPr>
          <w:p>
            <w:pPr>
              <w:spacing w:after="0"/>
              <w:rPr>
                <w:sz w:val="12"/>
                <w:szCs w:val="12"/>
                <w:color w:val="auto"/>
              </w:rPr>
            </w:pPr>
          </w:p>
        </w:tc>
        <w:tc>
          <w:tcPr>
            <w:tcW w:w="2280" w:type="dxa"/>
            <w:vAlign w:val="bottom"/>
            <w:tcBorders>
              <w:top w:val="single" w:sz="8" w:color="CCECFF"/>
            </w:tcBorders>
            <w:shd w:val="clear" w:color="auto" w:fill="CCECFF"/>
          </w:tcPr>
          <w:p>
            <w:pPr>
              <w:spacing w:after="0"/>
              <w:rPr>
                <w:sz w:val="12"/>
                <w:szCs w:val="12"/>
                <w:color w:val="auto"/>
              </w:rPr>
            </w:pPr>
          </w:p>
        </w:tc>
        <w:tc>
          <w:tcPr>
            <w:tcW w:w="120" w:type="dxa"/>
            <w:vAlign w:val="bottom"/>
            <w:tcBorders>
              <w:top w:val="single" w:sz="8" w:color="CCECFF"/>
            </w:tcBorders>
            <w:shd w:val="clear" w:color="auto" w:fill="CCECFF"/>
          </w:tcPr>
          <w:p>
            <w:pPr>
              <w:spacing w:after="0"/>
              <w:rPr>
                <w:sz w:val="12"/>
                <w:szCs w:val="12"/>
                <w:color w:val="auto"/>
              </w:rPr>
            </w:pPr>
          </w:p>
        </w:tc>
        <w:tc>
          <w:tcPr>
            <w:tcW w:w="680" w:type="dxa"/>
            <w:vAlign w:val="bottom"/>
            <w:tcBorders>
              <w:top w:val="single" w:sz="8" w:color="CCECFF"/>
            </w:tcBorders>
            <w:shd w:val="clear" w:color="auto" w:fill="CCECFF"/>
          </w:tcPr>
          <w:p>
            <w:pPr>
              <w:spacing w:after="0"/>
              <w:rPr>
                <w:sz w:val="12"/>
                <w:szCs w:val="12"/>
                <w:color w:val="auto"/>
              </w:rPr>
            </w:pPr>
          </w:p>
        </w:tc>
        <w:tc>
          <w:tcPr>
            <w:tcW w:w="280" w:type="dxa"/>
            <w:vAlign w:val="bottom"/>
            <w:tcBorders>
              <w:top w:val="single" w:sz="8" w:color="CCECFF"/>
            </w:tcBorders>
            <w:shd w:val="clear" w:color="auto" w:fill="CCECFF"/>
          </w:tcPr>
          <w:p>
            <w:pPr>
              <w:spacing w:after="0"/>
              <w:rPr>
                <w:sz w:val="12"/>
                <w:szCs w:val="12"/>
                <w:color w:val="auto"/>
              </w:rPr>
            </w:pPr>
          </w:p>
        </w:tc>
        <w:tc>
          <w:tcPr>
            <w:tcW w:w="680" w:type="dxa"/>
            <w:vAlign w:val="bottom"/>
            <w:tcBorders>
              <w:top w:val="single" w:sz="8" w:color="CCECFF"/>
            </w:tcBorders>
            <w:shd w:val="clear" w:color="auto" w:fill="CCECFF"/>
          </w:tcPr>
          <w:p>
            <w:pPr>
              <w:spacing w:after="0"/>
              <w:rPr>
                <w:sz w:val="12"/>
                <w:szCs w:val="12"/>
                <w:color w:val="auto"/>
              </w:rPr>
            </w:pPr>
          </w:p>
        </w:tc>
        <w:tc>
          <w:tcPr>
            <w:tcW w:w="220" w:type="dxa"/>
            <w:vAlign w:val="bottom"/>
            <w:tcBorders>
              <w:top w:val="single" w:sz="8" w:color="CCECFF"/>
            </w:tcBorders>
            <w:shd w:val="clear" w:color="auto" w:fill="CCECFF"/>
          </w:tcPr>
          <w:p>
            <w:pPr>
              <w:spacing w:after="0"/>
              <w:rPr>
                <w:sz w:val="12"/>
                <w:szCs w:val="12"/>
                <w:color w:val="auto"/>
              </w:rPr>
            </w:pPr>
          </w:p>
        </w:tc>
        <w:tc>
          <w:tcPr>
            <w:tcW w:w="680" w:type="dxa"/>
            <w:vAlign w:val="bottom"/>
            <w:tcBorders>
              <w:top w:val="single" w:sz="8" w:color="CCECFF"/>
            </w:tcBorders>
            <w:shd w:val="clear" w:color="auto" w:fill="CCECFF"/>
          </w:tcPr>
          <w:p>
            <w:pPr>
              <w:spacing w:after="0"/>
              <w:rPr>
                <w:sz w:val="12"/>
                <w:szCs w:val="12"/>
                <w:color w:val="auto"/>
              </w:rPr>
            </w:pPr>
          </w:p>
        </w:tc>
        <w:tc>
          <w:tcPr>
            <w:tcW w:w="220" w:type="dxa"/>
            <w:vAlign w:val="bottom"/>
            <w:tcBorders>
              <w:top w:val="single" w:sz="8" w:color="CCECFF"/>
            </w:tcBorders>
            <w:shd w:val="clear" w:color="auto" w:fill="CCECFF"/>
          </w:tcPr>
          <w:p>
            <w:pPr>
              <w:spacing w:after="0"/>
              <w:rPr>
                <w:sz w:val="12"/>
                <w:szCs w:val="12"/>
                <w:color w:val="auto"/>
              </w:rPr>
            </w:pPr>
          </w:p>
        </w:tc>
        <w:tc>
          <w:tcPr>
            <w:tcW w:w="100" w:type="dxa"/>
            <w:vAlign w:val="bottom"/>
            <w:tcBorders>
              <w:top w:val="single" w:sz="8" w:color="auto"/>
              <w:bottom w:val="single" w:sz="8" w:color="auto"/>
            </w:tcBorders>
            <w:shd w:val="clear" w:color="auto" w:fill="CCECFF"/>
          </w:tcPr>
          <w:p>
            <w:pPr>
              <w:spacing w:after="0"/>
              <w:rPr>
                <w:sz w:val="12"/>
                <w:szCs w:val="12"/>
                <w:color w:val="auto"/>
              </w:rPr>
            </w:pPr>
          </w:p>
        </w:tc>
        <w:tc>
          <w:tcPr>
            <w:tcW w:w="700" w:type="dxa"/>
            <w:vAlign w:val="bottom"/>
            <w:tcBorders>
              <w:top w:val="single" w:sz="8" w:color="auto"/>
              <w:bottom w:val="single" w:sz="8" w:color="auto"/>
            </w:tcBorders>
            <w:shd w:val="clear" w:color="auto" w:fill="CCECFF"/>
          </w:tcPr>
          <w:p>
            <w:pPr>
              <w:jc w:val="right"/>
              <w:spacing w:after="0"/>
              <w:rPr>
                <w:sz w:val="20"/>
                <w:szCs w:val="20"/>
                <w:color w:val="auto"/>
              </w:rPr>
            </w:pPr>
            <w:r>
              <w:rPr>
                <w:rFonts w:ascii="Arial" w:cs="Arial" w:eastAsia="Arial" w:hAnsi="Arial"/>
                <w:sz w:val="12"/>
                <w:szCs w:val="12"/>
                <w:color w:val="auto"/>
              </w:rPr>
              <w:t>21,318,325</w:t>
            </w:r>
          </w:p>
        </w:tc>
        <w:tc>
          <w:tcPr>
            <w:tcW w:w="240" w:type="dxa"/>
            <w:vAlign w:val="bottom"/>
            <w:tcBorders>
              <w:top w:val="single" w:sz="8" w:color="CCECFF"/>
            </w:tcBorders>
            <w:shd w:val="clear" w:color="auto" w:fill="CCECFF"/>
          </w:tcPr>
          <w:p>
            <w:pPr>
              <w:spacing w:after="0"/>
              <w:rPr>
                <w:sz w:val="12"/>
                <w:szCs w:val="12"/>
                <w:color w:val="auto"/>
              </w:rPr>
            </w:pPr>
          </w:p>
        </w:tc>
        <w:tc>
          <w:tcPr>
            <w:tcW w:w="80" w:type="dxa"/>
            <w:vAlign w:val="bottom"/>
            <w:tcBorders>
              <w:top w:val="single" w:sz="8" w:color="auto"/>
              <w:bottom w:val="single" w:sz="8" w:color="auto"/>
            </w:tcBorders>
            <w:shd w:val="clear" w:color="auto" w:fill="CCECFF"/>
          </w:tcPr>
          <w:p>
            <w:pPr>
              <w:spacing w:after="0"/>
              <w:rPr>
                <w:sz w:val="12"/>
                <w:szCs w:val="12"/>
                <w:color w:val="auto"/>
              </w:rPr>
            </w:pPr>
          </w:p>
        </w:tc>
        <w:tc>
          <w:tcPr>
            <w:tcW w:w="720" w:type="dxa"/>
            <w:vAlign w:val="bottom"/>
            <w:tcBorders>
              <w:top w:val="single" w:sz="8" w:color="auto"/>
              <w:bottom w:val="single" w:sz="8" w:color="auto"/>
            </w:tcBorders>
            <w:shd w:val="clear" w:color="auto" w:fill="CCECFF"/>
          </w:tcPr>
          <w:p>
            <w:pPr>
              <w:jc w:val="right"/>
              <w:spacing w:after="0"/>
              <w:rPr>
                <w:sz w:val="20"/>
                <w:szCs w:val="20"/>
                <w:color w:val="auto"/>
              </w:rPr>
            </w:pPr>
            <w:r>
              <w:rPr>
                <w:rFonts w:ascii="Arial" w:cs="Arial" w:eastAsia="Arial" w:hAnsi="Arial"/>
                <w:sz w:val="12"/>
                <w:szCs w:val="12"/>
                <w:color w:val="auto"/>
              </w:rPr>
              <w:t>20,151,529</w:t>
            </w:r>
          </w:p>
        </w:tc>
        <w:tc>
          <w:tcPr>
            <w:tcW w:w="100" w:type="dxa"/>
            <w:vAlign w:val="bottom"/>
            <w:tcBorders>
              <w:top w:val="single" w:sz="8" w:color="CCECFF"/>
            </w:tcBorders>
            <w:shd w:val="clear" w:color="auto" w:fill="CCECFF"/>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2940" w:type="dxa"/>
            <w:vAlign w:val="bottom"/>
          </w:tcPr>
          <w:p>
            <w:pPr>
              <w:spacing w:after="0"/>
              <w:rPr>
                <w:sz w:val="20"/>
                <w:szCs w:val="20"/>
                <w:color w:val="auto"/>
              </w:rPr>
            </w:pPr>
            <w:r>
              <w:rPr>
                <w:rFonts w:ascii="Arial" w:cs="Arial" w:eastAsia="Arial" w:hAnsi="Arial"/>
                <w:sz w:val="12"/>
                <w:szCs w:val="12"/>
                <w:b w:val="1"/>
                <w:bCs w:val="1"/>
                <w:color w:val="auto"/>
              </w:rPr>
              <w:t xml:space="preserve">Common Equity—0.4% </w:t>
            </w:r>
            <w:r>
              <w:rPr>
                <w:rFonts w:ascii="Arial" w:cs="Arial" w:eastAsia="Arial" w:hAnsi="Arial"/>
                <w:sz w:val="9"/>
                <w:szCs w:val="9"/>
                <w:b w:val="1"/>
                <w:bCs w:val="1"/>
                <w:color w:val="auto"/>
              </w:rPr>
              <w:t>(6)</w:t>
            </w:r>
          </w:p>
        </w:tc>
        <w:tc>
          <w:tcPr>
            <w:tcW w:w="1200" w:type="dxa"/>
            <w:vAlign w:val="bottom"/>
          </w:tcPr>
          <w:p>
            <w:pPr>
              <w:spacing w:after="0"/>
              <w:rPr>
                <w:sz w:val="12"/>
                <w:szCs w:val="12"/>
                <w:color w:val="auto"/>
              </w:rPr>
            </w:pPr>
          </w:p>
        </w:tc>
        <w:tc>
          <w:tcPr>
            <w:tcW w:w="22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940" w:type="dxa"/>
            <w:vAlign w:val="bottom"/>
            <w:shd w:val="clear" w:color="auto" w:fill="CCECFF"/>
          </w:tcPr>
          <w:p>
            <w:pPr>
              <w:spacing w:after="0"/>
              <w:rPr>
                <w:sz w:val="20"/>
                <w:szCs w:val="20"/>
                <w:color w:val="auto"/>
              </w:rPr>
            </w:pPr>
            <w:r>
              <w:rPr>
                <w:rFonts w:ascii="Arial" w:cs="Arial" w:eastAsia="Arial" w:hAnsi="Arial"/>
                <w:sz w:val="12"/>
                <w:szCs w:val="12"/>
                <w:color w:val="auto"/>
              </w:rPr>
              <w:t>MidOcean JF Holdings Corp.</w:t>
            </w:r>
          </w:p>
        </w:tc>
        <w:tc>
          <w:tcPr>
            <w:tcW w:w="1200" w:type="dxa"/>
            <w:vAlign w:val="bottom"/>
            <w:shd w:val="clear" w:color="auto" w:fill="CCECFF"/>
          </w:tcPr>
          <w:p>
            <w:pPr>
              <w:ind w:left="380"/>
              <w:spacing w:after="0"/>
              <w:rPr>
                <w:sz w:val="20"/>
                <w:szCs w:val="20"/>
                <w:color w:val="auto"/>
              </w:rPr>
            </w:pPr>
            <w:r>
              <w:rPr>
                <w:rFonts w:ascii="Arial" w:cs="Arial" w:eastAsia="Arial" w:hAnsi="Arial"/>
                <w:sz w:val="12"/>
                <w:szCs w:val="12"/>
                <w:color w:val="auto"/>
              </w:rPr>
              <w:t>—</w:t>
            </w:r>
          </w:p>
        </w:tc>
        <w:tc>
          <w:tcPr>
            <w:tcW w:w="2400" w:type="dxa"/>
            <w:vAlign w:val="bottom"/>
            <w:gridSpan w:val="2"/>
            <w:shd w:val="clear" w:color="auto" w:fill="CCECFF"/>
          </w:tcPr>
          <w:p>
            <w:pPr>
              <w:jc w:val="center"/>
              <w:ind w:right="440"/>
              <w:spacing w:after="0"/>
              <w:rPr>
                <w:sz w:val="20"/>
                <w:szCs w:val="20"/>
                <w:color w:val="auto"/>
              </w:rPr>
            </w:pPr>
            <w:r>
              <w:rPr>
                <w:rFonts w:ascii="Arial" w:cs="Arial" w:eastAsia="Arial" w:hAnsi="Arial"/>
                <w:sz w:val="12"/>
                <w:szCs w:val="12"/>
                <w:color w:val="auto"/>
                <w:w w:val="93"/>
              </w:rPr>
              <w:t>Distribution</w:t>
            </w:r>
          </w:p>
        </w:tc>
        <w:tc>
          <w:tcPr>
            <w:tcW w:w="960" w:type="dxa"/>
            <w:vAlign w:val="bottom"/>
            <w:gridSpan w:val="2"/>
            <w:shd w:val="clear" w:color="auto" w:fill="CCECFF"/>
          </w:tcPr>
          <w:p>
            <w:pPr>
              <w:jc w:val="right"/>
              <w:ind w:right="300"/>
              <w:spacing w:after="0"/>
              <w:rPr>
                <w:sz w:val="20"/>
                <w:szCs w:val="20"/>
                <w:color w:val="auto"/>
              </w:rPr>
            </w:pPr>
            <w:r>
              <w:rPr>
                <w:rFonts w:ascii="Arial" w:cs="Arial" w:eastAsia="Arial" w:hAnsi="Arial"/>
                <w:sz w:val="12"/>
                <w:szCs w:val="12"/>
                <w:color w:val="auto"/>
              </w:rPr>
              <w:t>—</w:t>
            </w:r>
          </w:p>
        </w:tc>
        <w:tc>
          <w:tcPr>
            <w:tcW w:w="900" w:type="dxa"/>
            <w:vAlign w:val="bottom"/>
            <w:gridSpan w:val="2"/>
            <w:shd w:val="clear" w:color="auto" w:fill="CCECFF"/>
          </w:tcPr>
          <w:p>
            <w:pPr>
              <w:jc w:val="right"/>
              <w:ind w:right="240"/>
              <w:spacing w:after="0"/>
              <w:rPr>
                <w:sz w:val="20"/>
                <w:szCs w:val="20"/>
                <w:color w:val="auto"/>
              </w:rPr>
            </w:pPr>
            <w:r>
              <w:rPr>
                <w:rFonts w:ascii="Arial" w:cs="Arial" w:eastAsia="Arial" w:hAnsi="Arial"/>
                <w:sz w:val="12"/>
                <w:szCs w:val="12"/>
                <w:color w:val="auto"/>
              </w:rPr>
              <w:t>—</w:t>
            </w:r>
          </w:p>
        </w:tc>
        <w:tc>
          <w:tcPr>
            <w:tcW w:w="680" w:type="dxa"/>
            <w:vAlign w:val="bottom"/>
            <w:shd w:val="clear" w:color="auto" w:fill="CCECFF"/>
          </w:tcPr>
          <w:p>
            <w:pPr>
              <w:jc w:val="right"/>
              <w:spacing w:after="0"/>
              <w:rPr>
                <w:sz w:val="20"/>
                <w:szCs w:val="20"/>
                <w:color w:val="auto"/>
              </w:rPr>
            </w:pPr>
            <w:r>
              <w:rPr>
                <w:rFonts w:ascii="Arial" w:cs="Arial" w:eastAsia="Arial" w:hAnsi="Arial"/>
                <w:sz w:val="12"/>
                <w:szCs w:val="12"/>
                <w:color w:val="auto"/>
              </w:rPr>
              <w:t>65,933</w:t>
            </w:r>
          </w:p>
        </w:tc>
        <w:tc>
          <w:tcPr>
            <w:tcW w:w="220" w:type="dxa"/>
            <w:vAlign w:val="bottom"/>
            <w:shd w:val="clear" w:color="auto" w:fill="CCECFF"/>
          </w:tcPr>
          <w:p>
            <w:pPr>
              <w:spacing w:after="0"/>
              <w:rPr>
                <w:sz w:val="12"/>
                <w:szCs w:val="12"/>
                <w:color w:val="auto"/>
              </w:rPr>
            </w:pPr>
          </w:p>
        </w:tc>
        <w:tc>
          <w:tcPr>
            <w:tcW w:w="100" w:type="dxa"/>
            <w:vAlign w:val="bottom"/>
            <w:shd w:val="clear" w:color="auto" w:fill="CCECFF"/>
          </w:tcPr>
          <w:p>
            <w:pPr>
              <w:spacing w:after="0"/>
              <w:rPr>
                <w:sz w:val="12"/>
                <w:szCs w:val="12"/>
                <w:color w:val="auto"/>
              </w:rPr>
            </w:pPr>
          </w:p>
        </w:tc>
        <w:tc>
          <w:tcPr>
            <w:tcW w:w="700" w:type="dxa"/>
            <w:vAlign w:val="bottom"/>
            <w:shd w:val="clear" w:color="auto" w:fill="CCECFF"/>
          </w:tcPr>
          <w:p>
            <w:pPr>
              <w:jc w:val="right"/>
              <w:spacing w:after="0"/>
              <w:rPr>
                <w:sz w:val="20"/>
                <w:szCs w:val="20"/>
                <w:color w:val="auto"/>
              </w:rPr>
            </w:pPr>
            <w:r>
              <w:rPr>
                <w:rFonts w:ascii="Arial" w:cs="Arial" w:eastAsia="Arial" w:hAnsi="Arial"/>
                <w:sz w:val="12"/>
                <w:szCs w:val="12"/>
                <w:color w:val="auto"/>
              </w:rPr>
              <w:t>24,761,831</w:t>
            </w:r>
          </w:p>
        </w:tc>
        <w:tc>
          <w:tcPr>
            <w:tcW w:w="240" w:type="dxa"/>
            <w:vAlign w:val="bottom"/>
            <w:shd w:val="clear" w:color="auto" w:fill="CCECFF"/>
          </w:tcPr>
          <w:p>
            <w:pPr>
              <w:spacing w:after="0"/>
              <w:rPr>
                <w:sz w:val="12"/>
                <w:szCs w:val="12"/>
                <w:color w:val="auto"/>
              </w:rPr>
            </w:pPr>
          </w:p>
        </w:tc>
        <w:tc>
          <w:tcPr>
            <w:tcW w:w="80" w:type="dxa"/>
            <w:vAlign w:val="bottom"/>
            <w:shd w:val="clear" w:color="auto" w:fill="CCECFF"/>
          </w:tcPr>
          <w:p>
            <w:pPr>
              <w:spacing w:after="0"/>
              <w:rPr>
                <w:sz w:val="12"/>
                <w:szCs w:val="12"/>
                <w:color w:val="auto"/>
              </w:rPr>
            </w:pPr>
          </w:p>
        </w:tc>
        <w:tc>
          <w:tcPr>
            <w:tcW w:w="720" w:type="dxa"/>
            <w:vAlign w:val="bottom"/>
            <w:shd w:val="clear" w:color="auto" w:fill="CCECFF"/>
          </w:tcPr>
          <w:p>
            <w:pPr>
              <w:jc w:val="right"/>
              <w:spacing w:after="0"/>
              <w:rPr>
                <w:sz w:val="20"/>
                <w:szCs w:val="20"/>
                <w:color w:val="auto"/>
              </w:rPr>
            </w:pPr>
            <w:r>
              <w:rPr>
                <w:rFonts w:ascii="Arial" w:cs="Arial" w:eastAsia="Arial" w:hAnsi="Arial"/>
                <w:sz w:val="12"/>
                <w:szCs w:val="12"/>
                <w:color w:val="auto"/>
              </w:rPr>
              <w:t>2,686,073</w:t>
            </w:r>
          </w:p>
        </w:tc>
        <w:tc>
          <w:tcPr>
            <w:tcW w:w="100" w:type="dxa"/>
            <w:vAlign w:val="bottom"/>
            <w:shd w:val="clear" w:color="auto" w:fill="CCECFF"/>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940" w:type="dxa"/>
            <w:vAlign w:val="bottom"/>
          </w:tcPr>
          <w:p>
            <w:pPr>
              <w:spacing w:after="0"/>
              <w:rPr>
                <w:sz w:val="20"/>
                <w:szCs w:val="20"/>
                <w:color w:val="auto"/>
              </w:rPr>
            </w:pPr>
            <w:r>
              <w:rPr>
                <w:rFonts w:ascii="Arial" w:cs="Arial" w:eastAsia="Arial" w:hAnsi="Arial"/>
                <w:sz w:val="12"/>
                <w:szCs w:val="12"/>
                <w:color w:val="auto"/>
              </w:rPr>
              <w:t>RAM Energy Holdings LLC</w:t>
            </w:r>
          </w:p>
        </w:tc>
        <w:tc>
          <w:tcPr>
            <w:tcW w:w="1200" w:type="dxa"/>
            <w:vAlign w:val="bottom"/>
          </w:tcPr>
          <w:p>
            <w:pPr>
              <w:ind w:left="380"/>
              <w:spacing w:after="0"/>
              <w:rPr>
                <w:sz w:val="20"/>
                <w:szCs w:val="20"/>
                <w:color w:val="auto"/>
              </w:rPr>
            </w:pPr>
            <w:r>
              <w:rPr>
                <w:rFonts w:ascii="Arial" w:cs="Arial" w:eastAsia="Arial" w:hAnsi="Arial"/>
                <w:sz w:val="12"/>
                <w:szCs w:val="12"/>
                <w:color w:val="auto"/>
              </w:rPr>
              <w:t>—</w:t>
            </w:r>
          </w:p>
        </w:tc>
        <w:tc>
          <w:tcPr>
            <w:tcW w:w="2400" w:type="dxa"/>
            <w:vAlign w:val="bottom"/>
            <w:gridSpan w:val="2"/>
          </w:tcPr>
          <w:p>
            <w:pPr>
              <w:jc w:val="center"/>
              <w:ind w:right="460"/>
              <w:spacing w:after="0"/>
              <w:rPr>
                <w:sz w:val="20"/>
                <w:szCs w:val="20"/>
                <w:color w:val="auto"/>
              </w:rPr>
            </w:pPr>
            <w:r>
              <w:rPr>
                <w:rFonts w:ascii="Arial" w:cs="Arial" w:eastAsia="Arial" w:hAnsi="Arial"/>
                <w:sz w:val="12"/>
                <w:szCs w:val="12"/>
                <w:color w:val="auto"/>
                <w:w w:val="90"/>
              </w:rPr>
              <w:t>Energy and Utilities</w:t>
            </w:r>
          </w:p>
        </w:tc>
        <w:tc>
          <w:tcPr>
            <w:tcW w:w="960" w:type="dxa"/>
            <w:vAlign w:val="bottom"/>
            <w:gridSpan w:val="2"/>
          </w:tcPr>
          <w:p>
            <w:pPr>
              <w:jc w:val="right"/>
              <w:ind w:right="300"/>
              <w:spacing w:after="0"/>
              <w:rPr>
                <w:sz w:val="20"/>
                <w:szCs w:val="20"/>
                <w:color w:val="auto"/>
              </w:rPr>
            </w:pPr>
            <w:r>
              <w:rPr>
                <w:rFonts w:ascii="Arial" w:cs="Arial" w:eastAsia="Arial" w:hAnsi="Arial"/>
                <w:sz w:val="12"/>
                <w:szCs w:val="12"/>
                <w:color w:val="auto"/>
              </w:rPr>
              <w:t>—</w:t>
            </w:r>
          </w:p>
        </w:tc>
        <w:tc>
          <w:tcPr>
            <w:tcW w:w="900" w:type="dxa"/>
            <w:vAlign w:val="bottom"/>
            <w:gridSpan w:val="2"/>
          </w:tcPr>
          <w:p>
            <w:pPr>
              <w:jc w:val="right"/>
              <w:ind w:right="240"/>
              <w:spacing w:after="0"/>
              <w:rPr>
                <w:sz w:val="20"/>
                <w:szCs w:val="20"/>
                <w:color w:val="auto"/>
              </w:rPr>
            </w:pPr>
            <w:r>
              <w:rPr>
                <w:rFonts w:ascii="Arial" w:cs="Arial" w:eastAsia="Arial" w:hAnsi="Arial"/>
                <w:sz w:val="12"/>
                <w:szCs w:val="12"/>
                <w:color w:val="auto"/>
              </w:rPr>
              <w:t>—</w:t>
            </w:r>
          </w:p>
        </w:tc>
        <w:tc>
          <w:tcPr>
            <w:tcW w:w="680" w:type="dxa"/>
            <w:vAlign w:val="bottom"/>
          </w:tcPr>
          <w:p>
            <w:pPr>
              <w:jc w:val="right"/>
              <w:spacing w:after="0"/>
              <w:rPr>
                <w:sz w:val="20"/>
                <w:szCs w:val="20"/>
                <w:color w:val="auto"/>
              </w:rPr>
            </w:pPr>
            <w:r>
              <w:rPr>
                <w:rFonts w:ascii="Arial" w:cs="Arial" w:eastAsia="Arial" w:hAnsi="Arial"/>
                <w:sz w:val="12"/>
                <w:szCs w:val="12"/>
                <w:color w:val="auto"/>
              </w:rPr>
              <w:t>23,141</w:t>
            </w: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00" w:type="dxa"/>
            <w:vAlign w:val="bottom"/>
          </w:tcPr>
          <w:p>
            <w:pPr>
              <w:jc w:val="right"/>
              <w:spacing w:after="0"/>
              <w:rPr>
                <w:sz w:val="20"/>
                <w:szCs w:val="20"/>
                <w:color w:val="auto"/>
              </w:rPr>
            </w:pPr>
            <w:r>
              <w:rPr>
                <w:rFonts w:ascii="Arial" w:cs="Arial" w:eastAsia="Arial" w:hAnsi="Arial"/>
                <w:sz w:val="12"/>
                <w:szCs w:val="12"/>
                <w:color w:val="auto"/>
              </w:rPr>
              <w:t>20,824,388</w:t>
            </w:r>
          </w:p>
        </w:tc>
        <w:tc>
          <w:tcPr>
            <w:tcW w:w="2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20" w:type="dxa"/>
            <w:vAlign w:val="bottom"/>
            <w:gridSpan w:val="2"/>
          </w:tcPr>
          <w:p>
            <w:pPr>
              <w:jc w:val="right"/>
              <w:ind w:right="79"/>
              <w:spacing w:after="0"/>
              <w:rPr>
                <w:sz w:val="20"/>
                <w:szCs w:val="20"/>
                <w:color w:val="auto"/>
              </w:rPr>
            </w:pPr>
            <w:r>
              <w:rPr>
                <w:rFonts w:ascii="Arial" w:cs="Arial" w:eastAsia="Arial" w:hAnsi="Arial"/>
                <w:sz w:val="12"/>
                <w:szCs w:val="12"/>
                <w:color w:val="auto"/>
              </w:rPr>
              <w:t>—</w:t>
            </w:r>
          </w:p>
        </w:tc>
        <w:tc>
          <w:tcPr>
            <w:tcW w:w="0" w:type="dxa"/>
            <w:vAlign w:val="bottom"/>
          </w:tcPr>
          <w:p>
            <w:pPr>
              <w:spacing w:after="0"/>
              <w:rPr>
                <w:sz w:val="1"/>
                <w:szCs w:val="1"/>
                <w:color w:val="auto"/>
              </w:rPr>
            </w:pPr>
          </w:p>
        </w:tc>
      </w:tr>
      <w:tr>
        <w:trPr>
          <w:trHeight w:val="148"/>
        </w:trPr>
        <w:tc>
          <w:tcPr>
            <w:tcW w:w="2940" w:type="dxa"/>
            <w:vAlign w:val="bottom"/>
            <w:shd w:val="clear" w:color="auto" w:fill="CCECFF"/>
          </w:tcPr>
          <w:p>
            <w:pPr>
              <w:spacing w:after="0"/>
              <w:rPr>
                <w:sz w:val="20"/>
                <w:szCs w:val="20"/>
                <w:color w:val="auto"/>
              </w:rPr>
            </w:pPr>
            <w:r>
              <w:rPr>
                <w:rFonts w:ascii="Arial" w:cs="Arial" w:eastAsia="Arial" w:hAnsi="Arial"/>
                <w:sz w:val="12"/>
                <w:szCs w:val="12"/>
                <w:color w:val="auto"/>
              </w:rPr>
              <w:t>Superior Digital Displays Holdings, Inc.</w:t>
            </w:r>
          </w:p>
        </w:tc>
        <w:tc>
          <w:tcPr>
            <w:tcW w:w="1200" w:type="dxa"/>
            <w:vAlign w:val="bottom"/>
            <w:shd w:val="clear" w:color="auto" w:fill="CCECFF"/>
          </w:tcPr>
          <w:p>
            <w:pPr>
              <w:ind w:left="380"/>
              <w:spacing w:after="0"/>
              <w:rPr>
                <w:sz w:val="20"/>
                <w:szCs w:val="20"/>
                <w:color w:val="auto"/>
              </w:rPr>
            </w:pPr>
            <w:r>
              <w:rPr>
                <w:rFonts w:ascii="Arial" w:cs="Arial" w:eastAsia="Arial" w:hAnsi="Arial"/>
                <w:sz w:val="12"/>
                <w:szCs w:val="12"/>
                <w:color w:val="auto"/>
              </w:rPr>
              <w:t>—</w:t>
            </w:r>
          </w:p>
        </w:tc>
        <w:tc>
          <w:tcPr>
            <w:tcW w:w="2400" w:type="dxa"/>
            <w:vAlign w:val="bottom"/>
            <w:gridSpan w:val="2"/>
            <w:shd w:val="clear" w:color="auto" w:fill="CCECFF"/>
          </w:tcPr>
          <w:p>
            <w:pPr>
              <w:jc w:val="center"/>
              <w:ind w:right="460"/>
              <w:spacing w:after="0"/>
              <w:rPr>
                <w:sz w:val="20"/>
                <w:szCs w:val="20"/>
                <w:color w:val="auto"/>
              </w:rPr>
            </w:pPr>
            <w:r>
              <w:rPr>
                <w:rFonts w:ascii="Arial" w:cs="Arial" w:eastAsia="Arial" w:hAnsi="Arial"/>
                <w:sz w:val="12"/>
                <w:szCs w:val="12"/>
                <w:color w:val="auto"/>
                <w:w w:val="91"/>
              </w:rPr>
              <w:t>Media</w:t>
            </w:r>
          </w:p>
        </w:tc>
        <w:tc>
          <w:tcPr>
            <w:tcW w:w="960" w:type="dxa"/>
            <w:vAlign w:val="bottom"/>
            <w:gridSpan w:val="2"/>
            <w:shd w:val="clear" w:color="auto" w:fill="CCECFF"/>
          </w:tcPr>
          <w:p>
            <w:pPr>
              <w:jc w:val="right"/>
              <w:ind w:right="300"/>
              <w:spacing w:after="0"/>
              <w:rPr>
                <w:sz w:val="20"/>
                <w:szCs w:val="20"/>
                <w:color w:val="auto"/>
              </w:rPr>
            </w:pPr>
            <w:r>
              <w:rPr>
                <w:rFonts w:ascii="Arial" w:cs="Arial" w:eastAsia="Arial" w:hAnsi="Arial"/>
                <w:sz w:val="12"/>
                <w:szCs w:val="12"/>
                <w:color w:val="auto"/>
              </w:rPr>
              <w:t>—</w:t>
            </w:r>
          </w:p>
        </w:tc>
        <w:tc>
          <w:tcPr>
            <w:tcW w:w="900" w:type="dxa"/>
            <w:vAlign w:val="bottom"/>
            <w:gridSpan w:val="2"/>
            <w:shd w:val="clear" w:color="auto" w:fill="CCECFF"/>
          </w:tcPr>
          <w:p>
            <w:pPr>
              <w:jc w:val="right"/>
              <w:ind w:right="240"/>
              <w:spacing w:after="0"/>
              <w:rPr>
                <w:sz w:val="20"/>
                <w:szCs w:val="20"/>
                <w:color w:val="auto"/>
              </w:rPr>
            </w:pPr>
            <w:r>
              <w:rPr>
                <w:rFonts w:ascii="Arial" w:cs="Arial" w:eastAsia="Arial" w:hAnsi="Arial"/>
                <w:sz w:val="12"/>
                <w:szCs w:val="12"/>
                <w:color w:val="auto"/>
              </w:rPr>
              <w:t>—</w:t>
            </w:r>
          </w:p>
        </w:tc>
        <w:tc>
          <w:tcPr>
            <w:tcW w:w="680" w:type="dxa"/>
            <w:vAlign w:val="bottom"/>
            <w:shd w:val="clear" w:color="auto" w:fill="CCECFF"/>
          </w:tcPr>
          <w:p>
            <w:pPr>
              <w:jc w:val="right"/>
              <w:spacing w:after="0"/>
              <w:rPr>
                <w:sz w:val="20"/>
                <w:szCs w:val="20"/>
                <w:color w:val="auto"/>
              </w:rPr>
            </w:pPr>
            <w:r>
              <w:rPr>
                <w:rFonts w:ascii="Arial" w:cs="Arial" w:eastAsia="Arial" w:hAnsi="Arial"/>
                <w:sz w:val="12"/>
                <w:szCs w:val="12"/>
                <w:color w:val="auto"/>
              </w:rPr>
              <w:t>11,100</w:t>
            </w:r>
          </w:p>
        </w:tc>
        <w:tc>
          <w:tcPr>
            <w:tcW w:w="220" w:type="dxa"/>
            <w:vAlign w:val="bottom"/>
            <w:shd w:val="clear" w:color="auto" w:fill="CCECFF"/>
          </w:tcPr>
          <w:p>
            <w:pPr>
              <w:spacing w:after="0"/>
              <w:rPr>
                <w:sz w:val="12"/>
                <w:szCs w:val="12"/>
                <w:color w:val="auto"/>
              </w:rPr>
            </w:pPr>
          </w:p>
        </w:tc>
        <w:tc>
          <w:tcPr>
            <w:tcW w:w="100" w:type="dxa"/>
            <w:vAlign w:val="bottom"/>
            <w:shd w:val="clear" w:color="auto" w:fill="CCECFF"/>
          </w:tcPr>
          <w:p>
            <w:pPr>
              <w:spacing w:after="0"/>
              <w:rPr>
                <w:sz w:val="12"/>
                <w:szCs w:val="12"/>
                <w:color w:val="auto"/>
              </w:rPr>
            </w:pPr>
          </w:p>
        </w:tc>
        <w:tc>
          <w:tcPr>
            <w:tcW w:w="700" w:type="dxa"/>
            <w:vAlign w:val="bottom"/>
            <w:shd w:val="clear" w:color="auto" w:fill="CCECFF"/>
          </w:tcPr>
          <w:p>
            <w:pPr>
              <w:jc w:val="right"/>
              <w:spacing w:after="0"/>
              <w:rPr>
                <w:sz w:val="20"/>
                <w:szCs w:val="20"/>
                <w:color w:val="auto"/>
              </w:rPr>
            </w:pPr>
            <w:r>
              <w:rPr>
                <w:rFonts w:ascii="Arial" w:cs="Arial" w:eastAsia="Arial" w:hAnsi="Arial"/>
                <w:sz w:val="12"/>
                <w:szCs w:val="12"/>
                <w:color w:val="auto"/>
              </w:rPr>
              <w:t>2,211,000</w:t>
            </w:r>
          </w:p>
        </w:tc>
        <w:tc>
          <w:tcPr>
            <w:tcW w:w="240" w:type="dxa"/>
            <w:vAlign w:val="bottom"/>
            <w:shd w:val="clear" w:color="auto" w:fill="CCECFF"/>
          </w:tcPr>
          <w:p>
            <w:pPr>
              <w:spacing w:after="0"/>
              <w:rPr>
                <w:sz w:val="12"/>
                <w:szCs w:val="12"/>
                <w:color w:val="auto"/>
              </w:rPr>
            </w:pPr>
          </w:p>
        </w:tc>
        <w:tc>
          <w:tcPr>
            <w:tcW w:w="80" w:type="dxa"/>
            <w:vAlign w:val="bottom"/>
            <w:shd w:val="clear" w:color="auto" w:fill="CCECFF"/>
          </w:tcPr>
          <w:p>
            <w:pPr>
              <w:spacing w:after="0"/>
              <w:rPr>
                <w:sz w:val="12"/>
                <w:szCs w:val="12"/>
                <w:color w:val="auto"/>
              </w:rPr>
            </w:pPr>
          </w:p>
        </w:tc>
        <w:tc>
          <w:tcPr>
            <w:tcW w:w="820" w:type="dxa"/>
            <w:vAlign w:val="bottom"/>
            <w:gridSpan w:val="2"/>
            <w:shd w:val="clear" w:color="auto" w:fill="CCECFF"/>
          </w:tcPr>
          <w:p>
            <w:pPr>
              <w:jc w:val="right"/>
              <w:ind w:right="79"/>
              <w:spacing w:after="0"/>
              <w:rPr>
                <w:sz w:val="20"/>
                <w:szCs w:val="20"/>
                <w:color w:val="auto"/>
              </w:rPr>
            </w:pPr>
            <w:r>
              <w:rPr>
                <w:rFonts w:ascii="Arial" w:cs="Arial" w:eastAsia="Arial" w:hAnsi="Arial"/>
                <w:sz w:val="12"/>
                <w:szCs w:val="12"/>
                <w:color w:val="auto"/>
              </w:rPr>
              <w:t>—</w:t>
            </w:r>
          </w:p>
        </w:tc>
        <w:tc>
          <w:tcPr>
            <w:tcW w:w="0" w:type="dxa"/>
            <w:vAlign w:val="bottom"/>
          </w:tcPr>
          <w:p>
            <w:pPr>
              <w:spacing w:after="0"/>
              <w:rPr>
                <w:sz w:val="1"/>
                <w:szCs w:val="1"/>
                <w:color w:val="auto"/>
              </w:rPr>
            </w:pPr>
          </w:p>
        </w:tc>
      </w:tr>
      <w:tr>
        <w:trPr>
          <w:trHeight w:val="142"/>
        </w:trPr>
        <w:tc>
          <w:tcPr>
            <w:tcW w:w="2940" w:type="dxa"/>
            <w:vAlign w:val="bottom"/>
            <w:tcBorders>
              <w:bottom w:val="single" w:sz="8" w:color="CCECFF"/>
            </w:tcBorders>
          </w:tcPr>
          <w:p>
            <w:pPr>
              <w:spacing w:after="0"/>
              <w:rPr>
                <w:sz w:val="20"/>
                <w:szCs w:val="20"/>
                <w:color w:val="auto"/>
              </w:rPr>
            </w:pPr>
            <w:r>
              <w:rPr>
                <w:rFonts w:ascii="Arial" w:cs="Arial" w:eastAsia="Arial" w:hAnsi="Arial"/>
                <w:sz w:val="12"/>
                <w:szCs w:val="12"/>
                <w:b w:val="1"/>
                <w:bCs w:val="1"/>
                <w:color w:val="auto"/>
              </w:rPr>
              <w:t>Total Common Equity</w:t>
            </w:r>
          </w:p>
        </w:tc>
        <w:tc>
          <w:tcPr>
            <w:tcW w:w="1200" w:type="dxa"/>
            <w:vAlign w:val="bottom"/>
            <w:tcBorders>
              <w:bottom w:val="single" w:sz="8" w:color="CCECFF"/>
            </w:tcBorders>
          </w:tcPr>
          <w:p>
            <w:pPr>
              <w:spacing w:after="0"/>
              <w:rPr>
                <w:sz w:val="12"/>
                <w:szCs w:val="12"/>
                <w:color w:val="auto"/>
              </w:rPr>
            </w:pPr>
          </w:p>
        </w:tc>
        <w:tc>
          <w:tcPr>
            <w:tcW w:w="2280" w:type="dxa"/>
            <w:vAlign w:val="bottom"/>
            <w:tcBorders>
              <w:bottom w:val="single" w:sz="8" w:color="CCECFF"/>
            </w:tcBorders>
          </w:tcPr>
          <w:p>
            <w:pPr>
              <w:spacing w:after="0"/>
              <w:rPr>
                <w:sz w:val="12"/>
                <w:szCs w:val="12"/>
                <w:color w:val="auto"/>
              </w:rPr>
            </w:pPr>
          </w:p>
        </w:tc>
        <w:tc>
          <w:tcPr>
            <w:tcW w:w="120" w:type="dxa"/>
            <w:vAlign w:val="bottom"/>
            <w:tcBorders>
              <w:bottom w:val="single" w:sz="8" w:color="CCECFF"/>
            </w:tcBorders>
          </w:tcPr>
          <w:p>
            <w:pPr>
              <w:spacing w:after="0"/>
              <w:rPr>
                <w:sz w:val="12"/>
                <w:szCs w:val="12"/>
                <w:color w:val="auto"/>
              </w:rPr>
            </w:pPr>
          </w:p>
        </w:tc>
        <w:tc>
          <w:tcPr>
            <w:tcW w:w="680" w:type="dxa"/>
            <w:vAlign w:val="bottom"/>
            <w:tcBorders>
              <w:bottom w:val="single" w:sz="8" w:color="CCECFF"/>
            </w:tcBorders>
          </w:tcPr>
          <w:p>
            <w:pPr>
              <w:spacing w:after="0"/>
              <w:rPr>
                <w:sz w:val="12"/>
                <w:szCs w:val="12"/>
                <w:color w:val="auto"/>
              </w:rPr>
            </w:pPr>
          </w:p>
        </w:tc>
        <w:tc>
          <w:tcPr>
            <w:tcW w:w="280" w:type="dxa"/>
            <w:vAlign w:val="bottom"/>
            <w:tcBorders>
              <w:bottom w:val="single" w:sz="8" w:color="CCECFF"/>
            </w:tcBorders>
          </w:tcPr>
          <w:p>
            <w:pPr>
              <w:spacing w:after="0"/>
              <w:rPr>
                <w:sz w:val="12"/>
                <w:szCs w:val="12"/>
                <w:color w:val="auto"/>
              </w:rPr>
            </w:pPr>
          </w:p>
        </w:tc>
        <w:tc>
          <w:tcPr>
            <w:tcW w:w="680" w:type="dxa"/>
            <w:vAlign w:val="bottom"/>
            <w:tcBorders>
              <w:bottom w:val="single" w:sz="8" w:color="CCECFF"/>
            </w:tcBorders>
          </w:tcPr>
          <w:p>
            <w:pPr>
              <w:spacing w:after="0"/>
              <w:rPr>
                <w:sz w:val="12"/>
                <w:szCs w:val="12"/>
                <w:color w:val="auto"/>
              </w:rPr>
            </w:pPr>
          </w:p>
        </w:tc>
        <w:tc>
          <w:tcPr>
            <w:tcW w:w="220" w:type="dxa"/>
            <w:vAlign w:val="bottom"/>
            <w:tcBorders>
              <w:bottom w:val="single" w:sz="8" w:color="CCECFF"/>
            </w:tcBorders>
          </w:tcPr>
          <w:p>
            <w:pPr>
              <w:spacing w:after="0"/>
              <w:rPr>
                <w:sz w:val="12"/>
                <w:szCs w:val="12"/>
                <w:color w:val="auto"/>
              </w:rPr>
            </w:pPr>
          </w:p>
        </w:tc>
        <w:tc>
          <w:tcPr>
            <w:tcW w:w="680" w:type="dxa"/>
            <w:vAlign w:val="bottom"/>
            <w:tcBorders>
              <w:bottom w:val="single" w:sz="8" w:color="CCECFF"/>
            </w:tcBorders>
          </w:tcPr>
          <w:p>
            <w:pPr>
              <w:spacing w:after="0"/>
              <w:rPr>
                <w:sz w:val="12"/>
                <w:szCs w:val="12"/>
                <w:color w:val="auto"/>
              </w:rPr>
            </w:pPr>
          </w:p>
        </w:tc>
        <w:tc>
          <w:tcPr>
            <w:tcW w:w="220" w:type="dxa"/>
            <w:vAlign w:val="bottom"/>
            <w:tcBorders>
              <w:bottom w:val="single" w:sz="8" w:color="CCECFF"/>
            </w:tcBorders>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7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2"/>
                <w:szCs w:val="12"/>
                <w:color w:val="auto"/>
              </w:rPr>
              <w:t>47,797,219</w:t>
            </w:r>
          </w:p>
        </w:tc>
        <w:tc>
          <w:tcPr>
            <w:tcW w:w="240" w:type="dxa"/>
            <w:vAlign w:val="bottom"/>
            <w:tcBorders>
              <w:bottom w:val="single" w:sz="8" w:color="CCECFF"/>
            </w:tcBorders>
          </w:tcPr>
          <w:p>
            <w:pPr>
              <w:spacing w:after="0"/>
              <w:rPr>
                <w:sz w:val="12"/>
                <w:szCs w:val="12"/>
                <w:color w:val="auto"/>
              </w:rPr>
            </w:pPr>
          </w:p>
        </w:tc>
        <w:tc>
          <w:tcPr>
            <w:tcW w:w="80" w:type="dxa"/>
            <w:vAlign w:val="bottom"/>
            <w:tcBorders>
              <w:top w:val="single" w:sz="8" w:color="auto"/>
              <w:bottom w:val="single" w:sz="8" w:color="auto"/>
            </w:tcBorders>
          </w:tcPr>
          <w:p>
            <w:pPr>
              <w:spacing w:after="0"/>
              <w:rPr>
                <w:sz w:val="12"/>
                <w:szCs w:val="12"/>
                <w:color w:val="auto"/>
              </w:rPr>
            </w:pPr>
          </w:p>
        </w:tc>
        <w:tc>
          <w:tcPr>
            <w:tcW w:w="7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2"/>
                <w:szCs w:val="12"/>
                <w:color w:val="auto"/>
              </w:rPr>
              <w:t>2,686,073</w:t>
            </w:r>
          </w:p>
        </w:tc>
        <w:tc>
          <w:tcPr>
            <w:tcW w:w="100" w:type="dxa"/>
            <w:vAlign w:val="bottom"/>
            <w:tcBorders>
              <w:bottom w:val="single" w:sz="8" w:color="CCECFF"/>
            </w:tcBorders>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4140" w:type="dxa"/>
            <w:vAlign w:val="bottom"/>
            <w:gridSpan w:val="2"/>
            <w:shd w:val="clear" w:color="auto" w:fill="CCECFF"/>
          </w:tcPr>
          <w:p>
            <w:pPr>
              <w:spacing w:after="0"/>
              <w:rPr>
                <w:sz w:val="20"/>
                <w:szCs w:val="20"/>
                <w:color w:val="auto"/>
              </w:rPr>
            </w:pPr>
            <w:r>
              <w:rPr>
                <w:rFonts w:ascii="Arial" w:cs="Arial" w:eastAsia="Arial" w:hAnsi="Arial"/>
                <w:sz w:val="12"/>
                <w:szCs w:val="12"/>
                <w:b w:val="1"/>
                <w:bCs w:val="1"/>
                <w:color w:val="auto"/>
              </w:rPr>
              <w:t>Total Investments in Controlled, Affiliated Portfolio Companies</w:t>
            </w:r>
          </w:p>
        </w:tc>
        <w:tc>
          <w:tcPr>
            <w:tcW w:w="2280" w:type="dxa"/>
            <w:vAlign w:val="bottom"/>
            <w:shd w:val="clear" w:color="auto" w:fill="CCECFF"/>
          </w:tcPr>
          <w:p>
            <w:pPr>
              <w:spacing w:after="0"/>
              <w:rPr>
                <w:sz w:val="12"/>
                <w:szCs w:val="12"/>
                <w:color w:val="auto"/>
              </w:rPr>
            </w:pPr>
          </w:p>
        </w:tc>
        <w:tc>
          <w:tcPr>
            <w:tcW w:w="120" w:type="dxa"/>
            <w:vAlign w:val="bottom"/>
            <w:shd w:val="clear" w:color="auto" w:fill="CCECFF"/>
          </w:tcPr>
          <w:p>
            <w:pPr>
              <w:spacing w:after="0"/>
              <w:rPr>
                <w:sz w:val="12"/>
                <w:szCs w:val="12"/>
                <w:color w:val="auto"/>
              </w:rPr>
            </w:pPr>
          </w:p>
        </w:tc>
        <w:tc>
          <w:tcPr>
            <w:tcW w:w="680" w:type="dxa"/>
            <w:vAlign w:val="bottom"/>
            <w:shd w:val="clear" w:color="auto" w:fill="CCECFF"/>
          </w:tcPr>
          <w:p>
            <w:pPr>
              <w:spacing w:after="0"/>
              <w:rPr>
                <w:sz w:val="12"/>
                <w:szCs w:val="12"/>
                <w:color w:val="auto"/>
              </w:rPr>
            </w:pPr>
          </w:p>
        </w:tc>
        <w:tc>
          <w:tcPr>
            <w:tcW w:w="280" w:type="dxa"/>
            <w:vAlign w:val="bottom"/>
            <w:shd w:val="clear" w:color="auto" w:fill="CCECFF"/>
          </w:tcPr>
          <w:p>
            <w:pPr>
              <w:spacing w:after="0"/>
              <w:rPr>
                <w:sz w:val="12"/>
                <w:szCs w:val="12"/>
                <w:color w:val="auto"/>
              </w:rPr>
            </w:pPr>
          </w:p>
        </w:tc>
        <w:tc>
          <w:tcPr>
            <w:tcW w:w="680" w:type="dxa"/>
            <w:vAlign w:val="bottom"/>
            <w:shd w:val="clear" w:color="auto" w:fill="CCECFF"/>
          </w:tcPr>
          <w:p>
            <w:pPr>
              <w:spacing w:after="0"/>
              <w:rPr>
                <w:sz w:val="12"/>
                <w:szCs w:val="12"/>
                <w:color w:val="auto"/>
              </w:rPr>
            </w:pPr>
          </w:p>
        </w:tc>
        <w:tc>
          <w:tcPr>
            <w:tcW w:w="220" w:type="dxa"/>
            <w:vAlign w:val="bottom"/>
            <w:shd w:val="clear" w:color="auto" w:fill="CCECFF"/>
          </w:tcPr>
          <w:p>
            <w:pPr>
              <w:spacing w:after="0"/>
              <w:rPr>
                <w:sz w:val="12"/>
                <w:szCs w:val="12"/>
                <w:color w:val="auto"/>
              </w:rPr>
            </w:pPr>
          </w:p>
        </w:tc>
        <w:tc>
          <w:tcPr>
            <w:tcW w:w="680" w:type="dxa"/>
            <w:vAlign w:val="bottom"/>
            <w:shd w:val="clear" w:color="auto" w:fill="CCECFF"/>
          </w:tcPr>
          <w:p>
            <w:pPr>
              <w:spacing w:after="0"/>
              <w:rPr>
                <w:sz w:val="12"/>
                <w:szCs w:val="12"/>
                <w:color w:val="auto"/>
              </w:rPr>
            </w:pPr>
          </w:p>
        </w:tc>
        <w:tc>
          <w:tcPr>
            <w:tcW w:w="220" w:type="dxa"/>
            <w:vAlign w:val="bottom"/>
            <w:shd w:val="clear" w:color="auto" w:fill="CCECFF"/>
          </w:tcPr>
          <w:p>
            <w:pPr>
              <w:spacing w:after="0"/>
              <w:rPr>
                <w:sz w:val="12"/>
                <w:szCs w:val="12"/>
                <w:color w:val="auto"/>
              </w:rPr>
            </w:pPr>
          </w:p>
        </w:tc>
        <w:tc>
          <w:tcPr>
            <w:tcW w:w="100" w:type="dxa"/>
            <w:vAlign w:val="bottom"/>
            <w:tcBorders>
              <w:bottom w:val="single" w:sz="8" w:color="auto"/>
            </w:tcBorders>
            <w:shd w:val="clear" w:color="auto" w:fill="CCECFF"/>
          </w:tcPr>
          <w:p>
            <w:pPr>
              <w:spacing w:after="0"/>
              <w:rPr>
                <w:sz w:val="12"/>
                <w:szCs w:val="12"/>
                <w:color w:val="auto"/>
              </w:rPr>
            </w:pPr>
          </w:p>
        </w:tc>
        <w:tc>
          <w:tcPr>
            <w:tcW w:w="700" w:type="dxa"/>
            <w:vAlign w:val="bottom"/>
            <w:tcBorders>
              <w:bottom w:val="single" w:sz="8" w:color="auto"/>
            </w:tcBorders>
            <w:shd w:val="clear" w:color="auto" w:fill="CCECFF"/>
          </w:tcPr>
          <w:p>
            <w:pPr>
              <w:jc w:val="right"/>
              <w:spacing w:after="0"/>
              <w:rPr>
                <w:sz w:val="20"/>
                <w:szCs w:val="20"/>
                <w:color w:val="auto"/>
              </w:rPr>
            </w:pPr>
            <w:r>
              <w:rPr>
                <w:rFonts w:ascii="Arial" w:cs="Arial" w:eastAsia="Arial" w:hAnsi="Arial"/>
                <w:sz w:val="12"/>
                <w:szCs w:val="12"/>
                <w:color w:val="auto"/>
              </w:rPr>
              <w:t>186,290,695</w:t>
            </w:r>
          </w:p>
        </w:tc>
        <w:tc>
          <w:tcPr>
            <w:tcW w:w="240" w:type="dxa"/>
            <w:vAlign w:val="bottom"/>
            <w:shd w:val="clear" w:color="auto" w:fill="CCECFF"/>
          </w:tcPr>
          <w:p>
            <w:pPr>
              <w:spacing w:after="0"/>
              <w:rPr>
                <w:sz w:val="12"/>
                <w:szCs w:val="12"/>
                <w:color w:val="auto"/>
              </w:rPr>
            </w:pPr>
          </w:p>
        </w:tc>
        <w:tc>
          <w:tcPr>
            <w:tcW w:w="80" w:type="dxa"/>
            <w:vAlign w:val="bottom"/>
            <w:tcBorders>
              <w:bottom w:val="single" w:sz="8" w:color="auto"/>
            </w:tcBorders>
            <w:shd w:val="clear" w:color="auto" w:fill="CCECFF"/>
          </w:tcPr>
          <w:p>
            <w:pPr>
              <w:spacing w:after="0"/>
              <w:rPr>
                <w:sz w:val="12"/>
                <w:szCs w:val="12"/>
                <w:color w:val="auto"/>
              </w:rPr>
            </w:pPr>
          </w:p>
        </w:tc>
        <w:tc>
          <w:tcPr>
            <w:tcW w:w="720" w:type="dxa"/>
            <w:vAlign w:val="bottom"/>
            <w:tcBorders>
              <w:bottom w:val="single" w:sz="8" w:color="auto"/>
            </w:tcBorders>
            <w:shd w:val="clear" w:color="auto" w:fill="CCECFF"/>
          </w:tcPr>
          <w:p>
            <w:pPr>
              <w:jc w:val="right"/>
              <w:spacing w:after="0"/>
              <w:rPr>
                <w:sz w:val="20"/>
                <w:szCs w:val="20"/>
                <w:color w:val="auto"/>
              </w:rPr>
            </w:pPr>
            <w:r>
              <w:rPr>
                <w:rFonts w:ascii="Arial" w:cs="Arial" w:eastAsia="Arial" w:hAnsi="Arial"/>
                <w:sz w:val="12"/>
                <w:szCs w:val="12"/>
                <w:color w:val="auto"/>
              </w:rPr>
              <w:t>125,019,637</w:t>
            </w:r>
          </w:p>
        </w:tc>
        <w:tc>
          <w:tcPr>
            <w:tcW w:w="100" w:type="dxa"/>
            <w:vAlign w:val="bottom"/>
            <w:shd w:val="clear" w:color="auto" w:fill="CCECFF"/>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2940" w:type="dxa"/>
            <w:vAlign w:val="bottom"/>
            <w:tcBorders>
              <w:bottom w:val="single" w:sz="8" w:color="CCECFF"/>
            </w:tcBorders>
          </w:tcPr>
          <w:p>
            <w:pPr>
              <w:spacing w:after="0"/>
              <w:rPr>
                <w:sz w:val="20"/>
                <w:szCs w:val="20"/>
                <w:color w:val="auto"/>
              </w:rPr>
            </w:pPr>
            <w:r>
              <w:rPr>
                <w:rFonts w:ascii="Arial" w:cs="Arial" w:eastAsia="Arial" w:hAnsi="Arial"/>
                <w:sz w:val="12"/>
                <w:szCs w:val="12"/>
                <w:b w:val="1"/>
                <w:bCs w:val="1"/>
                <w:color w:val="auto"/>
              </w:rPr>
              <w:t>Total Investments—179.3%</w:t>
            </w:r>
          </w:p>
        </w:tc>
        <w:tc>
          <w:tcPr>
            <w:tcW w:w="1200" w:type="dxa"/>
            <w:vAlign w:val="bottom"/>
            <w:tcBorders>
              <w:bottom w:val="single" w:sz="8" w:color="CCECFF"/>
            </w:tcBorders>
          </w:tcPr>
          <w:p>
            <w:pPr>
              <w:spacing w:after="0"/>
              <w:rPr>
                <w:sz w:val="12"/>
                <w:szCs w:val="12"/>
                <w:color w:val="auto"/>
              </w:rPr>
            </w:pPr>
          </w:p>
        </w:tc>
        <w:tc>
          <w:tcPr>
            <w:tcW w:w="2280" w:type="dxa"/>
            <w:vAlign w:val="bottom"/>
            <w:tcBorders>
              <w:bottom w:val="single" w:sz="8" w:color="CCECFF"/>
            </w:tcBorders>
          </w:tcPr>
          <w:p>
            <w:pPr>
              <w:spacing w:after="0"/>
              <w:rPr>
                <w:sz w:val="12"/>
                <w:szCs w:val="12"/>
                <w:color w:val="auto"/>
              </w:rPr>
            </w:pPr>
          </w:p>
        </w:tc>
        <w:tc>
          <w:tcPr>
            <w:tcW w:w="120" w:type="dxa"/>
            <w:vAlign w:val="bottom"/>
            <w:tcBorders>
              <w:bottom w:val="single" w:sz="8" w:color="CCECFF"/>
            </w:tcBorders>
          </w:tcPr>
          <w:p>
            <w:pPr>
              <w:spacing w:after="0"/>
              <w:rPr>
                <w:sz w:val="12"/>
                <w:szCs w:val="12"/>
                <w:color w:val="auto"/>
              </w:rPr>
            </w:pPr>
          </w:p>
        </w:tc>
        <w:tc>
          <w:tcPr>
            <w:tcW w:w="680" w:type="dxa"/>
            <w:vAlign w:val="bottom"/>
            <w:tcBorders>
              <w:bottom w:val="single" w:sz="8" w:color="CCECFF"/>
            </w:tcBorders>
          </w:tcPr>
          <w:p>
            <w:pPr>
              <w:spacing w:after="0"/>
              <w:rPr>
                <w:sz w:val="12"/>
                <w:szCs w:val="12"/>
                <w:color w:val="auto"/>
              </w:rPr>
            </w:pPr>
          </w:p>
        </w:tc>
        <w:tc>
          <w:tcPr>
            <w:tcW w:w="280" w:type="dxa"/>
            <w:vAlign w:val="bottom"/>
            <w:tcBorders>
              <w:bottom w:val="single" w:sz="8" w:color="CCECFF"/>
            </w:tcBorders>
          </w:tcPr>
          <w:p>
            <w:pPr>
              <w:spacing w:after="0"/>
              <w:rPr>
                <w:sz w:val="12"/>
                <w:szCs w:val="12"/>
                <w:color w:val="auto"/>
              </w:rPr>
            </w:pPr>
          </w:p>
        </w:tc>
        <w:tc>
          <w:tcPr>
            <w:tcW w:w="680" w:type="dxa"/>
            <w:vAlign w:val="bottom"/>
            <w:tcBorders>
              <w:bottom w:val="single" w:sz="8" w:color="CCECFF"/>
            </w:tcBorders>
          </w:tcPr>
          <w:p>
            <w:pPr>
              <w:spacing w:after="0"/>
              <w:rPr>
                <w:sz w:val="12"/>
                <w:szCs w:val="12"/>
                <w:color w:val="auto"/>
              </w:rPr>
            </w:pPr>
          </w:p>
        </w:tc>
        <w:tc>
          <w:tcPr>
            <w:tcW w:w="220" w:type="dxa"/>
            <w:vAlign w:val="bottom"/>
            <w:tcBorders>
              <w:bottom w:val="single" w:sz="8" w:color="CCECFF"/>
            </w:tcBorders>
          </w:tcPr>
          <w:p>
            <w:pPr>
              <w:spacing w:after="0"/>
              <w:rPr>
                <w:sz w:val="12"/>
                <w:szCs w:val="12"/>
                <w:color w:val="auto"/>
              </w:rPr>
            </w:pPr>
          </w:p>
        </w:tc>
        <w:tc>
          <w:tcPr>
            <w:tcW w:w="680" w:type="dxa"/>
            <w:vAlign w:val="bottom"/>
            <w:tcBorders>
              <w:bottom w:val="single" w:sz="8" w:color="CCECFF"/>
            </w:tcBorders>
          </w:tcPr>
          <w:p>
            <w:pPr>
              <w:spacing w:after="0"/>
              <w:rPr>
                <w:sz w:val="12"/>
                <w:szCs w:val="12"/>
                <w:color w:val="auto"/>
              </w:rPr>
            </w:pPr>
          </w:p>
        </w:tc>
        <w:tc>
          <w:tcPr>
            <w:tcW w:w="220" w:type="dxa"/>
            <w:vAlign w:val="bottom"/>
            <w:tcBorders>
              <w:bottom w:val="single" w:sz="8" w:color="CCECFF"/>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w w:val="88"/>
              </w:rPr>
              <w:t>1,253,957,146</w:t>
            </w:r>
          </w:p>
        </w:tc>
        <w:tc>
          <w:tcPr>
            <w:tcW w:w="240" w:type="dxa"/>
            <w:vAlign w:val="bottom"/>
            <w:tcBorders>
              <w:bottom w:val="single" w:sz="8" w:color="CCECFF"/>
            </w:tcBorders>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w w:val="88"/>
              </w:rPr>
              <w:t>1,153,679,675</w:t>
            </w:r>
          </w:p>
        </w:tc>
        <w:tc>
          <w:tcPr>
            <w:tcW w:w="100" w:type="dxa"/>
            <w:vAlign w:val="bottom"/>
            <w:tcBorders>
              <w:bottom w:val="single" w:sz="8" w:color="CCECFF"/>
            </w:tcBorders>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2940" w:type="dxa"/>
            <w:vAlign w:val="bottom"/>
            <w:shd w:val="clear" w:color="auto" w:fill="CCECFF"/>
          </w:tcPr>
          <w:p>
            <w:pPr>
              <w:spacing w:after="0"/>
              <w:rPr>
                <w:sz w:val="20"/>
                <w:szCs w:val="20"/>
                <w:color w:val="auto"/>
              </w:rPr>
            </w:pPr>
            <w:r>
              <w:rPr>
                <w:rFonts w:ascii="Arial" w:cs="Arial" w:eastAsia="Arial" w:hAnsi="Arial"/>
                <w:sz w:val="12"/>
                <w:szCs w:val="12"/>
                <w:b w:val="1"/>
                <w:bCs w:val="1"/>
                <w:color w:val="auto"/>
              </w:rPr>
              <w:t>Cash and Cash Equivalents—11.8%</w:t>
            </w:r>
          </w:p>
        </w:tc>
        <w:tc>
          <w:tcPr>
            <w:tcW w:w="1200" w:type="dxa"/>
            <w:vAlign w:val="bottom"/>
            <w:shd w:val="clear" w:color="auto" w:fill="CCECFF"/>
          </w:tcPr>
          <w:p>
            <w:pPr>
              <w:spacing w:after="0"/>
              <w:rPr>
                <w:sz w:val="12"/>
                <w:szCs w:val="12"/>
                <w:color w:val="auto"/>
              </w:rPr>
            </w:pPr>
          </w:p>
        </w:tc>
        <w:tc>
          <w:tcPr>
            <w:tcW w:w="2280" w:type="dxa"/>
            <w:vAlign w:val="bottom"/>
            <w:shd w:val="clear" w:color="auto" w:fill="CCECFF"/>
          </w:tcPr>
          <w:p>
            <w:pPr>
              <w:spacing w:after="0"/>
              <w:rPr>
                <w:sz w:val="12"/>
                <w:szCs w:val="12"/>
                <w:color w:val="auto"/>
              </w:rPr>
            </w:pPr>
          </w:p>
        </w:tc>
        <w:tc>
          <w:tcPr>
            <w:tcW w:w="120" w:type="dxa"/>
            <w:vAlign w:val="bottom"/>
            <w:shd w:val="clear" w:color="auto" w:fill="CCECFF"/>
          </w:tcPr>
          <w:p>
            <w:pPr>
              <w:spacing w:after="0"/>
              <w:rPr>
                <w:sz w:val="12"/>
                <w:szCs w:val="12"/>
                <w:color w:val="auto"/>
              </w:rPr>
            </w:pPr>
          </w:p>
        </w:tc>
        <w:tc>
          <w:tcPr>
            <w:tcW w:w="680" w:type="dxa"/>
            <w:vAlign w:val="bottom"/>
            <w:shd w:val="clear" w:color="auto" w:fill="CCECFF"/>
          </w:tcPr>
          <w:p>
            <w:pPr>
              <w:spacing w:after="0"/>
              <w:rPr>
                <w:sz w:val="12"/>
                <w:szCs w:val="12"/>
                <w:color w:val="auto"/>
              </w:rPr>
            </w:pPr>
          </w:p>
        </w:tc>
        <w:tc>
          <w:tcPr>
            <w:tcW w:w="280" w:type="dxa"/>
            <w:vAlign w:val="bottom"/>
            <w:shd w:val="clear" w:color="auto" w:fill="CCECFF"/>
          </w:tcPr>
          <w:p>
            <w:pPr>
              <w:spacing w:after="0"/>
              <w:rPr>
                <w:sz w:val="12"/>
                <w:szCs w:val="12"/>
                <w:color w:val="auto"/>
              </w:rPr>
            </w:pPr>
          </w:p>
        </w:tc>
        <w:tc>
          <w:tcPr>
            <w:tcW w:w="680" w:type="dxa"/>
            <w:vAlign w:val="bottom"/>
            <w:shd w:val="clear" w:color="auto" w:fill="CCECFF"/>
          </w:tcPr>
          <w:p>
            <w:pPr>
              <w:spacing w:after="0"/>
              <w:rPr>
                <w:sz w:val="12"/>
                <w:szCs w:val="12"/>
                <w:color w:val="auto"/>
              </w:rPr>
            </w:pPr>
          </w:p>
        </w:tc>
        <w:tc>
          <w:tcPr>
            <w:tcW w:w="220" w:type="dxa"/>
            <w:vAlign w:val="bottom"/>
            <w:shd w:val="clear" w:color="auto" w:fill="CCECFF"/>
          </w:tcPr>
          <w:p>
            <w:pPr>
              <w:spacing w:after="0"/>
              <w:rPr>
                <w:sz w:val="12"/>
                <w:szCs w:val="12"/>
                <w:color w:val="auto"/>
              </w:rPr>
            </w:pPr>
          </w:p>
        </w:tc>
        <w:tc>
          <w:tcPr>
            <w:tcW w:w="680" w:type="dxa"/>
            <w:vAlign w:val="bottom"/>
            <w:shd w:val="clear" w:color="auto" w:fill="CCECFF"/>
          </w:tcPr>
          <w:p>
            <w:pPr>
              <w:spacing w:after="0"/>
              <w:rPr>
                <w:sz w:val="12"/>
                <w:szCs w:val="12"/>
                <w:color w:val="auto"/>
              </w:rPr>
            </w:pPr>
          </w:p>
        </w:tc>
        <w:tc>
          <w:tcPr>
            <w:tcW w:w="220" w:type="dxa"/>
            <w:vAlign w:val="bottom"/>
            <w:shd w:val="clear" w:color="auto" w:fill="CCECFF"/>
          </w:tcPr>
          <w:p>
            <w:pPr>
              <w:spacing w:after="0"/>
              <w:rPr>
                <w:sz w:val="12"/>
                <w:szCs w:val="12"/>
                <w:color w:val="auto"/>
              </w:rPr>
            </w:pPr>
          </w:p>
        </w:tc>
        <w:tc>
          <w:tcPr>
            <w:tcW w:w="100" w:type="dxa"/>
            <w:vAlign w:val="bottom"/>
            <w:shd w:val="clear" w:color="auto" w:fill="CCECFF"/>
          </w:tcPr>
          <w:p>
            <w:pPr>
              <w:spacing w:after="0"/>
              <w:rPr>
                <w:sz w:val="12"/>
                <w:szCs w:val="12"/>
                <w:color w:val="auto"/>
              </w:rPr>
            </w:pPr>
          </w:p>
        </w:tc>
        <w:tc>
          <w:tcPr>
            <w:tcW w:w="700" w:type="dxa"/>
            <w:vAlign w:val="bottom"/>
            <w:shd w:val="clear" w:color="auto" w:fill="CCECFF"/>
          </w:tcPr>
          <w:p>
            <w:pPr>
              <w:spacing w:after="0"/>
              <w:rPr>
                <w:sz w:val="12"/>
                <w:szCs w:val="12"/>
                <w:color w:val="auto"/>
              </w:rPr>
            </w:pPr>
          </w:p>
        </w:tc>
        <w:tc>
          <w:tcPr>
            <w:tcW w:w="240" w:type="dxa"/>
            <w:vAlign w:val="bottom"/>
            <w:shd w:val="clear" w:color="auto" w:fill="CCECFF"/>
          </w:tcPr>
          <w:p>
            <w:pPr>
              <w:spacing w:after="0"/>
              <w:rPr>
                <w:sz w:val="12"/>
                <w:szCs w:val="12"/>
                <w:color w:val="auto"/>
              </w:rPr>
            </w:pPr>
          </w:p>
        </w:tc>
        <w:tc>
          <w:tcPr>
            <w:tcW w:w="80" w:type="dxa"/>
            <w:vAlign w:val="bottom"/>
            <w:shd w:val="clear" w:color="auto" w:fill="CCECFF"/>
          </w:tcPr>
          <w:p>
            <w:pPr>
              <w:spacing w:after="0"/>
              <w:rPr>
                <w:sz w:val="12"/>
                <w:szCs w:val="12"/>
                <w:color w:val="auto"/>
              </w:rPr>
            </w:pPr>
          </w:p>
        </w:tc>
        <w:tc>
          <w:tcPr>
            <w:tcW w:w="720" w:type="dxa"/>
            <w:vAlign w:val="bottom"/>
            <w:shd w:val="clear" w:color="auto" w:fill="CCECFF"/>
          </w:tcPr>
          <w:p>
            <w:pPr>
              <w:spacing w:after="0"/>
              <w:rPr>
                <w:sz w:val="12"/>
                <w:szCs w:val="12"/>
                <w:color w:val="auto"/>
              </w:rPr>
            </w:pPr>
          </w:p>
        </w:tc>
        <w:tc>
          <w:tcPr>
            <w:tcW w:w="100" w:type="dxa"/>
            <w:vAlign w:val="bottom"/>
            <w:shd w:val="clear" w:color="auto" w:fill="CCECFF"/>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940" w:type="dxa"/>
            <w:vAlign w:val="bottom"/>
          </w:tcPr>
          <w:p>
            <w:pPr>
              <w:spacing w:after="0"/>
              <w:rPr>
                <w:sz w:val="20"/>
                <w:szCs w:val="20"/>
                <w:color w:val="auto"/>
              </w:rPr>
            </w:pPr>
            <w:r>
              <w:rPr>
                <w:rFonts w:ascii="Arial" w:cs="Arial" w:eastAsia="Arial" w:hAnsi="Arial"/>
                <w:sz w:val="12"/>
                <w:szCs w:val="12"/>
                <w:color w:val="auto"/>
                <w:w w:val="91"/>
              </w:rPr>
              <w:t>BlackRock Liquidity Funds, Temp Cash, Institutional Shares</w:t>
            </w:r>
          </w:p>
        </w:tc>
        <w:tc>
          <w:tcPr>
            <w:tcW w:w="1200" w:type="dxa"/>
            <w:vAlign w:val="bottom"/>
          </w:tcPr>
          <w:p>
            <w:pPr>
              <w:spacing w:after="0"/>
              <w:rPr>
                <w:sz w:val="12"/>
                <w:szCs w:val="12"/>
                <w:color w:val="auto"/>
              </w:rPr>
            </w:pPr>
          </w:p>
        </w:tc>
        <w:tc>
          <w:tcPr>
            <w:tcW w:w="22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00" w:type="dxa"/>
            <w:vAlign w:val="bottom"/>
          </w:tcPr>
          <w:p>
            <w:pPr>
              <w:jc w:val="right"/>
              <w:spacing w:after="0"/>
              <w:rPr>
                <w:sz w:val="20"/>
                <w:szCs w:val="20"/>
                <w:color w:val="auto"/>
              </w:rPr>
            </w:pPr>
            <w:r>
              <w:rPr>
                <w:rFonts w:ascii="Arial" w:cs="Arial" w:eastAsia="Arial" w:hAnsi="Arial"/>
                <w:sz w:val="12"/>
                <w:szCs w:val="12"/>
                <w:color w:val="auto"/>
              </w:rPr>
              <w:t>64,897,736</w:t>
            </w:r>
          </w:p>
        </w:tc>
        <w:tc>
          <w:tcPr>
            <w:tcW w:w="2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20" w:type="dxa"/>
            <w:vAlign w:val="bottom"/>
          </w:tcPr>
          <w:p>
            <w:pPr>
              <w:jc w:val="right"/>
              <w:spacing w:after="0"/>
              <w:rPr>
                <w:sz w:val="20"/>
                <w:szCs w:val="20"/>
                <w:color w:val="auto"/>
              </w:rPr>
            </w:pPr>
            <w:r>
              <w:rPr>
                <w:rFonts w:ascii="Arial" w:cs="Arial" w:eastAsia="Arial" w:hAnsi="Arial"/>
                <w:sz w:val="12"/>
                <w:szCs w:val="12"/>
                <w:color w:val="auto"/>
              </w:rPr>
              <w:t>64,897,736</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940" w:type="dxa"/>
            <w:vAlign w:val="bottom"/>
            <w:shd w:val="clear" w:color="auto" w:fill="CCECFF"/>
          </w:tcPr>
          <w:p>
            <w:pPr>
              <w:spacing w:after="0"/>
              <w:rPr>
                <w:sz w:val="20"/>
                <w:szCs w:val="20"/>
                <w:color w:val="auto"/>
              </w:rPr>
            </w:pPr>
            <w:r>
              <w:rPr>
                <w:rFonts w:ascii="Arial" w:cs="Arial" w:eastAsia="Arial" w:hAnsi="Arial"/>
                <w:sz w:val="12"/>
                <w:szCs w:val="12"/>
                <w:color w:val="auto"/>
              </w:rPr>
              <w:t>BNY Mellon Cash Reserve and Cash</w:t>
            </w:r>
          </w:p>
        </w:tc>
        <w:tc>
          <w:tcPr>
            <w:tcW w:w="1200" w:type="dxa"/>
            <w:vAlign w:val="bottom"/>
            <w:shd w:val="clear" w:color="auto" w:fill="CCECFF"/>
          </w:tcPr>
          <w:p>
            <w:pPr>
              <w:spacing w:after="0"/>
              <w:rPr>
                <w:sz w:val="12"/>
                <w:szCs w:val="12"/>
                <w:color w:val="auto"/>
              </w:rPr>
            </w:pPr>
          </w:p>
        </w:tc>
        <w:tc>
          <w:tcPr>
            <w:tcW w:w="2280" w:type="dxa"/>
            <w:vAlign w:val="bottom"/>
            <w:shd w:val="clear" w:color="auto" w:fill="CCECFF"/>
          </w:tcPr>
          <w:p>
            <w:pPr>
              <w:spacing w:after="0"/>
              <w:rPr>
                <w:sz w:val="12"/>
                <w:szCs w:val="12"/>
                <w:color w:val="auto"/>
              </w:rPr>
            </w:pPr>
          </w:p>
        </w:tc>
        <w:tc>
          <w:tcPr>
            <w:tcW w:w="120" w:type="dxa"/>
            <w:vAlign w:val="bottom"/>
            <w:shd w:val="clear" w:color="auto" w:fill="CCECFF"/>
          </w:tcPr>
          <w:p>
            <w:pPr>
              <w:spacing w:after="0"/>
              <w:rPr>
                <w:sz w:val="12"/>
                <w:szCs w:val="12"/>
                <w:color w:val="auto"/>
              </w:rPr>
            </w:pPr>
          </w:p>
        </w:tc>
        <w:tc>
          <w:tcPr>
            <w:tcW w:w="680" w:type="dxa"/>
            <w:vAlign w:val="bottom"/>
            <w:shd w:val="clear" w:color="auto" w:fill="CCECFF"/>
          </w:tcPr>
          <w:p>
            <w:pPr>
              <w:spacing w:after="0"/>
              <w:rPr>
                <w:sz w:val="12"/>
                <w:szCs w:val="12"/>
                <w:color w:val="auto"/>
              </w:rPr>
            </w:pPr>
          </w:p>
        </w:tc>
        <w:tc>
          <w:tcPr>
            <w:tcW w:w="280" w:type="dxa"/>
            <w:vAlign w:val="bottom"/>
            <w:shd w:val="clear" w:color="auto" w:fill="CCECFF"/>
          </w:tcPr>
          <w:p>
            <w:pPr>
              <w:spacing w:after="0"/>
              <w:rPr>
                <w:sz w:val="12"/>
                <w:szCs w:val="12"/>
                <w:color w:val="auto"/>
              </w:rPr>
            </w:pPr>
          </w:p>
        </w:tc>
        <w:tc>
          <w:tcPr>
            <w:tcW w:w="680" w:type="dxa"/>
            <w:vAlign w:val="bottom"/>
            <w:shd w:val="clear" w:color="auto" w:fill="CCECFF"/>
          </w:tcPr>
          <w:p>
            <w:pPr>
              <w:spacing w:after="0"/>
              <w:rPr>
                <w:sz w:val="12"/>
                <w:szCs w:val="12"/>
                <w:color w:val="auto"/>
              </w:rPr>
            </w:pPr>
          </w:p>
        </w:tc>
        <w:tc>
          <w:tcPr>
            <w:tcW w:w="220" w:type="dxa"/>
            <w:vAlign w:val="bottom"/>
            <w:shd w:val="clear" w:color="auto" w:fill="CCECFF"/>
          </w:tcPr>
          <w:p>
            <w:pPr>
              <w:spacing w:after="0"/>
              <w:rPr>
                <w:sz w:val="12"/>
                <w:szCs w:val="12"/>
                <w:color w:val="auto"/>
              </w:rPr>
            </w:pPr>
          </w:p>
        </w:tc>
        <w:tc>
          <w:tcPr>
            <w:tcW w:w="680" w:type="dxa"/>
            <w:vAlign w:val="bottom"/>
            <w:shd w:val="clear" w:color="auto" w:fill="CCECFF"/>
          </w:tcPr>
          <w:p>
            <w:pPr>
              <w:spacing w:after="0"/>
              <w:rPr>
                <w:sz w:val="12"/>
                <w:szCs w:val="12"/>
                <w:color w:val="auto"/>
              </w:rPr>
            </w:pPr>
          </w:p>
        </w:tc>
        <w:tc>
          <w:tcPr>
            <w:tcW w:w="220" w:type="dxa"/>
            <w:vAlign w:val="bottom"/>
            <w:shd w:val="clear" w:color="auto" w:fill="CCECFF"/>
          </w:tcPr>
          <w:p>
            <w:pPr>
              <w:spacing w:after="0"/>
              <w:rPr>
                <w:sz w:val="12"/>
                <w:szCs w:val="12"/>
                <w:color w:val="auto"/>
              </w:rPr>
            </w:pPr>
          </w:p>
        </w:tc>
        <w:tc>
          <w:tcPr>
            <w:tcW w:w="100" w:type="dxa"/>
            <w:vAlign w:val="bottom"/>
            <w:tcBorders>
              <w:bottom w:val="single" w:sz="8" w:color="auto"/>
            </w:tcBorders>
            <w:shd w:val="clear" w:color="auto" w:fill="CCECFF"/>
          </w:tcPr>
          <w:p>
            <w:pPr>
              <w:spacing w:after="0"/>
              <w:rPr>
                <w:sz w:val="12"/>
                <w:szCs w:val="12"/>
                <w:color w:val="auto"/>
              </w:rPr>
            </w:pPr>
          </w:p>
        </w:tc>
        <w:tc>
          <w:tcPr>
            <w:tcW w:w="700" w:type="dxa"/>
            <w:vAlign w:val="bottom"/>
            <w:tcBorders>
              <w:bottom w:val="single" w:sz="8" w:color="auto"/>
            </w:tcBorders>
            <w:shd w:val="clear" w:color="auto" w:fill="CCECFF"/>
          </w:tcPr>
          <w:p>
            <w:pPr>
              <w:jc w:val="right"/>
              <w:spacing w:after="0"/>
              <w:rPr>
                <w:sz w:val="20"/>
                <w:szCs w:val="20"/>
                <w:color w:val="auto"/>
              </w:rPr>
            </w:pPr>
            <w:r>
              <w:rPr>
                <w:rFonts w:ascii="Arial" w:cs="Arial" w:eastAsia="Arial" w:hAnsi="Arial"/>
                <w:sz w:val="12"/>
                <w:szCs w:val="12"/>
                <w:color w:val="auto"/>
              </w:rPr>
              <w:t>10,719,397</w:t>
            </w:r>
          </w:p>
        </w:tc>
        <w:tc>
          <w:tcPr>
            <w:tcW w:w="240" w:type="dxa"/>
            <w:vAlign w:val="bottom"/>
            <w:shd w:val="clear" w:color="auto" w:fill="CCECFF"/>
          </w:tcPr>
          <w:p>
            <w:pPr>
              <w:spacing w:after="0"/>
              <w:rPr>
                <w:sz w:val="12"/>
                <w:szCs w:val="12"/>
                <w:color w:val="auto"/>
              </w:rPr>
            </w:pPr>
          </w:p>
        </w:tc>
        <w:tc>
          <w:tcPr>
            <w:tcW w:w="80" w:type="dxa"/>
            <w:vAlign w:val="bottom"/>
            <w:tcBorders>
              <w:bottom w:val="single" w:sz="8" w:color="auto"/>
            </w:tcBorders>
            <w:shd w:val="clear" w:color="auto" w:fill="CCECFF"/>
          </w:tcPr>
          <w:p>
            <w:pPr>
              <w:spacing w:after="0"/>
              <w:rPr>
                <w:sz w:val="12"/>
                <w:szCs w:val="12"/>
                <w:color w:val="auto"/>
              </w:rPr>
            </w:pPr>
          </w:p>
        </w:tc>
        <w:tc>
          <w:tcPr>
            <w:tcW w:w="720" w:type="dxa"/>
            <w:vAlign w:val="bottom"/>
            <w:tcBorders>
              <w:bottom w:val="single" w:sz="8" w:color="auto"/>
            </w:tcBorders>
            <w:shd w:val="clear" w:color="auto" w:fill="CCECFF"/>
          </w:tcPr>
          <w:p>
            <w:pPr>
              <w:jc w:val="right"/>
              <w:spacing w:after="0"/>
              <w:rPr>
                <w:sz w:val="20"/>
                <w:szCs w:val="20"/>
                <w:color w:val="auto"/>
              </w:rPr>
            </w:pPr>
            <w:r>
              <w:rPr>
                <w:rFonts w:ascii="Arial" w:cs="Arial" w:eastAsia="Arial" w:hAnsi="Arial"/>
                <w:sz w:val="12"/>
                <w:szCs w:val="12"/>
                <w:color w:val="auto"/>
              </w:rPr>
              <w:t>10,710,377</w:t>
            </w:r>
          </w:p>
        </w:tc>
        <w:tc>
          <w:tcPr>
            <w:tcW w:w="100" w:type="dxa"/>
            <w:vAlign w:val="bottom"/>
            <w:shd w:val="clear" w:color="auto" w:fill="CCECFF"/>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2940" w:type="dxa"/>
            <w:vAlign w:val="bottom"/>
            <w:tcBorders>
              <w:bottom w:val="single" w:sz="8" w:color="CCECFF"/>
            </w:tcBorders>
          </w:tcPr>
          <w:p>
            <w:pPr>
              <w:spacing w:after="0"/>
              <w:rPr>
                <w:sz w:val="20"/>
                <w:szCs w:val="20"/>
                <w:color w:val="auto"/>
              </w:rPr>
            </w:pPr>
            <w:r>
              <w:rPr>
                <w:rFonts w:ascii="Arial" w:cs="Arial" w:eastAsia="Arial" w:hAnsi="Arial"/>
                <w:sz w:val="12"/>
                <w:szCs w:val="12"/>
                <w:b w:val="1"/>
                <w:bCs w:val="1"/>
                <w:color w:val="auto"/>
              </w:rPr>
              <w:t>Total Cash and Cash Equivalents</w:t>
            </w:r>
          </w:p>
        </w:tc>
        <w:tc>
          <w:tcPr>
            <w:tcW w:w="1200" w:type="dxa"/>
            <w:vAlign w:val="bottom"/>
            <w:tcBorders>
              <w:bottom w:val="single" w:sz="8" w:color="CCECFF"/>
            </w:tcBorders>
          </w:tcPr>
          <w:p>
            <w:pPr>
              <w:spacing w:after="0"/>
              <w:rPr>
                <w:sz w:val="12"/>
                <w:szCs w:val="12"/>
                <w:color w:val="auto"/>
              </w:rPr>
            </w:pPr>
          </w:p>
        </w:tc>
        <w:tc>
          <w:tcPr>
            <w:tcW w:w="2280" w:type="dxa"/>
            <w:vAlign w:val="bottom"/>
            <w:tcBorders>
              <w:bottom w:val="single" w:sz="8" w:color="CCECFF"/>
            </w:tcBorders>
          </w:tcPr>
          <w:p>
            <w:pPr>
              <w:spacing w:after="0"/>
              <w:rPr>
                <w:sz w:val="12"/>
                <w:szCs w:val="12"/>
                <w:color w:val="auto"/>
              </w:rPr>
            </w:pPr>
          </w:p>
        </w:tc>
        <w:tc>
          <w:tcPr>
            <w:tcW w:w="120" w:type="dxa"/>
            <w:vAlign w:val="bottom"/>
            <w:tcBorders>
              <w:bottom w:val="single" w:sz="8" w:color="CCECFF"/>
            </w:tcBorders>
          </w:tcPr>
          <w:p>
            <w:pPr>
              <w:spacing w:after="0"/>
              <w:rPr>
                <w:sz w:val="12"/>
                <w:szCs w:val="12"/>
                <w:color w:val="auto"/>
              </w:rPr>
            </w:pPr>
          </w:p>
        </w:tc>
        <w:tc>
          <w:tcPr>
            <w:tcW w:w="680" w:type="dxa"/>
            <w:vAlign w:val="bottom"/>
            <w:tcBorders>
              <w:bottom w:val="single" w:sz="8" w:color="CCECFF"/>
            </w:tcBorders>
          </w:tcPr>
          <w:p>
            <w:pPr>
              <w:spacing w:after="0"/>
              <w:rPr>
                <w:sz w:val="12"/>
                <w:szCs w:val="12"/>
                <w:color w:val="auto"/>
              </w:rPr>
            </w:pPr>
          </w:p>
        </w:tc>
        <w:tc>
          <w:tcPr>
            <w:tcW w:w="280" w:type="dxa"/>
            <w:vAlign w:val="bottom"/>
            <w:tcBorders>
              <w:bottom w:val="single" w:sz="8" w:color="CCECFF"/>
            </w:tcBorders>
          </w:tcPr>
          <w:p>
            <w:pPr>
              <w:spacing w:after="0"/>
              <w:rPr>
                <w:sz w:val="12"/>
                <w:szCs w:val="12"/>
                <w:color w:val="auto"/>
              </w:rPr>
            </w:pPr>
          </w:p>
        </w:tc>
        <w:tc>
          <w:tcPr>
            <w:tcW w:w="680" w:type="dxa"/>
            <w:vAlign w:val="bottom"/>
            <w:tcBorders>
              <w:bottom w:val="single" w:sz="8" w:color="CCECFF"/>
            </w:tcBorders>
          </w:tcPr>
          <w:p>
            <w:pPr>
              <w:spacing w:after="0"/>
              <w:rPr>
                <w:sz w:val="12"/>
                <w:szCs w:val="12"/>
                <w:color w:val="auto"/>
              </w:rPr>
            </w:pPr>
          </w:p>
        </w:tc>
        <w:tc>
          <w:tcPr>
            <w:tcW w:w="220" w:type="dxa"/>
            <w:vAlign w:val="bottom"/>
            <w:tcBorders>
              <w:bottom w:val="single" w:sz="8" w:color="CCECFF"/>
            </w:tcBorders>
          </w:tcPr>
          <w:p>
            <w:pPr>
              <w:spacing w:after="0"/>
              <w:rPr>
                <w:sz w:val="12"/>
                <w:szCs w:val="12"/>
                <w:color w:val="auto"/>
              </w:rPr>
            </w:pPr>
          </w:p>
        </w:tc>
        <w:tc>
          <w:tcPr>
            <w:tcW w:w="680" w:type="dxa"/>
            <w:vAlign w:val="bottom"/>
            <w:tcBorders>
              <w:bottom w:val="single" w:sz="8" w:color="CCECFF"/>
            </w:tcBorders>
          </w:tcPr>
          <w:p>
            <w:pPr>
              <w:spacing w:after="0"/>
              <w:rPr>
                <w:sz w:val="12"/>
                <w:szCs w:val="12"/>
                <w:color w:val="auto"/>
              </w:rPr>
            </w:pPr>
          </w:p>
        </w:tc>
        <w:tc>
          <w:tcPr>
            <w:tcW w:w="220" w:type="dxa"/>
            <w:vAlign w:val="bottom"/>
            <w:tcBorders>
              <w:bottom w:val="single" w:sz="8" w:color="CCECFF"/>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75,617,133</w:t>
            </w:r>
          </w:p>
        </w:tc>
        <w:tc>
          <w:tcPr>
            <w:tcW w:w="240" w:type="dxa"/>
            <w:vAlign w:val="bottom"/>
            <w:tcBorders>
              <w:bottom w:val="single" w:sz="8" w:color="CCECFF"/>
            </w:tcBorders>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75,608,113</w:t>
            </w:r>
          </w:p>
        </w:tc>
        <w:tc>
          <w:tcPr>
            <w:tcW w:w="100" w:type="dxa"/>
            <w:vAlign w:val="bottom"/>
            <w:tcBorders>
              <w:bottom w:val="single" w:sz="8" w:color="CCECFF"/>
            </w:tcBorders>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2940" w:type="dxa"/>
            <w:vAlign w:val="bottom"/>
            <w:shd w:val="clear" w:color="auto" w:fill="CCECFF"/>
          </w:tcPr>
          <w:p>
            <w:pPr>
              <w:spacing w:after="0"/>
              <w:rPr>
                <w:sz w:val="20"/>
                <w:szCs w:val="20"/>
                <w:color w:val="auto"/>
              </w:rPr>
            </w:pPr>
            <w:r>
              <w:rPr>
                <w:rFonts w:ascii="Arial" w:cs="Arial" w:eastAsia="Arial" w:hAnsi="Arial"/>
                <w:sz w:val="12"/>
                <w:szCs w:val="12"/>
                <w:b w:val="1"/>
                <w:bCs w:val="1"/>
                <w:color w:val="auto"/>
              </w:rPr>
              <w:t>Total Investments and Cash Equivalents—191.1%</w:t>
            </w:r>
          </w:p>
        </w:tc>
        <w:tc>
          <w:tcPr>
            <w:tcW w:w="1200" w:type="dxa"/>
            <w:vAlign w:val="bottom"/>
            <w:shd w:val="clear" w:color="auto" w:fill="CCECFF"/>
          </w:tcPr>
          <w:p>
            <w:pPr>
              <w:spacing w:after="0"/>
              <w:rPr>
                <w:sz w:val="12"/>
                <w:szCs w:val="12"/>
                <w:color w:val="auto"/>
              </w:rPr>
            </w:pPr>
          </w:p>
        </w:tc>
        <w:tc>
          <w:tcPr>
            <w:tcW w:w="2280" w:type="dxa"/>
            <w:vAlign w:val="bottom"/>
            <w:shd w:val="clear" w:color="auto" w:fill="CCECFF"/>
          </w:tcPr>
          <w:p>
            <w:pPr>
              <w:spacing w:after="0"/>
              <w:rPr>
                <w:sz w:val="12"/>
                <w:szCs w:val="12"/>
                <w:color w:val="auto"/>
              </w:rPr>
            </w:pPr>
          </w:p>
        </w:tc>
        <w:tc>
          <w:tcPr>
            <w:tcW w:w="120" w:type="dxa"/>
            <w:vAlign w:val="bottom"/>
            <w:shd w:val="clear" w:color="auto" w:fill="CCECFF"/>
          </w:tcPr>
          <w:p>
            <w:pPr>
              <w:spacing w:after="0"/>
              <w:rPr>
                <w:sz w:val="12"/>
                <w:szCs w:val="12"/>
                <w:color w:val="auto"/>
              </w:rPr>
            </w:pPr>
          </w:p>
        </w:tc>
        <w:tc>
          <w:tcPr>
            <w:tcW w:w="680" w:type="dxa"/>
            <w:vAlign w:val="bottom"/>
            <w:shd w:val="clear" w:color="auto" w:fill="CCECFF"/>
          </w:tcPr>
          <w:p>
            <w:pPr>
              <w:spacing w:after="0"/>
              <w:rPr>
                <w:sz w:val="12"/>
                <w:szCs w:val="12"/>
                <w:color w:val="auto"/>
              </w:rPr>
            </w:pPr>
          </w:p>
        </w:tc>
        <w:tc>
          <w:tcPr>
            <w:tcW w:w="280" w:type="dxa"/>
            <w:vAlign w:val="bottom"/>
            <w:shd w:val="clear" w:color="auto" w:fill="CCECFF"/>
          </w:tcPr>
          <w:p>
            <w:pPr>
              <w:spacing w:after="0"/>
              <w:rPr>
                <w:sz w:val="12"/>
                <w:szCs w:val="12"/>
                <w:color w:val="auto"/>
              </w:rPr>
            </w:pPr>
          </w:p>
        </w:tc>
        <w:tc>
          <w:tcPr>
            <w:tcW w:w="680" w:type="dxa"/>
            <w:vAlign w:val="bottom"/>
            <w:shd w:val="clear" w:color="auto" w:fill="CCECFF"/>
          </w:tcPr>
          <w:p>
            <w:pPr>
              <w:spacing w:after="0"/>
              <w:rPr>
                <w:sz w:val="12"/>
                <w:szCs w:val="12"/>
                <w:color w:val="auto"/>
              </w:rPr>
            </w:pPr>
          </w:p>
        </w:tc>
        <w:tc>
          <w:tcPr>
            <w:tcW w:w="220" w:type="dxa"/>
            <w:vAlign w:val="bottom"/>
            <w:shd w:val="clear" w:color="auto" w:fill="CCECFF"/>
          </w:tcPr>
          <w:p>
            <w:pPr>
              <w:spacing w:after="0"/>
              <w:rPr>
                <w:sz w:val="12"/>
                <w:szCs w:val="12"/>
                <w:color w:val="auto"/>
              </w:rPr>
            </w:pPr>
          </w:p>
        </w:tc>
        <w:tc>
          <w:tcPr>
            <w:tcW w:w="680" w:type="dxa"/>
            <w:vAlign w:val="bottom"/>
            <w:shd w:val="clear" w:color="auto" w:fill="CCECFF"/>
          </w:tcPr>
          <w:p>
            <w:pPr>
              <w:spacing w:after="0"/>
              <w:rPr>
                <w:sz w:val="12"/>
                <w:szCs w:val="12"/>
                <w:color w:val="auto"/>
              </w:rPr>
            </w:pPr>
          </w:p>
        </w:tc>
        <w:tc>
          <w:tcPr>
            <w:tcW w:w="320" w:type="dxa"/>
            <w:vAlign w:val="bottom"/>
            <w:gridSpan w:val="2"/>
            <w:shd w:val="clear" w:color="auto" w:fill="CCECFF"/>
          </w:tcPr>
          <w:p>
            <w:pPr>
              <w:jc w:val="right"/>
              <w:ind w:right="40"/>
              <w:spacing w:after="0"/>
              <w:rPr>
                <w:sz w:val="20"/>
                <w:szCs w:val="20"/>
                <w:color w:val="auto"/>
              </w:rPr>
            </w:pPr>
            <w:r>
              <w:rPr>
                <w:rFonts w:ascii="Arial" w:cs="Arial" w:eastAsia="Arial" w:hAnsi="Arial"/>
                <w:sz w:val="12"/>
                <w:szCs w:val="12"/>
                <w:color w:val="auto"/>
              </w:rPr>
              <w:t>$</w:t>
            </w:r>
          </w:p>
        </w:tc>
        <w:tc>
          <w:tcPr>
            <w:tcW w:w="700" w:type="dxa"/>
            <w:vAlign w:val="bottom"/>
            <w:shd w:val="clear" w:color="auto" w:fill="CCECFF"/>
          </w:tcPr>
          <w:p>
            <w:pPr>
              <w:jc w:val="right"/>
              <w:spacing w:after="0"/>
              <w:rPr>
                <w:sz w:val="20"/>
                <w:szCs w:val="20"/>
                <w:color w:val="auto"/>
              </w:rPr>
            </w:pPr>
            <w:r>
              <w:rPr>
                <w:rFonts w:ascii="Arial" w:cs="Arial" w:eastAsia="Arial" w:hAnsi="Arial"/>
                <w:sz w:val="12"/>
                <w:szCs w:val="12"/>
                <w:color w:val="auto"/>
                <w:w w:val="88"/>
              </w:rPr>
              <w:t>1,329,574,279</w:t>
            </w:r>
          </w:p>
        </w:tc>
        <w:tc>
          <w:tcPr>
            <w:tcW w:w="320" w:type="dxa"/>
            <w:vAlign w:val="bottom"/>
            <w:gridSpan w:val="2"/>
            <w:shd w:val="clear" w:color="auto" w:fill="CCECFF"/>
          </w:tcPr>
          <w:p>
            <w:pPr>
              <w:jc w:val="right"/>
              <w:spacing w:after="0"/>
              <w:rPr>
                <w:sz w:val="20"/>
                <w:szCs w:val="20"/>
                <w:color w:val="auto"/>
              </w:rPr>
            </w:pPr>
            <w:r>
              <w:rPr>
                <w:rFonts w:ascii="Arial" w:cs="Arial" w:eastAsia="Arial" w:hAnsi="Arial"/>
                <w:sz w:val="12"/>
                <w:szCs w:val="12"/>
                <w:color w:val="auto"/>
              </w:rPr>
              <w:t>$</w:t>
            </w:r>
          </w:p>
        </w:tc>
        <w:tc>
          <w:tcPr>
            <w:tcW w:w="720" w:type="dxa"/>
            <w:vAlign w:val="bottom"/>
            <w:shd w:val="clear" w:color="auto" w:fill="CCECFF"/>
          </w:tcPr>
          <w:p>
            <w:pPr>
              <w:jc w:val="right"/>
              <w:spacing w:after="0"/>
              <w:rPr>
                <w:sz w:val="20"/>
                <w:szCs w:val="20"/>
                <w:color w:val="auto"/>
              </w:rPr>
            </w:pPr>
            <w:r>
              <w:rPr>
                <w:rFonts w:ascii="Arial" w:cs="Arial" w:eastAsia="Arial" w:hAnsi="Arial"/>
                <w:sz w:val="12"/>
                <w:szCs w:val="12"/>
                <w:color w:val="auto"/>
                <w:w w:val="88"/>
              </w:rPr>
              <w:t>1,229,287,788</w:t>
            </w:r>
          </w:p>
        </w:tc>
        <w:tc>
          <w:tcPr>
            <w:tcW w:w="100" w:type="dxa"/>
            <w:vAlign w:val="bottom"/>
            <w:shd w:val="clear" w:color="auto" w:fill="CCECFF"/>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2940" w:type="dxa"/>
            <w:vAlign w:val="bottom"/>
            <w:tcBorders>
              <w:top w:val="single" w:sz="8" w:color="CCECFF"/>
              <w:bottom w:val="single" w:sz="8" w:color="CCECFF"/>
            </w:tcBorders>
            <w:vMerge w:val="restart"/>
          </w:tcPr>
          <w:p>
            <w:pPr>
              <w:spacing w:after="0"/>
              <w:rPr>
                <w:sz w:val="20"/>
                <w:szCs w:val="20"/>
                <w:color w:val="auto"/>
              </w:rPr>
            </w:pPr>
            <w:r>
              <w:rPr>
                <w:rFonts w:ascii="Arial" w:cs="Arial" w:eastAsia="Arial" w:hAnsi="Arial"/>
                <w:sz w:val="12"/>
                <w:szCs w:val="12"/>
                <w:b w:val="1"/>
                <w:bCs w:val="1"/>
                <w:color w:val="auto"/>
              </w:rPr>
              <w:t>Liabilities in Excess of Other Assets—(91.1%)</w:t>
            </w:r>
          </w:p>
        </w:tc>
        <w:tc>
          <w:tcPr>
            <w:tcW w:w="1200" w:type="dxa"/>
            <w:vAlign w:val="bottom"/>
            <w:tcBorders>
              <w:top w:val="single" w:sz="8" w:color="CCECFF"/>
            </w:tcBorders>
          </w:tcPr>
          <w:p>
            <w:pPr>
              <w:spacing w:after="0" w:line="20" w:lineRule="exact"/>
              <w:rPr>
                <w:sz w:val="1"/>
                <w:szCs w:val="1"/>
                <w:color w:val="auto"/>
              </w:rPr>
            </w:pPr>
          </w:p>
        </w:tc>
        <w:tc>
          <w:tcPr>
            <w:tcW w:w="2280" w:type="dxa"/>
            <w:vAlign w:val="bottom"/>
            <w:tcBorders>
              <w:top w:val="single" w:sz="8" w:color="CCECFF"/>
            </w:tcBorders>
          </w:tcPr>
          <w:p>
            <w:pPr>
              <w:spacing w:after="0" w:line="20" w:lineRule="exact"/>
              <w:rPr>
                <w:sz w:val="1"/>
                <w:szCs w:val="1"/>
                <w:color w:val="auto"/>
              </w:rPr>
            </w:pPr>
          </w:p>
        </w:tc>
        <w:tc>
          <w:tcPr>
            <w:tcW w:w="120" w:type="dxa"/>
            <w:vAlign w:val="bottom"/>
            <w:tcBorders>
              <w:top w:val="single" w:sz="8" w:color="CCECFF"/>
            </w:tcBorders>
          </w:tcPr>
          <w:p>
            <w:pPr>
              <w:spacing w:after="0" w:line="20" w:lineRule="exact"/>
              <w:rPr>
                <w:sz w:val="1"/>
                <w:szCs w:val="1"/>
                <w:color w:val="auto"/>
              </w:rPr>
            </w:pPr>
          </w:p>
        </w:tc>
        <w:tc>
          <w:tcPr>
            <w:tcW w:w="680" w:type="dxa"/>
            <w:vAlign w:val="bottom"/>
            <w:tcBorders>
              <w:top w:val="single" w:sz="8" w:color="CCECFF"/>
            </w:tcBorders>
          </w:tcPr>
          <w:p>
            <w:pPr>
              <w:spacing w:after="0" w:line="20" w:lineRule="exact"/>
              <w:rPr>
                <w:sz w:val="1"/>
                <w:szCs w:val="1"/>
                <w:color w:val="auto"/>
              </w:rPr>
            </w:pPr>
          </w:p>
        </w:tc>
        <w:tc>
          <w:tcPr>
            <w:tcW w:w="280" w:type="dxa"/>
            <w:vAlign w:val="bottom"/>
            <w:tcBorders>
              <w:top w:val="single" w:sz="8" w:color="CCECFF"/>
            </w:tcBorders>
          </w:tcPr>
          <w:p>
            <w:pPr>
              <w:spacing w:after="0" w:line="20" w:lineRule="exact"/>
              <w:rPr>
                <w:sz w:val="1"/>
                <w:szCs w:val="1"/>
                <w:color w:val="auto"/>
              </w:rPr>
            </w:pPr>
          </w:p>
        </w:tc>
        <w:tc>
          <w:tcPr>
            <w:tcW w:w="680" w:type="dxa"/>
            <w:vAlign w:val="bottom"/>
            <w:tcBorders>
              <w:top w:val="single" w:sz="8" w:color="CCECFF"/>
            </w:tcBorders>
          </w:tcPr>
          <w:p>
            <w:pPr>
              <w:spacing w:after="0" w:line="20" w:lineRule="exact"/>
              <w:rPr>
                <w:sz w:val="1"/>
                <w:szCs w:val="1"/>
                <w:color w:val="auto"/>
              </w:rPr>
            </w:pPr>
          </w:p>
        </w:tc>
        <w:tc>
          <w:tcPr>
            <w:tcW w:w="220" w:type="dxa"/>
            <w:vAlign w:val="bottom"/>
            <w:tcBorders>
              <w:top w:val="single" w:sz="8" w:color="CCECFF"/>
            </w:tcBorders>
          </w:tcPr>
          <w:p>
            <w:pPr>
              <w:spacing w:after="0" w:line="20" w:lineRule="exact"/>
              <w:rPr>
                <w:sz w:val="1"/>
                <w:szCs w:val="1"/>
                <w:color w:val="auto"/>
              </w:rPr>
            </w:pPr>
          </w:p>
        </w:tc>
        <w:tc>
          <w:tcPr>
            <w:tcW w:w="680" w:type="dxa"/>
            <w:vAlign w:val="bottom"/>
            <w:tcBorders>
              <w:top w:val="single" w:sz="8" w:color="CCECFF"/>
            </w:tcBorders>
          </w:tcPr>
          <w:p>
            <w:pPr>
              <w:spacing w:after="0" w:line="20" w:lineRule="exact"/>
              <w:rPr>
                <w:sz w:val="1"/>
                <w:szCs w:val="1"/>
                <w:color w:val="auto"/>
              </w:rPr>
            </w:pPr>
          </w:p>
        </w:tc>
        <w:tc>
          <w:tcPr>
            <w:tcW w:w="220" w:type="dxa"/>
            <w:vAlign w:val="bottom"/>
            <w:tcBorders>
              <w:top w:val="single" w:sz="8" w:color="CCEC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CCECFF"/>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CFF"/>
              <w:bottom w:val="single" w:sz="8" w:color="CCECFF"/>
            </w:tcBorders>
            <w:vMerge w:val="restart"/>
          </w:tcPr>
          <w:p>
            <w:pPr>
              <w:jc w:val="right"/>
              <w:ind w:right="19"/>
              <w:spacing w:after="0"/>
              <w:rPr>
                <w:sz w:val="20"/>
                <w:szCs w:val="20"/>
                <w:color w:val="auto"/>
              </w:rPr>
            </w:pPr>
            <w:r>
              <w:rPr>
                <w:rFonts w:ascii="Arial" w:cs="Arial" w:eastAsia="Arial" w:hAnsi="Arial"/>
                <w:sz w:val="8"/>
                <w:szCs w:val="8"/>
                <w:color w:val="auto"/>
                <w:w w:val="73"/>
              </w:rPr>
              <w:t>)</w:t>
            </w:r>
          </w:p>
        </w:tc>
        <w:tc>
          <w:tcPr>
            <w:tcW w:w="0" w:type="dxa"/>
            <w:vAlign w:val="bottom"/>
          </w:tcPr>
          <w:p>
            <w:pPr>
              <w:spacing w:after="0" w:line="20" w:lineRule="exact"/>
              <w:rPr>
                <w:sz w:val="1"/>
                <w:szCs w:val="1"/>
                <w:color w:val="auto"/>
              </w:rPr>
            </w:pPr>
          </w:p>
        </w:tc>
      </w:tr>
      <w:tr>
        <w:trPr>
          <w:trHeight w:val="129"/>
        </w:trPr>
        <w:tc>
          <w:tcPr>
            <w:tcW w:w="2940" w:type="dxa"/>
            <w:vAlign w:val="bottom"/>
            <w:vMerge w:val="continue"/>
          </w:tcPr>
          <w:p>
            <w:pPr>
              <w:spacing w:after="0"/>
              <w:rPr>
                <w:sz w:val="11"/>
                <w:szCs w:val="11"/>
                <w:color w:val="auto"/>
              </w:rPr>
            </w:pPr>
          </w:p>
        </w:tc>
        <w:tc>
          <w:tcPr>
            <w:tcW w:w="1200" w:type="dxa"/>
            <w:vAlign w:val="bottom"/>
          </w:tcPr>
          <w:p>
            <w:pPr>
              <w:spacing w:after="0"/>
              <w:rPr>
                <w:sz w:val="11"/>
                <w:szCs w:val="11"/>
                <w:color w:val="auto"/>
              </w:rPr>
            </w:pPr>
          </w:p>
        </w:tc>
        <w:tc>
          <w:tcPr>
            <w:tcW w:w="22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20" w:type="dxa"/>
            <w:vAlign w:val="bottom"/>
          </w:tcPr>
          <w:p>
            <w:pPr>
              <w:jc w:val="right"/>
              <w:spacing w:after="0" w:line="129" w:lineRule="exact"/>
              <w:rPr>
                <w:sz w:val="20"/>
                <w:szCs w:val="20"/>
                <w:color w:val="auto"/>
              </w:rPr>
            </w:pPr>
            <w:r>
              <w:rPr>
                <w:rFonts w:ascii="Arial" w:cs="Arial" w:eastAsia="Arial" w:hAnsi="Arial"/>
                <w:sz w:val="12"/>
                <w:szCs w:val="12"/>
                <w:color w:val="auto"/>
                <w:w w:val="96"/>
              </w:rPr>
              <w:t>(585,920,932</w:t>
            </w:r>
          </w:p>
        </w:tc>
        <w:tc>
          <w:tcPr>
            <w:tcW w:w="10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48"/>
        </w:trPr>
        <w:tc>
          <w:tcPr>
            <w:tcW w:w="2940" w:type="dxa"/>
            <w:vAlign w:val="bottom"/>
            <w:shd w:val="clear" w:color="auto" w:fill="CCECFF"/>
          </w:tcPr>
          <w:p>
            <w:pPr>
              <w:spacing w:after="0"/>
              <w:rPr>
                <w:sz w:val="20"/>
                <w:szCs w:val="20"/>
                <w:color w:val="auto"/>
              </w:rPr>
            </w:pPr>
            <w:r>
              <w:rPr>
                <w:rFonts w:ascii="Arial" w:cs="Arial" w:eastAsia="Arial" w:hAnsi="Arial"/>
                <w:sz w:val="12"/>
                <w:szCs w:val="12"/>
                <w:b w:val="1"/>
                <w:bCs w:val="1"/>
                <w:color w:val="auto"/>
              </w:rPr>
              <w:t>Net Assets—100.0%</w:t>
            </w:r>
          </w:p>
        </w:tc>
        <w:tc>
          <w:tcPr>
            <w:tcW w:w="1200" w:type="dxa"/>
            <w:vAlign w:val="bottom"/>
            <w:shd w:val="clear" w:color="auto" w:fill="CCECFF"/>
          </w:tcPr>
          <w:p>
            <w:pPr>
              <w:spacing w:after="0"/>
              <w:rPr>
                <w:sz w:val="12"/>
                <w:szCs w:val="12"/>
                <w:color w:val="auto"/>
              </w:rPr>
            </w:pPr>
          </w:p>
        </w:tc>
        <w:tc>
          <w:tcPr>
            <w:tcW w:w="2280" w:type="dxa"/>
            <w:vAlign w:val="bottom"/>
            <w:shd w:val="clear" w:color="auto" w:fill="CCECFF"/>
          </w:tcPr>
          <w:p>
            <w:pPr>
              <w:spacing w:after="0"/>
              <w:rPr>
                <w:sz w:val="12"/>
                <w:szCs w:val="12"/>
                <w:color w:val="auto"/>
              </w:rPr>
            </w:pPr>
          </w:p>
        </w:tc>
        <w:tc>
          <w:tcPr>
            <w:tcW w:w="120" w:type="dxa"/>
            <w:vAlign w:val="bottom"/>
            <w:shd w:val="clear" w:color="auto" w:fill="CCECFF"/>
          </w:tcPr>
          <w:p>
            <w:pPr>
              <w:spacing w:after="0"/>
              <w:rPr>
                <w:sz w:val="12"/>
                <w:szCs w:val="12"/>
                <w:color w:val="auto"/>
              </w:rPr>
            </w:pPr>
          </w:p>
        </w:tc>
        <w:tc>
          <w:tcPr>
            <w:tcW w:w="680" w:type="dxa"/>
            <w:vAlign w:val="bottom"/>
            <w:shd w:val="clear" w:color="auto" w:fill="CCECFF"/>
          </w:tcPr>
          <w:p>
            <w:pPr>
              <w:spacing w:after="0"/>
              <w:rPr>
                <w:sz w:val="12"/>
                <w:szCs w:val="12"/>
                <w:color w:val="auto"/>
              </w:rPr>
            </w:pPr>
          </w:p>
        </w:tc>
        <w:tc>
          <w:tcPr>
            <w:tcW w:w="280" w:type="dxa"/>
            <w:vAlign w:val="bottom"/>
            <w:shd w:val="clear" w:color="auto" w:fill="CCECFF"/>
          </w:tcPr>
          <w:p>
            <w:pPr>
              <w:spacing w:after="0"/>
              <w:rPr>
                <w:sz w:val="12"/>
                <w:szCs w:val="12"/>
                <w:color w:val="auto"/>
              </w:rPr>
            </w:pPr>
          </w:p>
        </w:tc>
        <w:tc>
          <w:tcPr>
            <w:tcW w:w="680" w:type="dxa"/>
            <w:vAlign w:val="bottom"/>
            <w:shd w:val="clear" w:color="auto" w:fill="CCECFF"/>
          </w:tcPr>
          <w:p>
            <w:pPr>
              <w:spacing w:after="0"/>
              <w:rPr>
                <w:sz w:val="12"/>
                <w:szCs w:val="12"/>
                <w:color w:val="auto"/>
              </w:rPr>
            </w:pPr>
          </w:p>
        </w:tc>
        <w:tc>
          <w:tcPr>
            <w:tcW w:w="220" w:type="dxa"/>
            <w:vAlign w:val="bottom"/>
            <w:shd w:val="clear" w:color="auto" w:fill="CCECFF"/>
          </w:tcPr>
          <w:p>
            <w:pPr>
              <w:spacing w:after="0"/>
              <w:rPr>
                <w:sz w:val="12"/>
                <w:szCs w:val="12"/>
                <w:color w:val="auto"/>
              </w:rPr>
            </w:pPr>
          </w:p>
        </w:tc>
        <w:tc>
          <w:tcPr>
            <w:tcW w:w="680" w:type="dxa"/>
            <w:vAlign w:val="bottom"/>
            <w:shd w:val="clear" w:color="auto" w:fill="CCECFF"/>
          </w:tcPr>
          <w:p>
            <w:pPr>
              <w:spacing w:after="0"/>
              <w:rPr>
                <w:sz w:val="12"/>
                <w:szCs w:val="12"/>
                <w:color w:val="auto"/>
              </w:rPr>
            </w:pPr>
          </w:p>
        </w:tc>
        <w:tc>
          <w:tcPr>
            <w:tcW w:w="220" w:type="dxa"/>
            <w:vAlign w:val="bottom"/>
            <w:shd w:val="clear" w:color="auto" w:fill="CCECFF"/>
          </w:tcPr>
          <w:p>
            <w:pPr>
              <w:spacing w:after="0"/>
              <w:rPr>
                <w:sz w:val="12"/>
                <w:szCs w:val="12"/>
                <w:color w:val="auto"/>
              </w:rPr>
            </w:pPr>
          </w:p>
        </w:tc>
        <w:tc>
          <w:tcPr>
            <w:tcW w:w="100" w:type="dxa"/>
            <w:vAlign w:val="bottom"/>
            <w:shd w:val="clear" w:color="auto" w:fill="CCECFF"/>
          </w:tcPr>
          <w:p>
            <w:pPr>
              <w:spacing w:after="0"/>
              <w:rPr>
                <w:sz w:val="12"/>
                <w:szCs w:val="12"/>
                <w:color w:val="auto"/>
              </w:rPr>
            </w:pPr>
          </w:p>
        </w:tc>
        <w:tc>
          <w:tcPr>
            <w:tcW w:w="700" w:type="dxa"/>
            <w:vAlign w:val="bottom"/>
            <w:shd w:val="clear" w:color="auto" w:fill="CCECFF"/>
          </w:tcPr>
          <w:p>
            <w:pPr>
              <w:spacing w:after="0"/>
              <w:rPr>
                <w:sz w:val="12"/>
                <w:szCs w:val="12"/>
                <w:color w:val="auto"/>
              </w:rPr>
            </w:pPr>
          </w:p>
        </w:tc>
        <w:tc>
          <w:tcPr>
            <w:tcW w:w="320" w:type="dxa"/>
            <w:vAlign w:val="bottom"/>
            <w:gridSpan w:val="2"/>
            <w:shd w:val="clear" w:color="auto" w:fill="CCECFF"/>
          </w:tcPr>
          <w:p>
            <w:pPr>
              <w:jc w:val="right"/>
              <w:spacing w:after="0"/>
              <w:rPr>
                <w:sz w:val="20"/>
                <w:szCs w:val="20"/>
                <w:color w:val="auto"/>
              </w:rPr>
            </w:pPr>
            <w:r>
              <w:rPr>
                <w:rFonts w:ascii="Arial" w:cs="Arial" w:eastAsia="Arial" w:hAnsi="Arial"/>
                <w:sz w:val="12"/>
                <w:szCs w:val="12"/>
                <w:color w:val="auto"/>
              </w:rPr>
              <w:t>$</w:t>
            </w:r>
          </w:p>
        </w:tc>
        <w:tc>
          <w:tcPr>
            <w:tcW w:w="720" w:type="dxa"/>
            <w:vAlign w:val="bottom"/>
            <w:shd w:val="clear" w:color="auto" w:fill="CCECFF"/>
          </w:tcPr>
          <w:p>
            <w:pPr>
              <w:jc w:val="right"/>
              <w:spacing w:after="0"/>
              <w:rPr>
                <w:sz w:val="20"/>
                <w:szCs w:val="20"/>
                <w:color w:val="auto"/>
              </w:rPr>
            </w:pPr>
            <w:r>
              <w:rPr>
                <w:rFonts w:ascii="Arial" w:cs="Arial" w:eastAsia="Arial" w:hAnsi="Arial"/>
                <w:sz w:val="12"/>
                <w:szCs w:val="12"/>
                <w:color w:val="auto"/>
              </w:rPr>
              <w:t>643,366,856</w:t>
            </w:r>
          </w:p>
        </w:tc>
        <w:tc>
          <w:tcPr>
            <w:tcW w:w="100" w:type="dxa"/>
            <w:vAlign w:val="bottom"/>
            <w:shd w:val="clear" w:color="auto" w:fill="CCECFF"/>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2940" w:type="dxa"/>
            <w:vAlign w:val="bottom"/>
            <w:tcBorders>
              <w:top w:val="single" w:sz="8" w:color="CCECFF"/>
            </w:tcBorders>
          </w:tcPr>
          <w:p>
            <w:pPr>
              <w:spacing w:after="0" w:line="20" w:lineRule="exact"/>
              <w:rPr>
                <w:sz w:val="1"/>
                <w:szCs w:val="1"/>
                <w:color w:val="auto"/>
              </w:rPr>
            </w:pPr>
          </w:p>
        </w:tc>
        <w:tc>
          <w:tcPr>
            <w:tcW w:w="1200" w:type="dxa"/>
            <w:vAlign w:val="bottom"/>
            <w:tcBorders>
              <w:top w:val="single" w:sz="8" w:color="CCECFF"/>
            </w:tcBorders>
          </w:tcPr>
          <w:p>
            <w:pPr>
              <w:spacing w:after="0" w:line="20" w:lineRule="exact"/>
              <w:rPr>
                <w:sz w:val="1"/>
                <w:szCs w:val="1"/>
                <w:color w:val="auto"/>
              </w:rPr>
            </w:pPr>
          </w:p>
        </w:tc>
        <w:tc>
          <w:tcPr>
            <w:tcW w:w="2280" w:type="dxa"/>
            <w:vAlign w:val="bottom"/>
            <w:tcBorders>
              <w:top w:val="single" w:sz="8" w:color="CCECFF"/>
            </w:tcBorders>
          </w:tcPr>
          <w:p>
            <w:pPr>
              <w:spacing w:after="0" w:line="20" w:lineRule="exact"/>
              <w:rPr>
                <w:sz w:val="1"/>
                <w:szCs w:val="1"/>
                <w:color w:val="auto"/>
              </w:rPr>
            </w:pPr>
          </w:p>
        </w:tc>
        <w:tc>
          <w:tcPr>
            <w:tcW w:w="120" w:type="dxa"/>
            <w:vAlign w:val="bottom"/>
            <w:tcBorders>
              <w:top w:val="single" w:sz="8" w:color="CCECFF"/>
            </w:tcBorders>
          </w:tcPr>
          <w:p>
            <w:pPr>
              <w:spacing w:after="0" w:line="20" w:lineRule="exact"/>
              <w:rPr>
                <w:sz w:val="1"/>
                <w:szCs w:val="1"/>
                <w:color w:val="auto"/>
              </w:rPr>
            </w:pPr>
          </w:p>
        </w:tc>
        <w:tc>
          <w:tcPr>
            <w:tcW w:w="680" w:type="dxa"/>
            <w:vAlign w:val="bottom"/>
            <w:tcBorders>
              <w:top w:val="single" w:sz="8" w:color="CCECFF"/>
            </w:tcBorders>
          </w:tcPr>
          <w:p>
            <w:pPr>
              <w:spacing w:after="0" w:line="20" w:lineRule="exact"/>
              <w:rPr>
                <w:sz w:val="1"/>
                <w:szCs w:val="1"/>
                <w:color w:val="auto"/>
              </w:rPr>
            </w:pPr>
          </w:p>
        </w:tc>
        <w:tc>
          <w:tcPr>
            <w:tcW w:w="280" w:type="dxa"/>
            <w:vAlign w:val="bottom"/>
            <w:tcBorders>
              <w:top w:val="single" w:sz="8" w:color="CCECFF"/>
            </w:tcBorders>
          </w:tcPr>
          <w:p>
            <w:pPr>
              <w:spacing w:after="0" w:line="20" w:lineRule="exact"/>
              <w:rPr>
                <w:sz w:val="1"/>
                <w:szCs w:val="1"/>
                <w:color w:val="auto"/>
              </w:rPr>
            </w:pPr>
          </w:p>
        </w:tc>
        <w:tc>
          <w:tcPr>
            <w:tcW w:w="680" w:type="dxa"/>
            <w:vAlign w:val="bottom"/>
            <w:tcBorders>
              <w:top w:val="single" w:sz="8" w:color="CCECFF"/>
            </w:tcBorders>
          </w:tcPr>
          <w:p>
            <w:pPr>
              <w:spacing w:after="0" w:line="20" w:lineRule="exact"/>
              <w:rPr>
                <w:sz w:val="1"/>
                <w:szCs w:val="1"/>
                <w:color w:val="auto"/>
              </w:rPr>
            </w:pPr>
          </w:p>
        </w:tc>
        <w:tc>
          <w:tcPr>
            <w:tcW w:w="220" w:type="dxa"/>
            <w:vAlign w:val="bottom"/>
            <w:tcBorders>
              <w:top w:val="single" w:sz="8" w:color="CCECFF"/>
            </w:tcBorders>
          </w:tcPr>
          <w:p>
            <w:pPr>
              <w:spacing w:after="0" w:line="20" w:lineRule="exact"/>
              <w:rPr>
                <w:sz w:val="1"/>
                <w:szCs w:val="1"/>
                <w:color w:val="auto"/>
              </w:rPr>
            </w:pPr>
          </w:p>
        </w:tc>
        <w:tc>
          <w:tcPr>
            <w:tcW w:w="680" w:type="dxa"/>
            <w:vAlign w:val="bottom"/>
            <w:tcBorders>
              <w:top w:val="single" w:sz="8" w:color="CCECFF"/>
            </w:tcBorders>
          </w:tcPr>
          <w:p>
            <w:pPr>
              <w:spacing w:after="0" w:line="20" w:lineRule="exact"/>
              <w:rPr>
                <w:sz w:val="1"/>
                <w:szCs w:val="1"/>
                <w:color w:val="auto"/>
              </w:rPr>
            </w:pPr>
          </w:p>
        </w:tc>
        <w:tc>
          <w:tcPr>
            <w:tcW w:w="220" w:type="dxa"/>
            <w:vAlign w:val="bottom"/>
            <w:tcBorders>
              <w:top w:val="single" w:sz="8" w:color="CCECFF"/>
            </w:tcBorders>
          </w:tcPr>
          <w:p>
            <w:pPr>
              <w:spacing w:after="0" w:line="20" w:lineRule="exact"/>
              <w:rPr>
                <w:sz w:val="1"/>
                <w:szCs w:val="1"/>
                <w:color w:val="auto"/>
              </w:rPr>
            </w:pPr>
          </w:p>
        </w:tc>
        <w:tc>
          <w:tcPr>
            <w:tcW w:w="100" w:type="dxa"/>
            <w:vAlign w:val="bottom"/>
            <w:tcBorders>
              <w:top w:val="single" w:sz="8" w:color="CCECFF"/>
            </w:tcBorders>
          </w:tcPr>
          <w:p>
            <w:pPr>
              <w:spacing w:after="0" w:line="20" w:lineRule="exact"/>
              <w:rPr>
                <w:sz w:val="1"/>
                <w:szCs w:val="1"/>
                <w:color w:val="auto"/>
              </w:rPr>
            </w:pPr>
          </w:p>
        </w:tc>
        <w:tc>
          <w:tcPr>
            <w:tcW w:w="700" w:type="dxa"/>
            <w:vAlign w:val="bottom"/>
            <w:tcBorders>
              <w:top w:val="single" w:sz="8" w:color="CCECFF"/>
            </w:tcBorders>
          </w:tcPr>
          <w:p>
            <w:pPr>
              <w:spacing w:after="0" w:line="20" w:lineRule="exact"/>
              <w:rPr>
                <w:sz w:val="1"/>
                <w:szCs w:val="1"/>
                <w:color w:val="auto"/>
              </w:rPr>
            </w:pPr>
          </w:p>
        </w:tc>
        <w:tc>
          <w:tcPr>
            <w:tcW w:w="240" w:type="dxa"/>
            <w:vAlign w:val="bottom"/>
            <w:tcBorders>
              <w:top w:val="single" w:sz="8" w:color="CCECFF"/>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C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120015</wp:posOffset>
            </wp:positionV>
            <wp:extent cx="1345565" cy="825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1345565" cy="8255"/>
                    </a:xfrm>
                    <a:prstGeom prst="rect">
                      <a:avLst/>
                    </a:prstGeom>
                    <a:noFill/>
                  </pic:spPr>
                </pic:pic>
              </a:graphicData>
            </a:graphic>
          </wp:anchor>
        </w:drawing>
      </w:r>
    </w:p>
    <w:p>
      <w:pPr>
        <w:spacing w:after="0" w:line="230" w:lineRule="exact"/>
        <w:rPr>
          <w:sz w:val="20"/>
          <w:szCs w:val="20"/>
          <w:color w:val="auto"/>
        </w:rPr>
      </w:pPr>
    </w:p>
    <w:p>
      <w:pPr>
        <w:ind w:left="380" w:hanging="372"/>
        <w:spacing w:after="0" w:line="243" w:lineRule="auto"/>
        <w:tabs>
          <w:tab w:leader="none" w:pos="380" w:val="left"/>
        </w:tabs>
        <w:numPr>
          <w:ilvl w:val="0"/>
          <w:numId w:val="4"/>
        </w:numPr>
        <w:rPr>
          <w:rFonts w:ascii="Arial" w:cs="Arial" w:eastAsia="Arial" w:hAnsi="Arial"/>
          <w:sz w:val="12"/>
          <w:szCs w:val="12"/>
          <w:color w:val="auto"/>
        </w:rPr>
      </w:pPr>
      <w:r>
        <w:rPr>
          <w:rFonts w:ascii="Arial" w:cs="Arial" w:eastAsia="Arial" w:hAnsi="Arial"/>
          <w:sz w:val="12"/>
          <w:szCs w:val="12"/>
          <w:color w:val="auto"/>
        </w:rPr>
        <w:t>The provisions of the 1940 Act classify investments based on the level of control that we maintain in a particular portfolio company. As defined in the 1940 Act, a company is generally presumed to be “non-controlled” when we own 25% or less of the portfolio company’s voting securities and “controlled” when we own more than 25% of the portfolio company’s voting securities.</w:t>
      </w:r>
    </w:p>
    <w:p>
      <w:pPr>
        <w:ind w:left="380" w:hanging="372"/>
        <w:spacing w:after="0" w:line="234" w:lineRule="auto"/>
        <w:tabs>
          <w:tab w:leader="none" w:pos="380" w:val="left"/>
        </w:tabs>
        <w:numPr>
          <w:ilvl w:val="0"/>
          <w:numId w:val="4"/>
        </w:numPr>
        <w:rPr>
          <w:rFonts w:ascii="Arial" w:cs="Arial" w:eastAsia="Arial" w:hAnsi="Arial"/>
          <w:sz w:val="12"/>
          <w:szCs w:val="12"/>
          <w:color w:val="auto"/>
        </w:rPr>
      </w:pPr>
      <w:r>
        <w:rPr>
          <w:rFonts w:ascii="Arial" w:cs="Arial" w:eastAsia="Arial" w:hAnsi="Arial"/>
          <w:sz w:val="12"/>
          <w:szCs w:val="12"/>
          <w:color w:val="auto"/>
        </w:rPr>
        <w:t>The provisions of the 1940 Act classify investments further based on the level of ownership that we maintain in a particular portfolio company. As defined in the 1940 Act, a company is generally deemed as “non-affiliated” when we own less than 5% of a portfolio company’s voting securities and “affiliated” when we own 5% or more of a portfolio company’s voting securities (see Note 6).</w:t>
      </w:r>
    </w:p>
    <w:p>
      <w:pPr>
        <w:ind w:left="380" w:hanging="372"/>
        <w:spacing w:after="0" w:line="234" w:lineRule="auto"/>
        <w:tabs>
          <w:tab w:leader="none" w:pos="380" w:val="left"/>
        </w:tabs>
        <w:numPr>
          <w:ilvl w:val="0"/>
          <w:numId w:val="4"/>
        </w:numPr>
        <w:rPr>
          <w:rFonts w:ascii="Arial" w:cs="Arial" w:eastAsia="Arial" w:hAnsi="Arial"/>
          <w:sz w:val="12"/>
          <w:szCs w:val="12"/>
          <w:color w:val="auto"/>
        </w:rPr>
      </w:pPr>
      <w:r>
        <w:rPr>
          <w:rFonts w:ascii="Arial" w:cs="Arial" w:eastAsia="Arial" w:hAnsi="Arial"/>
          <w:sz w:val="12"/>
          <w:szCs w:val="12"/>
          <w:color w:val="auto"/>
        </w:rPr>
        <w:t>Valued based on our accounting policy (See Note 2).</w:t>
      </w:r>
    </w:p>
    <w:p>
      <w:pPr>
        <w:ind w:left="380" w:right="160" w:hanging="372"/>
        <w:spacing w:after="0" w:line="234" w:lineRule="auto"/>
        <w:tabs>
          <w:tab w:leader="none" w:pos="380" w:val="left"/>
        </w:tabs>
        <w:numPr>
          <w:ilvl w:val="0"/>
          <w:numId w:val="4"/>
        </w:numPr>
        <w:rPr>
          <w:rFonts w:ascii="Arial" w:cs="Arial" w:eastAsia="Arial" w:hAnsi="Arial"/>
          <w:sz w:val="12"/>
          <w:szCs w:val="12"/>
          <w:color w:val="auto"/>
        </w:rPr>
      </w:pPr>
      <w:r>
        <w:rPr>
          <w:rFonts w:ascii="Arial" w:cs="Arial" w:eastAsia="Arial" w:hAnsi="Arial"/>
          <w:sz w:val="12"/>
          <w:szCs w:val="12"/>
          <w:color w:val="auto"/>
        </w:rPr>
        <w:t>Represents floating rate instruments that accrue interest at a predetermined spread relative to an index, typically the applicable LIBOR or “L,” or Prime rate, or “P.” All securities are subject to a LIBOR or Prime rate floor where a spread is provided, unless noted. The spread provided includes PIK, interest and other fee rates, if any.</w:t>
      </w:r>
    </w:p>
    <w:p>
      <w:pPr>
        <w:ind w:left="380" w:hanging="372"/>
        <w:spacing w:after="0"/>
        <w:tabs>
          <w:tab w:leader="none" w:pos="380" w:val="left"/>
        </w:tabs>
        <w:numPr>
          <w:ilvl w:val="0"/>
          <w:numId w:val="4"/>
        </w:numPr>
        <w:rPr>
          <w:rFonts w:ascii="Arial" w:cs="Arial" w:eastAsia="Arial" w:hAnsi="Arial"/>
          <w:sz w:val="11"/>
          <w:szCs w:val="11"/>
          <w:color w:val="auto"/>
        </w:rPr>
      </w:pPr>
      <w:r>
        <w:rPr>
          <w:rFonts w:ascii="Arial" w:cs="Arial" w:eastAsia="Arial" w:hAnsi="Arial"/>
          <w:sz w:val="11"/>
          <w:szCs w:val="11"/>
          <w:color w:val="auto"/>
        </w:rPr>
        <w:t>Security is exempt from registration under Rule 144A promulgated under the Securities Act. The security may be resold in transactions that are exempt from registration, normally to qualified institutional buyers.</w:t>
      </w:r>
    </w:p>
    <w:p>
      <w:pPr>
        <w:spacing w:after="0" w:line="8" w:lineRule="exact"/>
        <w:rPr>
          <w:rFonts w:ascii="Arial" w:cs="Arial" w:eastAsia="Arial" w:hAnsi="Arial"/>
          <w:sz w:val="11"/>
          <w:szCs w:val="11"/>
          <w:color w:val="auto"/>
        </w:rPr>
      </w:pPr>
    </w:p>
    <w:p>
      <w:pPr>
        <w:ind w:left="380" w:hanging="372"/>
        <w:spacing w:after="0" w:line="234" w:lineRule="auto"/>
        <w:tabs>
          <w:tab w:leader="none" w:pos="380" w:val="left"/>
        </w:tabs>
        <w:numPr>
          <w:ilvl w:val="0"/>
          <w:numId w:val="4"/>
        </w:numPr>
        <w:rPr>
          <w:rFonts w:ascii="Arial" w:cs="Arial" w:eastAsia="Arial" w:hAnsi="Arial"/>
          <w:sz w:val="12"/>
          <w:szCs w:val="12"/>
          <w:color w:val="auto"/>
        </w:rPr>
      </w:pPr>
      <w:r>
        <w:rPr>
          <w:rFonts w:ascii="Arial" w:cs="Arial" w:eastAsia="Arial" w:hAnsi="Arial"/>
          <w:sz w:val="12"/>
          <w:szCs w:val="12"/>
          <w:color w:val="auto"/>
        </w:rPr>
        <w:t>Non-income producing securities.</w:t>
      </w:r>
    </w:p>
    <w:p>
      <w:pPr>
        <w:ind w:left="380" w:hanging="372"/>
        <w:spacing w:after="0" w:line="234" w:lineRule="auto"/>
        <w:tabs>
          <w:tab w:leader="none" w:pos="380" w:val="left"/>
        </w:tabs>
        <w:numPr>
          <w:ilvl w:val="0"/>
          <w:numId w:val="4"/>
        </w:numPr>
        <w:rPr>
          <w:rFonts w:ascii="Arial" w:cs="Arial" w:eastAsia="Arial" w:hAnsi="Arial"/>
          <w:sz w:val="12"/>
          <w:szCs w:val="12"/>
          <w:color w:val="auto"/>
        </w:rPr>
      </w:pPr>
      <w:r>
        <w:rPr>
          <w:rFonts w:ascii="Arial" w:cs="Arial" w:eastAsia="Arial" w:hAnsi="Arial"/>
          <w:sz w:val="12"/>
          <w:szCs w:val="12"/>
          <w:color w:val="auto"/>
        </w:rPr>
        <w:t>Coupon is not subject to a LIBOR or Prime rate floor.</w:t>
      </w:r>
    </w:p>
    <w:p>
      <w:pPr>
        <w:ind w:left="380" w:hanging="372"/>
        <w:spacing w:after="0"/>
        <w:tabs>
          <w:tab w:leader="none" w:pos="380" w:val="left"/>
        </w:tabs>
        <w:numPr>
          <w:ilvl w:val="0"/>
          <w:numId w:val="4"/>
        </w:numPr>
        <w:rPr>
          <w:rFonts w:ascii="Arial" w:cs="Arial" w:eastAsia="Arial" w:hAnsi="Arial"/>
          <w:sz w:val="11"/>
          <w:szCs w:val="11"/>
          <w:color w:val="auto"/>
        </w:rPr>
      </w:pPr>
      <w:r>
        <w:rPr>
          <w:rFonts w:ascii="Arial" w:cs="Arial" w:eastAsia="Arial" w:hAnsi="Arial"/>
          <w:sz w:val="11"/>
          <w:szCs w:val="11"/>
          <w:color w:val="auto"/>
        </w:rPr>
        <w:t>Represents the purchase of a security with delayed settlement or a revolving line of credit that is currently an unfunded investment. This security does not earn a basis point spread above an index while it is unfunded.</w:t>
      </w:r>
    </w:p>
    <w:p>
      <w:pPr>
        <w:spacing w:after="0" w:line="8" w:lineRule="exact"/>
        <w:rPr>
          <w:rFonts w:ascii="Arial" w:cs="Arial" w:eastAsia="Arial" w:hAnsi="Arial"/>
          <w:sz w:val="11"/>
          <w:szCs w:val="11"/>
          <w:color w:val="auto"/>
        </w:rPr>
      </w:pPr>
    </w:p>
    <w:p>
      <w:pPr>
        <w:ind w:left="380" w:hanging="372"/>
        <w:spacing w:after="0" w:line="234" w:lineRule="auto"/>
        <w:tabs>
          <w:tab w:leader="none" w:pos="380" w:val="left"/>
        </w:tabs>
        <w:numPr>
          <w:ilvl w:val="0"/>
          <w:numId w:val="4"/>
        </w:numPr>
        <w:rPr>
          <w:rFonts w:ascii="Arial" w:cs="Arial" w:eastAsia="Arial" w:hAnsi="Arial"/>
          <w:sz w:val="12"/>
          <w:szCs w:val="12"/>
          <w:color w:val="auto"/>
        </w:rPr>
      </w:pPr>
      <w:r>
        <w:rPr>
          <w:rFonts w:ascii="Arial" w:cs="Arial" w:eastAsia="Arial" w:hAnsi="Arial"/>
          <w:sz w:val="12"/>
          <w:szCs w:val="12"/>
          <w:color w:val="auto"/>
        </w:rPr>
        <w:t>Non-U.S. company or principal place of business outside the U.S.</w:t>
      </w:r>
    </w:p>
    <w:p>
      <w:pPr>
        <w:ind w:left="380" w:hanging="372"/>
        <w:spacing w:after="0" w:line="234" w:lineRule="auto"/>
        <w:tabs>
          <w:tab w:leader="none" w:pos="380" w:val="left"/>
        </w:tabs>
        <w:numPr>
          <w:ilvl w:val="0"/>
          <w:numId w:val="4"/>
        </w:numPr>
        <w:rPr>
          <w:rFonts w:ascii="Arial" w:cs="Arial" w:eastAsia="Arial" w:hAnsi="Arial"/>
          <w:sz w:val="12"/>
          <w:szCs w:val="12"/>
          <w:color w:val="auto"/>
        </w:rPr>
      </w:pPr>
      <w:r>
        <w:rPr>
          <w:rFonts w:ascii="Arial" w:cs="Arial" w:eastAsia="Arial" w:hAnsi="Arial"/>
          <w:sz w:val="12"/>
          <w:szCs w:val="12"/>
          <w:color w:val="auto"/>
        </w:rPr>
        <w:t>Investment is held through our consolidated Taxable Subsidiaries (See Note 1).</w:t>
      </w:r>
    </w:p>
    <w:p>
      <w:pPr>
        <w:ind w:left="380" w:hanging="372"/>
        <w:spacing w:after="0" w:line="234" w:lineRule="auto"/>
        <w:tabs>
          <w:tab w:leader="none" w:pos="380" w:val="left"/>
        </w:tabs>
        <w:numPr>
          <w:ilvl w:val="0"/>
          <w:numId w:val="4"/>
        </w:numPr>
        <w:rPr>
          <w:rFonts w:ascii="Arial" w:cs="Arial" w:eastAsia="Arial" w:hAnsi="Arial"/>
          <w:sz w:val="12"/>
          <w:szCs w:val="12"/>
          <w:color w:val="auto"/>
        </w:rPr>
      </w:pPr>
      <w:r>
        <w:rPr>
          <w:rFonts w:ascii="Arial" w:cs="Arial" w:eastAsia="Arial" w:hAnsi="Arial"/>
          <w:sz w:val="12"/>
          <w:szCs w:val="12"/>
          <w:color w:val="auto"/>
        </w:rPr>
        <w:t>Par amount is denominated in British Pounds.</w:t>
      </w:r>
    </w:p>
    <w:p>
      <w:pPr>
        <w:ind w:left="380" w:right="20" w:hanging="372"/>
        <w:spacing w:after="0" w:line="278" w:lineRule="auto"/>
        <w:tabs>
          <w:tab w:leader="none" w:pos="380" w:val="left"/>
        </w:tabs>
        <w:numPr>
          <w:ilvl w:val="0"/>
          <w:numId w:val="4"/>
        </w:numPr>
        <w:rPr>
          <w:rFonts w:ascii="Arial" w:cs="Arial" w:eastAsia="Arial" w:hAnsi="Arial"/>
          <w:sz w:val="11"/>
          <w:szCs w:val="11"/>
          <w:color w:val="auto"/>
        </w:rPr>
      </w:pPr>
      <w:r>
        <w:rPr>
          <w:rFonts w:ascii="Arial" w:cs="Arial" w:eastAsia="Arial" w:hAnsi="Arial"/>
          <w:sz w:val="11"/>
          <w:szCs w:val="11"/>
          <w:color w:val="auto"/>
        </w:rPr>
        <w:t>The investment is treated as a non-qualifying asset under Section 55(a) of the 1940 Act. Under the 1940 Act, we may not acquire any non-qualifying asset unless, at the time the acquisition is made, qualifying assets represent at least 70% of our total assets. As of September 30, 2016, qualifying assets represent 88% of the Company’s total assets and non-qualifying assets represent 12% of the Company’s total assets.</w:t>
      </w: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SEE NOTES TO CONSOLIDATED FINANCIAL STATEMENTS</w:t>
      </w:r>
    </w:p>
    <w:p>
      <w:pPr>
        <w:spacing w:after="0" w:line="136"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72390</wp:posOffset>
            </wp:positionV>
            <wp:extent cx="7149465" cy="171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333" w:right="339" w:bottom="1440" w:gutter="0" w:footer="0" w:header="0"/>
        </w:sectPr>
      </w:pPr>
    </w:p>
    <w:bookmarkStart w:id="13" w:name="page14"/>
    <w:bookmarkEnd w:id="13"/>
    <w:p>
      <w:pPr>
        <w:jc w:val="center"/>
        <w:ind w:right="60"/>
        <w:spacing w:after="0"/>
        <w:rPr>
          <w:sz w:val="20"/>
          <w:szCs w:val="20"/>
          <w:color w:val="auto"/>
        </w:rPr>
      </w:pPr>
      <w:r>
        <w:rPr>
          <w:rFonts w:ascii="Arial" w:cs="Arial" w:eastAsia="Arial" w:hAnsi="Arial"/>
          <w:sz w:val="14"/>
          <w:szCs w:val="14"/>
          <w:b w:val="1"/>
          <w:bCs w:val="1"/>
          <w:color w:val="auto"/>
        </w:rPr>
        <w:t>PENNANTPARK INVESTMENT CORPORATION AND SUBSIDIARIES</w:t>
      </w:r>
    </w:p>
    <w:p>
      <w:pPr>
        <w:jc w:val="center"/>
        <w:ind w:right="60"/>
        <w:spacing w:after="0" w:line="226" w:lineRule="auto"/>
        <w:rPr>
          <w:sz w:val="20"/>
          <w:szCs w:val="20"/>
          <w:color w:val="auto"/>
        </w:rPr>
      </w:pPr>
      <w:r>
        <w:rPr>
          <w:rFonts w:ascii="Arial" w:cs="Arial" w:eastAsia="Arial" w:hAnsi="Arial"/>
          <w:sz w:val="14"/>
          <w:szCs w:val="14"/>
          <w:b w:val="1"/>
          <w:bCs w:val="1"/>
          <w:color w:val="auto"/>
        </w:rPr>
        <w:t>NOTES TO CONSOLIDATED FINANCIAL STATEMENTS</w:t>
      </w:r>
    </w:p>
    <w:p>
      <w:pPr>
        <w:jc w:val="center"/>
        <w:ind w:right="60"/>
        <w:spacing w:after="0" w:line="221" w:lineRule="auto"/>
        <w:rPr>
          <w:sz w:val="20"/>
          <w:szCs w:val="20"/>
          <w:color w:val="auto"/>
        </w:rPr>
      </w:pPr>
      <w:r>
        <w:rPr>
          <w:rFonts w:ascii="Arial" w:cs="Arial" w:eastAsia="Arial" w:hAnsi="Arial"/>
          <w:sz w:val="14"/>
          <w:szCs w:val="14"/>
          <w:b w:val="1"/>
          <w:bCs w:val="1"/>
          <w:color w:val="auto"/>
        </w:rPr>
        <w:t>JUNE 30, 2017</w:t>
      </w:r>
    </w:p>
    <w:p>
      <w:pPr>
        <w:spacing w:after="0" w:line="1" w:lineRule="exact"/>
        <w:rPr>
          <w:sz w:val="20"/>
          <w:szCs w:val="20"/>
          <w:color w:val="auto"/>
        </w:rPr>
      </w:pPr>
    </w:p>
    <w:p>
      <w:pPr>
        <w:jc w:val="center"/>
        <w:ind w:right="60"/>
        <w:spacing w:after="0"/>
        <w:rPr>
          <w:sz w:val="20"/>
          <w:szCs w:val="20"/>
          <w:color w:val="auto"/>
        </w:rPr>
      </w:pPr>
      <w:r>
        <w:rPr>
          <w:rFonts w:ascii="Arial" w:cs="Arial" w:eastAsia="Arial" w:hAnsi="Arial"/>
          <w:sz w:val="14"/>
          <w:szCs w:val="14"/>
          <w:b w:val="1"/>
          <w:bCs w:val="1"/>
          <w:color w:val="auto"/>
        </w:rPr>
        <w:t>(Unaudited)</w:t>
      </w:r>
    </w:p>
    <w:p>
      <w:pPr>
        <w:spacing w:after="0" w:line="120"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1. ORGANIZATION</w:t>
      </w:r>
    </w:p>
    <w:p>
      <w:pPr>
        <w:spacing w:after="0" w:line="140" w:lineRule="exact"/>
        <w:rPr>
          <w:sz w:val="20"/>
          <w:szCs w:val="20"/>
          <w:color w:val="auto"/>
        </w:rPr>
      </w:pPr>
    </w:p>
    <w:p>
      <w:pPr>
        <w:ind w:right="80" w:firstLine="456"/>
        <w:spacing w:after="0" w:line="233" w:lineRule="auto"/>
        <w:rPr>
          <w:sz w:val="20"/>
          <w:szCs w:val="20"/>
          <w:color w:val="auto"/>
        </w:rPr>
      </w:pPr>
      <w:r>
        <w:rPr>
          <w:rFonts w:ascii="Arial" w:cs="Arial" w:eastAsia="Arial" w:hAnsi="Arial"/>
          <w:sz w:val="14"/>
          <w:szCs w:val="14"/>
          <w:color w:val="auto"/>
        </w:rPr>
        <w:t>PennantPark Investment Corporation was organized as a Maryland corporation in January 2007. We are a closed-end, externally managed, non-diversified investment company that has elected to be treated as a BDC under the 1940 Act. PennantPark Investment’s objective is to generate both current income and capital appreciation while seeking to preserve capital through debt and equity investments. We invest primarily in U.S. middle-market companies in the form of senior secured debt, mezzanine debt and, to a lesser extent, equity investments. On April 24, 2007, we closed our initial public offering and our common stock trades on the NASDAQ Global Select Market under the symbol “PNNT.”</w:t>
      </w:r>
    </w:p>
    <w:p>
      <w:pPr>
        <w:spacing w:after="0" w:line="117" w:lineRule="exact"/>
        <w:rPr>
          <w:sz w:val="20"/>
          <w:szCs w:val="20"/>
          <w:color w:val="auto"/>
        </w:rPr>
      </w:pPr>
    </w:p>
    <w:p>
      <w:pPr>
        <w:ind w:firstLine="456"/>
        <w:spacing w:after="0" w:line="255" w:lineRule="auto"/>
        <w:rPr>
          <w:sz w:val="20"/>
          <w:szCs w:val="20"/>
          <w:color w:val="auto"/>
        </w:rPr>
      </w:pPr>
      <w:r>
        <w:rPr>
          <w:rFonts w:ascii="Arial" w:cs="Arial" w:eastAsia="Arial" w:hAnsi="Arial"/>
          <w:sz w:val="13"/>
          <w:szCs w:val="13"/>
          <w:color w:val="auto"/>
        </w:rPr>
        <w:t>We have entered into an investment management agreement, or the Investment Management Agreement, with the Investment Adviser, an external adviser that manages our day-to-day operations. PennantPark Investment, through the Investment Adviser, manages day-to-day operations of and provides investment advisory services to each of our SBIC Funds under separate investment management agreements. We have also entered into an administration agreement, or the Administration Agreement, with the Administrator, which provides the administrative services necessary for us to operate. PennantPark Investment, through the Administrator, also provides similar services to each of our SBIC Funds under a separate administration agreement. See Note 3.</w:t>
      </w:r>
    </w:p>
    <w:p>
      <w:pPr>
        <w:spacing w:after="0" w:line="107" w:lineRule="exact"/>
        <w:rPr>
          <w:sz w:val="20"/>
          <w:szCs w:val="20"/>
          <w:color w:val="auto"/>
        </w:rPr>
      </w:pPr>
    </w:p>
    <w:p>
      <w:pPr>
        <w:ind w:right="220" w:firstLine="456"/>
        <w:spacing w:after="0" w:line="238" w:lineRule="auto"/>
        <w:rPr>
          <w:sz w:val="20"/>
          <w:szCs w:val="20"/>
          <w:color w:val="auto"/>
        </w:rPr>
      </w:pPr>
      <w:r>
        <w:rPr>
          <w:rFonts w:ascii="Arial" w:cs="Arial" w:eastAsia="Arial" w:hAnsi="Arial"/>
          <w:sz w:val="14"/>
          <w:szCs w:val="14"/>
          <w:color w:val="auto"/>
        </w:rPr>
        <w:t>Our wholly owned subsidiaries, SBIC I and SBIC II, were organized as Delaware limited partnerships in 2010 and 2012, respectively. SBIC I and SBIC II received licenses from the SBA to operate as SBICs, under Section 301(c) of the 1958 Act. Our SBIC Funds’ objectives are to generate both current income and capital appreciation through debt and equity investments generally by investing with us in SBA eligible businesses that meet the investment selection criteria used by PennantPark Investment.</w:t>
      </w:r>
    </w:p>
    <w:p>
      <w:pPr>
        <w:spacing w:after="0" w:line="115" w:lineRule="exact"/>
        <w:rPr>
          <w:sz w:val="20"/>
          <w:szCs w:val="20"/>
          <w:color w:val="auto"/>
        </w:rPr>
      </w:pPr>
    </w:p>
    <w:p>
      <w:pPr>
        <w:ind w:right="200" w:firstLine="456"/>
        <w:spacing w:after="0" w:line="290" w:lineRule="auto"/>
        <w:rPr>
          <w:sz w:val="20"/>
          <w:szCs w:val="20"/>
          <w:color w:val="auto"/>
        </w:rPr>
      </w:pPr>
      <w:r>
        <w:rPr>
          <w:rFonts w:ascii="Arial" w:cs="Arial" w:eastAsia="Arial" w:hAnsi="Arial"/>
          <w:sz w:val="13"/>
          <w:szCs w:val="13"/>
          <w:color w:val="auto"/>
        </w:rPr>
        <w:t>We have formed and expect to continue to form certain Taxable Subsidiaries, which are subject to tax as corporations. These Taxable Subsidiaries allow us to hold equity securities of certain portfolio companies treated as pass-through entities for U.S. federal income tax purposes while allowing us to maintain our ability to qualify as a RIC under the Code.</w:t>
      </w:r>
    </w:p>
    <w:p>
      <w:pPr>
        <w:spacing w:after="0" w:line="80"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2. SIGNIFICANT ACCOUNTING POLICIES</w:t>
      </w:r>
    </w:p>
    <w:p>
      <w:pPr>
        <w:spacing w:after="0" w:line="140" w:lineRule="exact"/>
        <w:rPr>
          <w:sz w:val="20"/>
          <w:szCs w:val="20"/>
          <w:color w:val="auto"/>
        </w:rPr>
      </w:pPr>
    </w:p>
    <w:p>
      <w:pPr>
        <w:ind w:right="40" w:firstLine="468"/>
        <w:spacing w:after="0" w:line="247" w:lineRule="auto"/>
        <w:rPr>
          <w:sz w:val="20"/>
          <w:szCs w:val="20"/>
          <w:color w:val="auto"/>
        </w:rPr>
      </w:pPr>
      <w:r>
        <w:rPr>
          <w:rFonts w:ascii="Arial" w:cs="Arial" w:eastAsia="Arial" w:hAnsi="Arial"/>
          <w:sz w:val="13"/>
          <w:szCs w:val="13"/>
          <w:color w:val="auto"/>
        </w:rPr>
        <w:t>The preparation of our Consolidated Financial Statements in conformity with U.S. generally accepted accounting principles, or GAAP, requires management to make estimates and assumptions that affect the reported amount of our assets and liabilities at the date of the Consolidated Financial Statements and the reported amounts of income and expenses during the reported periods. In the opinion of management, all adjustments, which are of a normal recurring nature, considered necessary for the fair presentation of financial statements have been included. Actual results could differ from these estimates due to changes in the economic and regulatory environment, financial markets and any other parameters used in determining such estimates and assumptions. We may reclassify certain prior period amounts to conform to the current period presentation. We have eliminated all intercompany balances and transactions. References to the Financial Accounting Standards Board’s Accounting Standards Codification, as amended, or ASC, serve as a single source of accounting literature. Subsequent events are evaluated and disclosed as appropriate for events occurring through the date the Consolidated Financial Statements are issued.</w:t>
      </w:r>
    </w:p>
    <w:p>
      <w:pPr>
        <w:spacing w:after="0" w:line="111" w:lineRule="exact"/>
        <w:rPr>
          <w:sz w:val="20"/>
          <w:szCs w:val="20"/>
          <w:color w:val="auto"/>
        </w:rPr>
      </w:pPr>
    </w:p>
    <w:p>
      <w:pPr>
        <w:ind w:right="60" w:firstLine="456"/>
        <w:spacing w:after="0" w:line="238" w:lineRule="auto"/>
        <w:rPr>
          <w:sz w:val="20"/>
          <w:szCs w:val="20"/>
          <w:color w:val="auto"/>
        </w:rPr>
      </w:pPr>
      <w:r>
        <w:rPr>
          <w:rFonts w:ascii="Arial" w:cs="Arial" w:eastAsia="Arial" w:hAnsi="Arial"/>
          <w:sz w:val="14"/>
          <w:szCs w:val="14"/>
          <w:color w:val="auto"/>
        </w:rPr>
        <w:t>Our Consolidated Financial Statements are prepared in accordance with GAAP, consistent with ASC 946, Financial Services – Investment Companies, and pursuant to the requirements for reporting on Form 10-K/Q and Article 6 or 10 of Regulation S-X, as appropriate. In accordance with Article 6-09 of Regulation S-X, we have provided a Consolidated Statement of Changes in Net Assets in lieu of a Consolidated Statement of Changes in Stockholders’ Equity.</w:t>
      </w:r>
    </w:p>
    <w:p>
      <w:pPr>
        <w:spacing w:after="0" w:line="115" w:lineRule="exact"/>
        <w:rPr>
          <w:sz w:val="20"/>
          <w:szCs w:val="20"/>
          <w:color w:val="auto"/>
        </w:rPr>
      </w:pPr>
    </w:p>
    <w:p>
      <w:pPr>
        <w:ind w:left="260"/>
        <w:spacing w:after="0"/>
        <w:rPr>
          <w:sz w:val="20"/>
          <w:szCs w:val="20"/>
          <w:color w:val="auto"/>
        </w:rPr>
      </w:pPr>
      <w:r>
        <w:rPr>
          <w:rFonts w:ascii="Arial" w:cs="Arial" w:eastAsia="Arial" w:hAnsi="Arial"/>
          <w:sz w:val="14"/>
          <w:szCs w:val="14"/>
          <w:color w:val="auto"/>
        </w:rPr>
        <w:t>Our significant accounting policies consistently applied are as follows:</w:t>
      </w:r>
    </w:p>
    <w:p>
      <w:pPr>
        <w:spacing w:after="0" w:line="136" w:lineRule="exact"/>
        <w:rPr>
          <w:sz w:val="20"/>
          <w:szCs w:val="20"/>
          <w:color w:val="auto"/>
        </w:rPr>
      </w:pPr>
    </w:p>
    <w:p>
      <w:pPr>
        <w:ind w:left="1080" w:hanging="824"/>
        <w:spacing w:after="0"/>
        <w:tabs>
          <w:tab w:leader="none" w:pos="1080" w:val="left"/>
        </w:tabs>
        <w:numPr>
          <w:ilvl w:val="0"/>
          <w:numId w:val="5"/>
        </w:numPr>
        <w:rPr>
          <w:rFonts w:ascii="Arial" w:cs="Arial" w:eastAsia="Arial" w:hAnsi="Arial"/>
          <w:sz w:val="14"/>
          <w:szCs w:val="14"/>
          <w:b w:val="1"/>
          <w:bCs w:val="1"/>
          <w:i w:val="1"/>
          <w:iCs w:val="1"/>
          <w:color w:val="auto"/>
        </w:rPr>
      </w:pPr>
      <w:r>
        <w:rPr>
          <w:rFonts w:ascii="Arial" w:cs="Arial" w:eastAsia="Arial" w:hAnsi="Arial"/>
          <w:sz w:val="14"/>
          <w:szCs w:val="14"/>
          <w:b w:val="1"/>
          <w:bCs w:val="1"/>
          <w:i w:val="1"/>
          <w:iCs w:val="1"/>
          <w:color w:val="auto"/>
        </w:rPr>
        <w:t>Investment Valuations</w:t>
      </w:r>
    </w:p>
    <w:p>
      <w:pPr>
        <w:spacing w:after="0" w:line="136" w:lineRule="exact"/>
        <w:rPr>
          <w:sz w:val="20"/>
          <w:szCs w:val="20"/>
          <w:color w:val="auto"/>
        </w:rPr>
      </w:pPr>
    </w:p>
    <w:p>
      <w:pPr>
        <w:ind w:right="120" w:firstLine="452"/>
        <w:spacing w:after="0" w:line="247" w:lineRule="auto"/>
        <w:rPr>
          <w:sz w:val="20"/>
          <w:szCs w:val="20"/>
          <w:color w:val="auto"/>
        </w:rPr>
      </w:pPr>
      <w:r>
        <w:rPr>
          <w:rFonts w:ascii="Arial" w:cs="Arial" w:eastAsia="Arial" w:hAnsi="Arial"/>
          <w:sz w:val="13"/>
          <w:szCs w:val="13"/>
          <w:color w:val="auto"/>
        </w:rPr>
        <w:t>We expect that there may not be readily available market values for many of our investments, which are or will be in our portfolio, and we value such investments at fair value as determined in good faith by or under the direction of our board of directors using a documented valuation policy and a consistently applied valuation process, as described in this Report. With respect to investments for which there is no readily available market value, the factors that the board of directors may take into account in pricing our investments at fair value include, as relevant, the nature and realizable value of any collateral, the portfolio company’s ability to make payments and its earnings and discounted cash flow, the markets in which the portfolio company does business, comparison to publicly traded securities and other relevant factors. When an external event such as a purchase transaction, public offering or subsequent equity sale occurs, we consider the pricing indicated by the external event to corroborate or revise our valuation. Due to the inherent uncertainty of determining the fair value of investments that do not have a readily available market value, the price used in an actual transaction may be different than our valuation and the difference may be material. See Note 5.</w:t>
      </w:r>
    </w:p>
    <w:p>
      <w:pPr>
        <w:spacing w:after="0" w:line="111" w:lineRule="exact"/>
        <w:rPr>
          <w:sz w:val="20"/>
          <w:szCs w:val="20"/>
          <w:color w:val="auto"/>
        </w:rPr>
      </w:pPr>
    </w:p>
    <w:p>
      <w:pPr>
        <w:ind w:right="400" w:firstLine="444"/>
        <w:spacing w:after="0" w:line="290" w:lineRule="auto"/>
        <w:rPr>
          <w:sz w:val="20"/>
          <w:szCs w:val="20"/>
          <w:color w:val="auto"/>
        </w:rPr>
      </w:pPr>
      <w:r>
        <w:rPr>
          <w:rFonts w:ascii="Arial" w:cs="Arial" w:eastAsia="Arial" w:hAnsi="Arial"/>
          <w:sz w:val="13"/>
          <w:szCs w:val="13"/>
          <w:color w:val="auto"/>
        </w:rPr>
        <w:t>Our portfolio generally consists of illiquid securities, including debt and equity investments. With respect to investments for which market quotations are not readily available, or for which market quotations are deemed not reflective of the fair value, our board of directors undertakes a multi-step valuation process each quarter, as described below:</w:t>
      </w:r>
    </w:p>
    <w:p>
      <w:pPr>
        <w:spacing w:after="0" w:line="84" w:lineRule="exact"/>
        <w:rPr>
          <w:sz w:val="20"/>
          <w:szCs w:val="20"/>
          <w:color w:val="auto"/>
        </w:rPr>
      </w:pPr>
    </w:p>
    <w:p>
      <w:pPr>
        <w:ind w:left="980" w:right="220" w:hanging="432"/>
        <w:spacing w:after="0" w:line="253" w:lineRule="auto"/>
        <w:tabs>
          <w:tab w:leader="none" w:pos="980" w:val="left"/>
        </w:tabs>
        <w:numPr>
          <w:ilvl w:val="0"/>
          <w:numId w:val="6"/>
        </w:numPr>
        <w:rPr>
          <w:rFonts w:ascii="Arial" w:cs="Arial" w:eastAsia="Arial" w:hAnsi="Arial"/>
          <w:sz w:val="14"/>
          <w:szCs w:val="14"/>
          <w:color w:val="auto"/>
        </w:rPr>
      </w:pPr>
      <w:r>
        <w:rPr>
          <w:rFonts w:ascii="Arial" w:cs="Arial" w:eastAsia="Arial" w:hAnsi="Arial"/>
          <w:sz w:val="14"/>
          <w:szCs w:val="14"/>
          <w:color w:val="auto"/>
        </w:rPr>
        <w:t>Our quarterly valuation process begins with each portfolio company or investment being initially valued by the investment professionals of our Investment Adviser responsible for the portfolio investment;</w:t>
      </w:r>
    </w:p>
    <w:p>
      <w:pPr>
        <w:spacing w:after="0" w:line="106" w:lineRule="exact"/>
        <w:rPr>
          <w:rFonts w:ascii="Arial" w:cs="Arial" w:eastAsia="Arial" w:hAnsi="Arial"/>
          <w:sz w:val="14"/>
          <w:szCs w:val="14"/>
          <w:color w:val="auto"/>
        </w:rPr>
      </w:pPr>
    </w:p>
    <w:p>
      <w:pPr>
        <w:ind w:left="980" w:hanging="432"/>
        <w:spacing w:after="0"/>
        <w:tabs>
          <w:tab w:leader="none" w:pos="980" w:val="left"/>
        </w:tabs>
        <w:numPr>
          <w:ilvl w:val="0"/>
          <w:numId w:val="6"/>
        </w:numPr>
        <w:rPr>
          <w:rFonts w:ascii="Arial" w:cs="Arial" w:eastAsia="Arial" w:hAnsi="Arial"/>
          <w:sz w:val="14"/>
          <w:szCs w:val="14"/>
          <w:color w:val="auto"/>
        </w:rPr>
      </w:pPr>
      <w:r>
        <w:rPr>
          <w:rFonts w:ascii="Arial" w:cs="Arial" w:eastAsia="Arial" w:hAnsi="Arial"/>
          <w:sz w:val="14"/>
          <w:szCs w:val="14"/>
          <w:color w:val="auto"/>
        </w:rPr>
        <w:t>Preliminary valuation conclusions are then documented and discussed with the management of our Investment Adviser;</w:t>
      </w:r>
    </w:p>
    <w:p>
      <w:pPr>
        <w:spacing w:after="0" w:line="136" w:lineRule="exact"/>
        <w:rPr>
          <w:rFonts w:ascii="Arial" w:cs="Arial" w:eastAsia="Arial" w:hAnsi="Arial"/>
          <w:sz w:val="14"/>
          <w:szCs w:val="14"/>
          <w:color w:val="auto"/>
        </w:rPr>
      </w:pPr>
    </w:p>
    <w:p>
      <w:pPr>
        <w:ind w:left="980" w:right="120" w:hanging="432"/>
        <w:spacing w:after="0" w:line="264" w:lineRule="auto"/>
        <w:tabs>
          <w:tab w:leader="none" w:pos="980" w:val="left"/>
        </w:tabs>
        <w:numPr>
          <w:ilvl w:val="0"/>
          <w:numId w:val="6"/>
        </w:numPr>
        <w:rPr>
          <w:rFonts w:ascii="Arial" w:cs="Arial" w:eastAsia="Arial" w:hAnsi="Arial"/>
          <w:sz w:val="13"/>
          <w:szCs w:val="13"/>
          <w:color w:val="auto"/>
        </w:rPr>
      </w:pPr>
      <w:r>
        <w:rPr>
          <w:rFonts w:ascii="Arial" w:cs="Arial" w:eastAsia="Arial" w:hAnsi="Arial"/>
          <w:sz w:val="13"/>
          <w:szCs w:val="13"/>
          <w:color w:val="auto"/>
        </w:rPr>
        <w:t>Our board of directors also engages independent valuation firms to conduct independent appraisals of our investments for which market quotations are not readily available or are readily available but deemed not reflective of the fair value of the investment. The independent valuation firms review management’s preliminary valuations in light of their own independent assessment and also in light of any market quotations obtained from an independent pricing service, broker, dealer or market maker;</w:t>
      </w:r>
    </w:p>
    <w:p>
      <w:pPr>
        <w:spacing w:after="0" w:line="100" w:lineRule="exact"/>
        <w:rPr>
          <w:rFonts w:ascii="Arial" w:cs="Arial" w:eastAsia="Arial" w:hAnsi="Arial"/>
          <w:sz w:val="13"/>
          <w:szCs w:val="13"/>
          <w:color w:val="auto"/>
        </w:rPr>
      </w:pPr>
    </w:p>
    <w:p>
      <w:pPr>
        <w:ind w:left="980" w:right="260" w:hanging="432"/>
        <w:spacing w:after="0" w:line="238" w:lineRule="auto"/>
        <w:tabs>
          <w:tab w:leader="none" w:pos="980" w:val="left"/>
        </w:tabs>
        <w:numPr>
          <w:ilvl w:val="0"/>
          <w:numId w:val="6"/>
        </w:numPr>
        <w:rPr>
          <w:rFonts w:ascii="Arial" w:cs="Arial" w:eastAsia="Arial" w:hAnsi="Arial"/>
          <w:sz w:val="14"/>
          <w:szCs w:val="14"/>
          <w:color w:val="auto"/>
        </w:rPr>
      </w:pPr>
      <w:r>
        <w:rPr>
          <w:rFonts w:ascii="Arial" w:cs="Arial" w:eastAsia="Arial" w:hAnsi="Arial"/>
          <w:sz w:val="14"/>
          <w:szCs w:val="14"/>
          <w:color w:val="auto"/>
        </w:rPr>
        <w:t>The audit committee of our board of directors reviews the preliminary valuations of our Investment Adviser and those of the independent valuation firms on a quarterly basis, periodically assesses the valuation methodologies of the independent valuation firms, and responds to and supplements the valuation recommendations of the independent valuation firms to reflect any comments; and</w:t>
      </w:r>
    </w:p>
    <w:p>
      <w:pPr>
        <w:spacing w:after="0" w:line="115" w:lineRule="exact"/>
        <w:rPr>
          <w:rFonts w:ascii="Arial" w:cs="Arial" w:eastAsia="Arial" w:hAnsi="Arial"/>
          <w:sz w:val="14"/>
          <w:szCs w:val="14"/>
          <w:color w:val="auto"/>
        </w:rPr>
      </w:pPr>
    </w:p>
    <w:p>
      <w:pPr>
        <w:ind w:left="980" w:right="240" w:hanging="432"/>
        <w:spacing w:after="0" w:line="253" w:lineRule="auto"/>
        <w:tabs>
          <w:tab w:leader="none" w:pos="980" w:val="left"/>
        </w:tabs>
        <w:numPr>
          <w:ilvl w:val="0"/>
          <w:numId w:val="6"/>
        </w:numPr>
        <w:rPr>
          <w:rFonts w:ascii="Arial" w:cs="Arial" w:eastAsia="Arial" w:hAnsi="Arial"/>
          <w:sz w:val="14"/>
          <w:szCs w:val="14"/>
          <w:color w:val="auto"/>
        </w:rPr>
      </w:pPr>
      <w:r>
        <w:rPr>
          <w:rFonts w:ascii="Arial" w:cs="Arial" w:eastAsia="Arial" w:hAnsi="Arial"/>
          <w:sz w:val="14"/>
          <w:szCs w:val="14"/>
          <w:color w:val="auto"/>
        </w:rPr>
        <w:t>Our board of directors discusses these valuations and determines the fair value of each investment in our portfolio in good faith, based on the input of our Investment Adviser, the respective independent valuation firms and the audit committee.</w:t>
      </w:r>
    </w:p>
    <w:p>
      <w:pPr>
        <w:spacing w:after="0" w:line="106" w:lineRule="exact"/>
        <w:rPr>
          <w:sz w:val="20"/>
          <w:szCs w:val="20"/>
          <w:color w:val="auto"/>
        </w:rPr>
      </w:pPr>
    </w:p>
    <w:p>
      <w:pPr>
        <w:ind w:right="680" w:firstLine="452"/>
        <w:spacing w:after="0" w:line="290" w:lineRule="auto"/>
        <w:rPr>
          <w:sz w:val="20"/>
          <w:szCs w:val="20"/>
          <w:color w:val="auto"/>
        </w:rPr>
      </w:pPr>
      <w:r>
        <w:rPr>
          <w:rFonts w:ascii="Arial" w:cs="Arial" w:eastAsia="Arial" w:hAnsi="Arial"/>
          <w:sz w:val="13"/>
          <w:szCs w:val="13"/>
          <w:color w:val="auto"/>
        </w:rPr>
        <w:t>Our board of directors generally uses market quotations to assess the value of our investments for which market quotations are readily available. We obtain these market values from independent pricing services or at the bid prices obtained from at least two brokers or dealers, if available, or otherwise by a principal market maker or a primary</w:t>
      </w:r>
    </w:p>
    <w:p>
      <w:pPr>
        <w:spacing w:after="0" w:line="300"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72390</wp:posOffset>
            </wp:positionV>
            <wp:extent cx="7149465" cy="171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346" w:right="339" w:bottom="1440" w:gutter="0" w:footer="0" w:header="0"/>
        </w:sectPr>
      </w:pPr>
    </w:p>
    <w:bookmarkStart w:id="14" w:name="page15"/>
    <w:bookmarkEnd w:id="14"/>
    <w:p>
      <w:pPr>
        <w:ind w:left="3220"/>
        <w:spacing w:after="0"/>
        <w:rPr>
          <w:sz w:val="20"/>
          <w:szCs w:val="20"/>
          <w:color w:val="auto"/>
        </w:rPr>
      </w:pPr>
      <w:r>
        <w:rPr>
          <w:rFonts w:ascii="Arial" w:cs="Arial" w:eastAsia="Arial" w:hAnsi="Arial"/>
          <w:sz w:val="14"/>
          <w:szCs w:val="14"/>
          <w:b w:val="1"/>
          <w:bCs w:val="1"/>
          <w:color w:val="auto"/>
        </w:rPr>
        <w:t>PENNANTPARK INVESTMENT CORPORATION AND SUBSIDIARIES</w:t>
      </w:r>
    </w:p>
    <w:p>
      <w:pPr>
        <w:ind w:left="3200"/>
        <w:spacing w:after="0" w:line="225" w:lineRule="auto"/>
        <w:rPr>
          <w:sz w:val="20"/>
          <w:szCs w:val="20"/>
          <w:color w:val="auto"/>
        </w:rPr>
      </w:pPr>
      <w:r>
        <w:rPr>
          <w:rFonts w:ascii="Arial" w:cs="Arial" w:eastAsia="Arial" w:hAnsi="Arial"/>
          <w:sz w:val="14"/>
          <w:szCs w:val="14"/>
          <w:b w:val="1"/>
          <w:bCs w:val="1"/>
          <w:color w:val="auto"/>
        </w:rPr>
        <w:t>NOTES TO CONSOLIDATED FINANCIAL STATEMENTS—(Continued)</w:t>
      </w:r>
    </w:p>
    <w:p>
      <w:pPr>
        <w:jc w:val="center"/>
        <w:ind w:right="-59"/>
        <w:spacing w:after="0" w:line="221" w:lineRule="auto"/>
        <w:rPr>
          <w:sz w:val="20"/>
          <w:szCs w:val="20"/>
          <w:color w:val="auto"/>
        </w:rPr>
      </w:pPr>
      <w:r>
        <w:rPr>
          <w:rFonts w:ascii="Arial" w:cs="Arial" w:eastAsia="Arial" w:hAnsi="Arial"/>
          <w:sz w:val="14"/>
          <w:szCs w:val="14"/>
          <w:b w:val="1"/>
          <w:bCs w:val="1"/>
          <w:color w:val="auto"/>
        </w:rPr>
        <w:t>JUNE 30, 2017</w:t>
      </w:r>
    </w:p>
    <w:p>
      <w:pPr>
        <w:spacing w:after="0" w:line="1" w:lineRule="exact"/>
        <w:rPr>
          <w:sz w:val="20"/>
          <w:szCs w:val="20"/>
          <w:color w:val="auto"/>
        </w:rPr>
      </w:pPr>
    </w:p>
    <w:p>
      <w:pPr>
        <w:jc w:val="center"/>
        <w:ind w:right="-59"/>
        <w:spacing w:after="0"/>
        <w:rPr>
          <w:sz w:val="20"/>
          <w:szCs w:val="20"/>
          <w:color w:val="auto"/>
        </w:rPr>
      </w:pPr>
      <w:r>
        <w:rPr>
          <w:rFonts w:ascii="Arial" w:cs="Arial" w:eastAsia="Arial" w:hAnsi="Arial"/>
          <w:sz w:val="14"/>
          <w:szCs w:val="14"/>
          <w:b w:val="1"/>
          <w:bCs w:val="1"/>
          <w:color w:val="auto"/>
        </w:rPr>
        <w:t>(Unaudited)</w:t>
      </w:r>
    </w:p>
    <w:p>
      <w:pPr>
        <w:spacing w:after="0" w:line="192" w:lineRule="exact"/>
        <w:rPr>
          <w:sz w:val="20"/>
          <w:szCs w:val="20"/>
          <w:color w:val="auto"/>
        </w:rPr>
      </w:pPr>
    </w:p>
    <w:p>
      <w:pPr>
        <w:ind w:right="220"/>
        <w:spacing w:after="0" w:line="238" w:lineRule="auto"/>
        <w:rPr>
          <w:sz w:val="20"/>
          <w:szCs w:val="20"/>
          <w:color w:val="auto"/>
        </w:rPr>
      </w:pPr>
      <w:r>
        <w:rPr>
          <w:rFonts w:ascii="Arial" w:cs="Arial" w:eastAsia="Arial" w:hAnsi="Arial"/>
          <w:sz w:val="14"/>
          <w:szCs w:val="14"/>
          <w:color w:val="auto"/>
        </w:rPr>
        <w:t>market dealer. The Investment Adviser assesses the source and reliability of bids from brokers or dealers. If our board of directors has a bona fide reason to believe any such market quote does not reflect the fair value of an investment, it may independently value such investments by using the valuation procedure that it uses with respect to assets for which market quotations are not readily available.</w:t>
      </w:r>
    </w:p>
    <w:p>
      <w:pPr>
        <w:spacing w:after="0" w:line="115" w:lineRule="exact"/>
        <w:rPr>
          <w:sz w:val="20"/>
          <w:szCs w:val="20"/>
          <w:color w:val="auto"/>
        </w:rPr>
      </w:pPr>
    </w:p>
    <w:p>
      <w:pPr>
        <w:ind w:left="1080" w:hanging="824"/>
        <w:spacing w:after="0"/>
        <w:tabs>
          <w:tab w:leader="none" w:pos="1080" w:val="left"/>
        </w:tabs>
        <w:numPr>
          <w:ilvl w:val="0"/>
          <w:numId w:val="7"/>
        </w:numPr>
        <w:rPr>
          <w:rFonts w:ascii="Arial" w:cs="Arial" w:eastAsia="Arial" w:hAnsi="Arial"/>
          <w:sz w:val="14"/>
          <w:szCs w:val="14"/>
          <w:b w:val="1"/>
          <w:bCs w:val="1"/>
          <w:i w:val="1"/>
          <w:iCs w:val="1"/>
          <w:color w:val="auto"/>
        </w:rPr>
      </w:pPr>
      <w:r>
        <w:rPr>
          <w:rFonts w:ascii="Arial" w:cs="Arial" w:eastAsia="Arial" w:hAnsi="Arial"/>
          <w:sz w:val="14"/>
          <w:szCs w:val="14"/>
          <w:b w:val="1"/>
          <w:bCs w:val="1"/>
          <w:i w:val="1"/>
          <w:iCs w:val="1"/>
          <w:color w:val="auto"/>
        </w:rPr>
        <w:t>Security Transactions, Revenue Recognition, and Realized/Unrealized Gains or Losses</w:t>
      </w:r>
    </w:p>
    <w:p>
      <w:pPr>
        <w:spacing w:after="0" w:line="136" w:lineRule="exact"/>
        <w:rPr>
          <w:sz w:val="20"/>
          <w:szCs w:val="20"/>
          <w:color w:val="auto"/>
        </w:rPr>
      </w:pPr>
    </w:p>
    <w:p>
      <w:pPr>
        <w:ind w:right="40" w:firstLine="452"/>
        <w:spacing w:after="0" w:line="233" w:lineRule="auto"/>
        <w:rPr>
          <w:sz w:val="20"/>
          <w:szCs w:val="20"/>
          <w:color w:val="auto"/>
        </w:rPr>
      </w:pPr>
      <w:r>
        <w:rPr>
          <w:rFonts w:ascii="Arial" w:cs="Arial" w:eastAsia="Arial" w:hAnsi="Arial"/>
          <w:sz w:val="14"/>
          <w:szCs w:val="14"/>
          <w:color w:val="auto"/>
        </w:rPr>
        <w:t>Security transactions are recorded on a trade-date basis. We measure realized gains or losses by the difference between the net proceeds from the repayment or sale and the amortized cost basis of the investment, using the specific identification method, without regard to unrealized appreciation or depreciation previously recognized, but considering prepayment penalties. Net change in unrealized appreciation or depreciation reflects the change in the fair values of our portfolio investments, our Credit Facility and our Notes during the reporting period, including any reversal of previously recorded unrealized appreciation or depreciation, when gains or losses are realized.</w:t>
      </w:r>
    </w:p>
    <w:p>
      <w:pPr>
        <w:spacing w:after="0" w:line="117" w:lineRule="exact"/>
        <w:rPr>
          <w:sz w:val="20"/>
          <w:szCs w:val="20"/>
          <w:color w:val="auto"/>
        </w:rPr>
      </w:pPr>
    </w:p>
    <w:p>
      <w:pPr>
        <w:ind w:firstLine="452"/>
        <w:spacing w:after="0" w:line="247" w:lineRule="auto"/>
        <w:rPr>
          <w:sz w:val="20"/>
          <w:szCs w:val="20"/>
          <w:color w:val="auto"/>
        </w:rPr>
      </w:pPr>
      <w:r>
        <w:rPr>
          <w:rFonts w:ascii="Arial" w:cs="Arial" w:eastAsia="Arial" w:hAnsi="Arial"/>
          <w:sz w:val="13"/>
          <w:szCs w:val="13"/>
          <w:color w:val="auto"/>
        </w:rPr>
        <w:t>We record interest income on an accrual basis to the extent that we expect to collect such amounts. For loans and debt investments with contractual PIK interest, which represents interest accrued and added to the loan balance that generally becomes due at maturity, we will generally not accrue PIK interest when the portfolio company valuation indicates that such PIK interest is not collectible. We do not accrue as a receivable interest on loans and debt investments if we have reason to doubt our ability to collect such interest. Loan origination fees, original issue discount, or OID, market discount or premium and deferred financing costs on liabilities, which we do not fair value, are capitalized and then accreted or amortized using the effective interest method as interest income or, in the case of deferred financing costs, as interest expense. Dividend income, if any, is recognized on an accrual basis on the ex-dividend date to the extent that we expect to collect such amounts. From time to time, the Company receives certain fees from portfolio companies, which are non-recurring in nature. Such fees include loan prepayment penalties, structuring fees and amendment fees, and are recorded as other investment income when earned.</w:t>
      </w:r>
    </w:p>
    <w:p>
      <w:pPr>
        <w:spacing w:after="0" w:line="111" w:lineRule="exact"/>
        <w:rPr>
          <w:sz w:val="20"/>
          <w:szCs w:val="20"/>
          <w:color w:val="auto"/>
        </w:rPr>
      </w:pPr>
    </w:p>
    <w:p>
      <w:pPr>
        <w:ind w:right="320" w:firstLine="454"/>
        <w:spacing w:after="0" w:line="296" w:lineRule="auto"/>
        <w:rPr>
          <w:sz w:val="20"/>
          <w:szCs w:val="20"/>
          <w:color w:val="auto"/>
        </w:rPr>
      </w:pPr>
      <w:r>
        <w:rPr>
          <w:rFonts w:ascii="Arial" w:cs="Arial" w:eastAsia="Arial" w:hAnsi="Arial"/>
          <w:sz w:val="12"/>
          <w:szCs w:val="12"/>
          <w:color w:val="auto"/>
        </w:rPr>
        <w:t>Loans are placed on non-accrual status when principal or interest payments are past due 30 days or more and/or there is reasonable doubt that principal or interest will be collected. Accrued interest is generally reversed when a loan is placed on non-accrual status. Interest payments received on non-accrual loans may be recognized as income or applied to principal depending upon management’s judgment. Non-accrual loans are restored to accrual status when past due principal and interest is paid and, in management’s judgment, are likely to remain current.</w:t>
      </w:r>
    </w:p>
    <w:p>
      <w:pPr>
        <w:spacing w:after="0" w:line="83" w:lineRule="exact"/>
        <w:rPr>
          <w:sz w:val="20"/>
          <w:szCs w:val="20"/>
          <w:color w:val="auto"/>
        </w:rPr>
      </w:pPr>
    </w:p>
    <w:p>
      <w:pPr>
        <w:ind w:left="1060" w:hanging="804"/>
        <w:spacing w:after="0"/>
        <w:tabs>
          <w:tab w:leader="none" w:pos="1060" w:val="left"/>
        </w:tabs>
        <w:numPr>
          <w:ilvl w:val="0"/>
          <w:numId w:val="8"/>
        </w:numPr>
        <w:rPr>
          <w:rFonts w:ascii="Arial" w:cs="Arial" w:eastAsia="Arial" w:hAnsi="Arial"/>
          <w:sz w:val="14"/>
          <w:szCs w:val="14"/>
          <w:b w:val="1"/>
          <w:bCs w:val="1"/>
          <w:i w:val="1"/>
          <w:iCs w:val="1"/>
          <w:color w:val="auto"/>
        </w:rPr>
      </w:pPr>
      <w:r>
        <w:rPr>
          <w:rFonts w:ascii="Arial" w:cs="Arial" w:eastAsia="Arial" w:hAnsi="Arial"/>
          <w:sz w:val="14"/>
          <w:szCs w:val="14"/>
          <w:b w:val="1"/>
          <w:bCs w:val="1"/>
          <w:i w:val="1"/>
          <w:iCs w:val="1"/>
          <w:color w:val="auto"/>
        </w:rPr>
        <w:t>Income Taxes</w:t>
      </w:r>
    </w:p>
    <w:p>
      <w:pPr>
        <w:spacing w:after="0" w:line="136" w:lineRule="exact"/>
        <w:rPr>
          <w:sz w:val="20"/>
          <w:szCs w:val="20"/>
          <w:color w:val="auto"/>
        </w:rPr>
      </w:pPr>
    </w:p>
    <w:p>
      <w:pPr>
        <w:ind w:right="20" w:firstLine="452"/>
        <w:spacing w:after="0" w:line="244" w:lineRule="auto"/>
        <w:rPr>
          <w:sz w:val="20"/>
          <w:szCs w:val="20"/>
          <w:color w:val="auto"/>
        </w:rPr>
      </w:pPr>
      <w:r>
        <w:rPr>
          <w:rFonts w:ascii="Arial" w:cs="Arial" w:eastAsia="Arial" w:hAnsi="Arial"/>
          <w:sz w:val="13"/>
          <w:szCs w:val="13"/>
          <w:color w:val="auto"/>
        </w:rPr>
        <w:t>We have complied with the requirements of Subchapter M of the Code and have qualified to be treated as a RIC for federal income tax purposes. As a result, we account for income taxes using the asset and liability method prescribed by ASC 740, Income Taxes. Under this method, income taxes are provided for amounts currently payable and for amounts deferred as tax assets and liabilities based on differences between the financial statement carrying amounts and the tax basis of existing assets and liabilities. Based upon our qualification and election to be treated as a RIC, we do not anticipate incurring any material level of federal income taxes. Although we generally do not incur federal income taxes as a RIC for federal income tax purposes, we may elect to retain a portion of our calendar year income, which may result in the imposition of an excise tax. Additionally, certain of the Company’s consolidated subsidiaries are subject to U.S. federal and state income taxes. For the three and nine months ended June 30, 2017, we recorded a provision for taxes of $0.4 million ($0.1 million of excise tax and $0.3 million of U.S. federal and state income taxes related to Taxable Subsidiaries) and $1.3 million ($0.4 million of excise tax and $0.9 million of U.S. federal and state income taxes related to Taxable Subsidiaries), respectively. For the three and nine months ended June 30, 2016, we recorded a provision for taxes of $0.4 million (zero of excise tax and $0.4 million of U.S. federal and state income taxes related to Taxable Subsidiaries) and $2.0 million ($0.9 million of excise tax and $1.1 million of U.S. federal and state income taxes related to Taxable Subsidiaries), respectively.</w:t>
      </w:r>
    </w:p>
    <w:p>
      <w:pPr>
        <w:spacing w:after="0" w:line="117" w:lineRule="exact"/>
        <w:rPr>
          <w:sz w:val="20"/>
          <w:szCs w:val="20"/>
          <w:color w:val="auto"/>
        </w:rPr>
      </w:pPr>
    </w:p>
    <w:p>
      <w:pPr>
        <w:ind w:right="140" w:firstLine="452"/>
        <w:spacing w:after="0" w:line="264" w:lineRule="auto"/>
        <w:rPr>
          <w:sz w:val="20"/>
          <w:szCs w:val="20"/>
          <w:color w:val="auto"/>
        </w:rPr>
      </w:pPr>
      <w:r>
        <w:rPr>
          <w:rFonts w:ascii="Arial" w:cs="Arial" w:eastAsia="Arial" w:hAnsi="Arial"/>
          <w:sz w:val="13"/>
          <w:szCs w:val="13"/>
          <w:color w:val="auto"/>
        </w:rPr>
        <w:t>We recognize the effect of a tax position in our Consolidated Financial Statements when it is more likely than not, based on the technical merits, that the position will be sustained upon examination by the applicable tax authority. Tax positions not considered to satisfy the “more-likely-than-not” threshold would be recorded as a tax expense or benefit. We did not have any material uncertain tax positions or any unrecognized tax benefits that met the recognition or measurement criteria of ASC 740-10-25 as of the periods presented herein.</w:t>
      </w:r>
    </w:p>
    <w:p>
      <w:pPr>
        <w:spacing w:after="0" w:line="101" w:lineRule="exact"/>
        <w:rPr>
          <w:sz w:val="20"/>
          <w:szCs w:val="20"/>
          <w:color w:val="auto"/>
        </w:rPr>
      </w:pPr>
    </w:p>
    <w:p>
      <w:pPr>
        <w:ind w:right="340" w:firstLine="452"/>
        <w:spacing w:after="0" w:line="264" w:lineRule="auto"/>
        <w:rPr>
          <w:sz w:val="20"/>
          <w:szCs w:val="20"/>
          <w:color w:val="auto"/>
        </w:rPr>
      </w:pPr>
      <w:r>
        <w:rPr>
          <w:rFonts w:ascii="Arial" w:cs="Arial" w:eastAsia="Arial" w:hAnsi="Arial"/>
          <w:sz w:val="13"/>
          <w:szCs w:val="13"/>
          <w:color w:val="auto"/>
        </w:rPr>
        <w:t>Because federal income tax regulations differ from GAAP, distributions in accordance with tax regulations may differ from net investment income and net realized gain recognized for financial reporting purposes. Differences between tax regulations and GAAP may be permanent or temporary. Permanent differences are reclassified among capital accounts in the Consolidated Financial Statements to reflect their tax character. Temporary differences arise when certain items of income, expense, gain or loss are recognized at some time in the future.</w:t>
      </w:r>
    </w:p>
    <w:p>
      <w:pPr>
        <w:spacing w:after="0" w:line="101" w:lineRule="exact"/>
        <w:rPr>
          <w:sz w:val="20"/>
          <w:szCs w:val="20"/>
          <w:color w:val="auto"/>
        </w:rPr>
      </w:pPr>
    </w:p>
    <w:p>
      <w:pPr>
        <w:ind w:left="1080" w:hanging="824"/>
        <w:spacing w:after="0"/>
        <w:tabs>
          <w:tab w:leader="none" w:pos="1080" w:val="left"/>
        </w:tabs>
        <w:numPr>
          <w:ilvl w:val="0"/>
          <w:numId w:val="9"/>
        </w:numPr>
        <w:rPr>
          <w:rFonts w:ascii="Arial" w:cs="Arial" w:eastAsia="Arial" w:hAnsi="Arial"/>
          <w:sz w:val="14"/>
          <w:szCs w:val="14"/>
          <w:b w:val="1"/>
          <w:bCs w:val="1"/>
          <w:i w:val="1"/>
          <w:iCs w:val="1"/>
          <w:color w:val="auto"/>
        </w:rPr>
      </w:pPr>
      <w:r>
        <w:rPr>
          <w:rFonts w:ascii="Arial" w:cs="Arial" w:eastAsia="Arial" w:hAnsi="Arial"/>
          <w:sz w:val="14"/>
          <w:szCs w:val="14"/>
          <w:b w:val="1"/>
          <w:bCs w:val="1"/>
          <w:i w:val="1"/>
          <w:iCs w:val="1"/>
          <w:color w:val="auto"/>
        </w:rPr>
        <w:t>Distributions and Capital Transactions</w:t>
      </w:r>
    </w:p>
    <w:p>
      <w:pPr>
        <w:spacing w:after="0" w:line="136" w:lineRule="exact"/>
        <w:rPr>
          <w:sz w:val="20"/>
          <w:szCs w:val="20"/>
          <w:color w:val="auto"/>
        </w:rPr>
      </w:pPr>
    </w:p>
    <w:p>
      <w:pPr>
        <w:ind w:right="340" w:firstLine="452"/>
        <w:spacing w:after="0" w:line="238" w:lineRule="auto"/>
        <w:rPr>
          <w:sz w:val="20"/>
          <w:szCs w:val="20"/>
          <w:color w:val="auto"/>
        </w:rPr>
      </w:pPr>
      <w:r>
        <w:rPr>
          <w:rFonts w:ascii="Arial" w:cs="Arial" w:eastAsia="Arial" w:hAnsi="Arial"/>
          <w:sz w:val="14"/>
          <w:szCs w:val="14"/>
          <w:color w:val="auto"/>
        </w:rPr>
        <w:t>Distributions to common stockholders are recorded on the ex-dividend date. The amount to be paid, if any, as a distribution is determined by the board of directors each quarter and is generally based upon the earnings estimated by management. Net realized capital gains, if any, are distributed at least annually. The tax attributes for distributions will generally include ordinary income and capital gains, but may also include qualified dividends and/or return of capital.</w:t>
      </w:r>
    </w:p>
    <w:p>
      <w:pPr>
        <w:spacing w:after="0" w:line="115" w:lineRule="exact"/>
        <w:rPr>
          <w:sz w:val="20"/>
          <w:szCs w:val="20"/>
          <w:color w:val="auto"/>
        </w:rPr>
      </w:pPr>
    </w:p>
    <w:p>
      <w:pPr>
        <w:ind w:right="160" w:firstLine="434"/>
        <w:spacing w:after="0" w:line="253" w:lineRule="auto"/>
        <w:rPr>
          <w:sz w:val="20"/>
          <w:szCs w:val="20"/>
          <w:color w:val="auto"/>
        </w:rPr>
      </w:pPr>
      <w:r>
        <w:rPr>
          <w:rFonts w:ascii="Arial" w:cs="Arial" w:eastAsia="Arial" w:hAnsi="Arial"/>
          <w:sz w:val="14"/>
          <w:szCs w:val="14"/>
          <w:color w:val="auto"/>
        </w:rPr>
        <w:t>Capital transactions, in connection with our dividend reinvestment plan or through offerings of our common stock, are recorded when issued and offering costs are charged as a reduction of capital upon issuance of our common stock.</w:t>
      </w:r>
    </w:p>
    <w:p>
      <w:pPr>
        <w:spacing w:after="0" w:line="106" w:lineRule="exact"/>
        <w:rPr>
          <w:sz w:val="20"/>
          <w:szCs w:val="20"/>
          <w:color w:val="auto"/>
        </w:rPr>
      </w:pPr>
    </w:p>
    <w:p>
      <w:pPr>
        <w:ind w:left="1060" w:hanging="804"/>
        <w:spacing w:after="0"/>
        <w:tabs>
          <w:tab w:leader="none" w:pos="1060" w:val="left"/>
        </w:tabs>
        <w:numPr>
          <w:ilvl w:val="0"/>
          <w:numId w:val="10"/>
        </w:numPr>
        <w:rPr>
          <w:rFonts w:ascii="Arial" w:cs="Arial" w:eastAsia="Arial" w:hAnsi="Arial"/>
          <w:sz w:val="14"/>
          <w:szCs w:val="14"/>
          <w:b w:val="1"/>
          <w:bCs w:val="1"/>
          <w:i w:val="1"/>
          <w:iCs w:val="1"/>
          <w:color w:val="auto"/>
        </w:rPr>
      </w:pPr>
      <w:r>
        <w:rPr>
          <w:rFonts w:ascii="Arial" w:cs="Arial" w:eastAsia="Arial" w:hAnsi="Arial"/>
          <w:sz w:val="14"/>
          <w:szCs w:val="14"/>
          <w:b w:val="1"/>
          <w:bCs w:val="1"/>
          <w:i w:val="1"/>
          <w:iCs w:val="1"/>
          <w:color w:val="auto"/>
        </w:rPr>
        <w:t>Foreign Currency Translation</w:t>
      </w:r>
    </w:p>
    <w:p>
      <w:pPr>
        <w:spacing w:after="0" w:line="136" w:lineRule="exact"/>
        <w:rPr>
          <w:sz w:val="20"/>
          <w:szCs w:val="20"/>
          <w:color w:val="auto"/>
        </w:rPr>
      </w:pPr>
    </w:p>
    <w:p>
      <w:pPr>
        <w:ind w:left="460"/>
        <w:spacing w:after="0"/>
        <w:rPr>
          <w:sz w:val="20"/>
          <w:szCs w:val="20"/>
          <w:color w:val="auto"/>
        </w:rPr>
      </w:pPr>
      <w:r>
        <w:rPr>
          <w:rFonts w:ascii="Arial" w:cs="Arial" w:eastAsia="Arial" w:hAnsi="Arial"/>
          <w:sz w:val="14"/>
          <w:szCs w:val="14"/>
          <w:color w:val="auto"/>
        </w:rPr>
        <w:t>Our books and records are maintained in U.S. dollars. Any foreign currency amounts are translated into U.S. dollars on the following basis:</w:t>
      </w:r>
    </w:p>
    <w:p>
      <w:pPr>
        <w:spacing w:after="0" w:line="136" w:lineRule="exact"/>
        <w:rPr>
          <w:sz w:val="20"/>
          <w:szCs w:val="20"/>
          <w:color w:val="auto"/>
        </w:rPr>
      </w:pPr>
    </w:p>
    <w:p>
      <w:pPr>
        <w:ind w:left="1180" w:hanging="362"/>
        <w:spacing w:after="0"/>
        <w:tabs>
          <w:tab w:leader="none" w:pos="1180" w:val="left"/>
        </w:tabs>
        <w:numPr>
          <w:ilvl w:val="0"/>
          <w:numId w:val="11"/>
        </w:numPr>
        <w:rPr>
          <w:rFonts w:ascii="Arial" w:cs="Arial" w:eastAsia="Arial" w:hAnsi="Arial"/>
          <w:sz w:val="14"/>
          <w:szCs w:val="14"/>
          <w:color w:val="auto"/>
        </w:rPr>
      </w:pPr>
      <w:r>
        <w:rPr>
          <w:rFonts w:ascii="Arial" w:cs="Arial" w:eastAsia="Arial" w:hAnsi="Arial"/>
          <w:sz w:val="14"/>
          <w:szCs w:val="14"/>
          <w:color w:val="auto"/>
        </w:rPr>
        <w:t>Fair value of investment securities, other assets and liabilities – at the exchange rates prevailing at the end of the applicable period; and</w:t>
      </w:r>
    </w:p>
    <w:p>
      <w:pPr>
        <w:spacing w:after="0" w:line="136" w:lineRule="exact"/>
        <w:rPr>
          <w:rFonts w:ascii="Arial" w:cs="Arial" w:eastAsia="Arial" w:hAnsi="Arial"/>
          <w:sz w:val="14"/>
          <w:szCs w:val="14"/>
          <w:color w:val="auto"/>
        </w:rPr>
      </w:pPr>
    </w:p>
    <w:p>
      <w:pPr>
        <w:ind w:left="1180" w:hanging="362"/>
        <w:spacing w:after="0"/>
        <w:tabs>
          <w:tab w:leader="none" w:pos="1180" w:val="left"/>
        </w:tabs>
        <w:numPr>
          <w:ilvl w:val="0"/>
          <w:numId w:val="11"/>
        </w:numPr>
        <w:rPr>
          <w:rFonts w:ascii="Arial" w:cs="Arial" w:eastAsia="Arial" w:hAnsi="Arial"/>
          <w:sz w:val="14"/>
          <w:szCs w:val="14"/>
          <w:color w:val="auto"/>
        </w:rPr>
      </w:pPr>
      <w:r>
        <w:rPr>
          <w:rFonts w:ascii="Arial" w:cs="Arial" w:eastAsia="Arial" w:hAnsi="Arial"/>
          <w:sz w:val="14"/>
          <w:szCs w:val="14"/>
          <w:color w:val="auto"/>
        </w:rPr>
        <w:t>Purchases and sales of investment securities, income and expenses – at the exchange rates prevailing on the respective dates of such transactions.</w:t>
      </w:r>
    </w:p>
    <w:p>
      <w:pPr>
        <w:spacing w:after="0" w:line="136" w:lineRule="exact"/>
        <w:rPr>
          <w:sz w:val="20"/>
          <w:szCs w:val="20"/>
          <w:color w:val="auto"/>
        </w:rPr>
      </w:pPr>
    </w:p>
    <w:p>
      <w:pPr>
        <w:jc w:val="both"/>
        <w:ind w:right="140" w:firstLine="452"/>
        <w:spacing w:after="0" w:line="238" w:lineRule="auto"/>
        <w:rPr>
          <w:sz w:val="20"/>
          <w:szCs w:val="20"/>
          <w:color w:val="auto"/>
        </w:rPr>
      </w:pPr>
      <w:r>
        <w:rPr>
          <w:rFonts w:ascii="Arial" w:cs="Arial" w:eastAsia="Arial" w:hAnsi="Arial"/>
          <w:sz w:val="14"/>
          <w:szCs w:val="14"/>
          <w:color w:val="auto"/>
        </w:rPr>
        <w:t>Although net assets and fair values are presented based on the applicable foreign exchange rates described above, we do not isolate that portion of the results of operations due to changes in foreign exchange rates on investments, other assets and debt from the fluctuations arising from changes in fair values of investments and liabilities held. Such fluctuations are included with the net realized and unrealized gain or loss from investments and liabilities.</w:t>
      </w:r>
    </w:p>
    <w:p>
      <w:pPr>
        <w:spacing w:after="0" w:line="115" w:lineRule="exact"/>
        <w:rPr>
          <w:sz w:val="20"/>
          <w:szCs w:val="20"/>
          <w:color w:val="auto"/>
        </w:rPr>
      </w:pPr>
    </w:p>
    <w:p>
      <w:pPr>
        <w:ind w:right="80" w:firstLine="452"/>
        <w:spacing w:after="0" w:line="238" w:lineRule="auto"/>
        <w:rPr>
          <w:sz w:val="20"/>
          <w:szCs w:val="20"/>
          <w:color w:val="auto"/>
        </w:rPr>
      </w:pPr>
      <w:r>
        <w:rPr>
          <w:rFonts w:ascii="Arial" w:cs="Arial" w:eastAsia="Arial" w:hAnsi="Arial"/>
          <w:sz w:val="14"/>
          <w:szCs w:val="14"/>
          <w:color w:val="auto"/>
        </w:rPr>
        <w:t>Foreign security and currency translations may involve certain considerations and risks not typically associated with investing in U.S. companies and U.S. government securities. These risks include, but are not limited to, currency fluctuations and revaluations and future adverse political, social and economic developments, which could cause investments in foreign markets to be less liquid and prices to be more volatile than those of comparable U.S. companies or U.S. government securities.</w:t>
      </w:r>
    </w:p>
    <w:p>
      <w:pPr>
        <w:spacing w:after="0" w:line="200" w:lineRule="exact"/>
        <w:rPr>
          <w:sz w:val="20"/>
          <w:szCs w:val="20"/>
          <w:color w:val="auto"/>
        </w:rPr>
      </w:pPr>
    </w:p>
    <w:p>
      <w:pPr>
        <w:spacing w:after="0" w:line="280" w:lineRule="exact"/>
        <w:rPr>
          <w:sz w:val="20"/>
          <w:szCs w:val="20"/>
          <w:color w:val="auto"/>
        </w:rPr>
      </w:pPr>
    </w:p>
    <w:p>
      <w:pPr>
        <w:jc w:val="center"/>
        <w:ind w:right="-119"/>
        <w:spacing w:after="0"/>
        <w:rPr>
          <w:sz w:val="20"/>
          <w:szCs w:val="20"/>
          <w:color w:val="auto"/>
        </w:rPr>
      </w:pPr>
      <w:r>
        <w:rPr>
          <w:rFonts w:ascii="Arial" w:cs="Arial" w:eastAsia="Arial" w:hAnsi="Arial"/>
          <w:sz w:val="14"/>
          <w:szCs w:val="14"/>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72390</wp:posOffset>
            </wp:positionV>
            <wp:extent cx="7149465" cy="171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120"/>
          </w:cols>
          <w:pgMar w:left="320" w:top="118" w:right="459" w:bottom="1440" w:gutter="0" w:footer="0" w:header="0"/>
        </w:sectPr>
      </w:pPr>
    </w:p>
    <w:bookmarkStart w:id="15" w:name="page16"/>
    <w:bookmarkEnd w:id="15"/>
    <w:p>
      <w:pPr>
        <w:ind w:left="3220"/>
        <w:spacing w:after="0"/>
        <w:rPr>
          <w:sz w:val="20"/>
          <w:szCs w:val="20"/>
          <w:color w:val="auto"/>
        </w:rPr>
      </w:pPr>
      <w:r>
        <w:rPr>
          <w:rFonts w:ascii="Arial" w:cs="Arial" w:eastAsia="Arial" w:hAnsi="Arial"/>
          <w:sz w:val="14"/>
          <w:szCs w:val="14"/>
          <w:b w:val="1"/>
          <w:bCs w:val="1"/>
          <w:color w:val="auto"/>
        </w:rPr>
        <w:t>PENNANTPARK INVESTMENT CORPORATION AND SUBSIDIARIES</w:t>
      </w:r>
    </w:p>
    <w:p>
      <w:pPr>
        <w:ind w:left="3200"/>
        <w:spacing w:after="0" w:line="225" w:lineRule="auto"/>
        <w:rPr>
          <w:sz w:val="20"/>
          <w:szCs w:val="20"/>
          <w:color w:val="auto"/>
        </w:rPr>
      </w:pPr>
      <w:r>
        <w:rPr>
          <w:rFonts w:ascii="Arial" w:cs="Arial" w:eastAsia="Arial" w:hAnsi="Arial"/>
          <w:sz w:val="14"/>
          <w:szCs w:val="14"/>
          <w:b w:val="1"/>
          <w:bCs w:val="1"/>
          <w:color w:val="auto"/>
        </w:rPr>
        <w:t>NOTES TO CONSOLIDATED FINANCIAL STATEMENTS—(Continued)</w:t>
      </w:r>
    </w:p>
    <w:p>
      <w:pPr>
        <w:jc w:val="center"/>
        <w:ind w:right="-59"/>
        <w:spacing w:after="0" w:line="221" w:lineRule="auto"/>
        <w:rPr>
          <w:sz w:val="20"/>
          <w:szCs w:val="20"/>
          <w:color w:val="auto"/>
        </w:rPr>
      </w:pPr>
      <w:r>
        <w:rPr>
          <w:rFonts w:ascii="Arial" w:cs="Arial" w:eastAsia="Arial" w:hAnsi="Arial"/>
          <w:sz w:val="14"/>
          <w:szCs w:val="14"/>
          <w:b w:val="1"/>
          <w:bCs w:val="1"/>
          <w:color w:val="auto"/>
        </w:rPr>
        <w:t>JUNE 30, 2017</w:t>
      </w:r>
    </w:p>
    <w:p>
      <w:pPr>
        <w:spacing w:after="0" w:line="1" w:lineRule="exact"/>
        <w:rPr>
          <w:sz w:val="20"/>
          <w:szCs w:val="20"/>
          <w:color w:val="auto"/>
        </w:rPr>
      </w:pPr>
    </w:p>
    <w:p>
      <w:pPr>
        <w:jc w:val="center"/>
        <w:ind w:right="-59"/>
        <w:spacing w:after="0"/>
        <w:rPr>
          <w:sz w:val="20"/>
          <w:szCs w:val="20"/>
          <w:color w:val="auto"/>
        </w:rPr>
      </w:pPr>
      <w:r>
        <w:rPr>
          <w:rFonts w:ascii="Arial" w:cs="Arial" w:eastAsia="Arial" w:hAnsi="Arial"/>
          <w:sz w:val="14"/>
          <w:szCs w:val="14"/>
          <w:b w:val="1"/>
          <w:bCs w:val="1"/>
          <w:color w:val="auto"/>
        </w:rPr>
        <w:t>(Unaudited)</w:t>
      </w:r>
    </w:p>
    <w:p>
      <w:pPr>
        <w:spacing w:after="0" w:line="192" w:lineRule="exact"/>
        <w:rPr>
          <w:sz w:val="20"/>
          <w:szCs w:val="20"/>
          <w:color w:val="auto"/>
        </w:rPr>
      </w:pPr>
    </w:p>
    <w:p>
      <w:pPr>
        <w:ind w:left="1040" w:hanging="784"/>
        <w:spacing w:after="0"/>
        <w:tabs>
          <w:tab w:leader="none" w:pos="1040" w:val="left"/>
        </w:tabs>
        <w:numPr>
          <w:ilvl w:val="0"/>
          <w:numId w:val="12"/>
        </w:numPr>
        <w:rPr>
          <w:rFonts w:ascii="Arial" w:cs="Arial" w:eastAsia="Arial" w:hAnsi="Arial"/>
          <w:sz w:val="14"/>
          <w:szCs w:val="14"/>
          <w:b w:val="1"/>
          <w:bCs w:val="1"/>
          <w:i w:val="1"/>
          <w:iCs w:val="1"/>
          <w:color w:val="auto"/>
        </w:rPr>
      </w:pPr>
      <w:r>
        <w:rPr>
          <w:rFonts w:ascii="Arial" w:cs="Arial" w:eastAsia="Arial" w:hAnsi="Arial"/>
          <w:sz w:val="14"/>
          <w:szCs w:val="14"/>
          <w:b w:val="1"/>
          <w:bCs w:val="1"/>
          <w:i w:val="1"/>
          <w:iCs w:val="1"/>
          <w:color w:val="auto"/>
        </w:rPr>
        <w:t>Consolidation</w:t>
      </w:r>
    </w:p>
    <w:p>
      <w:pPr>
        <w:spacing w:after="0" w:line="136" w:lineRule="exact"/>
        <w:rPr>
          <w:sz w:val="20"/>
          <w:szCs w:val="20"/>
          <w:color w:val="auto"/>
        </w:rPr>
      </w:pPr>
    </w:p>
    <w:p>
      <w:pPr>
        <w:ind w:right="420" w:firstLine="452"/>
        <w:spacing w:after="0" w:line="238" w:lineRule="auto"/>
        <w:rPr>
          <w:sz w:val="20"/>
          <w:szCs w:val="20"/>
          <w:color w:val="auto"/>
        </w:rPr>
      </w:pPr>
      <w:r>
        <w:rPr>
          <w:rFonts w:ascii="Arial" w:cs="Arial" w:eastAsia="Arial" w:hAnsi="Arial"/>
          <w:sz w:val="14"/>
          <w:szCs w:val="14"/>
          <w:color w:val="auto"/>
        </w:rPr>
        <w:t>As permitted under Regulation S-X and as explained by ASC 946-810-45, PennantPark Investment will generally not consolidate its investment in a company other than an investment company subsidiary or a controlled operating company whose business consists of providing services to us. Accordingly, we have consolidated the results of our SBIC Funds and our Taxable Subsidiaries in our Consolidated Financial Statements.</w:t>
      </w:r>
    </w:p>
    <w:p>
      <w:pPr>
        <w:spacing w:after="0" w:line="111"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3. AGREEMENTS AND RELATED PARTY TRANSACTIONS</w:t>
      </w:r>
    </w:p>
    <w:p>
      <w:pPr>
        <w:spacing w:after="0" w:line="140" w:lineRule="exact"/>
        <w:rPr>
          <w:sz w:val="20"/>
          <w:szCs w:val="20"/>
          <w:color w:val="auto"/>
        </w:rPr>
      </w:pPr>
    </w:p>
    <w:p>
      <w:pPr>
        <w:ind w:firstLine="452"/>
        <w:spacing w:after="0" w:line="231" w:lineRule="auto"/>
        <w:rPr>
          <w:sz w:val="20"/>
          <w:szCs w:val="20"/>
          <w:color w:val="auto"/>
        </w:rPr>
      </w:pPr>
      <w:r>
        <w:rPr>
          <w:rFonts w:ascii="Arial" w:cs="Arial" w:eastAsia="Arial" w:hAnsi="Arial"/>
          <w:sz w:val="14"/>
          <w:szCs w:val="14"/>
          <w:color w:val="auto"/>
        </w:rPr>
        <w:t>The Investment Management Agreement with the Investment Adviser was reapproved by our board of directors, including a majority of our directors who are not interested persons of us or the Investment Adviser, in February 2017. Under the Investment Management Agreement, the Investment Adviser, subject to the overall supervision of our board of directors, manages the day-to-day operations of and provides investment advisory services to us. Our SBIC Funds’ investment management agreements do not affect the management or incentive fees that we pay to the Investment Adviser on a consolidated basis. For providing these services, the Investment Adviser receives a fee from us, consisting of two components—a base management fee and an incentive fee, or collectively referred to as Management Fees.</w:t>
      </w:r>
    </w:p>
    <w:p>
      <w:pPr>
        <w:spacing w:after="0" w:line="116" w:lineRule="exact"/>
        <w:rPr>
          <w:sz w:val="20"/>
          <w:szCs w:val="20"/>
          <w:color w:val="auto"/>
        </w:rPr>
      </w:pPr>
    </w:p>
    <w:p>
      <w:pPr>
        <w:ind w:firstLine="452"/>
        <w:spacing w:after="0" w:line="244" w:lineRule="auto"/>
        <w:rPr>
          <w:sz w:val="20"/>
          <w:szCs w:val="20"/>
          <w:color w:val="auto"/>
        </w:rPr>
      </w:pPr>
      <w:r>
        <w:rPr>
          <w:rFonts w:ascii="Arial" w:cs="Arial" w:eastAsia="Arial" w:hAnsi="Arial"/>
          <w:sz w:val="13"/>
          <w:szCs w:val="13"/>
          <w:color w:val="auto"/>
        </w:rPr>
        <w:t>The base management fee is calculated at an annual rate of 2.00% of our “average adjusted gross assets,” which equals our gross assets (net of U.S. Treasury Bills, temporary draws under any credit facility, cash and cash equivalents, repurchase agreements or other balance sheet transactions undertaken at the end of a fiscal quarter for purposes of preserving investment flexibility for the next quarter and adjusted to exclude cash, cash equivalents and unfunded commitments, if any) and is payable quarterly in arrears. The base management fee is calculated based on the average adjusted gross assets at the end of the two most recently completed calendar quarters, and appropriately adjusted for any share issuances or repurchases during the current calendar quarter. For example, if we sold shares on the 45th day of a quarter and did not use the proceeds from the sale to repay outstanding indebtedness, our gross assets for such quarter would give effect to the net proceeds of the issuance for only 45 days of the quarter during which the additional shares were outstanding. Since December 31, 2015 and through December 31, 2017, the Investment Adviser has voluntarily agreed, in consultation with the board of directors, to irrevocably waive 16% of base management fees, correlated to our 16% energy exposure (oil &amp; gas and energy &amp; utilities industries) at cost as of December 31, 2015. For the three and nine months ended June 30, 2017, the Investment Adviser earned base management fees of $4.9 million (after a waiver of $0.9 million) and $15.5 million (after a waiver of $3.0 million), respectively, from us. For the three and nine months ended June 30, 2016, the Investment Adviser earned base management fees of $5.2 million (after a waiver of $1.0 million) and $15.8 million (after a waiver of $3.0 million), respectively, from us.</w:t>
      </w:r>
    </w:p>
    <w:p>
      <w:pPr>
        <w:spacing w:after="0" w:line="114" w:lineRule="exact"/>
        <w:rPr>
          <w:sz w:val="20"/>
          <w:szCs w:val="20"/>
          <w:color w:val="auto"/>
        </w:rPr>
      </w:pPr>
    </w:p>
    <w:p>
      <w:pPr>
        <w:ind w:left="460"/>
        <w:spacing w:after="0"/>
        <w:rPr>
          <w:sz w:val="20"/>
          <w:szCs w:val="20"/>
          <w:color w:val="auto"/>
        </w:rPr>
      </w:pPr>
      <w:r>
        <w:rPr>
          <w:rFonts w:ascii="Arial" w:cs="Arial" w:eastAsia="Arial" w:hAnsi="Arial"/>
          <w:sz w:val="14"/>
          <w:szCs w:val="14"/>
          <w:color w:val="auto"/>
        </w:rPr>
        <w:t>The incentive fee has two parts, as follows:</w:t>
      </w:r>
    </w:p>
    <w:p>
      <w:pPr>
        <w:spacing w:after="0" w:line="136" w:lineRule="exact"/>
        <w:rPr>
          <w:sz w:val="20"/>
          <w:szCs w:val="20"/>
          <w:color w:val="auto"/>
        </w:rPr>
      </w:pPr>
    </w:p>
    <w:p>
      <w:pPr>
        <w:ind w:right="40" w:firstLine="432"/>
        <w:spacing w:after="0" w:line="260" w:lineRule="auto"/>
        <w:rPr>
          <w:sz w:val="20"/>
          <w:szCs w:val="20"/>
          <w:color w:val="auto"/>
        </w:rPr>
      </w:pPr>
      <w:r>
        <w:rPr>
          <w:rFonts w:ascii="Arial" w:cs="Arial" w:eastAsia="Arial" w:hAnsi="Arial"/>
          <w:sz w:val="12"/>
          <w:szCs w:val="12"/>
          <w:color w:val="auto"/>
        </w:rPr>
        <w:t>One part is calculated and payable quarterly in arrears based on our Pre-Incentive Fee Net Investment Income for the immediately preceding calendar quarter. For this purpose, Pre-Incentive Fee Net Investment Income means interest income, dividend income and any other income, including any other fees (other than fees for providing managerial assistance), such as amendment, commitment, origination, prepayment penalties, structuring, diligence and consulting fees or other fees received from portfolio companies, accrued during the calendar quarter, minus our operating expenses for the quarter (including the base management fee, any expenses payable under the Administration Agreement and any interest expense or amendment fees under any credit facility and distribution paid on any issued and outstanding preferred stock, but excluding the incentive fee). Pre-Incentive Fee Net Investment Income includes, in the case of investments with a deferred interest feature (such as OID, debt instruments with PIK interest and zero coupon securities), accrued income not yet received in cash. Pre-Incentive Fee Net Investment Income does not include any realized capital gains, computed net of all realized capital losses or unrealized capital appreciation or depreciation. Pre-Incentive Fee Net Investment Income, expressed as a percentage of the value of our net assets at the end of the immediately preceding calendar quarter, is compared to the hurdle rate of 1.75% per quarter (7.00% annualized). We pay the Investment Adviser an incentive fee with respect to our Pre-Incentive Fee Net Investment Income in each calendar quarter as follows: (1) no incentive fee in any calendar quarter in which our Pre-Incentive Fee Net Investment Income does not exceed the hurdle rate of 1.75%,</w:t>
      </w:r>
    </w:p>
    <w:p>
      <w:pPr>
        <w:spacing w:after="0" w:line="3" w:lineRule="exact"/>
        <w:rPr>
          <w:sz w:val="20"/>
          <w:szCs w:val="20"/>
          <w:color w:val="auto"/>
        </w:rPr>
      </w:pPr>
    </w:p>
    <w:p>
      <w:pPr>
        <w:ind w:right="100" w:firstLine="8"/>
        <w:spacing w:after="0" w:line="243" w:lineRule="auto"/>
        <w:tabs>
          <w:tab w:leader="none" w:pos="193" w:val="left"/>
        </w:tabs>
        <w:numPr>
          <w:ilvl w:val="0"/>
          <w:numId w:val="13"/>
        </w:numPr>
        <w:rPr>
          <w:rFonts w:ascii="Arial" w:cs="Arial" w:eastAsia="Arial" w:hAnsi="Arial"/>
          <w:sz w:val="13"/>
          <w:szCs w:val="13"/>
          <w:color w:val="auto"/>
        </w:rPr>
      </w:pPr>
      <w:r>
        <w:rPr>
          <w:rFonts w:ascii="Arial" w:cs="Arial" w:eastAsia="Arial" w:hAnsi="Arial"/>
          <w:sz w:val="13"/>
          <w:szCs w:val="13"/>
          <w:color w:val="auto"/>
        </w:rPr>
        <w:t>100% of our Pre-Incentive Fee Net Investment Income with respect to that portion of such Pre-Incentive Fee Net Investment Income, if any, that exceeds the hurdle rate but is less than 2.1875% in any calendar quarter (8.75% annualized), and (3) 20% of the amount of our Pre-Incentive Fee Net Investment Income, if any, that exceeds 2.1875% in any calendar quarter. These calculations are pro-rated for any share issuances or repurchases during the relevant quarter, if applicable. Since December 31, 2015 and through December 31, 2017, the Investment Adviser has voluntarily agreed, in consultation with the board of directors, to irrevocably waive 16% of incentive fees, correlated to our 16% energy cost exposure (oil &amp; gas and energy &amp; utilities industries) at cost as of December 31, 2015. For the three and nine months ended June 30, 2017, the Investment Adviser earned an incentive fee on net investment income as calculated under the Investment Management Agreement of $1.1 million (after a waiver of $0.2 million) and $7.0 million (after a waiver of $1.3 million), respectively, from us. For the three and nine months ended June 30, 2016, the Investment Adviser earned an incentive fee on net investment income as calculated under the Investment Management Agreement of $3.4 million (after a waiver of $0.6 million) and $10.6 million (after a waiver of $2.0 million), respectively, from us.</w:t>
      </w:r>
    </w:p>
    <w:p>
      <w:pPr>
        <w:spacing w:after="0" w:line="114" w:lineRule="exact"/>
        <w:rPr>
          <w:sz w:val="20"/>
          <w:szCs w:val="20"/>
          <w:color w:val="auto"/>
        </w:rPr>
      </w:pPr>
    </w:p>
    <w:p>
      <w:pPr>
        <w:ind w:right="120" w:firstLine="432"/>
        <w:spacing w:after="0" w:line="255" w:lineRule="auto"/>
        <w:rPr>
          <w:sz w:val="20"/>
          <w:szCs w:val="20"/>
          <w:color w:val="auto"/>
        </w:rPr>
      </w:pPr>
      <w:r>
        <w:rPr>
          <w:rFonts w:ascii="Arial" w:cs="Arial" w:eastAsia="Arial" w:hAnsi="Arial"/>
          <w:sz w:val="13"/>
          <w:szCs w:val="13"/>
          <w:color w:val="auto"/>
        </w:rPr>
        <w:t>The second part of the incentive fee is determined and payable in arrears as of the end of each calendar year (or upon termination of the Investment Management Agreement, as of the termination date) and equals 20% of our realized capital gains, if any, on a cumulative basis from inception through the end of each calendar year, computed net of all realized capital losses and unrealized capital depreciation on a cumulative basis, less the aggregate amount of any previously paid capital gain incentive fees. For each of the three and nine months ended June 30, 2017 and 2016, the Investment Adviser did not earn an incentive fee on capital gains as calculated under the Investment Management Agreement (as described above).</w:t>
      </w:r>
    </w:p>
    <w:p>
      <w:pPr>
        <w:spacing w:after="0" w:line="107" w:lineRule="exact"/>
        <w:rPr>
          <w:sz w:val="20"/>
          <w:szCs w:val="20"/>
          <w:color w:val="auto"/>
        </w:rPr>
      </w:pPr>
    </w:p>
    <w:p>
      <w:pPr>
        <w:ind w:right="20" w:firstLine="432"/>
        <w:spacing w:after="0" w:line="271" w:lineRule="auto"/>
        <w:rPr>
          <w:sz w:val="20"/>
          <w:szCs w:val="20"/>
          <w:color w:val="auto"/>
        </w:rPr>
      </w:pPr>
      <w:r>
        <w:rPr>
          <w:rFonts w:ascii="Arial" w:cs="Arial" w:eastAsia="Arial" w:hAnsi="Arial"/>
          <w:sz w:val="12"/>
          <w:szCs w:val="12"/>
          <w:color w:val="auto"/>
        </w:rPr>
        <w:t>Under GAAP, we are required to accrue a capital gains incentive fee based upon net realized capital gains and net unrealized capital appreciation and depreciation on investments and foreign currencies held at the end of each period. In calculating the capital gains incentive fee accrual, we considered the cumulative aggregate unrealized capital appreciation in the calculation, as a capital gains incentive fee would be payable if such unrealized capital appreciation were realized, even though such unrealized capital appreciation is not permitted to be considered in calculating the fee actually payable under the Investment Management Agreement. This accrual is calculated using the aggregate cumulative realized capital gains and losses and cumulative unrealized capital appreciation or depreciation. If such amount is positive at the end of a period, then we record a capital gains incentive fee equal to 20% of such amount, less the aggregate amount of actual capital gains related incentive fees paid in all prior years. If such amount is negative, then there is no accrual for such year. There can be no assurance that such unrealized capital appreciation, if any, will be realized in the future. For each of the three and nine months ended June 30, 2017 and 2016, the Investment Adviser did not accrue an incentive fee on capital gains as calculated under GAAP.</w:t>
      </w:r>
    </w:p>
    <w:p>
      <w:pPr>
        <w:spacing w:after="0" w:line="97" w:lineRule="exact"/>
        <w:rPr>
          <w:sz w:val="20"/>
          <w:szCs w:val="20"/>
          <w:color w:val="auto"/>
        </w:rPr>
      </w:pPr>
    </w:p>
    <w:p>
      <w:pPr>
        <w:ind w:firstLine="434"/>
        <w:spacing w:after="0" w:line="267" w:lineRule="auto"/>
        <w:rPr>
          <w:sz w:val="20"/>
          <w:szCs w:val="20"/>
          <w:color w:val="auto"/>
        </w:rPr>
      </w:pPr>
      <w:r>
        <w:rPr>
          <w:rFonts w:ascii="Arial" w:cs="Arial" w:eastAsia="Arial" w:hAnsi="Arial"/>
          <w:sz w:val="12"/>
          <w:szCs w:val="12"/>
          <w:color w:val="auto"/>
        </w:rPr>
        <w:t>The Administration Agreement with the Administrator was reapproved by our board of directors, including a majority of our directors who are not interested persons of us, in February 2017. Under the Administration Agreement, the Administrator provides administrative services and office facilities to us. The Administrator provides similar services to our SBIC Funds under each of their administration agreements with PennantPark Investment. For providing these services, facilities and personnel, PennantPark Investment has agreed to reimburse the Administrator for our allocable portion of overhead and other expenses incurred by the Administrator in performing its obligations under our Administration Agreement, including rent and PennantPark Investment’s allocable portion of the costs of compensation and related expenses for its Chief Compliance Officer, Chief Financial Officer and their respective staffs. The Administrator also offers, on PennantPark Investment’s behalf, managerial assistance to portfolio companies to which PennantPark Investment is required to offer such assistance. Reimbursement for certain of these costs is included in administrative services expenses in the Consolidated Statements of Operations. For the three and nine months ended June 30, 2017, the Investment Adviser was reimbursed $0.4 million and $2.1 million, respectively, from us, including expenses the Investment Adviser incurred on behalf of the Administrator, for the services described above. For the three and nine months ended June 30, 2016, the Investment Adviser was reimbursed $0.4 million and $2.9 million, respectively, from us, including expenses the Investment Adviser incurred on behalf of the Administrator, for the services described above.</w:t>
      </w:r>
    </w:p>
    <w:p>
      <w:pPr>
        <w:spacing w:after="0" w:line="319" w:lineRule="exact"/>
        <w:rPr>
          <w:sz w:val="20"/>
          <w:szCs w:val="20"/>
          <w:color w:val="auto"/>
        </w:rPr>
      </w:pPr>
    </w:p>
    <w:p>
      <w:pPr>
        <w:jc w:val="center"/>
        <w:ind w:right="-119"/>
        <w:spacing w:after="0"/>
        <w:rPr>
          <w:sz w:val="20"/>
          <w:szCs w:val="20"/>
          <w:color w:val="auto"/>
        </w:rPr>
      </w:pPr>
      <w:r>
        <w:rPr>
          <w:rFonts w:ascii="Arial" w:cs="Arial" w:eastAsia="Arial" w:hAnsi="Arial"/>
          <w:sz w:val="14"/>
          <w:szCs w:val="14"/>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72390</wp:posOffset>
            </wp:positionV>
            <wp:extent cx="7149465" cy="171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120"/>
          </w:cols>
          <w:pgMar w:left="320" w:top="118" w:right="459" w:bottom="1440" w:gutter="0" w:footer="0" w:header="0"/>
        </w:sectPr>
      </w:pPr>
    </w:p>
    <w:bookmarkStart w:id="16" w:name="page17"/>
    <w:bookmarkEnd w:id="16"/>
    <w:p>
      <w:pPr>
        <w:ind w:left="3220"/>
        <w:spacing w:after="0"/>
        <w:rPr>
          <w:sz w:val="20"/>
          <w:szCs w:val="20"/>
          <w:color w:val="auto"/>
        </w:rPr>
      </w:pPr>
      <w:r>
        <w:rPr>
          <w:rFonts w:ascii="Arial" w:cs="Arial" w:eastAsia="Arial" w:hAnsi="Arial"/>
          <w:sz w:val="14"/>
          <w:szCs w:val="14"/>
          <w:b w:val="1"/>
          <w:bCs w:val="1"/>
          <w:color w:val="auto"/>
        </w:rPr>
        <w:t>PENNANTPARK INVESTMENT CORPORATION AND SUBSIDIARIES</w:t>
      </w:r>
    </w:p>
    <w:p>
      <w:pPr>
        <w:ind w:left="3200"/>
        <w:spacing w:after="0" w:line="225" w:lineRule="auto"/>
        <w:rPr>
          <w:sz w:val="20"/>
          <w:szCs w:val="20"/>
          <w:color w:val="auto"/>
        </w:rPr>
      </w:pPr>
      <w:r>
        <w:rPr>
          <w:rFonts w:ascii="Arial" w:cs="Arial" w:eastAsia="Arial" w:hAnsi="Arial"/>
          <w:sz w:val="14"/>
          <w:szCs w:val="14"/>
          <w:b w:val="1"/>
          <w:bCs w:val="1"/>
          <w:color w:val="auto"/>
        </w:rPr>
        <w:t>NOTES TO CONSOLIDATED FINANCIAL STATEMENTS—(Continued)</w:t>
      </w:r>
    </w:p>
    <w:p>
      <w:pPr>
        <w:jc w:val="center"/>
        <w:ind w:right="60"/>
        <w:spacing w:after="0" w:line="221" w:lineRule="auto"/>
        <w:rPr>
          <w:sz w:val="20"/>
          <w:szCs w:val="20"/>
          <w:color w:val="auto"/>
        </w:rPr>
      </w:pPr>
      <w:r>
        <w:rPr>
          <w:rFonts w:ascii="Arial" w:cs="Arial" w:eastAsia="Arial" w:hAnsi="Arial"/>
          <w:sz w:val="14"/>
          <w:szCs w:val="14"/>
          <w:b w:val="1"/>
          <w:bCs w:val="1"/>
          <w:color w:val="auto"/>
        </w:rPr>
        <w:t>JUNE 30, 2017</w:t>
      </w:r>
    </w:p>
    <w:p>
      <w:pPr>
        <w:spacing w:after="0" w:line="1" w:lineRule="exact"/>
        <w:rPr>
          <w:sz w:val="20"/>
          <w:szCs w:val="20"/>
          <w:color w:val="auto"/>
        </w:rPr>
      </w:pPr>
    </w:p>
    <w:p>
      <w:pPr>
        <w:jc w:val="center"/>
        <w:ind w:right="60"/>
        <w:spacing w:after="0"/>
        <w:rPr>
          <w:sz w:val="20"/>
          <w:szCs w:val="20"/>
          <w:color w:val="auto"/>
        </w:rPr>
      </w:pPr>
      <w:r>
        <w:rPr>
          <w:rFonts w:ascii="Arial" w:cs="Arial" w:eastAsia="Arial" w:hAnsi="Arial"/>
          <w:sz w:val="14"/>
          <w:szCs w:val="14"/>
          <w:b w:val="1"/>
          <w:bCs w:val="1"/>
          <w:color w:val="auto"/>
        </w:rPr>
        <w:t>(Unaudited)</w:t>
      </w:r>
    </w:p>
    <w:p>
      <w:pPr>
        <w:spacing w:after="0" w:line="340" w:lineRule="exact"/>
        <w:rPr>
          <w:sz w:val="20"/>
          <w:szCs w:val="20"/>
          <w:color w:val="auto"/>
        </w:rPr>
      </w:pPr>
    </w:p>
    <w:p>
      <w:pPr>
        <w:ind w:right="220" w:firstLine="434"/>
        <w:spacing w:after="0" w:line="238" w:lineRule="auto"/>
        <w:rPr>
          <w:sz w:val="20"/>
          <w:szCs w:val="20"/>
          <w:color w:val="auto"/>
        </w:rPr>
      </w:pPr>
      <w:r>
        <w:rPr>
          <w:rFonts w:ascii="Arial" w:cs="Arial" w:eastAsia="Arial" w:hAnsi="Arial"/>
          <w:sz w:val="14"/>
          <w:szCs w:val="14"/>
          <w:color w:val="auto"/>
        </w:rPr>
        <w:t>For the three and nine months ended June 30, 2017, the Company purchased zero and $5.0 million, respectively, and sold zero and $45.6 million in total investments, respectively, to affiliated funds managed by our Investment Adviser in accordance with, and pursuant to procedures adopted under, Rule 17a-7 of the 1940 Act. Realized gains on those sales amounted to zero and $1.1 million, respectively.</w:t>
      </w:r>
    </w:p>
    <w:p>
      <w:pPr>
        <w:spacing w:after="0" w:line="111"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4. INVESTMENTS</w:t>
      </w:r>
    </w:p>
    <w:p>
      <w:pPr>
        <w:spacing w:after="0" w:line="140" w:lineRule="exact"/>
        <w:rPr>
          <w:sz w:val="20"/>
          <w:szCs w:val="20"/>
          <w:color w:val="auto"/>
        </w:rPr>
      </w:pPr>
    </w:p>
    <w:p>
      <w:pPr>
        <w:ind w:right="160" w:firstLine="434"/>
        <w:spacing w:after="0" w:line="296" w:lineRule="auto"/>
        <w:rPr>
          <w:sz w:val="20"/>
          <w:szCs w:val="20"/>
          <w:color w:val="auto"/>
        </w:rPr>
      </w:pPr>
      <w:r>
        <w:rPr>
          <w:rFonts w:ascii="Arial" w:cs="Arial" w:eastAsia="Arial" w:hAnsi="Arial"/>
          <w:sz w:val="12"/>
          <w:szCs w:val="12"/>
          <w:color w:val="auto"/>
        </w:rPr>
        <w:t>Purchases of investments, including PIK interest, for the three and nine months ended June 30, 2017 totaled $94.9 million and $395.9 million, respectively. For the same periods in the prior year, purchases of investments, including PIK interest, totaled $94.7 million and $317.7 million, respectively. Sales and repayments of investments for the three and nine months ended June 30, 2017 totaled $199.1 million and $465.4 million, respectively. For the same periods in the prior year, sales and repayments of investments totaled $103.1 million and $304.1 million, respectively.</w:t>
      </w:r>
    </w:p>
    <w:p>
      <w:pPr>
        <w:spacing w:after="0" w:line="83" w:lineRule="exact"/>
        <w:rPr>
          <w:sz w:val="20"/>
          <w:szCs w:val="20"/>
          <w:color w:val="auto"/>
        </w:rPr>
      </w:pPr>
    </w:p>
    <w:p>
      <w:pPr>
        <w:ind w:left="440"/>
        <w:spacing w:after="0"/>
        <w:rPr>
          <w:sz w:val="20"/>
          <w:szCs w:val="20"/>
          <w:color w:val="auto"/>
        </w:rPr>
      </w:pPr>
      <w:r>
        <w:rPr>
          <w:rFonts w:ascii="Arial" w:cs="Arial" w:eastAsia="Arial" w:hAnsi="Arial"/>
          <w:sz w:val="14"/>
          <w:szCs w:val="14"/>
          <w:color w:val="auto"/>
        </w:rPr>
        <w:t>Investments and cash and cash equivalents consisted of the following:</w:t>
      </w:r>
    </w:p>
    <w:p>
      <w:pPr>
        <w:spacing w:after="0" w:line="227"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4260" w:type="dxa"/>
            <w:vAlign w:val="bottom"/>
            <w:vMerge w:val="restart"/>
          </w:tcPr>
          <w:p>
            <w:pPr>
              <w:spacing w:after="0"/>
              <w:rPr>
                <w:sz w:val="20"/>
                <w:szCs w:val="20"/>
                <w:color w:val="auto"/>
              </w:rPr>
            </w:pPr>
            <w:r>
              <w:rPr>
                <w:rFonts w:ascii="Arial" w:cs="Arial" w:eastAsia="Arial" w:hAnsi="Arial"/>
                <w:sz w:val="14"/>
                <w:szCs w:val="14"/>
                <w:b w:val="1"/>
                <w:bCs w:val="1"/>
                <w:color w:val="auto"/>
              </w:rPr>
              <w:t>Investment Classification</w:t>
            </w:r>
          </w:p>
        </w:tc>
        <w:tc>
          <w:tcPr>
            <w:tcW w:w="16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740" w:type="dxa"/>
            <w:vAlign w:val="bottom"/>
            <w:gridSpan w:val="3"/>
          </w:tcPr>
          <w:p>
            <w:pPr>
              <w:jc w:val="right"/>
              <w:spacing w:after="0"/>
              <w:rPr>
                <w:sz w:val="20"/>
                <w:szCs w:val="20"/>
                <w:color w:val="auto"/>
              </w:rPr>
            </w:pPr>
            <w:r>
              <w:rPr>
                <w:rFonts w:ascii="Arial" w:cs="Arial" w:eastAsia="Arial" w:hAnsi="Arial"/>
                <w:sz w:val="14"/>
                <w:szCs w:val="14"/>
                <w:b w:val="1"/>
                <w:bCs w:val="1"/>
                <w:color w:val="auto"/>
              </w:rPr>
              <w:t>June 30, 2017</w:t>
            </w:r>
          </w:p>
        </w:tc>
        <w:tc>
          <w:tcPr>
            <w:tcW w:w="11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3000" w:type="dxa"/>
            <w:vAlign w:val="bottom"/>
            <w:gridSpan w:val="5"/>
          </w:tcPr>
          <w:p>
            <w:pPr>
              <w:ind w:left="660"/>
              <w:spacing w:after="0"/>
              <w:rPr>
                <w:sz w:val="20"/>
                <w:szCs w:val="20"/>
                <w:color w:val="auto"/>
              </w:rPr>
            </w:pPr>
            <w:r>
              <w:rPr>
                <w:rFonts w:ascii="Arial" w:cs="Arial" w:eastAsia="Arial" w:hAnsi="Arial"/>
                <w:sz w:val="14"/>
                <w:szCs w:val="14"/>
                <w:b w:val="1"/>
                <w:bCs w:val="1"/>
                <w:color w:val="auto"/>
              </w:rPr>
              <w:t>September 30, 2016</w:t>
            </w:r>
          </w:p>
        </w:tc>
        <w:tc>
          <w:tcPr>
            <w:tcW w:w="0" w:type="dxa"/>
            <w:vAlign w:val="bottom"/>
          </w:tcPr>
          <w:p>
            <w:pPr>
              <w:spacing w:after="0"/>
              <w:rPr>
                <w:sz w:val="1"/>
                <w:szCs w:val="1"/>
                <w:color w:val="auto"/>
              </w:rPr>
            </w:pPr>
          </w:p>
        </w:tc>
      </w:tr>
      <w:tr>
        <w:trPr>
          <w:trHeight w:val="156"/>
        </w:trPr>
        <w:tc>
          <w:tcPr>
            <w:tcW w:w="4260" w:type="dxa"/>
            <w:vAlign w:val="bottom"/>
            <w:vMerge w:val="continue"/>
          </w:tcPr>
          <w:p>
            <w:pPr>
              <w:spacing w:after="0"/>
              <w:rPr>
                <w:sz w:val="13"/>
                <w:szCs w:val="13"/>
                <w:color w:val="auto"/>
              </w:rPr>
            </w:pPr>
          </w:p>
        </w:tc>
        <w:tc>
          <w:tcPr>
            <w:tcW w:w="160" w:type="dxa"/>
            <w:vAlign w:val="bottom"/>
          </w:tcPr>
          <w:p>
            <w:pPr>
              <w:spacing w:after="0"/>
              <w:rPr>
                <w:sz w:val="13"/>
                <w:szCs w:val="13"/>
                <w:color w:val="auto"/>
              </w:rPr>
            </w:pPr>
          </w:p>
        </w:tc>
        <w:tc>
          <w:tcPr>
            <w:tcW w:w="340" w:type="dxa"/>
            <w:vAlign w:val="bottom"/>
            <w:tcBorders>
              <w:top w:val="single" w:sz="8" w:color="auto"/>
            </w:tcBorders>
          </w:tcPr>
          <w:p>
            <w:pPr>
              <w:spacing w:after="0"/>
              <w:rPr>
                <w:sz w:val="13"/>
                <w:szCs w:val="13"/>
                <w:color w:val="auto"/>
              </w:rPr>
            </w:pPr>
          </w:p>
        </w:tc>
        <w:tc>
          <w:tcPr>
            <w:tcW w:w="1400" w:type="dxa"/>
            <w:vAlign w:val="bottom"/>
            <w:tcBorders>
              <w:top w:val="single" w:sz="8" w:color="auto"/>
            </w:tcBorders>
            <w:gridSpan w:val="2"/>
          </w:tcPr>
          <w:p>
            <w:pPr>
              <w:ind w:left="260"/>
              <w:spacing w:after="0" w:line="155" w:lineRule="exact"/>
              <w:rPr>
                <w:sz w:val="20"/>
                <w:szCs w:val="20"/>
                <w:color w:val="auto"/>
              </w:rPr>
            </w:pPr>
            <w:r>
              <w:rPr>
                <w:rFonts w:ascii="Arial" w:cs="Arial" w:eastAsia="Arial" w:hAnsi="Arial"/>
                <w:sz w:val="14"/>
                <w:szCs w:val="14"/>
                <w:b w:val="1"/>
                <w:bCs w:val="1"/>
                <w:color w:val="auto"/>
              </w:rPr>
              <w:t>Cost</w:t>
            </w:r>
          </w:p>
        </w:tc>
        <w:tc>
          <w:tcPr>
            <w:tcW w:w="340" w:type="dxa"/>
            <w:vAlign w:val="bottom"/>
            <w:tcBorders>
              <w:top w:val="single" w:sz="8" w:color="auto"/>
            </w:tcBorders>
          </w:tcPr>
          <w:p>
            <w:pPr>
              <w:spacing w:after="0"/>
              <w:rPr>
                <w:sz w:val="13"/>
                <w:szCs w:val="13"/>
                <w:color w:val="auto"/>
              </w:rPr>
            </w:pPr>
          </w:p>
        </w:tc>
        <w:tc>
          <w:tcPr>
            <w:tcW w:w="1140" w:type="dxa"/>
            <w:vAlign w:val="bottom"/>
            <w:tcBorders>
              <w:top w:val="single" w:sz="8" w:color="auto"/>
            </w:tcBorders>
          </w:tcPr>
          <w:p>
            <w:pPr>
              <w:jc w:val="right"/>
              <w:ind w:right="348"/>
              <w:spacing w:after="0" w:line="155" w:lineRule="exact"/>
              <w:rPr>
                <w:sz w:val="20"/>
                <w:szCs w:val="20"/>
                <w:color w:val="auto"/>
              </w:rPr>
            </w:pPr>
            <w:r>
              <w:rPr>
                <w:rFonts w:ascii="Arial" w:cs="Arial" w:eastAsia="Arial" w:hAnsi="Arial"/>
                <w:sz w:val="14"/>
                <w:szCs w:val="14"/>
                <w:b w:val="1"/>
                <w:bCs w:val="1"/>
                <w:color w:val="auto"/>
              </w:rPr>
              <w:t>Fair Value</w:t>
            </w:r>
          </w:p>
        </w:tc>
        <w:tc>
          <w:tcPr>
            <w:tcW w:w="260" w:type="dxa"/>
            <w:vAlign w:val="bottom"/>
          </w:tcPr>
          <w:p>
            <w:pPr>
              <w:spacing w:after="0"/>
              <w:rPr>
                <w:sz w:val="13"/>
                <w:szCs w:val="13"/>
                <w:color w:val="auto"/>
              </w:rPr>
            </w:pPr>
          </w:p>
        </w:tc>
        <w:tc>
          <w:tcPr>
            <w:tcW w:w="340" w:type="dxa"/>
            <w:vAlign w:val="bottom"/>
            <w:tcBorders>
              <w:top w:val="single" w:sz="8" w:color="auto"/>
            </w:tcBorders>
          </w:tcPr>
          <w:p>
            <w:pPr>
              <w:spacing w:after="0"/>
              <w:rPr>
                <w:sz w:val="13"/>
                <w:szCs w:val="13"/>
                <w:color w:val="auto"/>
              </w:rPr>
            </w:pPr>
          </w:p>
        </w:tc>
        <w:tc>
          <w:tcPr>
            <w:tcW w:w="1400" w:type="dxa"/>
            <w:vAlign w:val="bottom"/>
            <w:tcBorders>
              <w:top w:val="single" w:sz="8" w:color="auto"/>
            </w:tcBorders>
            <w:gridSpan w:val="2"/>
          </w:tcPr>
          <w:p>
            <w:pPr>
              <w:ind w:left="260"/>
              <w:spacing w:after="0" w:line="155" w:lineRule="exact"/>
              <w:rPr>
                <w:sz w:val="20"/>
                <w:szCs w:val="20"/>
                <w:color w:val="auto"/>
              </w:rPr>
            </w:pPr>
            <w:r>
              <w:rPr>
                <w:rFonts w:ascii="Arial" w:cs="Arial" w:eastAsia="Arial" w:hAnsi="Arial"/>
                <w:sz w:val="14"/>
                <w:szCs w:val="14"/>
                <w:b w:val="1"/>
                <w:bCs w:val="1"/>
                <w:color w:val="auto"/>
              </w:rPr>
              <w:t>Cost</w:t>
            </w:r>
          </w:p>
        </w:tc>
        <w:tc>
          <w:tcPr>
            <w:tcW w:w="240" w:type="dxa"/>
            <w:vAlign w:val="bottom"/>
            <w:tcBorders>
              <w:top w:val="single" w:sz="8" w:color="auto"/>
            </w:tcBorders>
          </w:tcPr>
          <w:p>
            <w:pPr>
              <w:spacing w:after="0"/>
              <w:rPr>
                <w:sz w:val="13"/>
                <w:szCs w:val="13"/>
                <w:color w:val="auto"/>
              </w:rPr>
            </w:pPr>
          </w:p>
        </w:tc>
        <w:tc>
          <w:tcPr>
            <w:tcW w:w="1240" w:type="dxa"/>
            <w:vAlign w:val="bottom"/>
            <w:tcBorders>
              <w:top w:val="single" w:sz="8" w:color="auto"/>
            </w:tcBorders>
          </w:tcPr>
          <w:p>
            <w:pPr>
              <w:jc w:val="right"/>
              <w:ind w:right="348"/>
              <w:spacing w:after="0" w:line="155" w:lineRule="exact"/>
              <w:rPr>
                <w:sz w:val="20"/>
                <w:szCs w:val="20"/>
                <w:color w:val="auto"/>
              </w:rPr>
            </w:pPr>
            <w:r>
              <w:rPr>
                <w:rFonts w:ascii="Arial" w:cs="Arial" w:eastAsia="Arial" w:hAnsi="Arial"/>
                <w:sz w:val="14"/>
                <w:szCs w:val="14"/>
                <w:b w:val="1"/>
                <w:bCs w:val="1"/>
                <w:color w:val="auto"/>
              </w:rPr>
              <w:t>Fair Value</w:t>
            </w:r>
          </w:p>
        </w:tc>
        <w:tc>
          <w:tcPr>
            <w:tcW w:w="1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6"/>
        </w:trPr>
        <w:tc>
          <w:tcPr>
            <w:tcW w:w="4260" w:type="dxa"/>
            <w:vAlign w:val="bottom"/>
            <w:tcBorders>
              <w:top w:val="single" w:sz="8" w:color="auto"/>
            </w:tcBorders>
            <w:shd w:val="clear" w:color="auto" w:fill="CCECFF"/>
          </w:tcPr>
          <w:p>
            <w:pPr>
              <w:spacing w:after="0" w:line="155" w:lineRule="exact"/>
              <w:rPr>
                <w:sz w:val="20"/>
                <w:szCs w:val="20"/>
                <w:color w:val="auto"/>
              </w:rPr>
            </w:pPr>
            <w:r>
              <w:rPr>
                <w:rFonts w:ascii="Arial" w:cs="Arial" w:eastAsia="Arial" w:hAnsi="Arial"/>
                <w:sz w:val="14"/>
                <w:szCs w:val="14"/>
                <w:color w:val="auto"/>
              </w:rPr>
              <w:t>First lien</w:t>
            </w:r>
          </w:p>
        </w:tc>
        <w:tc>
          <w:tcPr>
            <w:tcW w:w="160" w:type="dxa"/>
            <w:vAlign w:val="bottom"/>
            <w:tcBorders>
              <w:top w:val="single" w:sz="8" w:color="CCECFF"/>
            </w:tcBorders>
            <w:shd w:val="clear" w:color="auto" w:fill="CCECFF"/>
          </w:tcPr>
          <w:p>
            <w:pPr>
              <w:spacing w:after="0"/>
              <w:rPr>
                <w:sz w:val="13"/>
                <w:szCs w:val="13"/>
                <w:color w:val="auto"/>
              </w:rPr>
            </w:pPr>
          </w:p>
        </w:tc>
        <w:tc>
          <w:tcPr>
            <w:tcW w:w="340" w:type="dxa"/>
            <w:vAlign w:val="bottom"/>
            <w:tcBorders>
              <w:top w:val="single" w:sz="8" w:color="auto"/>
            </w:tcBorders>
            <w:shd w:val="clear" w:color="auto" w:fill="CCECFF"/>
          </w:tcPr>
          <w:p>
            <w:pPr>
              <w:jc w:val="right"/>
              <w:ind w:right="188"/>
              <w:spacing w:after="0" w:line="155" w:lineRule="exact"/>
              <w:rPr>
                <w:sz w:val="20"/>
                <w:szCs w:val="20"/>
                <w:color w:val="auto"/>
              </w:rPr>
            </w:pPr>
            <w:r>
              <w:rPr>
                <w:rFonts w:ascii="Arial" w:cs="Arial" w:eastAsia="Arial" w:hAnsi="Arial"/>
                <w:sz w:val="14"/>
                <w:szCs w:val="14"/>
                <w:color w:val="auto"/>
                <w:w w:val="76"/>
              </w:rPr>
              <w:t>$</w:t>
            </w:r>
          </w:p>
        </w:tc>
        <w:tc>
          <w:tcPr>
            <w:tcW w:w="1140" w:type="dxa"/>
            <w:vAlign w:val="bottom"/>
            <w:tcBorders>
              <w:top w:val="single" w:sz="8" w:color="auto"/>
            </w:tcBorders>
            <w:shd w:val="clear" w:color="auto" w:fill="CCECFF"/>
          </w:tcPr>
          <w:p>
            <w:pPr>
              <w:jc w:val="right"/>
              <w:spacing w:after="0" w:line="155" w:lineRule="exact"/>
              <w:rPr>
                <w:sz w:val="20"/>
                <w:szCs w:val="20"/>
                <w:color w:val="auto"/>
              </w:rPr>
            </w:pPr>
            <w:r>
              <w:rPr>
                <w:rFonts w:ascii="Arial" w:cs="Arial" w:eastAsia="Arial" w:hAnsi="Arial"/>
                <w:sz w:val="14"/>
                <w:szCs w:val="14"/>
                <w:color w:val="auto"/>
              </w:rPr>
              <w:t>480,692,390</w:t>
            </w:r>
          </w:p>
        </w:tc>
        <w:tc>
          <w:tcPr>
            <w:tcW w:w="260" w:type="dxa"/>
            <w:vAlign w:val="bottom"/>
            <w:tcBorders>
              <w:top w:val="single" w:sz="8" w:color="CCECFF"/>
            </w:tcBorders>
            <w:shd w:val="clear" w:color="auto" w:fill="CCECFF"/>
          </w:tcPr>
          <w:p>
            <w:pPr>
              <w:spacing w:after="0"/>
              <w:rPr>
                <w:sz w:val="13"/>
                <w:szCs w:val="13"/>
                <w:color w:val="auto"/>
              </w:rPr>
            </w:pPr>
          </w:p>
        </w:tc>
        <w:tc>
          <w:tcPr>
            <w:tcW w:w="340" w:type="dxa"/>
            <w:vAlign w:val="bottom"/>
            <w:tcBorders>
              <w:top w:val="single" w:sz="8" w:color="auto"/>
            </w:tcBorders>
            <w:shd w:val="clear" w:color="auto" w:fill="CCECFF"/>
          </w:tcPr>
          <w:p>
            <w:pPr>
              <w:jc w:val="right"/>
              <w:ind w:right="188"/>
              <w:spacing w:after="0" w:line="155" w:lineRule="exact"/>
              <w:rPr>
                <w:sz w:val="20"/>
                <w:szCs w:val="20"/>
                <w:color w:val="auto"/>
              </w:rPr>
            </w:pPr>
            <w:r>
              <w:rPr>
                <w:rFonts w:ascii="Arial" w:cs="Arial" w:eastAsia="Arial" w:hAnsi="Arial"/>
                <w:sz w:val="14"/>
                <w:szCs w:val="14"/>
                <w:color w:val="auto"/>
                <w:w w:val="76"/>
              </w:rPr>
              <w:t>$</w:t>
            </w:r>
          </w:p>
        </w:tc>
        <w:tc>
          <w:tcPr>
            <w:tcW w:w="1140" w:type="dxa"/>
            <w:vAlign w:val="bottom"/>
            <w:tcBorders>
              <w:top w:val="single" w:sz="8" w:color="auto"/>
            </w:tcBorders>
            <w:shd w:val="clear" w:color="auto" w:fill="CCECFF"/>
          </w:tcPr>
          <w:p>
            <w:pPr>
              <w:jc w:val="right"/>
              <w:spacing w:after="0" w:line="155" w:lineRule="exact"/>
              <w:rPr>
                <w:sz w:val="20"/>
                <w:szCs w:val="20"/>
                <w:color w:val="auto"/>
              </w:rPr>
            </w:pPr>
            <w:r>
              <w:rPr>
                <w:rFonts w:ascii="Arial" w:cs="Arial" w:eastAsia="Arial" w:hAnsi="Arial"/>
                <w:sz w:val="14"/>
                <w:szCs w:val="14"/>
                <w:color w:val="auto"/>
              </w:rPr>
              <w:t>464,485,025</w:t>
            </w:r>
          </w:p>
        </w:tc>
        <w:tc>
          <w:tcPr>
            <w:tcW w:w="260" w:type="dxa"/>
            <w:vAlign w:val="bottom"/>
            <w:tcBorders>
              <w:top w:val="single" w:sz="8" w:color="CCECFF"/>
            </w:tcBorders>
            <w:shd w:val="clear" w:color="auto" w:fill="CCECFF"/>
          </w:tcPr>
          <w:p>
            <w:pPr>
              <w:spacing w:after="0"/>
              <w:rPr>
                <w:sz w:val="13"/>
                <w:szCs w:val="13"/>
                <w:color w:val="auto"/>
              </w:rPr>
            </w:pPr>
          </w:p>
        </w:tc>
        <w:tc>
          <w:tcPr>
            <w:tcW w:w="340" w:type="dxa"/>
            <w:vAlign w:val="bottom"/>
            <w:tcBorders>
              <w:top w:val="single" w:sz="8" w:color="auto"/>
            </w:tcBorders>
            <w:shd w:val="clear" w:color="auto" w:fill="CCECFF"/>
          </w:tcPr>
          <w:p>
            <w:pPr>
              <w:jc w:val="right"/>
              <w:ind w:right="188"/>
              <w:spacing w:after="0" w:line="155" w:lineRule="exact"/>
              <w:rPr>
                <w:sz w:val="20"/>
                <w:szCs w:val="20"/>
                <w:color w:val="auto"/>
              </w:rPr>
            </w:pPr>
            <w:r>
              <w:rPr>
                <w:rFonts w:ascii="Arial" w:cs="Arial" w:eastAsia="Arial" w:hAnsi="Arial"/>
                <w:sz w:val="14"/>
                <w:szCs w:val="14"/>
                <w:color w:val="auto"/>
                <w:w w:val="76"/>
              </w:rPr>
              <w:t>$</w:t>
            </w:r>
          </w:p>
        </w:tc>
        <w:tc>
          <w:tcPr>
            <w:tcW w:w="1140" w:type="dxa"/>
            <w:vAlign w:val="bottom"/>
            <w:tcBorders>
              <w:top w:val="single" w:sz="8" w:color="auto"/>
            </w:tcBorders>
            <w:shd w:val="clear" w:color="auto" w:fill="CCECFF"/>
          </w:tcPr>
          <w:p>
            <w:pPr>
              <w:jc w:val="right"/>
              <w:spacing w:after="0" w:line="155" w:lineRule="exact"/>
              <w:rPr>
                <w:sz w:val="20"/>
                <w:szCs w:val="20"/>
                <w:color w:val="auto"/>
              </w:rPr>
            </w:pPr>
            <w:r>
              <w:rPr>
                <w:rFonts w:ascii="Arial" w:cs="Arial" w:eastAsia="Arial" w:hAnsi="Arial"/>
                <w:sz w:val="14"/>
                <w:szCs w:val="14"/>
                <w:color w:val="auto"/>
              </w:rPr>
              <w:t>418,873,576</w:t>
            </w:r>
          </w:p>
        </w:tc>
        <w:tc>
          <w:tcPr>
            <w:tcW w:w="260" w:type="dxa"/>
            <w:vAlign w:val="bottom"/>
            <w:tcBorders>
              <w:top w:val="single" w:sz="8" w:color="CCECFF"/>
            </w:tcBorders>
            <w:shd w:val="clear" w:color="auto" w:fill="CCECFF"/>
          </w:tcPr>
          <w:p>
            <w:pPr>
              <w:spacing w:after="0"/>
              <w:rPr>
                <w:sz w:val="13"/>
                <w:szCs w:val="13"/>
                <w:color w:val="auto"/>
              </w:rPr>
            </w:pPr>
          </w:p>
        </w:tc>
        <w:tc>
          <w:tcPr>
            <w:tcW w:w="240" w:type="dxa"/>
            <w:vAlign w:val="bottom"/>
            <w:tcBorders>
              <w:top w:val="single" w:sz="8" w:color="auto"/>
            </w:tcBorders>
            <w:shd w:val="clear" w:color="auto" w:fill="CCECFF"/>
          </w:tcPr>
          <w:p>
            <w:pPr>
              <w:jc w:val="right"/>
              <w:ind w:right="88"/>
              <w:spacing w:after="0" w:line="155" w:lineRule="exact"/>
              <w:rPr>
                <w:sz w:val="20"/>
                <w:szCs w:val="20"/>
                <w:color w:val="auto"/>
              </w:rPr>
            </w:pPr>
            <w:r>
              <w:rPr>
                <w:rFonts w:ascii="Arial" w:cs="Arial" w:eastAsia="Arial" w:hAnsi="Arial"/>
                <w:sz w:val="14"/>
                <w:szCs w:val="14"/>
                <w:color w:val="auto"/>
                <w:w w:val="76"/>
              </w:rPr>
              <w:t>$</w:t>
            </w:r>
          </w:p>
        </w:tc>
        <w:tc>
          <w:tcPr>
            <w:tcW w:w="1240" w:type="dxa"/>
            <w:vAlign w:val="bottom"/>
            <w:tcBorders>
              <w:top w:val="single" w:sz="8" w:color="auto"/>
            </w:tcBorders>
            <w:shd w:val="clear" w:color="auto" w:fill="CCECFF"/>
          </w:tcPr>
          <w:p>
            <w:pPr>
              <w:jc w:val="right"/>
              <w:spacing w:after="0" w:line="155" w:lineRule="exact"/>
              <w:rPr>
                <w:sz w:val="20"/>
                <w:szCs w:val="20"/>
                <w:color w:val="auto"/>
              </w:rPr>
            </w:pPr>
            <w:r>
              <w:rPr>
                <w:rFonts w:ascii="Arial" w:cs="Arial" w:eastAsia="Arial" w:hAnsi="Arial"/>
                <w:sz w:val="14"/>
                <w:szCs w:val="14"/>
                <w:color w:val="auto"/>
              </w:rPr>
              <w:t>397,102,721</w:t>
            </w:r>
          </w:p>
        </w:tc>
        <w:tc>
          <w:tcPr>
            <w:tcW w:w="120" w:type="dxa"/>
            <w:vAlign w:val="bottom"/>
            <w:tcBorders>
              <w:top w:val="single" w:sz="8" w:color="CCECFF"/>
            </w:tcBorders>
            <w:shd w:val="clear" w:color="auto" w:fill="CCECFF"/>
          </w:tcPr>
          <w:p>
            <w:pPr>
              <w:spacing w:after="0"/>
              <w:rPr>
                <w:sz w:val="13"/>
                <w:szCs w:val="13"/>
                <w:color w:val="auto"/>
              </w:rPr>
            </w:pPr>
          </w:p>
        </w:tc>
        <w:tc>
          <w:tcPr>
            <w:tcW w:w="0" w:type="dxa"/>
            <w:vAlign w:val="bottom"/>
          </w:tcPr>
          <w:p>
            <w:pPr>
              <w:spacing w:after="0"/>
              <w:rPr>
                <w:sz w:val="1"/>
                <w:szCs w:val="1"/>
                <w:color w:val="auto"/>
              </w:rPr>
            </w:pPr>
          </w:p>
        </w:tc>
      </w:tr>
      <w:tr>
        <w:trPr>
          <w:trHeight w:val="162"/>
        </w:trPr>
        <w:tc>
          <w:tcPr>
            <w:tcW w:w="4260" w:type="dxa"/>
            <w:vAlign w:val="bottom"/>
          </w:tcPr>
          <w:p>
            <w:pPr>
              <w:spacing w:after="0"/>
              <w:rPr>
                <w:sz w:val="20"/>
                <w:szCs w:val="20"/>
                <w:color w:val="auto"/>
              </w:rPr>
            </w:pPr>
            <w:r>
              <w:rPr>
                <w:rFonts w:ascii="Arial" w:cs="Arial" w:eastAsia="Arial" w:hAnsi="Arial"/>
                <w:sz w:val="14"/>
                <w:szCs w:val="14"/>
                <w:color w:val="auto"/>
              </w:rPr>
              <w:t>Second lien</w:t>
            </w:r>
          </w:p>
        </w:tc>
        <w:tc>
          <w:tcPr>
            <w:tcW w:w="16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140" w:type="dxa"/>
            <w:vAlign w:val="bottom"/>
          </w:tcPr>
          <w:p>
            <w:pPr>
              <w:jc w:val="right"/>
              <w:spacing w:after="0"/>
              <w:rPr>
                <w:sz w:val="20"/>
                <w:szCs w:val="20"/>
                <w:color w:val="auto"/>
              </w:rPr>
            </w:pPr>
            <w:r>
              <w:rPr>
                <w:rFonts w:ascii="Arial" w:cs="Arial" w:eastAsia="Arial" w:hAnsi="Arial"/>
                <w:sz w:val="14"/>
                <w:szCs w:val="14"/>
                <w:color w:val="auto"/>
              </w:rPr>
              <w:t>381,239,495</w:t>
            </w:r>
          </w:p>
        </w:tc>
        <w:tc>
          <w:tcPr>
            <w:tcW w:w="26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140" w:type="dxa"/>
            <w:vAlign w:val="bottom"/>
          </w:tcPr>
          <w:p>
            <w:pPr>
              <w:jc w:val="right"/>
              <w:spacing w:after="0"/>
              <w:rPr>
                <w:sz w:val="20"/>
                <w:szCs w:val="20"/>
                <w:color w:val="auto"/>
              </w:rPr>
            </w:pPr>
            <w:r>
              <w:rPr>
                <w:rFonts w:ascii="Arial" w:cs="Arial" w:eastAsia="Arial" w:hAnsi="Arial"/>
                <w:sz w:val="14"/>
                <w:szCs w:val="14"/>
                <w:color w:val="auto"/>
              </w:rPr>
              <w:t>384,979,108</w:t>
            </w:r>
          </w:p>
        </w:tc>
        <w:tc>
          <w:tcPr>
            <w:tcW w:w="26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140" w:type="dxa"/>
            <w:vAlign w:val="bottom"/>
          </w:tcPr>
          <w:p>
            <w:pPr>
              <w:jc w:val="right"/>
              <w:spacing w:after="0"/>
              <w:rPr>
                <w:sz w:val="20"/>
                <w:szCs w:val="20"/>
                <w:color w:val="auto"/>
              </w:rPr>
            </w:pPr>
            <w:r>
              <w:rPr>
                <w:rFonts w:ascii="Arial" w:cs="Arial" w:eastAsia="Arial" w:hAnsi="Arial"/>
                <w:sz w:val="14"/>
                <w:szCs w:val="14"/>
                <w:color w:val="auto"/>
              </w:rPr>
              <w:t>451,756,995</w:t>
            </w:r>
          </w:p>
        </w:tc>
        <w:tc>
          <w:tcPr>
            <w:tcW w:w="2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240" w:type="dxa"/>
            <w:vAlign w:val="bottom"/>
          </w:tcPr>
          <w:p>
            <w:pPr>
              <w:jc w:val="right"/>
              <w:spacing w:after="0"/>
              <w:rPr>
                <w:sz w:val="20"/>
                <w:szCs w:val="20"/>
                <w:color w:val="auto"/>
              </w:rPr>
            </w:pPr>
            <w:r>
              <w:rPr>
                <w:rFonts w:ascii="Arial" w:cs="Arial" w:eastAsia="Arial" w:hAnsi="Arial"/>
                <w:sz w:val="14"/>
                <w:szCs w:val="14"/>
                <w:color w:val="auto"/>
              </w:rPr>
              <w:t>425,412,443</w:t>
            </w: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4260" w:type="dxa"/>
            <w:vAlign w:val="bottom"/>
            <w:shd w:val="clear" w:color="auto" w:fill="CCECFF"/>
          </w:tcPr>
          <w:p>
            <w:pPr>
              <w:spacing w:after="0"/>
              <w:rPr>
                <w:sz w:val="20"/>
                <w:szCs w:val="20"/>
                <w:color w:val="auto"/>
              </w:rPr>
            </w:pPr>
            <w:r>
              <w:rPr>
                <w:rFonts w:ascii="Arial" w:cs="Arial" w:eastAsia="Arial" w:hAnsi="Arial"/>
                <w:sz w:val="14"/>
                <w:szCs w:val="14"/>
                <w:color w:val="auto"/>
              </w:rPr>
              <w:t>Subordinated debt / corporate notes</w:t>
            </w:r>
          </w:p>
        </w:tc>
        <w:tc>
          <w:tcPr>
            <w:tcW w:w="160" w:type="dxa"/>
            <w:vAlign w:val="bottom"/>
            <w:shd w:val="clear" w:color="auto" w:fill="CCECFF"/>
          </w:tcPr>
          <w:p>
            <w:pPr>
              <w:spacing w:after="0"/>
              <w:rPr>
                <w:sz w:val="14"/>
                <w:szCs w:val="14"/>
                <w:color w:val="auto"/>
              </w:rPr>
            </w:pPr>
          </w:p>
        </w:tc>
        <w:tc>
          <w:tcPr>
            <w:tcW w:w="340" w:type="dxa"/>
            <w:vAlign w:val="bottom"/>
            <w:shd w:val="clear" w:color="auto" w:fill="CCECFF"/>
          </w:tcPr>
          <w:p>
            <w:pPr>
              <w:spacing w:after="0"/>
              <w:rPr>
                <w:sz w:val="14"/>
                <w:szCs w:val="14"/>
                <w:color w:val="auto"/>
              </w:rPr>
            </w:pPr>
          </w:p>
        </w:tc>
        <w:tc>
          <w:tcPr>
            <w:tcW w:w="1140" w:type="dxa"/>
            <w:vAlign w:val="bottom"/>
            <w:shd w:val="clear" w:color="auto" w:fill="CCECFF"/>
          </w:tcPr>
          <w:p>
            <w:pPr>
              <w:jc w:val="right"/>
              <w:spacing w:after="0"/>
              <w:rPr>
                <w:sz w:val="20"/>
                <w:szCs w:val="20"/>
                <w:color w:val="auto"/>
              </w:rPr>
            </w:pPr>
            <w:r>
              <w:rPr>
                <w:rFonts w:ascii="Arial" w:cs="Arial" w:eastAsia="Arial" w:hAnsi="Arial"/>
                <w:sz w:val="14"/>
                <w:szCs w:val="14"/>
                <w:color w:val="auto"/>
              </w:rPr>
              <w:t>115,622,899</w:t>
            </w:r>
          </w:p>
        </w:tc>
        <w:tc>
          <w:tcPr>
            <w:tcW w:w="260" w:type="dxa"/>
            <w:vAlign w:val="bottom"/>
            <w:shd w:val="clear" w:color="auto" w:fill="CCECFF"/>
          </w:tcPr>
          <w:p>
            <w:pPr>
              <w:spacing w:after="0"/>
              <w:rPr>
                <w:sz w:val="14"/>
                <w:szCs w:val="14"/>
                <w:color w:val="auto"/>
              </w:rPr>
            </w:pPr>
          </w:p>
        </w:tc>
        <w:tc>
          <w:tcPr>
            <w:tcW w:w="340" w:type="dxa"/>
            <w:vAlign w:val="bottom"/>
            <w:shd w:val="clear" w:color="auto" w:fill="CCECFF"/>
          </w:tcPr>
          <w:p>
            <w:pPr>
              <w:spacing w:after="0"/>
              <w:rPr>
                <w:sz w:val="14"/>
                <w:szCs w:val="14"/>
                <w:color w:val="auto"/>
              </w:rPr>
            </w:pPr>
          </w:p>
        </w:tc>
        <w:tc>
          <w:tcPr>
            <w:tcW w:w="1140" w:type="dxa"/>
            <w:vAlign w:val="bottom"/>
            <w:shd w:val="clear" w:color="auto" w:fill="CCECFF"/>
          </w:tcPr>
          <w:p>
            <w:pPr>
              <w:jc w:val="right"/>
              <w:spacing w:after="0"/>
              <w:rPr>
                <w:sz w:val="20"/>
                <w:szCs w:val="20"/>
                <w:color w:val="auto"/>
              </w:rPr>
            </w:pPr>
            <w:r>
              <w:rPr>
                <w:rFonts w:ascii="Arial" w:cs="Arial" w:eastAsia="Arial" w:hAnsi="Arial"/>
                <w:sz w:val="14"/>
                <w:szCs w:val="14"/>
                <w:color w:val="auto"/>
              </w:rPr>
              <w:t>120,947,095</w:t>
            </w:r>
          </w:p>
        </w:tc>
        <w:tc>
          <w:tcPr>
            <w:tcW w:w="260" w:type="dxa"/>
            <w:vAlign w:val="bottom"/>
            <w:shd w:val="clear" w:color="auto" w:fill="CCECFF"/>
          </w:tcPr>
          <w:p>
            <w:pPr>
              <w:spacing w:after="0"/>
              <w:rPr>
                <w:sz w:val="14"/>
                <w:szCs w:val="14"/>
                <w:color w:val="auto"/>
              </w:rPr>
            </w:pPr>
          </w:p>
        </w:tc>
        <w:tc>
          <w:tcPr>
            <w:tcW w:w="340" w:type="dxa"/>
            <w:vAlign w:val="bottom"/>
            <w:shd w:val="clear" w:color="auto" w:fill="CCECFF"/>
          </w:tcPr>
          <w:p>
            <w:pPr>
              <w:spacing w:after="0"/>
              <w:rPr>
                <w:sz w:val="14"/>
                <w:szCs w:val="14"/>
                <w:color w:val="auto"/>
              </w:rPr>
            </w:pPr>
          </w:p>
        </w:tc>
        <w:tc>
          <w:tcPr>
            <w:tcW w:w="1140" w:type="dxa"/>
            <w:vAlign w:val="bottom"/>
            <w:shd w:val="clear" w:color="auto" w:fill="CCECFF"/>
          </w:tcPr>
          <w:p>
            <w:pPr>
              <w:jc w:val="right"/>
              <w:spacing w:after="0"/>
              <w:rPr>
                <w:sz w:val="20"/>
                <w:szCs w:val="20"/>
                <w:color w:val="auto"/>
              </w:rPr>
            </w:pPr>
            <w:r>
              <w:rPr>
                <w:rFonts w:ascii="Arial" w:cs="Arial" w:eastAsia="Arial" w:hAnsi="Arial"/>
                <w:sz w:val="14"/>
                <w:szCs w:val="14"/>
                <w:color w:val="auto"/>
              </w:rPr>
              <w:t>189,453,101</w:t>
            </w:r>
          </w:p>
        </w:tc>
        <w:tc>
          <w:tcPr>
            <w:tcW w:w="260" w:type="dxa"/>
            <w:vAlign w:val="bottom"/>
            <w:shd w:val="clear" w:color="auto" w:fill="CCECFF"/>
          </w:tcPr>
          <w:p>
            <w:pPr>
              <w:spacing w:after="0"/>
              <w:rPr>
                <w:sz w:val="14"/>
                <w:szCs w:val="14"/>
                <w:color w:val="auto"/>
              </w:rPr>
            </w:pPr>
          </w:p>
        </w:tc>
        <w:tc>
          <w:tcPr>
            <w:tcW w:w="240" w:type="dxa"/>
            <w:vAlign w:val="bottom"/>
            <w:shd w:val="clear" w:color="auto" w:fill="CCECFF"/>
          </w:tcPr>
          <w:p>
            <w:pPr>
              <w:spacing w:after="0"/>
              <w:rPr>
                <w:sz w:val="14"/>
                <w:szCs w:val="14"/>
                <w:color w:val="auto"/>
              </w:rPr>
            </w:pPr>
          </w:p>
        </w:tc>
        <w:tc>
          <w:tcPr>
            <w:tcW w:w="1240" w:type="dxa"/>
            <w:vAlign w:val="bottom"/>
            <w:shd w:val="clear" w:color="auto" w:fill="CCECFF"/>
          </w:tcPr>
          <w:p>
            <w:pPr>
              <w:jc w:val="right"/>
              <w:spacing w:after="0"/>
              <w:rPr>
                <w:sz w:val="20"/>
                <w:szCs w:val="20"/>
                <w:color w:val="auto"/>
              </w:rPr>
            </w:pPr>
            <w:r>
              <w:rPr>
                <w:rFonts w:ascii="Arial" w:cs="Arial" w:eastAsia="Arial" w:hAnsi="Arial"/>
                <w:sz w:val="14"/>
                <w:szCs w:val="14"/>
                <w:color w:val="auto"/>
              </w:rPr>
              <w:t>177,631,517</w:t>
            </w:r>
          </w:p>
        </w:tc>
        <w:tc>
          <w:tcPr>
            <w:tcW w:w="120" w:type="dxa"/>
            <w:vAlign w:val="bottom"/>
            <w:shd w:val="clear" w:color="auto" w:fill="CCECFF"/>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4260" w:type="dxa"/>
            <w:vAlign w:val="bottom"/>
            <w:tcBorders>
              <w:bottom w:val="single" w:sz="8" w:color="CCECFF"/>
            </w:tcBorders>
          </w:tcPr>
          <w:p>
            <w:pPr>
              <w:spacing w:after="0"/>
              <w:rPr>
                <w:sz w:val="20"/>
                <w:szCs w:val="20"/>
                <w:color w:val="auto"/>
              </w:rPr>
            </w:pPr>
            <w:r>
              <w:rPr>
                <w:rFonts w:ascii="Arial" w:cs="Arial" w:eastAsia="Arial" w:hAnsi="Arial"/>
                <w:sz w:val="14"/>
                <w:szCs w:val="14"/>
                <w:color w:val="auto"/>
              </w:rPr>
              <w:t>Equity</w:t>
            </w:r>
          </w:p>
        </w:tc>
        <w:tc>
          <w:tcPr>
            <w:tcW w:w="160" w:type="dxa"/>
            <w:vAlign w:val="bottom"/>
            <w:tcBorders>
              <w:bottom w:val="single" w:sz="8" w:color="CCECFF"/>
            </w:tcBorders>
          </w:tcPr>
          <w:p>
            <w:pPr>
              <w:spacing w:after="0"/>
              <w:rPr>
                <w:sz w:val="14"/>
                <w:szCs w:val="14"/>
                <w:color w:val="auto"/>
              </w:rPr>
            </w:pPr>
          </w:p>
        </w:tc>
        <w:tc>
          <w:tcPr>
            <w:tcW w:w="340" w:type="dxa"/>
            <w:vAlign w:val="bottom"/>
            <w:tcBorders>
              <w:bottom w:val="single" w:sz="8" w:color="auto"/>
            </w:tcBorders>
          </w:tcPr>
          <w:p>
            <w:pPr>
              <w:spacing w:after="0"/>
              <w:rPr>
                <w:sz w:val="14"/>
                <w:szCs w:val="14"/>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177,919,476</w:t>
            </w:r>
          </w:p>
        </w:tc>
        <w:tc>
          <w:tcPr>
            <w:tcW w:w="260" w:type="dxa"/>
            <w:vAlign w:val="bottom"/>
            <w:tcBorders>
              <w:bottom w:val="single" w:sz="8" w:color="CCECFF"/>
            </w:tcBorders>
          </w:tcPr>
          <w:p>
            <w:pPr>
              <w:spacing w:after="0"/>
              <w:rPr>
                <w:sz w:val="14"/>
                <w:szCs w:val="14"/>
                <w:color w:val="auto"/>
              </w:rPr>
            </w:pPr>
          </w:p>
        </w:tc>
        <w:tc>
          <w:tcPr>
            <w:tcW w:w="340" w:type="dxa"/>
            <w:vAlign w:val="bottom"/>
            <w:tcBorders>
              <w:bottom w:val="single" w:sz="8" w:color="auto"/>
            </w:tcBorders>
          </w:tcPr>
          <w:p>
            <w:pPr>
              <w:spacing w:after="0"/>
              <w:rPr>
                <w:sz w:val="14"/>
                <w:szCs w:val="14"/>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128,513,032</w:t>
            </w:r>
          </w:p>
        </w:tc>
        <w:tc>
          <w:tcPr>
            <w:tcW w:w="260" w:type="dxa"/>
            <w:vAlign w:val="bottom"/>
            <w:tcBorders>
              <w:bottom w:val="single" w:sz="8" w:color="CCECFF"/>
            </w:tcBorders>
          </w:tcPr>
          <w:p>
            <w:pPr>
              <w:spacing w:after="0"/>
              <w:rPr>
                <w:sz w:val="14"/>
                <w:szCs w:val="14"/>
                <w:color w:val="auto"/>
              </w:rPr>
            </w:pPr>
          </w:p>
        </w:tc>
        <w:tc>
          <w:tcPr>
            <w:tcW w:w="340" w:type="dxa"/>
            <w:vAlign w:val="bottom"/>
            <w:tcBorders>
              <w:bottom w:val="single" w:sz="8" w:color="auto"/>
            </w:tcBorders>
          </w:tcPr>
          <w:p>
            <w:pPr>
              <w:spacing w:after="0"/>
              <w:rPr>
                <w:sz w:val="14"/>
                <w:szCs w:val="14"/>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193,873,474</w:t>
            </w:r>
          </w:p>
        </w:tc>
        <w:tc>
          <w:tcPr>
            <w:tcW w:w="260" w:type="dxa"/>
            <w:vAlign w:val="bottom"/>
            <w:tcBorders>
              <w:bottom w:val="single" w:sz="8" w:color="CCECFF"/>
            </w:tcBorders>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153,532,994</w:t>
            </w:r>
          </w:p>
        </w:tc>
        <w:tc>
          <w:tcPr>
            <w:tcW w:w="120" w:type="dxa"/>
            <w:vAlign w:val="bottom"/>
            <w:tcBorders>
              <w:bottom w:val="single" w:sz="8" w:color="CCECFF"/>
            </w:tcBorders>
          </w:tcPr>
          <w:p>
            <w:pPr>
              <w:spacing w:after="0"/>
              <w:rPr>
                <w:sz w:val="14"/>
                <w:szCs w:val="14"/>
                <w:color w:val="auto"/>
              </w:rPr>
            </w:pPr>
          </w:p>
        </w:tc>
        <w:tc>
          <w:tcPr>
            <w:tcW w:w="0" w:type="dxa"/>
            <w:vAlign w:val="bottom"/>
          </w:tcPr>
          <w:p>
            <w:pPr>
              <w:spacing w:after="0"/>
              <w:rPr>
                <w:sz w:val="1"/>
                <w:szCs w:val="1"/>
                <w:color w:val="auto"/>
              </w:rPr>
            </w:pPr>
          </w:p>
        </w:tc>
      </w:tr>
      <w:tr>
        <w:trPr>
          <w:trHeight w:val="155"/>
        </w:trPr>
        <w:tc>
          <w:tcPr>
            <w:tcW w:w="4260" w:type="dxa"/>
            <w:vAlign w:val="bottom"/>
            <w:shd w:val="clear" w:color="auto" w:fill="CCECFF"/>
          </w:tcPr>
          <w:p>
            <w:pPr>
              <w:spacing w:after="0" w:line="155" w:lineRule="exact"/>
              <w:rPr>
                <w:sz w:val="20"/>
                <w:szCs w:val="20"/>
                <w:color w:val="auto"/>
              </w:rPr>
            </w:pPr>
            <w:r>
              <w:rPr>
                <w:rFonts w:ascii="Arial" w:cs="Arial" w:eastAsia="Arial" w:hAnsi="Arial"/>
                <w:sz w:val="14"/>
                <w:szCs w:val="14"/>
                <w:color w:val="auto"/>
              </w:rPr>
              <w:t>Total investments</w:t>
            </w:r>
          </w:p>
        </w:tc>
        <w:tc>
          <w:tcPr>
            <w:tcW w:w="160" w:type="dxa"/>
            <w:vAlign w:val="bottom"/>
            <w:shd w:val="clear" w:color="auto" w:fill="CCECFF"/>
          </w:tcPr>
          <w:p>
            <w:pPr>
              <w:spacing w:after="0"/>
              <w:rPr>
                <w:sz w:val="13"/>
                <w:szCs w:val="13"/>
                <w:color w:val="auto"/>
              </w:rPr>
            </w:pPr>
          </w:p>
        </w:tc>
        <w:tc>
          <w:tcPr>
            <w:tcW w:w="340" w:type="dxa"/>
            <w:vAlign w:val="bottom"/>
            <w:tcBorders>
              <w:bottom w:val="single" w:sz="8" w:color="auto"/>
            </w:tcBorders>
            <w:shd w:val="clear" w:color="auto" w:fill="CCECFF"/>
          </w:tcPr>
          <w:p>
            <w:pPr>
              <w:spacing w:after="0"/>
              <w:rPr>
                <w:sz w:val="13"/>
                <w:szCs w:val="13"/>
                <w:color w:val="auto"/>
              </w:rPr>
            </w:pPr>
          </w:p>
        </w:tc>
        <w:tc>
          <w:tcPr>
            <w:tcW w:w="1140" w:type="dxa"/>
            <w:vAlign w:val="bottom"/>
            <w:tcBorders>
              <w:bottom w:val="single" w:sz="8" w:color="auto"/>
            </w:tcBorders>
            <w:shd w:val="clear" w:color="auto" w:fill="CCECFF"/>
          </w:tcPr>
          <w:p>
            <w:pPr>
              <w:jc w:val="right"/>
              <w:spacing w:after="0" w:line="155" w:lineRule="exact"/>
              <w:rPr>
                <w:sz w:val="20"/>
                <w:szCs w:val="20"/>
                <w:color w:val="auto"/>
              </w:rPr>
            </w:pPr>
            <w:r>
              <w:rPr>
                <w:rFonts w:ascii="Arial" w:cs="Arial" w:eastAsia="Arial" w:hAnsi="Arial"/>
                <w:sz w:val="14"/>
                <w:szCs w:val="14"/>
                <w:color w:val="auto"/>
              </w:rPr>
              <w:t>1,155,474,260</w:t>
            </w:r>
          </w:p>
        </w:tc>
        <w:tc>
          <w:tcPr>
            <w:tcW w:w="260" w:type="dxa"/>
            <w:vAlign w:val="bottom"/>
            <w:shd w:val="clear" w:color="auto" w:fill="CCECFF"/>
          </w:tcPr>
          <w:p>
            <w:pPr>
              <w:spacing w:after="0"/>
              <w:rPr>
                <w:sz w:val="13"/>
                <w:szCs w:val="13"/>
                <w:color w:val="auto"/>
              </w:rPr>
            </w:pPr>
          </w:p>
        </w:tc>
        <w:tc>
          <w:tcPr>
            <w:tcW w:w="340" w:type="dxa"/>
            <w:vAlign w:val="bottom"/>
            <w:tcBorders>
              <w:bottom w:val="single" w:sz="8" w:color="auto"/>
            </w:tcBorders>
            <w:shd w:val="clear" w:color="auto" w:fill="CCECFF"/>
          </w:tcPr>
          <w:p>
            <w:pPr>
              <w:spacing w:after="0"/>
              <w:rPr>
                <w:sz w:val="13"/>
                <w:szCs w:val="13"/>
                <w:color w:val="auto"/>
              </w:rPr>
            </w:pPr>
          </w:p>
        </w:tc>
        <w:tc>
          <w:tcPr>
            <w:tcW w:w="1140" w:type="dxa"/>
            <w:vAlign w:val="bottom"/>
            <w:tcBorders>
              <w:bottom w:val="single" w:sz="8" w:color="auto"/>
            </w:tcBorders>
            <w:shd w:val="clear" w:color="auto" w:fill="CCECFF"/>
          </w:tcPr>
          <w:p>
            <w:pPr>
              <w:jc w:val="right"/>
              <w:spacing w:after="0" w:line="155" w:lineRule="exact"/>
              <w:rPr>
                <w:sz w:val="20"/>
                <w:szCs w:val="20"/>
                <w:color w:val="auto"/>
              </w:rPr>
            </w:pPr>
            <w:r>
              <w:rPr>
                <w:rFonts w:ascii="Arial" w:cs="Arial" w:eastAsia="Arial" w:hAnsi="Arial"/>
                <w:sz w:val="14"/>
                <w:szCs w:val="14"/>
                <w:color w:val="auto"/>
              </w:rPr>
              <w:t>1,098,924,260</w:t>
            </w:r>
          </w:p>
        </w:tc>
        <w:tc>
          <w:tcPr>
            <w:tcW w:w="260" w:type="dxa"/>
            <w:vAlign w:val="bottom"/>
            <w:shd w:val="clear" w:color="auto" w:fill="CCECFF"/>
          </w:tcPr>
          <w:p>
            <w:pPr>
              <w:spacing w:after="0"/>
              <w:rPr>
                <w:sz w:val="13"/>
                <w:szCs w:val="13"/>
                <w:color w:val="auto"/>
              </w:rPr>
            </w:pPr>
          </w:p>
        </w:tc>
        <w:tc>
          <w:tcPr>
            <w:tcW w:w="340" w:type="dxa"/>
            <w:vAlign w:val="bottom"/>
            <w:tcBorders>
              <w:bottom w:val="single" w:sz="8" w:color="auto"/>
            </w:tcBorders>
            <w:shd w:val="clear" w:color="auto" w:fill="CCECFF"/>
          </w:tcPr>
          <w:p>
            <w:pPr>
              <w:spacing w:after="0"/>
              <w:rPr>
                <w:sz w:val="13"/>
                <w:szCs w:val="13"/>
                <w:color w:val="auto"/>
              </w:rPr>
            </w:pPr>
          </w:p>
        </w:tc>
        <w:tc>
          <w:tcPr>
            <w:tcW w:w="1140" w:type="dxa"/>
            <w:vAlign w:val="bottom"/>
            <w:tcBorders>
              <w:bottom w:val="single" w:sz="8" w:color="auto"/>
            </w:tcBorders>
            <w:shd w:val="clear" w:color="auto" w:fill="CCECFF"/>
          </w:tcPr>
          <w:p>
            <w:pPr>
              <w:jc w:val="right"/>
              <w:spacing w:after="0" w:line="155" w:lineRule="exact"/>
              <w:rPr>
                <w:sz w:val="20"/>
                <w:szCs w:val="20"/>
                <w:color w:val="auto"/>
              </w:rPr>
            </w:pPr>
            <w:r>
              <w:rPr>
                <w:rFonts w:ascii="Arial" w:cs="Arial" w:eastAsia="Arial" w:hAnsi="Arial"/>
                <w:sz w:val="14"/>
                <w:szCs w:val="14"/>
                <w:color w:val="auto"/>
              </w:rPr>
              <w:t>1,253,957,146</w:t>
            </w:r>
          </w:p>
        </w:tc>
        <w:tc>
          <w:tcPr>
            <w:tcW w:w="260" w:type="dxa"/>
            <w:vAlign w:val="bottom"/>
            <w:shd w:val="clear" w:color="auto" w:fill="CCECFF"/>
          </w:tcPr>
          <w:p>
            <w:pPr>
              <w:spacing w:after="0"/>
              <w:rPr>
                <w:sz w:val="13"/>
                <w:szCs w:val="13"/>
                <w:color w:val="auto"/>
              </w:rPr>
            </w:pPr>
          </w:p>
        </w:tc>
        <w:tc>
          <w:tcPr>
            <w:tcW w:w="240" w:type="dxa"/>
            <w:vAlign w:val="bottom"/>
            <w:tcBorders>
              <w:bottom w:val="single" w:sz="8" w:color="auto"/>
            </w:tcBorders>
            <w:shd w:val="clear" w:color="auto" w:fill="CCECFF"/>
          </w:tcPr>
          <w:p>
            <w:pPr>
              <w:spacing w:after="0"/>
              <w:rPr>
                <w:sz w:val="13"/>
                <w:szCs w:val="13"/>
                <w:color w:val="auto"/>
              </w:rPr>
            </w:pPr>
          </w:p>
        </w:tc>
        <w:tc>
          <w:tcPr>
            <w:tcW w:w="1240" w:type="dxa"/>
            <w:vAlign w:val="bottom"/>
            <w:tcBorders>
              <w:bottom w:val="single" w:sz="8" w:color="auto"/>
            </w:tcBorders>
            <w:shd w:val="clear" w:color="auto" w:fill="CCECFF"/>
          </w:tcPr>
          <w:p>
            <w:pPr>
              <w:jc w:val="right"/>
              <w:spacing w:after="0" w:line="155" w:lineRule="exact"/>
              <w:rPr>
                <w:sz w:val="20"/>
                <w:szCs w:val="20"/>
                <w:color w:val="auto"/>
              </w:rPr>
            </w:pPr>
            <w:r>
              <w:rPr>
                <w:rFonts w:ascii="Arial" w:cs="Arial" w:eastAsia="Arial" w:hAnsi="Arial"/>
                <w:sz w:val="14"/>
                <w:szCs w:val="14"/>
                <w:color w:val="auto"/>
              </w:rPr>
              <w:t>1,153,679,675</w:t>
            </w:r>
          </w:p>
        </w:tc>
        <w:tc>
          <w:tcPr>
            <w:tcW w:w="120" w:type="dxa"/>
            <w:vAlign w:val="bottom"/>
            <w:shd w:val="clear" w:color="auto" w:fill="CCECFF"/>
          </w:tcPr>
          <w:p>
            <w:pPr>
              <w:spacing w:after="0"/>
              <w:rPr>
                <w:sz w:val="13"/>
                <w:szCs w:val="13"/>
                <w:color w:val="auto"/>
              </w:rPr>
            </w:pPr>
          </w:p>
        </w:tc>
        <w:tc>
          <w:tcPr>
            <w:tcW w:w="0" w:type="dxa"/>
            <w:vAlign w:val="bottom"/>
          </w:tcPr>
          <w:p>
            <w:pPr>
              <w:spacing w:after="0"/>
              <w:rPr>
                <w:sz w:val="1"/>
                <w:szCs w:val="1"/>
                <w:color w:val="auto"/>
              </w:rPr>
            </w:pPr>
          </w:p>
        </w:tc>
      </w:tr>
      <w:tr>
        <w:trPr>
          <w:trHeight w:val="156"/>
        </w:trPr>
        <w:tc>
          <w:tcPr>
            <w:tcW w:w="4260" w:type="dxa"/>
            <w:vAlign w:val="bottom"/>
            <w:tcBorders>
              <w:bottom w:val="single" w:sz="8" w:color="CCECFF"/>
            </w:tcBorders>
          </w:tcPr>
          <w:p>
            <w:pPr>
              <w:spacing w:after="0" w:line="155" w:lineRule="exact"/>
              <w:rPr>
                <w:sz w:val="20"/>
                <w:szCs w:val="20"/>
                <w:color w:val="auto"/>
              </w:rPr>
            </w:pPr>
            <w:r>
              <w:rPr>
                <w:rFonts w:ascii="Arial" w:cs="Arial" w:eastAsia="Arial" w:hAnsi="Arial"/>
                <w:sz w:val="14"/>
                <w:szCs w:val="14"/>
                <w:color w:val="auto"/>
              </w:rPr>
              <w:t>Cash and cash equivalents</w:t>
            </w:r>
          </w:p>
        </w:tc>
        <w:tc>
          <w:tcPr>
            <w:tcW w:w="160" w:type="dxa"/>
            <w:vAlign w:val="bottom"/>
            <w:tcBorders>
              <w:bottom w:val="single" w:sz="8" w:color="CCECFF"/>
            </w:tcBorders>
          </w:tcPr>
          <w:p>
            <w:pPr>
              <w:spacing w:after="0"/>
              <w:rPr>
                <w:sz w:val="13"/>
                <w:szCs w:val="13"/>
                <w:color w:val="auto"/>
              </w:rPr>
            </w:pPr>
          </w:p>
        </w:tc>
        <w:tc>
          <w:tcPr>
            <w:tcW w:w="340" w:type="dxa"/>
            <w:vAlign w:val="bottom"/>
            <w:tcBorders>
              <w:bottom w:val="single" w:sz="8" w:color="auto"/>
            </w:tcBorders>
          </w:tcPr>
          <w:p>
            <w:pPr>
              <w:spacing w:after="0"/>
              <w:rPr>
                <w:sz w:val="13"/>
                <w:szCs w:val="13"/>
                <w:color w:val="auto"/>
              </w:rPr>
            </w:pPr>
          </w:p>
        </w:tc>
        <w:tc>
          <w:tcPr>
            <w:tcW w:w="1140" w:type="dxa"/>
            <w:vAlign w:val="bottom"/>
            <w:tcBorders>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103,099,629</w:t>
            </w:r>
          </w:p>
        </w:tc>
        <w:tc>
          <w:tcPr>
            <w:tcW w:w="260" w:type="dxa"/>
            <w:vAlign w:val="bottom"/>
            <w:tcBorders>
              <w:bottom w:val="single" w:sz="8" w:color="CCECFF"/>
            </w:tcBorders>
          </w:tcPr>
          <w:p>
            <w:pPr>
              <w:spacing w:after="0"/>
              <w:rPr>
                <w:sz w:val="13"/>
                <w:szCs w:val="13"/>
                <w:color w:val="auto"/>
              </w:rPr>
            </w:pPr>
          </w:p>
        </w:tc>
        <w:tc>
          <w:tcPr>
            <w:tcW w:w="340" w:type="dxa"/>
            <w:vAlign w:val="bottom"/>
            <w:tcBorders>
              <w:bottom w:val="single" w:sz="8" w:color="auto"/>
            </w:tcBorders>
          </w:tcPr>
          <w:p>
            <w:pPr>
              <w:spacing w:after="0"/>
              <w:rPr>
                <w:sz w:val="13"/>
                <w:szCs w:val="13"/>
                <w:color w:val="auto"/>
              </w:rPr>
            </w:pPr>
          </w:p>
        </w:tc>
        <w:tc>
          <w:tcPr>
            <w:tcW w:w="1140" w:type="dxa"/>
            <w:vAlign w:val="bottom"/>
            <w:tcBorders>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103,196,132</w:t>
            </w:r>
          </w:p>
        </w:tc>
        <w:tc>
          <w:tcPr>
            <w:tcW w:w="260" w:type="dxa"/>
            <w:vAlign w:val="bottom"/>
            <w:tcBorders>
              <w:bottom w:val="single" w:sz="8" w:color="CCECFF"/>
            </w:tcBorders>
          </w:tcPr>
          <w:p>
            <w:pPr>
              <w:spacing w:after="0"/>
              <w:rPr>
                <w:sz w:val="13"/>
                <w:szCs w:val="13"/>
                <w:color w:val="auto"/>
              </w:rPr>
            </w:pPr>
          </w:p>
        </w:tc>
        <w:tc>
          <w:tcPr>
            <w:tcW w:w="340" w:type="dxa"/>
            <w:vAlign w:val="bottom"/>
            <w:tcBorders>
              <w:bottom w:val="single" w:sz="8" w:color="auto"/>
            </w:tcBorders>
          </w:tcPr>
          <w:p>
            <w:pPr>
              <w:spacing w:after="0"/>
              <w:rPr>
                <w:sz w:val="13"/>
                <w:szCs w:val="13"/>
                <w:color w:val="auto"/>
              </w:rPr>
            </w:pPr>
          </w:p>
        </w:tc>
        <w:tc>
          <w:tcPr>
            <w:tcW w:w="1140" w:type="dxa"/>
            <w:vAlign w:val="bottom"/>
            <w:tcBorders>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75,617,133</w:t>
            </w:r>
          </w:p>
        </w:tc>
        <w:tc>
          <w:tcPr>
            <w:tcW w:w="260" w:type="dxa"/>
            <w:vAlign w:val="bottom"/>
            <w:tcBorders>
              <w:bottom w:val="single" w:sz="8" w:color="CCECFF"/>
            </w:tcBorders>
          </w:tcPr>
          <w:p>
            <w:pPr>
              <w:spacing w:after="0"/>
              <w:rPr>
                <w:sz w:val="13"/>
                <w:szCs w:val="13"/>
                <w:color w:val="auto"/>
              </w:rPr>
            </w:pPr>
          </w:p>
        </w:tc>
        <w:tc>
          <w:tcPr>
            <w:tcW w:w="240" w:type="dxa"/>
            <w:vAlign w:val="bottom"/>
            <w:tcBorders>
              <w:bottom w:val="single" w:sz="8" w:color="auto"/>
            </w:tcBorders>
          </w:tcPr>
          <w:p>
            <w:pPr>
              <w:spacing w:after="0"/>
              <w:rPr>
                <w:sz w:val="13"/>
                <w:szCs w:val="13"/>
                <w:color w:val="auto"/>
              </w:rPr>
            </w:pPr>
          </w:p>
        </w:tc>
        <w:tc>
          <w:tcPr>
            <w:tcW w:w="1240" w:type="dxa"/>
            <w:vAlign w:val="bottom"/>
            <w:tcBorders>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75,608,113</w:t>
            </w:r>
          </w:p>
        </w:tc>
        <w:tc>
          <w:tcPr>
            <w:tcW w:w="120" w:type="dxa"/>
            <w:vAlign w:val="bottom"/>
            <w:tcBorders>
              <w:bottom w:val="single" w:sz="8" w:color="CCECFF"/>
            </w:tcBorders>
          </w:tcPr>
          <w:p>
            <w:pPr>
              <w:spacing w:after="0"/>
              <w:rPr>
                <w:sz w:val="13"/>
                <w:szCs w:val="13"/>
                <w:color w:val="auto"/>
              </w:rPr>
            </w:pPr>
          </w:p>
        </w:tc>
        <w:tc>
          <w:tcPr>
            <w:tcW w:w="0" w:type="dxa"/>
            <w:vAlign w:val="bottom"/>
          </w:tcPr>
          <w:p>
            <w:pPr>
              <w:spacing w:after="0"/>
              <w:rPr>
                <w:sz w:val="1"/>
                <w:szCs w:val="1"/>
                <w:color w:val="auto"/>
              </w:rPr>
            </w:pPr>
          </w:p>
        </w:tc>
      </w:tr>
      <w:tr>
        <w:trPr>
          <w:trHeight w:val="156"/>
        </w:trPr>
        <w:tc>
          <w:tcPr>
            <w:tcW w:w="4260" w:type="dxa"/>
            <w:vAlign w:val="bottom"/>
            <w:tcBorders>
              <w:bottom w:val="single" w:sz="8" w:color="CCECFF"/>
            </w:tcBorders>
            <w:shd w:val="clear" w:color="auto" w:fill="CCECFF"/>
          </w:tcPr>
          <w:p>
            <w:pPr>
              <w:spacing w:after="0" w:line="155" w:lineRule="exact"/>
              <w:rPr>
                <w:sz w:val="20"/>
                <w:szCs w:val="20"/>
                <w:color w:val="auto"/>
              </w:rPr>
            </w:pPr>
            <w:r>
              <w:rPr>
                <w:rFonts w:ascii="Arial" w:cs="Arial" w:eastAsia="Arial" w:hAnsi="Arial"/>
                <w:sz w:val="14"/>
                <w:szCs w:val="14"/>
                <w:color w:val="auto"/>
              </w:rPr>
              <w:t>Total investments, cash and cash equivalents</w:t>
            </w:r>
          </w:p>
        </w:tc>
        <w:tc>
          <w:tcPr>
            <w:tcW w:w="160" w:type="dxa"/>
            <w:vAlign w:val="bottom"/>
            <w:tcBorders>
              <w:bottom w:val="single" w:sz="8" w:color="CCECFF"/>
            </w:tcBorders>
            <w:shd w:val="clear" w:color="auto" w:fill="CCECFF"/>
          </w:tcPr>
          <w:p>
            <w:pPr>
              <w:spacing w:after="0"/>
              <w:rPr>
                <w:sz w:val="13"/>
                <w:szCs w:val="13"/>
                <w:color w:val="auto"/>
              </w:rPr>
            </w:pPr>
          </w:p>
        </w:tc>
        <w:tc>
          <w:tcPr>
            <w:tcW w:w="340" w:type="dxa"/>
            <w:vAlign w:val="bottom"/>
            <w:tcBorders>
              <w:bottom w:val="single" w:sz="8" w:color="auto"/>
            </w:tcBorders>
            <w:shd w:val="clear" w:color="auto" w:fill="CCECFF"/>
          </w:tcPr>
          <w:p>
            <w:pPr>
              <w:jc w:val="right"/>
              <w:ind w:right="188"/>
              <w:spacing w:after="0" w:line="155" w:lineRule="exact"/>
              <w:rPr>
                <w:sz w:val="20"/>
                <w:szCs w:val="20"/>
                <w:color w:val="auto"/>
              </w:rPr>
            </w:pPr>
            <w:r>
              <w:rPr>
                <w:rFonts w:ascii="Arial" w:cs="Arial" w:eastAsia="Arial" w:hAnsi="Arial"/>
                <w:sz w:val="14"/>
                <w:szCs w:val="14"/>
                <w:color w:val="auto"/>
                <w:w w:val="76"/>
              </w:rPr>
              <w:t>$</w:t>
            </w:r>
          </w:p>
        </w:tc>
        <w:tc>
          <w:tcPr>
            <w:tcW w:w="1140" w:type="dxa"/>
            <w:vAlign w:val="bottom"/>
            <w:tcBorders>
              <w:bottom w:val="single" w:sz="8" w:color="auto"/>
            </w:tcBorders>
            <w:shd w:val="clear" w:color="auto" w:fill="CCECFF"/>
          </w:tcPr>
          <w:p>
            <w:pPr>
              <w:jc w:val="right"/>
              <w:spacing w:after="0" w:line="155" w:lineRule="exact"/>
              <w:rPr>
                <w:sz w:val="20"/>
                <w:szCs w:val="20"/>
                <w:color w:val="auto"/>
              </w:rPr>
            </w:pPr>
            <w:r>
              <w:rPr>
                <w:rFonts w:ascii="Arial" w:cs="Arial" w:eastAsia="Arial" w:hAnsi="Arial"/>
                <w:sz w:val="14"/>
                <w:szCs w:val="14"/>
                <w:color w:val="auto"/>
              </w:rPr>
              <w:t>1,258,573,889</w:t>
            </w:r>
          </w:p>
        </w:tc>
        <w:tc>
          <w:tcPr>
            <w:tcW w:w="260" w:type="dxa"/>
            <w:vAlign w:val="bottom"/>
            <w:tcBorders>
              <w:bottom w:val="single" w:sz="8" w:color="CCECFF"/>
            </w:tcBorders>
            <w:shd w:val="clear" w:color="auto" w:fill="CCECFF"/>
          </w:tcPr>
          <w:p>
            <w:pPr>
              <w:spacing w:after="0"/>
              <w:rPr>
                <w:sz w:val="13"/>
                <w:szCs w:val="13"/>
                <w:color w:val="auto"/>
              </w:rPr>
            </w:pPr>
          </w:p>
        </w:tc>
        <w:tc>
          <w:tcPr>
            <w:tcW w:w="340" w:type="dxa"/>
            <w:vAlign w:val="bottom"/>
            <w:tcBorders>
              <w:bottom w:val="single" w:sz="8" w:color="auto"/>
            </w:tcBorders>
            <w:shd w:val="clear" w:color="auto" w:fill="CCECFF"/>
          </w:tcPr>
          <w:p>
            <w:pPr>
              <w:jc w:val="right"/>
              <w:ind w:right="188"/>
              <w:spacing w:after="0" w:line="155" w:lineRule="exact"/>
              <w:rPr>
                <w:sz w:val="20"/>
                <w:szCs w:val="20"/>
                <w:color w:val="auto"/>
              </w:rPr>
            </w:pPr>
            <w:r>
              <w:rPr>
                <w:rFonts w:ascii="Arial" w:cs="Arial" w:eastAsia="Arial" w:hAnsi="Arial"/>
                <w:sz w:val="14"/>
                <w:szCs w:val="14"/>
                <w:color w:val="auto"/>
                <w:w w:val="76"/>
              </w:rPr>
              <w:t>$</w:t>
            </w:r>
          </w:p>
        </w:tc>
        <w:tc>
          <w:tcPr>
            <w:tcW w:w="1140" w:type="dxa"/>
            <w:vAlign w:val="bottom"/>
            <w:tcBorders>
              <w:bottom w:val="single" w:sz="8" w:color="auto"/>
            </w:tcBorders>
            <w:shd w:val="clear" w:color="auto" w:fill="CCECFF"/>
          </w:tcPr>
          <w:p>
            <w:pPr>
              <w:jc w:val="right"/>
              <w:spacing w:after="0" w:line="155" w:lineRule="exact"/>
              <w:rPr>
                <w:sz w:val="20"/>
                <w:szCs w:val="20"/>
                <w:color w:val="auto"/>
              </w:rPr>
            </w:pPr>
            <w:r>
              <w:rPr>
                <w:rFonts w:ascii="Arial" w:cs="Arial" w:eastAsia="Arial" w:hAnsi="Arial"/>
                <w:sz w:val="14"/>
                <w:szCs w:val="14"/>
                <w:color w:val="auto"/>
              </w:rPr>
              <w:t>1,202,120,392</w:t>
            </w:r>
          </w:p>
        </w:tc>
        <w:tc>
          <w:tcPr>
            <w:tcW w:w="260" w:type="dxa"/>
            <w:vAlign w:val="bottom"/>
            <w:tcBorders>
              <w:bottom w:val="single" w:sz="8" w:color="CCECFF"/>
            </w:tcBorders>
            <w:shd w:val="clear" w:color="auto" w:fill="CCECFF"/>
          </w:tcPr>
          <w:p>
            <w:pPr>
              <w:spacing w:after="0"/>
              <w:rPr>
                <w:sz w:val="13"/>
                <w:szCs w:val="13"/>
                <w:color w:val="auto"/>
              </w:rPr>
            </w:pPr>
          </w:p>
        </w:tc>
        <w:tc>
          <w:tcPr>
            <w:tcW w:w="340" w:type="dxa"/>
            <w:vAlign w:val="bottom"/>
            <w:tcBorders>
              <w:bottom w:val="single" w:sz="8" w:color="auto"/>
            </w:tcBorders>
            <w:shd w:val="clear" w:color="auto" w:fill="CCECFF"/>
          </w:tcPr>
          <w:p>
            <w:pPr>
              <w:jc w:val="right"/>
              <w:ind w:right="188"/>
              <w:spacing w:after="0" w:line="155" w:lineRule="exact"/>
              <w:rPr>
                <w:sz w:val="20"/>
                <w:szCs w:val="20"/>
                <w:color w:val="auto"/>
              </w:rPr>
            </w:pPr>
            <w:r>
              <w:rPr>
                <w:rFonts w:ascii="Arial" w:cs="Arial" w:eastAsia="Arial" w:hAnsi="Arial"/>
                <w:sz w:val="14"/>
                <w:szCs w:val="14"/>
                <w:color w:val="auto"/>
                <w:w w:val="76"/>
              </w:rPr>
              <w:t>$</w:t>
            </w:r>
          </w:p>
        </w:tc>
        <w:tc>
          <w:tcPr>
            <w:tcW w:w="1140" w:type="dxa"/>
            <w:vAlign w:val="bottom"/>
            <w:tcBorders>
              <w:bottom w:val="single" w:sz="8" w:color="auto"/>
            </w:tcBorders>
            <w:shd w:val="clear" w:color="auto" w:fill="CCECFF"/>
          </w:tcPr>
          <w:p>
            <w:pPr>
              <w:jc w:val="right"/>
              <w:spacing w:after="0" w:line="155" w:lineRule="exact"/>
              <w:rPr>
                <w:sz w:val="20"/>
                <w:szCs w:val="20"/>
                <w:color w:val="auto"/>
              </w:rPr>
            </w:pPr>
            <w:r>
              <w:rPr>
                <w:rFonts w:ascii="Arial" w:cs="Arial" w:eastAsia="Arial" w:hAnsi="Arial"/>
                <w:sz w:val="14"/>
                <w:szCs w:val="14"/>
                <w:color w:val="auto"/>
              </w:rPr>
              <w:t>1,329,574,279</w:t>
            </w:r>
          </w:p>
        </w:tc>
        <w:tc>
          <w:tcPr>
            <w:tcW w:w="260" w:type="dxa"/>
            <w:vAlign w:val="bottom"/>
            <w:tcBorders>
              <w:bottom w:val="single" w:sz="8" w:color="CCECFF"/>
            </w:tcBorders>
            <w:shd w:val="clear" w:color="auto" w:fill="CCECFF"/>
          </w:tcPr>
          <w:p>
            <w:pPr>
              <w:spacing w:after="0"/>
              <w:rPr>
                <w:sz w:val="13"/>
                <w:szCs w:val="13"/>
                <w:color w:val="auto"/>
              </w:rPr>
            </w:pPr>
          </w:p>
        </w:tc>
        <w:tc>
          <w:tcPr>
            <w:tcW w:w="240" w:type="dxa"/>
            <w:vAlign w:val="bottom"/>
            <w:tcBorders>
              <w:bottom w:val="single" w:sz="8" w:color="auto"/>
            </w:tcBorders>
            <w:shd w:val="clear" w:color="auto" w:fill="CCECFF"/>
          </w:tcPr>
          <w:p>
            <w:pPr>
              <w:jc w:val="right"/>
              <w:ind w:right="88"/>
              <w:spacing w:after="0" w:line="155" w:lineRule="exact"/>
              <w:rPr>
                <w:sz w:val="20"/>
                <w:szCs w:val="20"/>
                <w:color w:val="auto"/>
              </w:rPr>
            </w:pPr>
            <w:r>
              <w:rPr>
                <w:rFonts w:ascii="Arial" w:cs="Arial" w:eastAsia="Arial" w:hAnsi="Arial"/>
                <w:sz w:val="14"/>
                <w:szCs w:val="14"/>
                <w:color w:val="auto"/>
                <w:w w:val="76"/>
              </w:rPr>
              <w:t>$</w:t>
            </w:r>
          </w:p>
        </w:tc>
        <w:tc>
          <w:tcPr>
            <w:tcW w:w="1240" w:type="dxa"/>
            <w:vAlign w:val="bottom"/>
            <w:tcBorders>
              <w:bottom w:val="single" w:sz="8" w:color="auto"/>
            </w:tcBorders>
            <w:shd w:val="clear" w:color="auto" w:fill="CCECFF"/>
          </w:tcPr>
          <w:p>
            <w:pPr>
              <w:jc w:val="right"/>
              <w:spacing w:after="0" w:line="155" w:lineRule="exact"/>
              <w:rPr>
                <w:sz w:val="20"/>
                <w:szCs w:val="20"/>
                <w:color w:val="auto"/>
              </w:rPr>
            </w:pPr>
            <w:r>
              <w:rPr>
                <w:rFonts w:ascii="Arial" w:cs="Arial" w:eastAsia="Arial" w:hAnsi="Arial"/>
                <w:sz w:val="14"/>
                <w:szCs w:val="14"/>
                <w:color w:val="auto"/>
              </w:rPr>
              <w:t>1,229,287,788</w:t>
            </w:r>
          </w:p>
        </w:tc>
        <w:tc>
          <w:tcPr>
            <w:tcW w:w="120" w:type="dxa"/>
            <w:vAlign w:val="bottom"/>
            <w:tcBorders>
              <w:bottom w:val="single" w:sz="8" w:color="CCECFF"/>
            </w:tcBorders>
            <w:shd w:val="clear" w:color="auto" w:fill="CCECFF"/>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42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30" w:lineRule="exact"/>
        <w:rPr>
          <w:sz w:val="20"/>
          <w:szCs w:val="20"/>
          <w:color w:val="auto"/>
        </w:rPr>
      </w:pPr>
    </w:p>
    <w:p>
      <w:pPr>
        <w:ind w:right="840" w:firstLine="413"/>
        <w:spacing w:after="0" w:line="253" w:lineRule="auto"/>
        <w:rPr>
          <w:sz w:val="20"/>
          <w:szCs w:val="20"/>
          <w:color w:val="auto"/>
        </w:rPr>
      </w:pPr>
      <w:r>
        <w:rPr>
          <w:rFonts w:ascii="Arial" w:cs="Arial" w:eastAsia="Arial" w:hAnsi="Arial"/>
          <w:sz w:val="14"/>
          <w:szCs w:val="14"/>
          <w:color w:val="auto"/>
        </w:rPr>
        <w:t>The table below describes investments by industry classification and enumerates the percentage, by fair value, of the total portfolio assets (excluding cash and cash equivalents) in such industries as of:</w:t>
      </w:r>
    </w:p>
    <w:p>
      <w:pPr>
        <w:spacing w:after="0" w:line="116"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620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rPr>
              <w:t>Industry Classification</w:t>
            </w:r>
          </w:p>
        </w:tc>
        <w:tc>
          <w:tcPr>
            <w:tcW w:w="240" w:type="dxa"/>
            <w:vAlign w:val="bottom"/>
            <w:tcBorders>
              <w:bottom w:val="single" w:sz="8" w:color="CCECFF"/>
            </w:tcBorders>
          </w:tcPr>
          <w:p>
            <w:pPr>
              <w:spacing w:after="0"/>
              <w:rPr>
                <w:sz w:val="14"/>
                <w:szCs w:val="14"/>
                <w:color w:val="auto"/>
              </w:rPr>
            </w:pPr>
          </w:p>
        </w:tc>
        <w:tc>
          <w:tcPr>
            <w:tcW w:w="2140" w:type="dxa"/>
            <w:vAlign w:val="bottom"/>
            <w:tcBorders>
              <w:bottom w:val="single" w:sz="8" w:color="auto"/>
            </w:tcBorders>
          </w:tcPr>
          <w:p>
            <w:pPr>
              <w:jc w:val="right"/>
              <w:ind w:right="588"/>
              <w:spacing w:after="0"/>
              <w:rPr>
                <w:sz w:val="20"/>
                <w:szCs w:val="20"/>
                <w:color w:val="auto"/>
              </w:rPr>
            </w:pPr>
            <w:r>
              <w:rPr>
                <w:rFonts w:ascii="Arial" w:cs="Arial" w:eastAsia="Arial" w:hAnsi="Arial"/>
                <w:sz w:val="14"/>
                <w:szCs w:val="14"/>
                <w:b w:val="1"/>
                <w:bCs w:val="1"/>
                <w:color w:val="auto"/>
              </w:rPr>
              <w:t>June 30, 2017</w:t>
            </w:r>
          </w:p>
        </w:tc>
        <w:tc>
          <w:tcPr>
            <w:tcW w:w="380" w:type="dxa"/>
            <w:vAlign w:val="bottom"/>
            <w:tcBorders>
              <w:bottom w:val="single" w:sz="8" w:color="CCECFF"/>
            </w:tcBorders>
          </w:tcPr>
          <w:p>
            <w:pPr>
              <w:spacing w:after="0"/>
              <w:rPr>
                <w:sz w:val="14"/>
                <w:szCs w:val="14"/>
                <w:color w:val="auto"/>
              </w:rPr>
            </w:pPr>
          </w:p>
        </w:tc>
        <w:tc>
          <w:tcPr>
            <w:tcW w:w="2140" w:type="dxa"/>
            <w:vAlign w:val="bottom"/>
            <w:tcBorders>
              <w:bottom w:val="single" w:sz="8" w:color="auto"/>
            </w:tcBorders>
          </w:tcPr>
          <w:p>
            <w:pPr>
              <w:jc w:val="right"/>
              <w:ind w:right="408"/>
              <w:spacing w:after="0"/>
              <w:rPr>
                <w:sz w:val="20"/>
                <w:szCs w:val="20"/>
                <w:color w:val="auto"/>
              </w:rPr>
            </w:pPr>
            <w:r>
              <w:rPr>
                <w:rFonts w:ascii="Arial" w:cs="Arial" w:eastAsia="Arial" w:hAnsi="Arial"/>
                <w:sz w:val="14"/>
                <w:szCs w:val="14"/>
                <w:b w:val="1"/>
                <w:bCs w:val="1"/>
                <w:color w:val="auto"/>
              </w:rPr>
              <w:t>September 30, 2016</w:t>
            </w:r>
          </w:p>
        </w:tc>
        <w:tc>
          <w:tcPr>
            <w:tcW w:w="140" w:type="dxa"/>
            <w:vAlign w:val="bottom"/>
            <w:tcBorders>
              <w:bottom w:val="single" w:sz="8" w:color="CCECFF"/>
            </w:tcBorders>
          </w:tcPr>
          <w:p>
            <w:pPr>
              <w:spacing w:after="0"/>
              <w:rPr>
                <w:sz w:val="14"/>
                <w:szCs w:val="14"/>
                <w:color w:val="auto"/>
              </w:rPr>
            </w:pPr>
          </w:p>
        </w:tc>
      </w:tr>
      <w:tr>
        <w:trPr>
          <w:trHeight w:val="156"/>
        </w:trPr>
        <w:tc>
          <w:tcPr>
            <w:tcW w:w="6200" w:type="dxa"/>
            <w:vAlign w:val="bottom"/>
            <w:shd w:val="clear" w:color="auto" w:fill="CCECFF"/>
          </w:tcPr>
          <w:p>
            <w:pPr>
              <w:spacing w:after="0" w:line="155" w:lineRule="exact"/>
              <w:rPr>
                <w:sz w:val="20"/>
                <w:szCs w:val="20"/>
                <w:color w:val="auto"/>
              </w:rPr>
            </w:pPr>
            <w:r>
              <w:rPr>
                <w:rFonts w:ascii="Arial" w:cs="Arial" w:eastAsia="Arial" w:hAnsi="Arial"/>
                <w:sz w:val="14"/>
                <w:szCs w:val="14"/>
                <w:color w:val="auto"/>
              </w:rPr>
              <w:t>Hotels, Motels, Inns and Gaming</w:t>
            </w:r>
          </w:p>
        </w:tc>
        <w:tc>
          <w:tcPr>
            <w:tcW w:w="240" w:type="dxa"/>
            <w:vAlign w:val="bottom"/>
            <w:shd w:val="clear" w:color="auto" w:fill="CCECFF"/>
          </w:tcPr>
          <w:p>
            <w:pPr>
              <w:spacing w:after="0"/>
              <w:rPr>
                <w:sz w:val="13"/>
                <w:szCs w:val="13"/>
                <w:color w:val="auto"/>
              </w:rPr>
            </w:pPr>
          </w:p>
        </w:tc>
        <w:tc>
          <w:tcPr>
            <w:tcW w:w="2520" w:type="dxa"/>
            <w:vAlign w:val="bottom"/>
            <w:gridSpan w:val="2"/>
            <w:shd w:val="clear" w:color="auto" w:fill="CCECFF"/>
          </w:tcPr>
          <w:p>
            <w:pPr>
              <w:jc w:val="right"/>
              <w:ind w:right="260"/>
              <w:spacing w:after="0" w:line="155" w:lineRule="exact"/>
              <w:rPr>
                <w:sz w:val="20"/>
                <w:szCs w:val="20"/>
                <w:color w:val="auto"/>
              </w:rPr>
            </w:pPr>
            <w:r>
              <w:rPr>
                <w:rFonts w:ascii="Arial" w:cs="Arial" w:eastAsia="Arial" w:hAnsi="Arial"/>
                <w:sz w:val="14"/>
                <w:szCs w:val="14"/>
                <w:color w:val="auto"/>
              </w:rPr>
              <w:t>10%</w:t>
            </w:r>
          </w:p>
        </w:tc>
        <w:tc>
          <w:tcPr>
            <w:tcW w:w="2280" w:type="dxa"/>
            <w:vAlign w:val="bottom"/>
            <w:gridSpan w:val="2"/>
            <w:shd w:val="clear" w:color="auto" w:fill="CCECFF"/>
          </w:tcPr>
          <w:p>
            <w:pPr>
              <w:jc w:val="right"/>
              <w:ind w:right="20"/>
              <w:spacing w:after="0" w:line="155" w:lineRule="exact"/>
              <w:rPr>
                <w:sz w:val="20"/>
                <w:szCs w:val="20"/>
                <w:color w:val="auto"/>
              </w:rPr>
            </w:pPr>
            <w:r>
              <w:rPr>
                <w:rFonts w:ascii="Arial" w:cs="Arial" w:eastAsia="Arial" w:hAnsi="Arial"/>
                <w:sz w:val="14"/>
                <w:szCs w:val="14"/>
                <w:color w:val="auto"/>
              </w:rPr>
              <w:t>13%</w:t>
            </w:r>
          </w:p>
        </w:tc>
      </w:tr>
      <w:tr>
        <w:trPr>
          <w:trHeight w:val="162"/>
        </w:trPr>
        <w:tc>
          <w:tcPr>
            <w:tcW w:w="6440" w:type="dxa"/>
            <w:vAlign w:val="bottom"/>
            <w:gridSpan w:val="2"/>
          </w:tcPr>
          <w:p>
            <w:pPr>
              <w:spacing w:after="0"/>
              <w:rPr>
                <w:sz w:val="20"/>
                <w:szCs w:val="20"/>
                <w:color w:val="auto"/>
              </w:rPr>
            </w:pPr>
            <w:r>
              <w:rPr>
                <w:rFonts w:ascii="Arial" w:cs="Arial" w:eastAsia="Arial" w:hAnsi="Arial"/>
                <w:sz w:val="14"/>
                <w:szCs w:val="14"/>
                <w:color w:val="auto"/>
              </w:rPr>
              <w:t>Personal, Food and Miscellaneous Services</w:t>
            </w:r>
          </w:p>
        </w:tc>
        <w:tc>
          <w:tcPr>
            <w:tcW w:w="2140" w:type="dxa"/>
            <w:vAlign w:val="bottom"/>
          </w:tcPr>
          <w:p>
            <w:pPr>
              <w:jc w:val="right"/>
              <w:spacing w:after="0"/>
              <w:rPr>
                <w:sz w:val="20"/>
                <w:szCs w:val="20"/>
                <w:color w:val="auto"/>
              </w:rPr>
            </w:pPr>
            <w:r>
              <w:rPr>
                <w:rFonts w:ascii="Arial" w:cs="Arial" w:eastAsia="Arial" w:hAnsi="Arial"/>
                <w:sz w:val="14"/>
                <w:szCs w:val="14"/>
                <w:color w:val="auto"/>
              </w:rPr>
              <w:t>9</w:t>
            </w:r>
          </w:p>
        </w:tc>
        <w:tc>
          <w:tcPr>
            <w:tcW w:w="380" w:type="dxa"/>
            <w:vAlign w:val="bottom"/>
          </w:tcPr>
          <w:p>
            <w:pPr>
              <w:spacing w:after="0"/>
              <w:rPr>
                <w:sz w:val="14"/>
                <w:szCs w:val="14"/>
                <w:color w:val="auto"/>
              </w:rPr>
            </w:pPr>
          </w:p>
        </w:tc>
        <w:tc>
          <w:tcPr>
            <w:tcW w:w="2140" w:type="dxa"/>
            <w:vAlign w:val="bottom"/>
          </w:tcPr>
          <w:p>
            <w:pPr>
              <w:jc w:val="right"/>
              <w:spacing w:after="0"/>
              <w:rPr>
                <w:sz w:val="20"/>
                <w:szCs w:val="20"/>
                <w:color w:val="auto"/>
              </w:rPr>
            </w:pPr>
            <w:r>
              <w:rPr>
                <w:rFonts w:ascii="Arial" w:cs="Arial" w:eastAsia="Arial" w:hAnsi="Arial"/>
                <w:sz w:val="14"/>
                <w:szCs w:val="14"/>
                <w:color w:val="auto"/>
              </w:rPr>
              <w:t>8</w:t>
            </w:r>
          </w:p>
        </w:tc>
        <w:tc>
          <w:tcPr>
            <w:tcW w:w="140" w:type="dxa"/>
            <w:vAlign w:val="bottom"/>
          </w:tcPr>
          <w:p>
            <w:pPr>
              <w:spacing w:after="0"/>
              <w:rPr>
                <w:sz w:val="14"/>
                <w:szCs w:val="14"/>
                <w:color w:val="auto"/>
              </w:rPr>
            </w:pPr>
          </w:p>
        </w:tc>
      </w:tr>
      <w:tr>
        <w:trPr>
          <w:trHeight w:val="162"/>
        </w:trPr>
        <w:tc>
          <w:tcPr>
            <w:tcW w:w="6440" w:type="dxa"/>
            <w:vAlign w:val="bottom"/>
            <w:gridSpan w:val="2"/>
            <w:shd w:val="clear" w:color="auto" w:fill="CCECFF"/>
          </w:tcPr>
          <w:p>
            <w:pPr>
              <w:spacing w:after="0"/>
              <w:rPr>
                <w:sz w:val="20"/>
                <w:szCs w:val="20"/>
                <w:color w:val="auto"/>
              </w:rPr>
            </w:pPr>
            <w:r>
              <w:rPr>
                <w:rFonts w:ascii="Arial" w:cs="Arial" w:eastAsia="Arial" w:hAnsi="Arial"/>
                <w:sz w:val="14"/>
                <w:szCs w:val="14"/>
                <w:color w:val="auto"/>
              </w:rPr>
              <w:t>Business Services</w:t>
            </w:r>
          </w:p>
        </w:tc>
        <w:tc>
          <w:tcPr>
            <w:tcW w:w="2140" w:type="dxa"/>
            <w:vAlign w:val="bottom"/>
            <w:shd w:val="clear" w:color="auto" w:fill="CCECFF"/>
          </w:tcPr>
          <w:p>
            <w:pPr>
              <w:jc w:val="right"/>
              <w:spacing w:after="0"/>
              <w:rPr>
                <w:sz w:val="20"/>
                <w:szCs w:val="20"/>
                <w:color w:val="auto"/>
              </w:rPr>
            </w:pPr>
            <w:r>
              <w:rPr>
                <w:rFonts w:ascii="Arial" w:cs="Arial" w:eastAsia="Arial" w:hAnsi="Arial"/>
                <w:sz w:val="14"/>
                <w:szCs w:val="14"/>
                <w:color w:val="auto"/>
              </w:rPr>
              <w:t>8</w:t>
            </w:r>
          </w:p>
        </w:tc>
        <w:tc>
          <w:tcPr>
            <w:tcW w:w="380" w:type="dxa"/>
            <w:vAlign w:val="bottom"/>
            <w:shd w:val="clear" w:color="auto" w:fill="CCECFF"/>
          </w:tcPr>
          <w:p>
            <w:pPr>
              <w:spacing w:after="0"/>
              <w:rPr>
                <w:sz w:val="14"/>
                <w:szCs w:val="14"/>
                <w:color w:val="auto"/>
              </w:rPr>
            </w:pPr>
          </w:p>
        </w:tc>
        <w:tc>
          <w:tcPr>
            <w:tcW w:w="2140" w:type="dxa"/>
            <w:vAlign w:val="bottom"/>
            <w:shd w:val="clear" w:color="auto" w:fill="CCECFF"/>
          </w:tcPr>
          <w:p>
            <w:pPr>
              <w:jc w:val="right"/>
              <w:spacing w:after="0"/>
              <w:rPr>
                <w:sz w:val="20"/>
                <w:szCs w:val="20"/>
                <w:color w:val="auto"/>
              </w:rPr>
            </w:pPr>
            <w:r>
              <w:rPr>
                <w:rFonts w:ascii="Arial" w:cs="Arial" w:eastAsia="Arial" w:hAnsi="Arial"/>
                <w:sz w:val="14"/>
                <w:szCs w:val="14"/>
                <w:color w:val="auto"/>
              </w:rPr>
              <w:t>7</w:t>
            </w:r>
          </w:p>
        </w:tc>
        <w:tc>
          <w:tcPr>
            <w:tcW w:w="140" w:type="dxa"/>
            <w:vAlign w:val="bottom"/>
            <w:shd w:val="clear" w:color="auto" w:fill="CCECFF"/>
          </w:tcPr>
          <w:p>
            <w:pPr>
              <w:spacing w:after="0"/>
              <w:rPr>
                <w:sz w:val="14"/>
                <w:szCs w:val="14"/>
                <w:color w:val="auto"/>
              </w:rPr>
            </w:pPr>
          </w:p>
        </w:tc>
      </w:tr>
      <w:tr>
        <w:trPr>
          <w:trHeight w:val="162"/>
        </w:trPr>
        <w:tc>
          <w:tcPr>
            <w:tcW w:w="6440" w:type="dxa"/>
            <w:vAlign w:val="bottom"/>
            <w:gridSpan w:val="2"/>
          </w:tcPr>
          <w:p>
            <w:pPr>
              <w:spacing w:after="0"/>
              <w:rPr>
                <w:sz w:val="20"/>
                <w:szCs w:val="20"/>
                <w:color w:val="auto"/>
              </w:rPr>
            </w:pPr>
            <w:r>
              <w:rPr>
                <w:rFonts w:ascii="Arial" w:cs="Arial" w:eastAsia="Arial" w:hAnsi="Arial"/>
                <w:sz w:val="14"/>
                <w:szCs w:val="14"/>
                <w:color w:val="auto"/>
              </w:rPr>
              <w:t>Energy and Utilities</w:t>
            </w:r>
          </w:p>
        </w:tc>
        <w:tc>
          <w:tcPr>
            <w:tcW w:w="2140" w:type="dxa"/>
            <w:vAlign w:val="bottom"/>
          </w:tcPr>
          <w:p>
            <w:pPr>
              <w:jc w:val="right"/>
              <w:spacing w:after="0"/>
              <w:rPr>
                <w:sz w:val="20"/>
                <w:szCs w:val="20"/>
                <w:color w:val="auto"/>
              </w:rPr>
            </w:pPr>
            <w:r>
              <w:rPr>
                <w:rFonts w:ascii="Arial" w:cs="Arial" w:eastAsia="Arial" w:hAnsi="Arial"/>
                <w:sz w:val="14"/>
                <w:szCs w:val="14"/>
                <w:color w:val="auto"/>
              </w:rPr>
              <w:t>7</w:t>
            </w:r>
          </w:p>
        </w:tc>
        <w:tc>
          <w:tcPr>
            <w:tcW w:w="380" w:type="dxa"/>
            <w:vAlign w:val="bottom"/>
          </w:tcPr>
          <w:p>
            <w:pPr>
              <w:spacing w:after="0"/>
              <w:rPr>
                <w:sz w:val="14"/>
                <w:szCs w:val="14"/>
                <w:color w:val="auto"/>
              </w:rPr>
            </w:pPr>
          </w:p>
        </w:tc>
        <w:tc>
          <w:tcPr>
            <w:tcW w:w="2140" w:type="dxa"/>
            <w:vAlign w:val="bottom"/>
          </w:tcPr>
          <w:p>
            <w:pPr>
              <w:jc w:val="right"/>
              <w:spacing w:after="0"/>
              <w:rPr>
                <w:sz w:val="20"/>
                <w:szCs w:val="20"/>
                <w:color w:val="auto"/>
              </w:rPr>
            </w:pPr>
            <w:r>
              <w:rPr>
                <w:rFonts w:ascii="Arial" w:cs="Arial" w:eastAsia="Arial" w:hAnsi="Arial"/>
                <w:sz w:val="14"/>
                <w:szCs w:val="14"/>
                <w:color w:val="auto"/>
              </w:rPr>
              <w:t>6</w:t>
            </w:r>
          </w:p>
        </w:tc>
        <w:tc>
          <w:tcPr>
            <w:tcW w:w="140" w:type="dxa"/>
            <w:vAlign w:val="bottom"/>
          </w:tcPr>
          <w:p>
            <w:pPr>
              <w:spacing w:after="0"/>
              <w:rPr>
                <w:sz w:val="14"/>
                <w:szCs w:val="14"/>
                <w:color w:val="auto"/>
              </w:rPr>
            </w:pPr>
          </w:p>
        </w:tc>
      </w:tr>
      <w:tr>
        <w:trPr>
          <w:trHeight w:val="162"/>
        </w:trPr>
        <w:tc>
          <w:tcPr>
            <w:tcW w:w="6440" w:type="dxa"/>
            <w:vAlign w:val="bottom"/>
            <w:gridSpan w:val="2"/>
            <w:shd w:val="clear" w:color="auto" w:fill="CCECFF"/>
          </w:tcPr>
          <w:p>
            <w:pPr>
              <w:spacing w:after="0"/>
              <w:rPr>
                <w:sz w:val="20"/>
                <w:szCs w:val="20"/>
                <w:color w:val="auto"/>
              </w:rPr>
            </w:pPr>
            <w:r>
              <w:rPr>
                <w:rFonts w:ascii="Arial" w:cs="Arial" w:eastAsia="Arial" w:hAnsi="Arial"/>
                <w:sz w:val="14"/>
                <w:szCs w:val="14"/>
                <w:color w:val="auto"/>
              </w:rPr>
              <w:t>Distribution</w:t>
            </w:r>
          </w:p>
        </w:tc>
        <w:tc>
          <w:tcPr>
            <w:tcW w:w="2140" w:type="dxa"/>
            <w:vAlign w:val="bottom"/>
            <w:shd w:val="clear" w:color="auto" w:fill="CCECFF"/>
          </w:tcPr>
          <w:p>
            <w:pPr>
              <w:jc w:val="right"/>
              <w:spacing w:after="0"/>
              <w:rPr>
                <w:sz w:val="20"/>
                <w:szCs w:val="20"/>
                <w:color w:val="auto"/>
              </w:rPr>
            </w:pPr>
            <w:r>
              <w:rPr>
                <w:rFonts w:ascii="Arial" w:cs="Arial" w:eastAsia="Arial" w:hAnsi="Arial"/>
                <w:sz w:val="14"/>
                <w:szCs w:val="14"/>
                <w:color w:val="auto"/>
              </w:rPr>
              <w:t>6</w:t>
            </w:r>
          </w:p>
        </w:tc>
        <w:tc>
          <w:tcPr>
            <w:tcW w:w="380" w:type="dxa"/>
            <w:vAlign w:val="bottom"/>
            <w:shd w:val="clear" w:color="auto" w:fill="CCECFF"/>
          </w:tcPr>
          <w:p>
            <w:pPr>
              <w:spacing w:after="0"/>
              <w:rPr>
                <w:sz w:val="14"/>
                <w:szCs w:val="14"/>
                <w:color w:val="auto"/>
              </w:rPr>
            </w:pPr>
          </w:p>
        </w:tc>
        <w:tc>
          <w:tcPr>
            <w:tcW w:w="2140" w:type="dxa"/>
            <w:vAlign w:val="bottom"/>
            <w:shd w:val="clear" w:color="auto" w:fill="CCECFF"/>
          </w:tcPr>
          <w:p>
            <w:pPr>
              <w:jc w:val="right"/>
              <w:spacing w:after="0"/>
              <w:rPr>
                <w:sz w:val="20"/>
                <w:szCs w:val="20"/>
                <w:color w:val="auto"/>
              </w:rPr>
            </w:pPr>
            <w:r>
              <w:rPr>
                <w:rFonts w:ascii="Arial" w:cs="Arial" w:eastAsia="Arial" w:hAnsi="Arial"/>
                <w:sz w:val="14"/>
                <w:szCs w:val="14"/>
                <w:color w:val="auto"/>
              </w:rPr>
              <w:t>6</w:t>
            </w:r>
          </w:p>
        </w:tc>
        <w:tc>
          <w:tcPr>
            <w:tcW w:w="140" w:type="dxa"/>
            <w:vAlign w:val="bottom"/>
            <w:shd w:val="clear" w:color="auto" w:fill="CCECFF"/>
          </w:tcPr>
          <w:p>
            <w:pPr>
              <w:spacing w:after="0"/>
              <w:rPr>
                <w:sz w:val="14"/>
                <w:szCs w:val="14"/>
                <w:color w:val="auto"/>
              </w:rPr>
            </w:pPr>
          </w:p>
        </w:tc>
      </w:tr>
      <w:tr>
        <w:trPr>
          <w:trHeight w:val="162"/>
        </w:trPr>
        <w:tc>
          <w:tcPr>
            <w:tcW w:w="6440" w:type="dxa"/>
            <w:vAlign w:val="bottom"/>
            <w:gridSpan w:val="2"/>
          </w:tcPr>
          <w:p>
            <w:pPr>
              <w:spacing w:after="0"/>
              <w:rPr>
                <w:sz w:val="20"/>
                <w:szCs w:val="20"/>
                <w:color w:val="auto"/>
              </w:rPr>
            </w:pPr>
            <w:r>
              <w:rPr>
                <w:rFonts w:ascii="Arial" w:cs="Arial" w:eastAsia="Arial" w:hAnsi="Arial"/>
                <w:sz w:val="14"/>
                <w:szCs w:val="14"/>
                <w:color w:val="auto"/>
              </w:rPr>
              <w:t>Electronics</w:t>
            </w:r>
          </w:p>
        </w:tc>
        <w:tc>
          <w:tcPr>
            <w:tcW w:w="2140" w:type="dxa"/>
            <w:vAlign w:val="bottom"/>
          </w:tcPr>
          <w:p>
            <w:pPr>
              <w:jc w:val="right"/>
              <w:spacing w:after="0"/>
              <w:rPr>
                <w:sz w:val="20"/>
                <w:szCs w:val="20"/>
                <w:color w:val="auto"/>
              </w:rPr>
            </w:pPr>
            <w:r>
              <w:rPr>
                <w:rFonts w:ascii="Arial" w:cs="Arial" w:eastAsia="Arial" w:hAnsi="Arial"/>
                <w:sz w:val="14"/>
                <w:szCs w:val="14"/>
                <w:color w:val="auto"/>
              </w:rPr>
              <w:t>6</w:t>
            </w:r>
          </w:p>
        </w:tc>
        <w:tc>
          <w:tcPr>
            <w:tcW w:w="380" w:type="dxa"/>
            <w:vAlign w:val="bottom"/>
          </w:tcPr>
          <w:p>
            <w:pPr>
              <w:spacing w:after="0"/>
              <w:rPr>
                <w:sz w:val="14"/>
                <w:szCs w:val="14"/>
                <w:color w:val="auto"/>
              </w:rPr>
            </w:pPr>
          </w:p>
        </w:tc>
        <w:tc>
          <w:tcPr>
            <w:tcW w:w="2140" w:type="dxa"/>
            <w:vAlign w:val="bottom"/>
          </w:tcPr>
          <w:p>
            <w:pPr>
              <w:jc w:val="right"/>
              <w:spacing w:after="0"/>
              <w:rPr>
                <w:sz w:val="20"/>
                <w:szCs w:val="20"/>
                <w:color w:val="auto"/>
              </w:rPr>
            </w:pPr>
            <w:r>
              <w:rPr>
                <w:rFonts w:ascii="Arial" w:cs="Arial" w:eastAsia="Arial" w:hAnsi="Arial"/>
                <w:sz w:val="14"/>
                <w:szCs w:val="14"/>
                <w:color w:val="auto"/>
              </w:rPr>
              <w:t>2</w:t>
            </w:r>
          </w:p>
        </w:tc>
        <w:tc>
          <w:tcPr>
            <w:tcW w:w="140" w:type="dxa"/>
            <w:vAlign w:val="bottom"/>
          </w:tcPr>
          <w:p>
            <w:pPr>
              <w:spacing w:after="0"/>
              <w:rPr>
                <w:sz w:val="14"/>
                <w:szCs w:val="14"/>
                <w:color w:val="auto"/>
              </w:rPr>
            </w:pPr>
          </w:p>
        </w:tc>
      </w:tr>
      <w:tr>
        <w:trPr>
          <w:trHeight w:val="162"/>
        </w:trPr>
        <w:tc>
          <w:tcPr>
            <w:tcW w:w="6440" w:type="dxa"/>
            <w:vAlign w:val="bottom"/>
            <w:gridSpan w:val="2"/>
            <w:shd w:val="clear" w:color="auto" w:fill="CCECFF"/>
          </w:tcPr>
          <w:p>
            <w:pPr>
              <w:spacing w:after="0"/>
              <w:rPr>
                <w:sz w:val="20"/>
                <w:szCs w:val="20"/>
                <w:color w:val="auto"/>
              </w:rPr>
            </w:pPr>
            <w:r>
              <w:rPr>
                <w:rFonts w:ascii="Arial" w:cs="Arial" w:eastAsia="Arial" w:hAnsi="Arial"/>
                <w:sz w:val="14"/>
                <w:szCs w:val="14"/>
                <w:color w:val="auto"/>
              </w:rPr>
              <w:t>Environmental Services</w:t>
            </w:r>
          </w:p>
        </w:tc>
        <w:tc>
          <w:tcPr>
            <w:tcW w:w="2140" w:type="dxa"/>
            <w:vAlign w:val="bottom"/>
            <w:shd w:val="clear" w:color="auto" w:fill="CCECFF"/>
          </w:tcPr>
          <w:p>
            <w:pPr>
              <w:jc w:val="right"/>
              <w:spacing w:after="0"/>
              <w:rPr>
                <w:sz w:val="20"/>
                <w:szCs w:val="20"/>
                <w:color w:val="auto"/>
              </w:rPr>
            </w:pPr>
            <w:r>
              <w:rPr>
                <w:rFonts w:ascii="Arial" w:cs="Arial" w:eastAsia="Arial" w:hAnsi="Arial"/>
                <w:sz w:val="14"/>
                <w:szCs w:val="14"/>
                <w:color w:val="auto"/>
              </w:rPr>
              <w:t>6</w:t>
            </w:r>
          </w:p>
        </w:tc>
        <w:tc>
          <w:tcPr>
            <w:tcW w:w="380" w:type="dxa"/>
            <w:vAlign w:val="bottom"/>
            <w:shd w:val="clear" w:color="auto" w:fill="CCECFF"/>
          </w:tcPr>
          <w:p>
            <w:pPr>
              <w:spacing w:after="0"/>
              <w:rPr>
                <w:sz w:val="14"/>
                <w:szCs w:val="14"/>
                <w:color w:val="auto"/>
              </w:rPr>
            </w:pPr>
          </w:p>
        </w:tc>
        <w:tc>
          <w:tcPr>
            <w:tcW w:w="2140" w:type="dxa"/>
            <w:vAlign w:val="bottom"/>
            <w:shd w:val="clear" w:color="auto" w:fill="CCECFF"/>
          </w:tcPr>
          <w:p>
            <w:pPr>
              <w:jc w:val="right"/>
              <w:spacing w:after="0"/>
              <w:rPr>
                <w:sz w:val="20"/>
                <w:szCs w:val="20"/>
                <w:color w:val="auto"/>
              </w:rPr>
            </w:pPr>
            <w:r>
              <w:rPr>
                <w:rFonts w:ascii="Arial" w:cs="Arial" w:eastAsia="Arial" w:hAnsi="Arial"/>
                <w:sz w:val="14"/>
                <w:szCs w:val="14"/>
                <w:color w:val="auto"/>
              </w:rPr>
              <w:t>5</w:t>
            </w:r>
          </w:p>
        </w:tc>
        <w:tc>
          <w:tcPr>
            <w:tcW w:w="140" w:type="dxa"/>
            <w:vAlign w:val="bottom"/>
            <w:shd w:val="clear" w:color="auto" w:fill="CCECFF"/>
          </w:tcPr>
          <w:p>
            <w:pPr>
              <w:spacing w:after="0"/>
              <w:rPr>
                <w:sz w:val="14"/>
                <w:szCs w:val="14"/>
                <w:color w:val="auto"/>
              </w:rPr>
            </w:pPr>
          </w:p>
        </w:tc>
      </w:tr>
      <w:tr>
        <w:trPr>
          <w:trHeight w:val="162"/>
        </w:trPr>
        <w:tc>
          <w:tcPr>
            <w:tcW w:w="6440" w:type="dxa"/>
            <w:vAlign w:val="bottom"/>
            <w:gridSpan w:val="2"/>
          </w:tcPr>
          <w:p>
            <w:pPr>
              <w:spacing w:after="0"/>
              <w:rPr>
                <w:sz w:val="20"/>
                <w:szCs w:val="20"/>
                <w:color w:val="auto"/>
              </w:rPr>
            </w:pPr>
            <w:r>
              <w:rPr>
                <w:rFonts w:ascii="Arial" w:cs="Arial" w:eastAsia="Arial" w:hAnsi="Arial"/>
                <w:sz w:val="14"/>
                <w:szCs w:val="14"/>
                <w:color w:val="auto"/>
              </w:rPr>
              <w:t>Healthcare, Education and Childcare</w:t>
            </w:r>
          </w:p>
        </w:tc>
        <w:tc>
          <w:tcPr>
            <w:tcW w:w="2140" w:type="dxa"/>
            <w:vAlign w:val="bottom"/>
          </w:tcPr>
          <w:p>
            <w:pPr>
              <w:jc w:val="right"/>
              <w:spacing w:after="0"/>
              <w:rPr>
                <w:sz w:val="20"/>
                <w:szCs w:val="20"/>
                <w:color w:val="auto"/>
              </w:rPr>
            </w:pPr>
            <w:r>
              <w:rPr>
                <w:rFonts w:ascii="Arial" w:cs="Arial" w:eastAsia="Arial" w:hAnsi="Arial"/>
                <w:sz w:val="14"/>
                <w:szCs w:val="14"/>
                <w:color w:val="auto"/>
              </w:rPr>
              <w:t>6</w:t>
            </w:r>
          </w:p>
        </w:tc>
        <w:tc>
          <w:tcPr>
            <w:tcW w:w="380" w:type="dxa"/>
            <w:vAlign w:val="bottom"/>
          </w:tcPr>
          <w:p>
            <w:pPr>
              <w:spacing w:after="0"/>
              <w:rPr>
                <w:sz w:val="14"/>
                <w:szCs w:val="14"/>
                <w:color w:val="auto"/>
              </w:rPr>
            </w:pPr>
          </w:p>
        </w:tc>
        <w:tc>
          <w:tcPr>
            <w:tcW w:w="2140" w:type="dxa"/>
            <w:vAlign w:val="bottom"/>
          </w:tcPr>
          <w:p>
            <w:pPr>
              <w:jc w:val="right"/>
              <w:spacing w:after="0"/>
              <w:rPr>
                <w:sz w:val="20"/>
                <w:szCs w:val="20"/>
                <w:color w:val="auto"/>
              </w:rPr>
            </w:pPr>
            <w:r>
              <w:rPr>
                <w:rFonts w:ascii="Arial" w:cs="Arial" w:eastAsia="Arial" w:hAnsi="Arial"/>
                <w:sz w:val="14"/>
                <w:szCs w:val="14"/>
                <w:color w:val="auto"/>
              </w:rPr>
              <w:t>2</w:t>
            </w:r>
          </w:p>
        </w:tc>
        <w:tc>
          <w:tcPr>
            <w:tcW w:w="140" w:type="dxa"/>
            <w:vAlign w:val="bottom"/>
          </w:tcPr>
          <w:p>
            <w:pPr>
              <w:spacing w:after="0"/>
              <w:rPr>
                <w:sz w:val="14"/>
                <w:szCs w:val="14"/>
                <w:color w:val="auto"/>
              </w:rPr>
            </w:pPr>
          </w:p>
        </w:tc>
      </w:tr>
      <w:tr>
        <w:trPr>
          <w:trHeight w:val="162"/>
        </w:trPr>
        <w:tc>
          <w:tcPr>
            <w:tcW w:w="6440" w:type="dxa"/>
            <w:vAlign w:val="bottom"/>
            <w:gridSpan w:val="2"/>
            <w:shd w:val="clear" w:color="auto" w:fill="CCECFF"/>
          </w:tcPr>
          <w:p>
            <w:pPr>
              <w:spacing w:after="0"/>
              <w:rPr>
                <w:sz w:val="20"/>
                <w:szCs w:val="20"/>
                <w:color w:val="auto"/>
              </w:rPr>
            </w:pPr>
            <w:r>
              <w:rPr>
                <w:rFonts w:ascii="Arial" w:cs="Arial" w:eastAsia="Arial" w:hAnsi="Arial"/>
                <w:sz w:val="14"/>
                <w:szCs w:val="14"/>
                <w:color w:val="auto"/>
              </w:rPr>
              <w:t>Oil and Gas</w:t>
            </w:r>
          </w:p>
        </w:tc>
        <w:tc>
          <w:tcPr>
            <w:tcW w:w="2140" w:type="dxa"/>
            <w:vAlign w:val="bottom"/>
            <w:shd w:val="clear" w:color="auto" w:fill="CCECFF"/>
          </w:tcPr>
          <w:p>
            <w:pPr>
              <w:jc w:val="right"/>
              <w:spacing w:after="0"/>
              <w:rPr>
                <w:sz w:val="20"/>
                <w:szCs w:val="20"/>
                <w:color w:val="auto"/>
              </w:rPr>
            </w:pPr>
            <w:r>
              <w:rPr>
                <w:rFonts w:ascii="Arial" w:cs="Arial" w:eastAsia="Arial" w:hAnsi="Arial"/>
                <w:sz w:val="14"/>
                <w:szCs w:val="14"/>
                <w:color w:val="auto"/>
              </w:rPr>
              <w:t>6</w:t>
            </w:r>
          </w:p>
        </w:tc>
        <w:tc>
          <w:tcPr>
            <w:tcW w:w="380" w:type="dxa"/>
            <w:vAlign w:val="bottom"/>
            <w:shd w:val="clear" w:color="auto" w:fill="CCECFF"/>
          </w:tcPr>
          <w:p>
            <w:pPr>
              <w:spacing w:after="0"/>
              <w:rPr>
                <w:sz w:val="14"/>
                <w:szCs w:val="14"/>
                <w:color w:val="auto"/>
              </w:rPr>
            </w:pPr>
          </w:p>
        </w:tc>
        <w:tc>
          <w:tcPr>
            <w:tcW w:w="2140" w:type="dxa"/>
            <w:vAlign w:val="bottom"/>
            <w:shd w:val="clear" w:color="auto" w:fill="CCECFF"/>
          </w:tcPr>
          <w:p>
            <w:pPr>
              <w:jc w:val="right"/>
              <w:spacing w:after="0"/>
              <w:rPr>
                <w:sz w:val="20"/>
                <w:szCs w:val="20"/>
                <w:color w:val="auto"/>
              </w:rPr>
            </w:pPr>
            <w:r>
              <w:rPr>
                <w:rFonts w:ascii="Arial" w:cs="Arial" w:eastAsia="Arial" w:hAnsi="Arial"/>
                <w:sz w:val="14"/>
                <w:szCs w:val="14"/>
                <w:color w:val="auto"/>
              </w:rPr>
              <w:t>5</w:t>
            </w:r>
          </w:p>
        </w:tc>
        <w:tc>
          <w:tcPr>
            <w:tcW w:w="140" w:type="dxa"/>
            <w:vAlign w:val="bottom"/>
            <w:shd w:val="clear" w:color="auto" w:fill="CCECFF"/>
          </w:tcPr>
          <w:p>
            <w:pPr>
              <w:spacing w:after="0"/>
              <w:rPr>
                <w:sz w:val="14"/>
                <w:szCs w:val="14"/>
                <w:color w:val="auto"/>
              </w:rPr>
            </w:pPr>
          </w:p>
        </w:tc>
      </w:tr>
      <w:tr>
        <w:trPr>
          <w:trHeight w:val="162"/>
        </w:trPr>
        <w:tc>
          <w:tcPr>
            <w:tcW w:w="6440" w:type="dxa"/>
            <w:vAlign w:val="bottom"/>
            <w:gridSpan w:val="2"/>
          </w:tcPr>
          <w:p>
            <w:pPr>
              <w:spacing w:after="0"/>
              <w:rPr>
                <w:sz w:val="20"/>
                <w:szCs w:val="20"/>
                <w:color w:val="auto"/>
              </w:rPr>
            </w:pPr>
            <w:r>
              <w:rPr>
                <w:rFonts w:ascii="Arial" w:cs="Arial" w:eastAsia="Arial" w:hAnsi="Arial"/>
                <w:sz w:val="14"/>
                <w:szCs w:val="14"/>
                <w:color w:val="auto"/>
              </w:rPr>
              <w:t>Consumer Products</w:t>
            </w:r>
          </w:p>
        </w:tc>
        <w:tc>
          <w:tcPr>
            <w:tcW w:w="2140" w:type="dxa"/>
            <w:vAlign w:val="bottom"/>
          </w:tcPr>
          <w:p>
            <w:pPr>
              <w:jc w:val="right"/>
              <w:spacing w:after="0"/>
              <w:rPr>
                <w:sz w:val="20"/>
                <w:szCs w:val="20"/>
                <w:color w:val="auto"/>
              </w:rPr>
            </w:pPr>
            <w:r>
              <w:rPr>
                <w:rFonts w:ascii="Arial" w:cs="Arial" w:eastAsia="Arial" w:hAnsi="Arial"/>
                <w:sz w:val="14"/>
                <w:szCs w:val="14"/>
                <w:color w:val="auto"/>
              </w:rPr>
              <w:t>5</w:t>
            </w:r>
          </w:p>
        </w:tc>
        <w:tc>
          <w:tcPr>
            <w:tcW w:w="380" w:type="dxa"/>
            <w:vAlign w:val="bottom"/>
          </w:tcPr>
          <w:p>
            <w:pPr>
              <w:spacing w:after="0"/>
              <w:rPr>
                <w:sz w:val="14"/>
                <w:szCs w:val="14"/>
                <w:color w:val="auto"/>
              </w:rPr>
            </w:pPr>
          </w:p>
        </w:tc>
        <w:tc>
          <w:tcPr>
            <w:tcW w:w="2140" w:type="dxa"/>
            <w:vAlign w:val="bottom"/>
          </w:tcPr>
          <w:p>
            <w:pPr>
              <w:jc w:val="right"/>
              <w:spacing w:after="0"/>
              <w:rPr>
                <w:sz w:val="20"/>
                <w:szCs w:val="20"/>
                <w:color w:val="auto"/>
              </w:rPr>
            </w:pPr>
            <w:r>
              <w:rPr>
                <w:rFonts w:ascii="Arial" w:cs="Arial" w:eastAsia="Arial" w:hAnsi="Arial"/>
                <w:sz w:val="14"/>
                <w:szCs w:val="14"/>
                <w:color w:val="auto"/>
              </w:rPr>
              <w:t>9</w:t>
            </w:r>
          </w:p>
        </w:tc>
        <w:tc>
          <w:tcPr>
            <w:tcW w:w="140" w:type="dxa"/>
            <w:vAlign w:val="bottom"/>
          </w:tcPr>
          <w:p>
            <w:pPr>
              <w:spacing w:after="0"/>
              <w:rPr>
                <w:sz w:val="14"/>
                <w:szCs w:val="14"/>
                <w:color w:val="auto"/>
              </w:rPr>
            </w:pPr>
          </w:p>
        </w:tc>
      </w:tr>
      <w:tr>
        <w:trPr>
          <w:trHeight w:val="162"/>
        </w:trPr>
        <w:tc>
          <w:tcPr>
            <w:tcW w:w="6440" w:type="dxa"/>
            <w:vAlign w:val="bottom"/>
            <w:gridSpan w:val="2"/>
            <w:shd w:val="clear" w:color="auto" w:fill="CCECFF"/>
          </w:tcPr>
          <w:p>
            <w:pPr>
              <w:spacing w:after="0"/>
              <w:rPr>
                <w:sz w:val="20"/>
                <w:szCs w:val="20"/>
                <w:color w:val="auto"/>
              </w:rPr>
            </w:pPr>
            <w:r>
              <w:rPr>
                <w:rFonts w:ascii="Arial" w:cs="Arial" w:eastAsia="Arial" w:hAnsi="Arial"/>
                <w:sz w:val="14"/>
                <w:szCs w:val="14"/>
                <w:color w:val="auto"/>
              </w:rPr>
              <w:t>Manufacturing / Basic Industries</w:t>
            </w:r>
          </w:p>
        </w:tc>
        <w:tc>
          <w:tcPr>
            <w:tcW w:w="2140" w:type="dxa"/>
            <w:vAlign w:val="bottom"/>
            <w:shd w:val="clear" w:color="auto" w:fill="CCECFF"/>
          </w:tcPr>
          <w:p>
            <w:pPr>
              <w:jc w:val="right"/>
              <w:spacing w:after="0"/>
              <w:rPr>
                <w:sz w:val="20"/>
                <w:szCs w:val="20"/>
                <w:color w:val="auto"/>
              </w:rPr>
            </w:pPr>
            <w:r>
              <w:rPr>
                <w:rFonts w:ascii="Arial" w:cs="Arial" w:eastAsia="Arial" w:hAnsi="Arial"/>
                <w:sz w:val="14"/>
                <w:szCs w:val="14"/>
                <w:color w:val="auto"/>
              </w:rPr>
              <w:t>5</w:t>
            </w:r>
          </w:p>
        </w:tc>
        <w:tc>
          <w:tcPr>
            <w:tcW w:w="380" w:type="dxa"/>
            <w:vAlign w:val="bottom"/>
            <w:shd w:val="clear" w:color="auto" w:fill="CCECFF"/>
          </w:tcPr>
          <w:p>
            <w:pPr>
              <w:spacing w:after="0"/>
              <w:rPr>
                <w:sz w:val="14"/>
                <w:szCs w:val="14"/>
                <w:color w:val="auto"/>
              </w:rPr>
            </w:pPr>
          </w:p>
        </w:tc>
        <w:tc>
          <w:tcPr>
            <w:tcW w:w="2140" w:type="dxa"/>
            <w:vAlign w:val="bottom"/>
            <w:shd w:val="clear" w:color="auto" w:fill="CCECFF"/>
          </w:tcPr>
          <w:p>
            <w:pPr>
              <w:jc w:val="right"/>
              <w:spacing w:after="0"/>
              <w:rPr>
                <w:sz w:val="20"/>
                <w:szCs w:val="20"/>
                <w:color w:val="auto"/>
              </w:rPr>
            </w:pPr>
            <w:r>
              <w:rPr>
                <w:rFonts w:ascii="Arial" w:cs="Arial" w:eastAsia="Arial" w:hAnsi="Arial"/>
                <w:sz w:val="14"/>
                <w:szCs w:val="14"/>
                <w:color w:val="auto"/>
              </w:rPr>
              <w:t>4</w:t>
            </w:r>
          </w:p>
        </w:tc>
        <w:tc>
          <w:tcPr>
            <w:tcW w:w="140" w:type="dxa"/>
            <w:vAlign w:val="bottom"/>
            <w:shd w:val="clear" w:color="auto" w:fill="CCECFF"/>
          </w:tcPr>
          <w:p>
            <w:pPr>
              <w:spacing w:after="0"/>
              <w:rPr>
                <w:sz w:val="14"/>
                <w:szCs w:val="14"/>
                <w:color w:val="auto"/>
              </w:rPr>
            </w:pPr>
          </w:p>
        </w:tc>
      </w:tr>
      <w:tr>
        <w:trPr>
          <w:trHeight w:val="162"/>
        </w:trPr>
        <w:tc>
          <w:tcPr>
            <w:tcW w:w="6440" w:type="dxa"/>
            <w:vAlign w:val="bottom"/>
            <w:gridSpan w:val="2"/>
          </w:tcPr>
          <w:p>
            <w:pPr>
              <w:spacing w:after="0"/>
              <w:rPr>
                <w:sz w:val="20"/>
                <w:szCs w:val="20"/>
                <w:color w:val="auto"/>
              </w:rPr>
            </w:pPr>
            <w:r>
              <w:rPr>
                <w:rFonts w:ascii="Arial" w:cs="Arial" w:eastAsia="Arial" w:hAnsi="Arial"/>
                <w:sz w:val="14"/>
                <w:szCs w:val="14"/>
                <w:color w:val="auto"/>
              </w:rPr>
              <w:t>Financial Services</w:t>
            </w:r>
          </w:p>
        </w:tc>
        <w:tc>
          <w:tcPr>
            <w:tcW w:w="2140" w:type="dxa"/>
            <w:vAlign w:val="bottom"/>
          </w:tcPr>
          <w:p>
            <w:pPr>
              <w:jc w:val="right"/>
              <w:spacing w:after="0"/>
              <w:rPr>
                <w:sz w:val="20"/>
                <w:szCs w:val="20"/>
                <w:color w:val="auto"/>
              </w:rPr>
            </w:pPr>
            <w:r>
              <w:rPr>
                <w:rFonts w:ascii="Arial" w:cs="Arial" w:eastAsia="Arial" w:hAnsi="Arial"/>
                <w:sz w:val="14"/>
                <w:szCs w:val="14"/>
                <w:color w:val="auto"/>
              </w:rPr>
              <w:t>4</w:t>
            </w:r>
          </w:p>
        </w:tc>
        <w:tc>
          <w:tcPr>
            <w:tcW w:w="380" w:type="dxa"/>
            <w:vAlign w:val="bottom"/>
          </w:tcPr>
          <w:p>
            <w:pPr>
              <w:spacing w:after="0"/>
              <w:rPr>
                <w:sz w:val="14"/>
                <w:szCs w:val="14"/>
                <w:color w:val="auto"/>
              </w:rPr>
            </w:pPr>
          </w:p>
        </w:tc>
        <w:tc>
          <w:tcPr>
            <w:tcW w:w="2140" w:type="dxa"/>
            <w:vAlign w:val="bottom"/>
          </w:tcPr>
          <w:p>
            <w:pPr>
              <w:jc w:val="right"/>
              <w:spacing w:after="0"/>
              <w:rPr>
                <w:sz w:val="20"/>
                <w:szCs w:val="20"/>
                <w:color w:val="auto"/>
              </w:rPr>
            </w:pPr>
            <w:r>
              <w:rPr>
                <w:rFonts w:ascii="Arial" w:cs="Arial" w:eastAsia="Arial" w:hAnsi="Arial"/>
                <w:sz w:val="14"/>
                <w:szCs w:val="14"/>
                <w:color w:val="auto"/>
              </w:rPr>
              <w:t>3</w:t>
            </w:r>
          </w:p>
        </w:tc>
        <w:tc>
          <w:tcPr>
            <w:tcW w:w="140" w:type="dxa"/>
            <w:vAlign w:val="bottom"/>
          </w:tcPr>
          <w:p>
            <w:pPr>
              <w:spacing w:after="0"/>
              <w:rPr>
                <w:sz w:val="14"/>
                <w:szCs w:val="14"/>
                <w:color w:val="auto"/>
              </w:rPr>
            </w:pPr>
          </w:p>
        </w:tc>
      </w:tr>
      <w:tr>
        <w:trPr>
          <w:trHeight w:val="162"/>
        </w:trPr>
        <w:tc>
          <w:tcPr>
            <w:tcW w:w="6440" w:type="dxa"/>
            <w:vAlign w:val="bottom"/>
            <w:gridSpan w:val="2"/>
            <w:shd w:val="clear" w:color="auto" w:fill="CCECFF"/>
          </w:tcPr>
          <w:p>
            <w:pPr>
              <w:spacing w:after="0"/>
              <w:rPr>
                <w:sz w:val="20"/>
                <w:szCs w:val="20"/>
                <w:color w:val="auto"/>
              </w:rPr>
            </w:pPr>
            <w:r>
              <w:rPr>
                <w:rFonts w:ascii="Arial" w:cs="Arial" w:eastAsia="Arial" w:hAnsi="Arial"/>
                <w:sz w:val="14"/>
                <w:szCs w:val="14"/>
                <w:color w:val="auto"/>
              </w:rPr>
              <w:t>Media</w:t>
            </w:r>
          </w:p>
        </w:tc>
        <w:tc>
          <w:tcPr>
            <w:tcW w:w="2140" w:type="dxa"/>
            <w:vAlign w:val="bottom"/>
            <w:shd w:val="clear" w:color="auto" w:fill="CCECFF"/>
          </w:tcPr>
          <w:p>
            <w:pPr>
              <w:jc w:val="right"/>
              <w:spacing w:after="0"/>
              <w:rPr>
                <w:sz w:val="20"/>
                <w:szCs w:val="20"/>
                <w:color w:val="auto"/>
              </w:rPr>
            </w:pPr>
            <w:r>
              <w:rPr>
                <w:rFonts w:ascii="Arial" w:cs="Arial" w:eastAsia="Arial" w:hAnsi="Arial"/>
                <w:sz w:val="14"/>
                <w:szCs w:val="14"/>
                <w:color w:val="auto"/>
              </w:rPr>
              <w:t>4</w:t>
            </w:r>
          </w:p>
        </w:tc>
        <w:tc>
          <w:tcPr>
            <w:tcW w:w="380" w:type="dxa"/>
            <w:vAlign w:val="bottom"/>
            <w:shd w:val="clear" w:color="auto" w:fill="CCECFF"/>
          </w:tcPr>
          <w:p>
            <w:pPr>
              <w:spacing w:after="0"/>
              <w:rPr>
                <w:sz w:val="14"/>
                <w:szCs w:val="14"/>
                <w:color w:val="auto"/>
              </w:rPr>
            </w:pPr>
          </w:p>
        </w:tc>
        <w:tc>
          <w:tcPr>
            <w:tcW w:w="2140" w:type="dxa"/>
            <w:vAlign w:val="bottom"/>
            <w:shd w:val="clear" w:color="auto" w:fill="CCECFF"/>
          </w:tcPr>
          <w:p>
            <w:pPr>
              <w:jc w:val="right"/>
              <w:spacing w:after="0"/>
              <w:rPr>
                <w:sz w:val="20"/>
                <w:szCs w:val="20"/>
                <w:color w:val="auto"/>
              </w:rPr>
            </w:pPr>
            <w:r>
              <w:rPr>
                <w:rFonts w:ascii="Arial" w:cs="Arial" w:eastAsia="Arial" w:hAnsi="Arial"/>
                <w:sz w:val="14"/>
                <w:szCs w:val="14"/>
                <w:color w:val="auto"/>
              </w:rPr>
              <w:t>5</w:t>
            </w:r>
          </w:p>
        </w:tc>
        <w:tc>
          <w:tcPr>
            <w:tcW w:w="140" w:type="dxa"/>
            <w:vAlign w:val="bottom"/>
            <w:shd w:val="clear" w:color="auto" w:fill="CCECFF"/>
          </w:tcPr>
          <w:p>
            <w:pPr>
              <w:spacing w:after="0"/>
              <w:rPr>
                <w:sz w:val="14"/>
                <w:szCs w:val="14"/>
                <w:color w:val="auto"/>
              </w:rPr>
            </w:pPr>
          </w:p>
        </w:tc>
      </w:tr>
      <w:tr>
        <w:trPr>
          <w:trHeight w:val="162"/>
        </w:trPr>
        <w:tc>
          <w:tcPr>
            <w:tcW w:w="6440" w:type="dxa"/>
            <w:vAlign w:val="bottom"/>
            <w:gridSpan w:val="2"/>
          </w:tcPr>
          <w:p>
            <w:pPr>
              <w:spacing w:after="0"/>
              <w:rPr>
                <w:sz w:val="20"/>
                <w:szCs w:val="20"/>
                <w:color w:val="auto"/>
              </w:rPr>
            </w:pPr>
            <w:r>
              <w:rPr>
                <w:rFonts w:ascii="Arial" w:cs="Arial" w:eastAsia="Arial" w:hAnsi="Arial"/>
                <w:sz w:val="14"/>
                <w:szCs w:val="14"/>
                <w:color w:val="auto"/>
              </w:rPr>
              <w:t>Aerospace and Defense</w:t>
            </w:r>
          </w:p>
        </w:tc>
        <w:tc>
          <w:tcPr>
            <w:tcW w:w="2140" w:type="dxa"/>
            <w:vAlign w:val="bottom"/>
          </w:tcPr>
          <w:p>
            <w:pPr>
              <w:jc w:val="right"/>
              <w:spacing w:after="0"/>
              <w:rPr>
                <w:sz w:val="20"/>
                <w:szCs w:val="20"/>
                <w:color w:val="auto"/>
              </w:rPr>
            </w:pPr>
            <w:r>
              <w:rPr>
                <w:rFonts w:ascii="Arial" w:cs="Arial" w:eastAsia="Arial" w:hAnsi="Arial"/>
                <w:sz w:val="14"/>
                <w:szCs w:val="14"/>
                <w:color w:val="auto"/>
              </w:rPr>
              <w:t>2</w:t>
            </w:r>
          </w:p>
        </w:tc>
        <w:tc>
          <w:tcPr>
            <w:tcW w:w="380" w:type="dxa"/>
            <w:vAlign w:val="bottom"/>
          </w:tcPr>
          <w:p>
            <w:pPr>
              <w:spacing w:after="0"/>
              <w:rPr>
                <w:sz w:val="14"/>
                <w:szCs w:val="14"/>
                <w:color w:val="auto"/>
              </w:rPr>
            </w:pPr>
          </w:p>
        </w:tc>
        <w:tc>
          <w:tcPr>
            <w:tcW w:w="2140" w:type="dxa"/>
            <w:vAlign w:val="bottom"/>
          </w:tcPr>
          <w:p>
            <w:pPr>
              <w:jc w:val="right"/>
              <w:spacing w:after="0"/>
              <w:rPr>
                <w:sz w:val="20"/>
                <w:szCs w:val="20"/>
                <w:color w:val="auto"/>
              </w:rPr>
            </w:pPr>
            <w:r>
              <w:rPr>
                <w:rFonts w:ascii="Arial" w:cs="Arial" w:eastAsia="Arial" w:hAnsi="Arial"/>
                <w:sz w:val="14"/>
                <w:szCs w:val="14"/>
                <w:color w:val="auto"/>
              </w:rPr>
              <w:t>5</w:t>
            </w:r>
          </w:p>
        </w:tc>
        <w:tc>
          <w:tcPr>
            <w:tcW w:w="140" w:type="dxa"/>
            <w:vAlign w:val="bottom"/>
          </w:tcPr>
          <w:p>
            <w:pPr>
              <w:spacing w:after="0"/>
              <w:rPr>
                <w:sz w:val="14"/>
                <w:szCs w:val="14"/>
                <w:color w:val="auto"/>
              </w:rPr>
            </w:pPr>
          </w:p>
        </w:tc>
      </w:tr>
      <w:tr>
        <w:trPr>
          <w:trHeight w:val="162"/>
        </w:trPr>
        <w:tc>
          <w:tcPr>
            <w:tcW w:w="6440" w:type="dxa"/>
            <w:vAlign w:val="bottom"/>
            <w:gridSpan w:val="2"/>
            <w:shd w:val="clear" w:color="auto" w:fill="CCECFF"/>
          </w:tcPr>
          <w:p>
            <w:pPr>
              <w:spacing w:after="0"/>
              <w:rPr>
                <w:sz w:val="20"/>
                <w:szCs w:val="20"/>
                <w:color w:val="auto"/>
              </w:rPr>
            </w:pPr>
            <w:r>
              <w:rPr>
                <w:rFonts w:ascii="Arial" w:cs="Arial" w:eastAsia="Arial" w:hAnsi="Arial"/>
                <w:sz w:val="14"/>
                <w:szCs w:val="14"/>
                <w:color w:val="auto"/>
              </w:rPr>
              <w:t>Building Materials</w:t>
            </w:r>
          </w:p>
        </w:tc>
        <w:tc>
          <w:tcPr>
            <w:tcW w:w="2140" w:type="dxa"/>
            <w:vAlign w:val="bottom"/>
            <w:shd w:val="clear" w:color="auto" w:fill="CCECFF"/>
          </w:tcPr>
          <w:p>
            <w:pPr>
              <w:jc w:val="right"/>
              <w:spacing w:after="0"/>
              <w:rPr>
                <w:sz w:val="20"/>
                <w:szCs w:val="20"/>
                <w:color w:val="auto"/>
              </w:rPr>
            </w:pPr>
            <w:r>
              <w:rPr>
                <w:rFonts w:ascii="Arial" w:cs="Arial" w:eastAsia="Arial" w:hAnsi="Arial"/>
                <w:sz w:val="14"/>
                <w:szCs w:val="14"/>
                <w:color w:val="auto"/>
              </w:rPr>
              <w:t>2</w:t>
            </w:r>
          </w:p>
        </w:tc>
        <w:tc>
          <w:tcPr>
            <w:tcW w:w="380" w:type="dxa"/>
            <w:vAlign w:val="bottom"/>
            <w:shd w:val="clear" w:color="auto" w:fill="CCECFF"/>
          </w:tcPr>
          <w:p>
            <w:pPr>
              <w:spacing w:after="0"/>
              <w:rPr>
                <w:sz w:val="14"/>
                <w:szCs w:val="14"/>
                <w:color w:val="auto"/>
              </w:rPr>
            </w:pPr>
          </w:p>
        </w:tc>
        <w:tc>
          <w:tcPr>
            <w:tcW w:w="2140" w:type="dxa"/>
            <w:vAlign w:val="bottom"/>
            <w:shd w:val="clear" w:color="auto" w:fill="CCECFF"/>
          </w:tcPr>
          <w:p>
            <w:pPr>
              <w:jc w:val="right"/>
              <w:spacing w:after="0"/>
              <w:rPr>
                <w:sz w:val="20"/>
                <w:szCs w:val="20"/>
                <w:color w:val="auto"/>
              </w:rPr>
            </w:pPr>
            <w:r>
              <w:rPr>
                <w:rFonts w:ascii="Arial" w:cs="Arial" w:eastAsia="Arial" w:hAnsi="Arial"/>
                <w:sz w:val="14"/>
                <w:szCs w:val="14"/>
                <w:color w:val="auto"/>
              </w:rPr>
              <w:t>2</w:t>
            </w:r>
          </w:p>
        </w:tc>
        <w:tc>
          <w:tcPr>
            <w:tcW w:w="140" w:type="dxa"/>
            <w:vAlign w:val="bottom"/>
            <w:shd w:val="clear" w:color="auto" w:fill="CCECFF"/>
          </w:tcPr>
          <w:p>
            <w:pPr>
              <w:spacing w:after="0"/>
              <w:rPr>
                <w:sz w:val="14"/>
                <w:szCs w:val="14"/>
                <w:color w:val="auto"/>
              </w:rPr>
            </w:pPr>
          </w:p>
        </w:tc>
      </w:tr>
      <w:tr>
        <w:trPr>
          <w:trHeight w:val="162"/>
        </w:trPr>
        <w:tc>
          <w:tcPr>
            <w:tcW w:w="6440" w:type="dxa"/>
            <w:vAlign w:val="bottom"/>
            <w:gridSpan w:val="2"/>
          </w:tcPr>
          <w:p>
            <w:pPr>
              <w:spacing w:after="0"/>
              <w:rPr>
                <w:sz w:val="20"/>
                <w:szCs w:val="20"/>
                <w:color w:val="auto"/>
              </w:rPr>
            </w:pPr>
            <w:r>
              <w:rPr>
                <w:rFonts w:ascii="Arial" w:cs="Arial" w:eastAsia="Arial" w:hAnsi="Arial"/>
                <w:sz w:val="14"/>
                <w:szCs w:val="14"/>
                <w:color w:val="auto"/>
              </w:rPr>
              <w:t>Buildings and Real Estate</w:t>
            </w:r>
          </w:p>
        </w:tc>
        <w:tc>
          <w:tcPr>
            <w:tcW w:w="2140" w:type="dxa"/>
            <w:vAlign w:val="bottom"/>
          </w:tcPr>
          <w:p>
            <w:pPr>
              <w:jc w:val="right"/>
              <w:spacing w:after="0"/>
              <w:rPr>
                <w:sz w:val="20"/>
                <w:szCs w:val="20"/>
                <w:color w:val="auto"/>
              </w:rPr>
            </w:pPr>
            <w:r>
              <w:rPr>
                <w:rFonts w:ascii="Arial" w:cs="Arial" w:eastAsia="Arial" w:hAnsi="Arial"/>
                <w:sz w:val="14"/>
                <w:szCs w:val="14"/>
                <w:color w:val="auto"/>
              </w:rPr>
              <w:t>2</w:t>
            </w:r>
          </w:p>
        </w:tc>
        <w:tc>
          <w:tcPr>
            <w:tcW w:w="380" w:type="dxa"/>
            <w:vAlign w:val="bottom"/>
          </w:tcPr>
          <w:p>
            <w:pPr>
              <w:spacing w:after="0"/>
              <w:rPr>
                <w:sz w:val="14"/>
                <w:szCs w:val="14"/>
                <w:color w:val="auto"/>
              </w:rPr>
            </w:pPr>
          </w:p>
        </w:tc>
        <w:tc>
          <w:tcPr>
            <w:tcW w:w="2140" w:type="dxa"/>
            <w:vAlign w:val="bottom"/>
          </w:tcPr>
          <w:p>
            <w:pPr>
              <w:jc w:val="right"/>
              <w:spacing w:after="0"/>
              <w:rPr>
                <w:sz w:val="20"/>
                <w:szCs w:val="20"/>
                <w:color w:val="auto"/>
              </w:rPr>
            </w:pPr>
            <w:r>
              <w:rPr>
                <w:rFonts w:ascii="Arial" w:cs="Arial" w:eastAsia="Arial" w:hAnsi="Arial"/>
                <w:sz w:val="14"/>
                <w:szCs w:val="14"/>
                <w:color w:val="auto"/>
              </w:rPr>
              <w:t>2</w:t>
            </w:r>
          </w:p>
        </w:tc>
        <w:tc>
          <w:tcPr>
            <w:tcW w:w="140" w:type="dxa"/>
            <w:vAlign w:val="bottom"/>
          </w:tcPr>
          <w:p>
            <w:pPr>
              <w:spacing w:after="0"/>
              <w:rPr>
                <w:sz w:val="14"/>
                <w:szCs w:val="14"/>
                <w:color w:val="auto"/>
              </w:rPr>
            </w:pPr>
          </w:p>
        </w:tc>
      </w:tr>
      <w:tr>
        <w:trPr>
          <w:trHeight w:val="162"/>
        </w:trPr>
        <w:tc>
          <w:tcPr>
            <w:tcW w:w="6440" w:type="dxa"/>
            <w:vAlign w:val="bottom"/>
            <w:gridSpan w:val="2"/>
            <w:shd w:val="clear" w:color="auto" w:fill="CCECFF"/>
          </w:tcPr>
          <w:p>
            <w:pPr>
              <w:spacing w:after="0"/>
              <w:rPr>
                <w:sz w:val="20"/>
                <w:szCs w:val="20"/>
                <w:color w:val="auto"/>
              </w:rPr>
            </w:pPr>
            <w:r>
              <w:rPr>
                <w:rFonts w:ascii="Arial" w:cs="Arial" w:eastAsia="Arial" w:hAnsi="Arial"/>
                <w:sz w:val="14"/>
                <w:szCs w:val="14"/>
                <w:color w:val="auto"/>
              </w:rPr>
              <w:t>Diversified Natural Resources, Precious Metals and Minerals</w:t>
            </w:r>
          </w:p>
        </w:tc>
        <w:tc>
          <w:tcPr>
            <w:tcW w:w="2140" w:type="dxa"/>
            <w:vAlign w:val="bottom"/>
            <w:shd w:val="clear" w:color="auto" w:fill="CCECFF"/>
          </w:tcPr>
          <w:p>
            <w:pPr>
              <w:jc w:val="right"/>
              <w:spacing w:after="0"/>
              <w:rPr>
                <w:sz w:val="20"/>
                <w:szCs w:val="20"/>
                <w:color w:val="auto"/>
              </w:rPr>
            </w:pPr>
            <w:r>
              <w:rPr>
                <w:rFonts w:ascii="Arial" w:cs="Arial" w:eastAsia="Arial" w:hAnsi="Arial"/>
                <w:sz w:val="14"/>
                <w:szCs w:val="14"/>
                <w:color w:val="auto"/>
              </w:rPr>
              <w:t>2</w:t>
            </w:r>
          </w:p>
        </w:tc>
        <w:tc>
          <w:tcPr>
            <w:tcW w:w="380" w:type="dxa"/>
            <w:vAlign w:val="bottom"/>
            <w:shd w:val="clear" w:color="auto" w:fill="CCECFF"/>
          </w:tcPr>
          <w:p>
            <w:pPr>
              <w:spacing w:after="0"/>
              <w:rPr>
                <w:sz w:val="14"/>
                <w:szCs w:val="14"/>
                <w:color w:val="auto"/>
              </w:rPr>
            </w:pPr>
          </w:p>
        </w:tc>
        <w:tc>
          <w:tcPr>
            <w:tcW w:w="2280" w:type="dxa"/>
            <w:vAlign w:val="bottom"/>
            <w:gridSpan w:val="2"/>
            <w:shd w:val="clear" w:color="auto" w:fill="CCECFF"/>
          </w:tcPr>
          <w:p>
            <w:pPr>
              <w:jc w:val="right"/>
              <w:ind w:right="140"/>
              <w:spacing w:after="0"/>
              <w:rPr>
                <w:sz w:val="20"/>
                <w:szCs w:val="20"/>
                <w:color w:val="auto"/>
              </w:rPr>
            </w:pPr>
            <w:r>
              <w:rPr>
                <w:rFonts w:ascii="Arial" w:cs="Arial" w:eastAsia="Arial" w:hAnsi="Arial"/>
                <w:sz w:val="14"/>
                <w:szCs w:val="14"/>
                <w:color w:val="auto"/>
              </w:rPr>
              <w:t>—</w:t>
            </w:r>
          </w:p>
        </w:tc>
      </w:tr>
      <w:tr>
        <w:trPr>
          <w:trHeight w:val="162"/>
        </w:trPr>
        <w:tc>
          <w:tcPr>
            <w:tcW w:w="6440" w:type="dxa"/>
            <w:vAlign w:val="bottom"/>
            <w:gridSpan w:val="2"/>
          </w:tcPr>
          <w:p>
            <w:pPr>
              <w:spacing w:after="0"/>
              <w:rPr>
                <w:sz w:val="20"/>
                <w:szCs w:val="20"/>
                <w:color w:val="auto"/>
              </w:rPr>
            </w:pPr>
            <w:r>
              <w:rPr>
                <w:rFonts w:ascii="Arial" w:cs="Arial" w:eastAsia="Arial" w:hAnsi="Arial"/>
                <w:sz w:val="14"/>
                <w:szCs w:val="14"/>
                <w:color w:val="auto"/>
              </w:rPr>
              <w:t>Other Media</w:t>
            </w:r>
          </w:p>
        </w:tc>
        <w:tc>
          <w:tcPr>
            <w:tcW w:w="2140" w:type="dxa"/>
            <w:vAlign w:val="bottom"/>
          </w:tcPr>
          <w:p>
            <w:pPr>
              <w:jc w:val="right"/>
              <w:spacing w:after="0"/>
              <w:rPr>
                <w:sz w:val="20"/>
                <w:szCs w:val="20"/>
                <w:color w:val="auto"/>
              </w:rPr>
            </w:pPr>
            <w:r>
              <w:rPr>
                <w:rFonts w:ascii="Arial" w:cs="Arial" w:eastAsia="Arial" w:hAnsi="Arial"/>
                <w:sz w:val="14"/>
                <w:szCs w:val="14"/>
                <w:color w:val="auto"/>
              </w:rPr>
              <w:t>2</w:t>
            </w:r>
          </w:p>
        </w:tc>
        <w:tc>
          <w:tcPr>
            <w:tcW w:w="380" w:type="dxa"/>
            <w:vAlign w:val="bottom"/>
          </w:tcPr>
          <w:p>
            <w:pPr>
              <w:spacing w:after="0"/>
              <w:rPr>
                <w:sz w:val="14"/>
                <w:szCs w:val="14"/>
                <w:color w:val="auto"/>
              </w:rPr>
            </w:pPr>
          </w:p>
        </w:tc>
        <w:tc>
          <w:tcPr>
            <w:tcW w:w="2140" w:type="dxa"/>
            <w:vAlign w:val="bottom"/>
          </w:tcPr>
          <w:p>
            <w:pPr>
              <w:jc w:val="right"/>
              <w:spacing w:after="0"/>
              <w:rPr>
                <w:sz w:val="20"/>
                <w:szCs w:val="20"/>
                <w:color w:val="auto"/>
              </w:rPr>
            </w:pPr>
            <w:r>
              <w:rPr>
                <w:rFonts w:ascii="Arial" w:cs="Arial" w:eastAsia="Arial" w:hAnsi="Arial"/>
                <w:sz w:val="14"/>
                <w:szCs w:val="14"/>
                <w:color w:val="auto"/>
              </w:rPr>
              <w:t>3</w:t>
            </w:r>
          </w:p>
        </w:tc>
        <w:tc>
          <w:tcPr>
            <w:tcW w:w="140" w:type="dxa"/>
            <w:vAlign w:val="bottom"/>
          </w:tcPr>
          <w:p>
            <w:pPr>
              <w:spacing w:after="0"/>
              <w:rPr>
                <w:sz w:val="14"/>
                <w:szCs w:val="14"/>
                <w:color w:val="auto"/>
              </w:rPr>
            </w:pPr>
          </w:p>
        </w:tc>
      </w:tr>
      <w:tr>
        <w:trPr>
          <w:trHeight w:val="162"/>
        </w:trPr>
        <w:tc>
          <w:tcPr>
            <w:tcW w:w="6440" w:type="dxa"/>
            <w:vAlign w:val="bottom"/>
            <w:gridSpan w:val="2"/>
            <w:shd w:val="clear" w:color="auto" w:fill="CCECFF"/>
          </w:tcPr>
          <w:p>
            <w:pPr>
              <w:spacing w:after="0"/>
              <w:rPr>
                <w:sz w:val="20"/>
                <w:szCs w:val="20"/>
                <w:color w:val="auto"/>
              </w:rPr>
            </w:pPr>
            <w:r>
              <w:rPr>
                <w:rFonts w:ascii="Arial" w:cs="Arial" w:eastAsia="Arial" w:hAnsi="Arial"/>
                <w:sz w:val="14"/>
                <w:szCs w:val="14"/>
                <w:color w:val="auto"/>
              </w:rPr>
              <w:t>Printing and Publishing</w:t>
            </w:r>
          </w:p>
        </w:tc>
        <w:tc>
          <w:tcPr>
            <w:tcW w:w="2140" w:type="dxa"/>
            <w:vAlign w:val="bottom"/>
            <w:shd w:val="clear" w:color="auto" w:fill="CCECFF"/>
          </w:tcPr>
          <w:p>
            <w:pPr>
              <w:jc w:val="right"/>
              <w:spacing w:after="0"/>
              <w:rPr>
                <w:sz w:val="20"/>
                <w:szCs w:val="20"/>
                <w:color w:val="auto"/>
              </w:rPr>
            </w:pPr>
            <w:r>
              <w:rPr>
                <w:rFonts w:ascii="Arial" w:cs="Arial" w:eastAsia="Arial" w:hAnsi="Arial"/>
                <w:sz w:val="14"/>
                <w:szCs w:val="14"/>
                <w:color w:val="auto"/>
              </w:rPr>
              <w:t>2</w:t>
            </w:r>
          </w:p>
        </w:tc>
        <w:tc>
          <w:tcPr>
            <w:tcW w:w="380" w:type="dxa"/>
            <w:vAlign w:val="bottom"/>
            <w:shd w:val="clear" w:color="auto" w:fill="CCECFF"/>
          </w:tcPr>
          <w:p>
            <w:pPr>
              <w:spacing w:after="0"/>
              <w:rPr>
                <w:sz w:val="14"/>
                <w:szCs w:val="14"/>
                <w:color w:val="auto"/>
              </w:rPr>
            </w:pPr>
          </w:p>
        </w:tc>
        <w:tc>
          <w:tcPr>
            <w:tcW w:w="2140" w:type="dxa"/>
            <w:vAlign w:val="bottom"/>
            <w:shd w:val="clear" w:color="auto" w:fill="CCECFF"/>
          </w:tcPr>
          <w:p>
            <w:pPr>
              <w:jc w:val="right"/>
              <w:spacing w:after="0"/>
              <w:rPr>
                <w:sz w:val="20"/>
                <w:szCs w:val="20"/>
                <w:color w:val="auto"/>
              </w:rPr>
            </w:pPr>
            <w:r>
              <w:rPr>
                <w:rFonts w:ascii="Arial" w:cs="Arial" w:eastAsia="Arial" w:hAnsi="Arial"/>
                <w:sz w:val="14"/>
                <w:szCs w:val="14"/>
                <w:color w:val="auto"/>
              </w:rPr>
              <w:t>3</w:t>
            </w:r>
          </w:p>
        </w:tc>
        <w:tc>
          <w:tcPr>
            <w:tcW w:w="140" w:type="dxa"/>
            <w:vAlign w:val="bottom"/>
            <w:shd w:val="clear" w:color="auto" w:fill="CCECFF"/>
          </w:tcPr>
          <w:p>
            <w:pPr>
              <w:spacing w:after="0"/>
              <w:rPr>
                <w:sz w:val="14"/>
                <w:szCs w:val="14"/>
                <w:color w:val="auto"/>
              </w:rPr>
            </w:pPr>
          </w:p>
        </w:tc>
      </w:tr>
      <w:tr>
        <w:trPr>
          <w:trHeight w:val="162"/>
        </w:trPr>
        <w:tc>
          <w:tcPr>
            <w:tcW w:w="6440" w:type="dxa"/>
            <w:vAlign w:val="bottom"/>
            <w:gridSpan w:val="2"/>
          </w:tcPr>
          <w:p>
            <w:pPr>
              <w:spacing w:after="0"/>
              <w:rPr>
                <w:sz w:val="20"/>
                <w:szCs w:val="20"/>
                <w:color w:val="auto"/>
              </w:rPr>
            </w:pPr>
            <w:r>
              <w:rPr>
                <w:rFonts w:ascii="Arial" w:cs="Arial" w:eastAsia="Arial" w:hAnsi="Arial"/>
                <w:sz w:val="14"/>
                <w:szCs w:val="14"/>
                <w:color w:val="auto"/>
              </w:rPr>
              <w:t>Telecommunications</w:t>
            </w:r>
          </w:p>
        </w:tc>
        <w:tc>
          <w:tcPr>
            <w:tcW w:w="2140" w:type="dxa"/>
            <w:vAlign w:val="bottom"/>
          </w:tcPr>
          <w:p>
            <w:pPr>
              <w:jc w:val="right"/>
              <w:spacing w:after="0"/>
              <w:rPr>
                <w:sz w:val="20"/>
                <w:szCs w:val="20"/>
                <w:color w:val="auto"/>
              </w:rPr>
            </w:pPr>
            <w:r>
              <w:rPr>
                <w:rFonts w:ascii="Arial" w:cs="Arial" w:eastAsia="Arial" w:hAnsi="Arial"/>
                <w:sz w:val="14"/>
                <w:szCs w:val="14"/>
                <w:color w:val="auto"/>
              </w:rPr>
              <w:t>2</w:t>
            </w:r>
          </w:p>
        </w:tc>
        <w:tc>
          <w:tcPr>
            <w:tcW w:w="380" w:type="dxa"/>
            <w:vAlign w:val="bottom"/>
          </w:tcPr>
          <w:p>
            <w:pPr>
              <w:spacing w:after="0"/>
              <w:rPr>
                <w:sz w:val="14"/>
                <w:szCs w:val="14"/>
                <w:color w:val="auto"/>
              </w:rPr>
            </w:pPr>
          </w:p>
        </w:tc>
        <w:tc>
          <w:tcPr>
            <w:tcW w:w="228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r>
      <w:tr>
        <w:trPr>
          <w:trHeight w:val="162"/>
        </w:trPr>
        <w:tc>
          <w:tcPr>
            <w:tcW w:w="6440" w:type="dxa"/>
            <w:vAlign w:val="bottom"/>
            <w:gridSpan w:val="2"/>
            <w:shd w:val="clear" w:color="auto" w:fill="CCECFF"/>
          </w:tcPr>
          <w:p>
            <w:pPr>
              <w:spacing w:after="0"/>
              <w:rPr>
                <w:sz w:val="20"/>
                <w:szCs w:val="20"/>
                <w:color w:val="auto"/>
              </w:rPr>
            </w:pPr>
            <w:r>
              <w:rPr>
                <w:rFonts w:ascii="Arial" w:cs="Arial" w:eastAsia="Arial" w:hAnsi="Arial"/>
                <w:sz w:val="14"/>
                <w:szCs w:val="14"/>
                <w:color w:val="auto"/>
              </w:rPr>
              <w:t>Auto Sector</w:t>
            </w:r>
          </w:p>
        </w:tc>
        <w:tc>
          <w:tcPr>
            <w:tcW w:w="2520" w:type="dxa"/>
            <w:vAlign w:val="bottom"/>
            <w:gridSpan w:val="2"/>
            <w:shd w:val="clear" w:color="auto" w:fill="CCECFF"/>
          </w:tcPr>
          <w:p>
            <w:pPr>
              <w:jc w:val="right"/>
              <w:ind w:right="400"/>
              <w:spacing w:after="0"/>
              <w:rPr>
                <w:sz w:val="20"/>
                <w:szCs w:val="20"/>
                <w:color w:val="auto"/>
              </w:rPr>
            </w:pPr>
            <w:r>
              <w:rPr>
                <w:rFonts w:ascii="Arial" w:cs="Arial" w:eastAsia="Arial" w:hAnsi="Arial"/>
                <w:sz w:val="14"/>
                <w:szCs w:val="14"/>
                <w:color w:val="auto"/>
              </w:rPr>
              <w:t>—</w:t>
            </w:r>
          </w:p>
        </w:tc>
        <w:tc>
          <w:tcPr>
            <w:tcW w:w="2140" w:type="dxa"/>
            <w:vAlign w:val="bottom"/>
            <w:shd w:val="clear" w:color="auto" w:fill="CCECFF"/>
          </w:tcPr>
          <w:p>
            <w:pPr>
              <w:jc w:val="right"/>
              <w:spacing w:after="0"/>
              <w:rPr>
                <w:sz w:val="20"/>
                <w:szCs w:val="20"/>
                <w:color w:val="auto"/>
              </w:rPr>
            </w:pPr>
            <w:r>
              <w:rPr>
                <w:rFonts w:ascii="Arial" w:cs="Arial" w:eastAsia="Arial" w:hAnsi="Arial"/>
                <w:sz w:val="14"/>
                <w:szCs w:val="14"/>
                <w:color w:val="auto"/>
              </w:rPr>
              <w:t>3</w:t>
            </w:r>
          </w:p>
        </w:tc>
        <w:tc>
          <w:tcPr>
            <w:tcW w:w="140" w:type="dxa"/>
            <w:vAlign w:val="bottom"/>
            <w:shd w:val="clear" w:color="auto" w:fill="CCECFF"/>
          </w:tcPr>
          <w:p>
            <w:pPr>
              <w:spacing w:after="0"/>
              <w:rPr>
                <w:sz w:val="14"/>
                <w:szCs w:val="14"/>
                <w:color w:val="auto"/>
              </w:rPr>
            </w:pPr>
          </w:p>
        </w:tc>
      </w:tr>
      <w:tr>
        <w:trPr>
          <w:trHeight w:val="162"/>
        </w:trPr>
        <w:tc>
          <w:tcPr>
            <w:tcW w:w="6440" w:type="dxa"/>
            <w:vAlign w:val="bottom"/>
            <w:gridSpan w:val="2"/>
          </w:tcPr>
          <w:p>
            <w:pPr>
              <w:spacing w:after="0"/>
              <w:rPr>
                <w:sz w:val="20"/>
                <w:szCs w:val="20"/>
                <w:color w:val="auto"/>
              </w:rPr>
            </w:pPr>
            <w:r>
              <w:rPr>
                <w:rFonts w:ascii="Arial" w:cs="Arial" w:eastAsia="Arial" w:hAnsi="Arial"/>
                <w:sz w:val="14"/>
                <w:szCs w:val="14"/>
                <w:color w:val="auto"/>
              </w:rPr>
              <w:t>Retail</w:t>
            </w:r>
          </w:p>
        </w:tc>
        <w:tc>
          <w:tcPr>
            <w:tcW w:w="2520" w:type="dxa"/>
            <w:vAlign w:val="bottom"/>
            <w:gridSpan w:val="2"/>
          </w:tcPr>
          <w:p>
            <w:pPr>
              <w:jc w:val="right"/>
              <w:ind w:right="400"/>
              <w:spacing w:after="0"/>
              <w:rPr>
                <w:sz w:val="20"/>
                <w:szCs w:val="20"/>
                <w:color w:val="auto"/>
              </w:rPr>
            </w:pPr>
            <w:r>
              <w:rPr>
                <w:rFonts w:ascii="Arial" w:cs="Arial" w:eastAsia="Arial" w:hAnsi="Arial"/>
                <w:sz w:val="14"/>
                <w:szCs w:val="14"/>
                <w:color w:val="auto"/>
              </w:rPr>
              <w:t>—</w:t>
            </w:r>
          </w:p>
        </w:tc>
        <w:tc>
          <w:tcPr>
            <w:tcW w:w="2140" w:type="dxa"/>
            <w:vAlign w:val="bottom"/>
          </w:tcPr>
          <w:p>
            <w:pPr>
              <w:jc w:val="right"/>
              <w:spacing w:after="0"/>
              <w:rPr>
                <w:sz w:val="20"/>
                <w:szCs w:val="20"/>
                <w:color w:val="auto"/>
              </w:rPr>
            </w:pPr>
            <w:r>
              <w:rPr>
                <w:rFonts w:ascii="Arial" w:cs="Arial" w:eastAsia="Arial" w:hAnsi="Arial"/>
                <w:sz w:val="14"/>
                <w:szCs w:val="14"/>
                <w:color w:val="auto"/>
              </w:rPr>
              <w:t>3</w:t>
            </w:r>
          </w:p>
        </w:tc>
        <w:tc>
          <w:tcPr>
            <w:tcW w:w="140" w:type="dxa"/>
            <w:vAlign w:val="bottom"/>
          </w:tcPr>
          <w:p>
            <w:pPr>
              <w:spacing w:after="0"/>
              <w:rPr>
                <w:sz w:val="14"/>
                <w:szCs w:val="14"/>
                <w:color w:val="auto"/>
              </w:rPr>
            </w:pPr>
          </w:p>
        </w:tc>
      </w:tr>
      <w:tr>
        <w:trPr>
          <w:trHeight w:val="162"/>
        </w:trPr>
        <w:tc>
          <w:tcPr>
            <w:tcW w:w="6440" w:type="dxa"/>
            <w:vAlign w:val="bottom"/>
            <w:gridSpan w:val="2"/>
            <w:shd w:val="clear" w:color="auto" w:fill="CCECFF"/>
          </w:tcPr>
          <w:p>
            <w:pPr>
              <w:spacing w:after="0"/>
              <w:rPr>
                <w:sz w:val="20"/>
                <w:szCs w:val="20"/>
                <w:color w:val="auto"/>
              </w:rPr>
            </w:pPr>
            <w:r>
              <w:rPr>
                <w:rFonts w:ascii="Arial" w:cs="Arial" w:eastAsia="Arial" w:hAnsi="Arial"/>
                <w:sz w:val="14"/>
                <w:szCs w:val="14"/>
                <w:color w:val="auto"/>
              </w:rPr>
              <w:t>Other</w:t>
            </w:r>
          </w:p>
        </w:tc>
        <w:tc>
          <w:tcPr>
            <w:tcW w:w="2140" w:type="dxa"/>
            <w:vAlign w:val="bottom"/>
            <w:tcBorders>
              <w:bottom w:val="single" w:sz="8" w:color="auto"/>
            </w:tcBorders>
            <w:shd w:val="clear" w:color="auto" w:fill="CCECFF"/>
          </w:tcPr>
          <w:p>
            <w:pPr>
              <w:jc w:val="right"/>
              <w:spacing w:after="0"/>
              <w:rPr>
                <w:sz w:val="20"/>
                <w:szCs w:val="20"/>
                <w:color w:val="auto"/>
              </w:rPr>
            </w:pPr>
            <w:r>
              <w:rPr>
                <w:rFonts w:ascii="Arial" w:cs="Arial" w:eastAsia="Arial" w:hAnsi="Arial"/>
                <w:sz w:val="14"/>
                <w:szCs w:val="14"/>
                <w:color w:val="auto"/>
              </w:rPr>
              <w:t>4</w:t>
            </w:r>
          </w:p>
        </w:tc>
        <w:tc>
          <w:tcPr>
            <w:tcW w:w="380" w:type="dxa"/>
            <w:vAlign w:val="bottom"/>
            <w:shd w:val="clear" w:color="auto" w:fill="CCECFF"/>
          </w:tcPr>
          <w:p>
            <w:pPr>
              <w:spacing w:after="0"/>
              <w:rPr>
                <w:sz w:val="14"/>
                <w:szCs w:val="14"/>
                <w:color w:val="auto"/>
              </w:rPr>
            </w:pPr>
          </w:p>
        </w:tc>
        <w:tc>
          <w:tcPr>
            <w:tcW w:w="2140" w:type="dxa"/>
            <w:vAlign w:val="bottom"/>
            <w:tcBorders>
              <w:bottom w:val="single" w:sz="8" w:color="auto"/>
            </w:tcBorders>
            <w:shd w:val="clear" w:color="auto" w:fill="CCECFF"/>
          </w:tcPr>
          <w:p>
            <w:pPr>
              <w:jc w:val="right"/>
              <w:spacing w:after="0"/>
              <w:rPr>
                <w:sz w:val="20"/>
                <w:szCs w:val="20"/>
                <w:color w:val="auto"/>
              </w:rPr>
            </w:pPr>
            <w:r>
              <w:rPr>
                <w:rFonts w:ascii="Arial" w:cs="Arial" w:eastAsia="Arial" w:hAnsi="Arial"/>
                <w:sz w:val="14"/>
                <w:szCs w:val="14"/>
                <w:color w:val="auto"/>
              </w:rPr>
              <w:t>4</w:t>
            </w:r>
          </w:p>
        </w:tc>
        <w:tc>
          <w:tcPr>
            <w:tcW w:w="140" w:type="dxa"/>
            <w:vAlign w:val="bottom"/>
            <w:shd w:val="clear" w:color="auto" w:fill="CCECFF"/>
          </w:tcPr>
          <w:p>
            <w:pPr>
              <w:spacing w:after="0"/>
              <w:rPr>
                <w:sz w:val="14"/>
                <w:szCs w:val="14"/>
                <w:color w:val="auto"/>
              </w:rPr>
            </w:pPr>
          </w:p>
        </w:tc>
      </w:tr>
      <w:tr>
        <w:trPr>
          <w:trHeight w:val="155"/>
        </w:trPr>
        <w:tc>
          <w:tcPr>
            <w:tcW w:w="6440" w:type="dxa"/>
            <w:vAlign w:val="bottom"/>
            <w:gridSpan w:val="2"/>
          </w:tcPr>
          <w:p>
            <w:pPr>
              <w:spacing w:after="0" w:line="155" w:lineRule="exact"/>
              <w:rPr>
                <w:sz w:val="20"/>
                <w:szCs w:val="20"/>
                <w:color w:val="auto"/>
              </w:rPr>
            </w:pPr>
            <w:r>
              <w:rPr>
                <w:rFonts w:ascii="Arial" w:cs="Arial" w:eastAsia="Arial" w:hAnsi="Arial"/>
                <w:sz w:val="14"/>
                <w:szCs w:val="14"/>
                <w:color w:val="auto"/>
              </w:rPr>
              <w:t>Total</w:t>
            </w:r>
          </w:p>
        </w:tc>
        <w:tc>
          <w:tcPr>
            <w:tcW w:w="2520" w:type="dxa"/>
            <w:vAlign w:val="bottom"/>
            <w:gridSpan w:val="2"/>
          </w:tcPr>
          <w:p>
            <w:pPr>
              <w:jc w:val="right"/>
              <w:ind w:right="260"/>
              <w:spacing w:after="0" w:line="155" w:lineRule="exact"/>
              <w:rPr>
                <w:sz w:val="20"/>
                <w:szCs w:val="20"/>
                <w:color w:val="auto"/>
              </w:rPr>
            </w:pPr>
            <w:r>
              <w:rPr>
                <w:rFonts w:ascii="Arial" w:cs="Arial" w:eastAsia="Arial" w:hAnsi="Arial"/>
                <w:sz w:val="14"/>
                <w:szCs w:val="14"/>
                <w:color w:val="auto"/>
              </w:rPr>
              <w:t>100%</w:t>
            </w:r>
          </w:p>
        </w:tc>
        <w:tc>
          <w:tcPr>
            <w:tcW w:w="2280" w:type="dxa"/>
            <w:vAlign w:val="bottom"/>
            <w:gridSpan w:val="2"/>
          </w:tcPr>
          <w:p>
            <w:pPr>
              <w:jc w:val="right"/>
              <w:ind w:right="20"/>
              <w:spacing w:after="0" w:line="155" w:lineRule="exact"/>
              <w:rPr>
                <w:sz w:val="20"/>
                <w:szCs w:val="20"/>
                <w:color w:val="auto"/>
              </w:rPr>
            </w:pPr>
            <w:r>
              <w:rPr>
                <w:rFonts w:ascii="Arial" w:cs="Arial" w:eastAsia="Arial" w:hAnsi="Arial"/>
                <w:sz w:val="14"/>
                <w:szCs w:val="14"/>
                <w:color w:val="auto"/>
              </w:rPr>
              <w:t>100%</w:t>
            </w:r>
          </w:p>
        </w:tc>
      </w:tr>
      <w:tr>
        <w:trPr>
          <w:trHeight w:val="20"/>
        </w:trPr>
        <w:tc>
          <w:tcPr>
            <w:tcW w:w="62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14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14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r>
    </w:tbl>
    <w:p>
      <w:pPr>
        <w:spacing w:after="0" w:line="126"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5. FAIR VALUE OF FINANCIAL INSTRUMENTS</w:t>
      </w:r>
    </w:p>
    <w:p>
      <w:pPr>
        <w:spacing w:after="0" w:line="140" w:lineRule="exact"/>
        <w:rPr>
          <w:sz w:val="20"/>
          <w:szCs w:val="20"/>
          <w:color w:val="auto"/>
        </w:rPr>
      </w:pPr>
    </w:p>
    <w:p>
      <w:pPr>
        <w:ind w:right="100" w:firstLine="454"/>
        <w:spacing w:after="0" w:line="277" w:lineRule="auto"/>
        <w:rPr>
          <w:sz w:val="20"/>
          <w:szCs w:val="20"/>
          <w:color w:val="auto"/>
        </w:rPr>
      </w:pPr>
      <w:r>
        <w:rPr>
          <w:rFonts w:ascii="Arial" w:cs="Arial" w:eastAsia="Arial" w:hAnsi="Arial"/>
          <w:sz w:val="12"/>
          <w:szCs w:val="12"/>
          <w:color w:val="auto"/>
        </w:rPr>
        <w:t>Fair value, as defined under ASC 820, Fair Value Measurement, or ASC 820, is the price that we would receive upon selling an investment or pay to transfer a liability in an orderly transaction to a market participant in the principal or most advantageous market for the investment or liability. ASC 820 emphasizes that valuation techniques maximize the use of observable market inputs and minimize the use of unobservable inputs. Inputs refer broadly to the assumptions that market participants would use in pricing an asset or liability, including assumptions about risk. Inputs may be observable or unobservable. Observable inputs reflect the assumptions market participants would use in pricing an asset or liability based on market data obtained from sources independent of us. Unobservable inputs reflect the assumptions market participants would use in pricing an asset or liability based on the best information available to us on the reporting date.</w:t>
      </w:r>
    </w:p>
    <w:p>
      <w:pPr>
        <w:spacing w:after="0" w:line="95" w:lineRule="exact"/>
        <w:rPr>
          <w:sz w:val="20"/>
          <w:szCs w:val="20"/>
          <w:color w:val="auto"/>
        </w:rPr>
      </w:pPr>
    </w:p>
    <w:p>
      <w:pPr>
        <w:ind w:left="440"/>
        <w:spacing w:after="0"/>
        <w:rPr>
          <w:sz w:val="20"/>
          <w:szCs w:val="20"/>
          <w:color w:val="auto"/>
        </w:rPr>
      </w:pPr>
      <w:r>
        <w:rPr>
          <w:rFonts w:ascii="Arial" w:cs="Arial" w:eastAsia="Arial" w:hAnsi="Arial"/>
          <w:sz w:val="14"/>
          <w:szCs w:val="14"/>
          <w:color w:val="auto"/>
        </w:rPr>
        <w:t>ASC 820 classifies the inputs used to measure these fair values into the following hierarchies:</w:t>
      </w:r>
    </w:p>
    <w:p>
      <w:pPr>
        <w:spacing w:after="0" w:line="136" w:lineRule="exact"/>
        <w:rPr>
          <w:sz w:val="20"/>
          <w:szCs w:val="20"/>
          <w:color w:val="auto"/>
        </w:rPr>
      </w:pPr>
    </w:p>
    <w:p>
      <w:pPr>
        <w:ind w:left="640"/>
        <w:spacing w:after="0"/>
        <w:tabs>
          <w:tab w:leader="none" w:pos="1440" w:val="left"/>
        </w:tabs>
        <w:rPr>
          <w:sz w:val="20"/>
          <w:szCs w:val="20"/>
          <w:color w:val="auto"/>
        </w:rPr>
      </w:pPr>
      <w:r>
        <w:rPr>
          <w:rFonts w:ascii="Arial" w:cs="Arial" w:eastAsia="Arial" w:hAnsi="Arial"/>
          <w:sz w:val="14"/>
          <w:szCs w:val="14"/>
          <w:color w:val="auto"/>
        </w:rPr>
        <w:t>Level 1:</w:t>
      </w:r>
      <w:r>
        <w:rPr>
          <w:sz w:val="20"/>
          <w:szCs w:val="20"/>
          <w:color w:val="auto"/>
        </w:rPr>
        <w:tab/>
      </w:r>
      <w:r>
        <w:rPr>
          <w:rFonts w:ascii="Arial" w:cs="Arial" w:eastAsia="Arial" w:hAnsi="Arial"/>
          <w:sz w:val="12"/>
          <w:szCs w:val="12"/>
          <w:color w:val="auto"/>
        </w:rPr>
        <w:t>Inputs that are quoted prices (unadjusted) in active markets for identical assets or liabilities, accessible by us at the measurement date.</w:t>
      </w:r>
    </w:p>
    <w:p>
      <w:pPr>
        <w:spacing w:after="0" w:line="136" w:lineRule="exact"/>
        <w:rPr>
          <w:sz w:val="20"/>
          <w:szCs w:val="20"/>
          <w:color w:val="auto"/>
        </w:rPr>
      </w:pPr>
    </w:p>
    <w:p>
      <w:pPr>
        <w:ind w:left="1460" w:right="200" w:hanging="809"/>
        <w:spacing w:after="0" w:line="290" w:lineRule="auto"/>
        <w:tabs>
          <w:tab w:leader="none" w:pos="1440" w:val="left"/>
        </w:tabs>
        <w:rPr>
          <w:sz w:val="20"/>
          <w:szCs w:val="20"/>
          <w:color w:val="auto"/>
        </w:rPr>
      </w:pPr>
      <w:r>
        <w:rPr>
          <w:rFonts w:ascii="Arial" w:cs="Arial" w:eastAsia="Arial" w:hAnsi="Arial"/>
          <w:sz w:val="14"/>
          <w:szCs w:val="14"/>
          <w:color w:val="auto"/>
        </w:rPr>
        <w:t>Level 2:</w:t>
      </w:r>
      <w:r>
        <w:rPr>
          <w:sz w:val="20"/>
          <w:szCs w:val="20"/>
          <w:color w:val="auto"/>
        </w:rPr>
        <w:tab/>
      </w:r>
      <w:r>
        <w:rPr>
          <w:rFonts w:ascii="Arial" w:cs="Arial" w:eastAsia="Arial" w:hAnsi="Arial"/>
          <w:sz w:val="13"/>
          <w:szCs w:val="13"/>
          <w:color w:val="auto"/>
        </w:rPr>
        <w:t>Inputs that are quoted prices for similar assets or liabilities in active markets, or that are quoted prices for identical or similar assets or liabilities in markets that are not active and inputs that are observable for the asset or liability, either directly or indirectly, for substantially the full term, if applicable, of the financial instrument.</w:t>
      </w:r>
    </w:p>
    <w:p>
      <w:pPr>
        <w:spacing w:after="0" w:line="200" w:lineRule="exact"/>
        <w:rPr>
          <w:sz w:val="20"/>
          <w:szCs w:val="20"/>
          <w:color w:val="auto"/>
        </w:rPr>
      </w:pPr>
    </w:p>
    <w:p>
      <w:pPr>
        <w:spacing w:after="0" w:line="249"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72390</wp:posOffset>
            </wp:positionV>
            <wp:extent cx="7149465" cy="171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17" w:name="page18"/>
    <w:bookmarkEnd w:id="17"/>
    <w:p>
      <w:pPr>
        <w:ind w:left="3220"/>
        <w:spacing w:after="0"/>
        <w:rPr>
          <w:sz w:val="20"/>
          <w:szCs w:val="20"/>
          <w:color w:val="auto"/>
        </w:rPr>
      </w:pPr>
      <w:r>
        <w:rPr>
          <w:rFonts w:ascii="Arial" w:cs="Arial" w:eastAsia="Arial" w:hAnsi="Arial"/>
          <w:sz w:val="14"/>
          <w:szCs w:val="14"/>
          <w:b w:val="1"/>
          <w:bCs w:val="1"/>
          <w:color w:val="auto"/>
        </w:rPr>
        <w:t>PENNANTPARK INVESTMENT CORPORATION AND SUBSIDIARIES</w:t>
      </w:r>
    </w:p>
    <w:p>
      <w:pPr>
        <w:ind w:left="3200"/>
        <w:spacing w:after="0" w:line="225" w:lineRule="auto"/>
        <w:rPr>
          <w:sz w:val="20"/>
          <w:szCs w:val="20"/>
          <w:color w:val="auto"/>
        </w:rPr>
      </w:pPr>
      <w:r>
        <w:rPr>
          <w:rFonts w:ascii="Arial" w:cs="Arial" w:eastAsia="Arial" w:hAnsi="Arial"/>
          <w:sz w:val="14"/>
          <w:szCs w:val="14"/>
          <w:b w:val="1"/>
          <w:bCs w:val="1"/>
          <w:color w:val="auto"/>
        </w:rPr>
        <w:t>NOTES TO CONSOLIDATED FINANCIAL STATEMENTS—(Continued)</w:t>
      </w:r>
    </w:p>
    <w:p>
      <w:pPr>
        <w:jc w:val="center"/>
        <w:ind w:right="80"/>
        <w:spacing w:after="0" w:line="221" w:lineRule="auto"/>
        <w:rPr>
          <w:sz w:val="20"/>
          <w:szCs w:val="20"/>
          <w:color w:val="auto"/>
        </w:rPr>
      </w:pPr>
      <w:r>
        <w:rPr>
          <w:rFonts w:ascii="Arial" w:cs="Arial" w:eastAsia="Arial" w:hAnsi="Arial"/>
          <w:sz w:val="14"/>
          <w:szCs w:val="14"/>
          <w:b w:val="1"/>
          <w:bCs w:val="1"/>
          <w:color w:val="auto"/>
        </w:rPr>
        <w:t>JUNE 30, 2017</w:t>
      </w:r>
    </w:p>
    <w:p>
      <w:pPr>
        <w:spacing w:after="0" w:line="1" w:lineRule="exact"/>
        <w:rPr>
          <w:sz w:val="20"/>
          <w:szCs w:val="20"/>
          <w:color w:val="auto"/>
        </w:rPr>
      </w:pPr>
    </w:p>
    <w:p>
      <w:pPr>
        <w:jc w:val="center"/>
        <w:ind w:right="80"/>
        <w:spacing w:after="0"/>
        <w:rPr>
          <w:sz w:val="20"/>
          <w:szCs w:val="20"/>
          <w:color w:val="auto"/>
        </w:rPr>
      </w:pPr>
      <w:r>
        <w:rPr>
          <w:rFonts w:ascii="Arial" w:cs="Arial" w:eastAsia="Arial" w:hAnsi="Arial"/>
          <w:sz w:val="14"/>
          <w:szCs w:val="14"/>
          <w:b w:val="1"/>
          <w:bCs w:val="1"/>
          <w:color w:val="auto"/>
        </w:rPr>
        <w:t>(Unaudited)</w:t>
      </w:r>
    </w:p>
    <w:p>
      <w:pPr>
        <w:spacing w:after="0" w:line="192" w:lineRule="exact"/>
        <w:rPr>
          <w:sz w:val="20"/>
          <w:szCs w:val="20"/>
          <w:color w:val="auto"/>
        </w:rPr>
      </w:pPr>
    </w:p>
    <w:p>
      <w:pPr>
        <w:ind w:left="640"/>
        <w:spacing w:after="0"/>
        <w:tabs>
          <w:tab w:leader="none" w:pos="1440" w:val="left"/>
        </w:tabs>
        <w:rPr>
          <w:sz w:val="20"/>
          <w:szCs w:val="20"/>
          <w:color w:val="auto"/>
        </w:rPr>
      </w:pPr>
      <w:r>
        <w:rPr>
          <w:rFonts w:ascii="Arial" w:cs="Arial" w:eastAsia="Arial" w:hAnsi="Arial"/>
          <w:sz w:val="14"/>
          <w:szCs w:val="14"/>
          <w:color w:val="auto"/>
        </w:rPr>
        <w:t>Level 3:</w:t>
      </w:r>
      <w:r>
        <w:rPr>
          <w:sz w:val="20"/>
          <w:szCs w:val="20"/>
          <w:color w:val="auto"/>
        </w:rPr>
        <w:tab/>
      </w:r>
      <w:r>
        <w:rPr>
          <w:rFonts w:ascii="Arial" w:cs="Arial" w:eastAsia="Arial" w:hAnsi="Arial"/>
          <w:sz w:val="12"/>
          <w:szCs w:val="12"/>
          <w:color w:val="auto"/>
        </w:rPr>
        <w:t>Inputs that are unobservable for an asset or liability because they are based on our own assumptions about how market participants would price the asset or liability.</w:t>
      </w:r>
    </w:p>
    <w:p>
      <w:pPr>
        <w:spacing w:after="0" w:line="136" w:lineRule="exact"/>
        <w:rPr>
          <w:sz w:val="20"/>
          <w:szCs w:val="20"/>
          <w:color w:val="auto"/>
        </w:rPr>
      </w:pPr>
    </w:p>
    <w:p>
      <w:pPr>
        <w:ind w:right="340" w:firstLine="434"/>
        <w:spacing w:after="0" w:line="238" w:lineRule="auto"/>
        <w:rPr>
          <w:sz w:val="20"/>
          <w:szCs w:val="20"/>
          <w:color w:val="auto"/>
        </w:rPr>
      </w:pPr>
      <w:r>
        <w:rPr>
          <w:rFonts w:ascii="Arial" w:cs="Arial" w:eastAsia="Arial" w:hAnsi="Arial"/>
          <w:sz w:val="14"/>
          <w:szCs w:val="14"/>
          <w:color w:val="auto"/>
        </w:rPr>
        <w:t>A financial instrument’s categorization within the valuation hierarchy is based upon the lowest level of input that is significant to the fair value measurement. Generally, most of our investments and our Credit Facility are classified as Level 3. Due to the inherent uncertainty of determining the fair value of investments that do not have a readily available market value, the price used in an actual transaction may be different than our valuation and those differences may be material.</w:t>
      </w:r>
    </w:p>
    <w:p>
      <w:pPr>
        <w:spacing w:after="0" w:line="115" w:lineRule="exact"/>
        <w:rPr>
          <w:sz w:val="20"/>
          <w:szCs w:val="20"/>
          <w:color w:val="auto"/>
        </w:rPr>
      </w:pPr>
    </w:p>
    <w:p>
      <w:pPr>
        <w:ind w:right="240" w:firstLine="432"/>
        <w:spacing w:after="0" w:line="231" w:lineRule="auto"/>
        <w:rPr>
          <w:sz w:val="20"/>
          <w:szCs w:val="20"/>
          <w:color w:val="auto"/>
        </w:rPr>
      </w:pPr>
      <w:r>
        <w:rPr>
          <w:rFonts w:ascii="Arial" w:cs="Arial" w:eastAsia="Arial" w:hAnsi="Arial"/>
          <w:sz w:val="14"/>
          <w:szCs w:val="14"/>
          <w:color w:val="auto"/>
        </w:rPr>
        <w:t>The inputs into the determination of fair value may require significant management judgment or estimation. Even if observable market data are available, such information may be the result of consensus pricing information, disorderly transactions or broker quotes which include a disclaimer that the broker would not be held to such a price in an actual transaction. The non-binding nature of consensus pricing and/or quotes accompanied by disclaimer would result in classification as Level 3 information, assuming no additional corroborating evidence was available. Corroborating evidence that would result in classifying these non-binding broker/dealer bids as a Level 2 asset includes observable orderly market-based transactions for the same or similar assets or other relevant observable market-based inputs that may be used in pricing an asset.</w:t>
      </w:r>
    </w:p>
    <w:p>
      <w:pPr>
        <w:spacing w:after="0" w:line="116" w:lineRule="exact"/>
        <w:rPr>
          <w:sz w:val="20"/>
          <w:szCs w:val="20"/>
          <w:color w:val="auto"/>
        </w:rPr>
      </w:pPr>
    </w:p>
    <w:p>
      <w:pPr>
        <w:ind w:right="260" w:firstLine="432"/>
        <w:spacing w:after="0" w:line="231" w:lineRule="auto"/>
        <w:rPr>
          <w:sz w:val="20"/>
          <w:szCs w:val="20"/>
          <w:color w:val="auto"/>
        </w:rPr>
      </w:pPr>
      <w:r>
        <w:rPr>
          <w:rFonts w:ascii="Arial" w:cs="Arial" w:eastAsia="Arial" w:hAnsi="Arial"/>
          <w:sz w:val="14"/>
          <w:szCs w:val="14"/>
          <w:color w:val="auto"/>
        </w:rPr>
        <w:t>Our investments are generally structured as debt and equity investments in the form of senior secured debt, mezzanine debt and equity co-investments. The transaction price, excluding transaction costs, is typically the best estimate of fair value at inception. Ongoing reviews by our Investment Adviser and independent valuation firms are based on an assessment of each underlying investment, incorporating valuations that consider the evaluation of financing and sale transactions with third parties, expected cash flows and market-based information including comparable transactions, performance multiples and yields, among other factors. These non-public investments valued using unobservable inputs are included in Level 3 of the fair value hierarchy.</w:t>
      </w:r>
    </w:p>
    <w:p>
      <w:pPr>
        <w:spacing w:after="0" w:line="116" w:lineRule="exact"/>
        <w:rPr>
          <w:sz w:val="20"/>
          <w:szCs w:val="20"/>
          <w:color w:val="auto"/>
        </w:rPr>
      </w:pPr>
    </w:p>
    <w:p>
      <w:pPr>
        <w:ind w:right="360" w:firstLine="425"/>
        <w:spacing w:after="0" w:line="233" w:lineRule="auto"/>
        <w:rPr>
          <w:sz w:val="20"/>
          <w:szCs w:val="20"/>
          <w:color w:val="auto"/>
        </w:rPr>
      </w:pPr>
      <w:r>
        <w:rPr>
          <w:rFonts w:ascii="Arial" w:cs="Arial" w:eastAsia="Arial" w:hAnsi="Arial"/>
          <w:sz w:val="14"/>
          <w:szCs w:val="14"/>
          <w:color w:val="auto"/>
        </w:rPr>
        <w:t>A review of fair value hierarchy classifications is conducted on a quarterly basis. Changes in our ability to observe valuation inputs may result in a reclassification for certain financial assets or liabilities. Reclassifications impacting Level 3 of the fair value hierarchy are reported as transfers in or out of the Level 3 category as of the end of the quarter in which the reclassifications occur. During the nine months ended June 30, 2017 and 2016, our ability to observe valuation inputs resulted no reclassifications and one reclassification of an asset from Level 2 to 1, respectively.</w:t>
      </w:r>
    </w:p>
    <w:p>
      <w:pPr>
        <w:spacing w:after="0" w:line="117" w:lineRule="exact"/>
        <w:rPr>
          <w:sz w:val="20"/>
          <w:szCs w:val="20"/>
          <w:color w:val="auto"/>
        </w:rPr>
      </w:pPr>
    </w:p>
    <w:p>
      <w:pPr>
        <w:ind w:right="400" w:firstLine="425"/>
        <w:spacing w:after="0" w:line="238" w:lineRule="auto"/>
        <w:rPr>
          <w:sz w:val="20"/>
          <w:szCs w:val="20"/>
          <w:color w:val="auto"/>
        </w:rPr>
      </w:pPr>
      <w:r>
        <w:rPr>
          <w:rFonts w:ascii="Arial" w:cs="Arial" w:eastAsia="Arial" w:hAnsi="Arial"/>
          <w:sz w:val="14"/>
          <w:szCs w:val="14"/>
          <w:color w:val="auto"/>
        </w:rPr>
        <w:t>In addition to using the above inputs in cash equivalents, investments, our Notes and our Credit Facility valuations, we employ the valuation policy approved by our board of directors that is consistent with ASC 820. Consistent with our valuation policy, we evaluate the source of inputs, including any markets in which our investments are trading, in determining fair value. See Note 2.</w:t>
      </w:r>
    </w:p>
    <w:p>
      <w:pPr>
        <w:spacing w:after="0" w:line="115" w:lineRule="exact"/>
        <w:rPr>
          <w:sz w:val="20"/>
          <w:szCs w:val="20"/>
          <w:color w:val="auto"/>
        </w:rPr>
      </w:pPr>
    </w:p>
    <w:p>
      <w:pPr>
        <w:ind w:right="400" w:firstLine="425"/>
        <w:spacing w:after="0" w:line="255" w:lineRule="auto"/>
        <w:rPr>
          <w:sz w:val="20"/>
          <w:szCs w:val="20"/>
          <w:color w:val="auto"/>
        </w:rPr>
      </w:pPr>
      <w:r>
        <w:rPr>
          <w:rFonts w:ascii="Arial" w:cs="Arial" w:eastAsia="Arial" w:hAnsi="Arial"/>
          <w:sz w:val="13"/>
          <w:szCs w:val="13"/>
          <w:color w:val="auto"/>
        </w:rPr>
        <w:t>As outlined in the table below, some of our Level 3 investments using a market approach valuation technique are valued using the average of the bids from brokers or dealers. The bids typically include a disclaimer, have no corroborating evidence, may be the result of a disorderly transaction and may be the result of consensus pricing. The Investment Adviser assesses the source and reliability of bids from brokers or dealers. If the board of directors has a bona fide reason to believe any such bids do not reflect the fair value on an investment, it may independently value such investment by using the valuation procedure that it uses with respect to assets for which market quotations are not readily available.</w:t>
      </w:r>
    </w:p>
    <w:p>
      <w:pPr>
        <w:spacing w:after="0" w:line="107" w:lineRule="exact"/>
        <w:rPr>
          <w:sz w:val="20"/>
          <w:szCs w:val="20"/>
          <w:color w:val="auto"/>
        </w:rPr>
      </w:pPr>
    </w:p>
    <w:p>
      <w:pPr>
        <w:ind w:right="380" w:firstLine="425"/>
        <w:spacing w:after="0" w:line="244" w:lineRule="auto"/>
        <w:rPr>
          <w:sz w:val="20"/>
          <w:szCs w:val="20"/>
          <w:color w:val="auto"/>
        </w:rPr>
      </w:pPr>
      <w:r>
        <w:rPr>
          <w:rFonts w:ascii="Arial" w:cs="Arial" w:eastAsia="Arial" w:hAnsi="Arial"/>
          <w:sz w:val="13"/>
          <w:szCs w:val="13"/>
          <w:color w:val="auto"/>
        </w:rPr>
        <w:t>The remainder of our portfolio and our long-term Credit Facility are valued using a market comparable or an enterprise market value technique. With respect to investments for which there is no readily available market value, the factors that the board of directors may take into account in pricing our investments at fair value include, as relevant, the nature and realizable value of any collateral, the portfolio company’s ability to make payments, its earnings and discounted cash flow, the markets in which the portfolio company does business, comparison to publicly traded securities and other relevant factors. When an external event such as a purchase transaction, public offering or subsequent equity sale occurs, the pricing indicated by the external event, excluding transaction costs, is used to corroborate the valuation. When using earnings multiples to value a portfolio company, the multiple used requires the use of judgment and estimates in determining how a market participant would price such an asset. Generally, the sensitivity of unobservable inputs or combination of inputs such as industry comparable companies, market outlook, consistency, discount rates and reliability of earnings and prospects for growth, or lack thereof, affects the multiple used in pricing an investment. As a result, any change in any one of those factors may have a significant impact on the valuation of an investment. Generally, an increase in a market yield will result in a decrease in the valuation of a debt investment, while a decrease in a market yield will have the opposite effect. Generally, an increase in an EBITDA multiple will result in an increase in the valuation of an investment, while a decrease in an EBITDA will have the opposite effect.</w:t>
      </w:r>
    </w:p>
    <w:p>
      <w:pPr>
        <w:spacing w:after="0" w:line="114" w:lineRule="exact"/>
        <w:rPr>
          <w:sz w:val="20"/>
          <w:szCs w:val="20"/>
          <w:color w:val="auto"/>
        </w:rPr>
      </w:pPr>
    </w:p>
    <w:p>
      <w:pPr>
        <w:ind w:left="460"/>
        <w:spacing w:after="0"/>
        <w:rPr>
          <w:sz w:val="20"/>
          <w:szCs w:val="20"/>
          <w:color w:val="auto"/>
        </w:rPr>
      </w:pPr>
      <w:r>
        <w:rPr>
          <w:rFonts w:ascii="Arial" w:cs="Arial" w:eastAsia="Arial" w:hAnsi="Arial"/>
          <w:sz w:val="14"/>
          <w:szCs w:val="14"/>
          <w:color w:val="auto"/>
        </w:rPr>
        <w:t>Our Level 3 valuation techniques, unobservable inputs and ranges were categorized as follows for ASC 820 purposes:</w:t>
      </w:r>
    </w:p>
    <w:p>
      <w:pPr>
        <w:spacing w:after="0" w:line="13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74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Asset Category</w:t>
            </w:r>
          </w:p>
        </w:tc>
        <w:tc>
          <w:tcPr>
            <w:tcW w:w="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380" w:type="dxa"/>
            <w:vAlign w:val="bottom"/>
          </w:tcPr>
          <w:p>
            <w:pPr>
              <w:jc w:val="right"/>
              <w:ind w:right="348"/>
              <w:spacing w:after="0"/>
              <w:rPr>
                <w:sz w:val="20"/>
                <w:szCs w:val="20"/>
                <w:color w:val="auto"/>
              </w:rPr>
            </w:pPr>
            <w:r>
              <w:rPr>
                <w:rFonts w:ascii="Arial" w:cs="Arial" w:eastAsia="Arial" w:hAnsi="Arial"/>
                <w:sz w:val="14"/>
                <w:szCs w:val="14"/>
                <w:b w:val="1"/>
                <w:bCs w:val="1"/>
                <w:color w:val="auto"/>
              </w:rPr>
              <w:t>Fair Value at</w:t>
            </w:r>
          </w:p>
        </w:tc>
        <w:tc>
          <w:tcPr>
            <w:tcW w:w="260" w:type="dxa"/>
            <w:vAlign w:val="bottom"/>
          </w:tcPr>
          <w:p>
            <w:pPr>
              <w:spacing w:after="0"/>
              <w:rPr>
                <w:sz w:val="14"/>
                <w:szCs w:val="14"/>
                <w:color w:val="auto"/>
              </w:rPr>
            </w:pPr>
          </w:p>
        </w:tc>
        <w:tc>
          <w:tcPr>
            <w:tcW w:w="2200" w:type="dxa"/>
            <w:vAlign w:val="bottom"/>
            <w:gridSpan w:val="2"/>
            <w:vMerge w:val="restart"/>
          </w:tcPr>
          <w:p>
            <w:pPr>
              <w:jc w:val="center"/>
              <w:ind w:right="180"/>
              <w:spacing w:after="0"/>
              <w:rPr>
                <w:sz w:val="20"/>
                <w:szCs w:val="20"/>
                <w:color w:val="auto"/>
              </w:rPr>
            </w:pPr>
            <w:r>
              <w:rPr>
                <w:rFonts w:ascii="Arial" w:cs="Arial" w:eastAsia="Arial" w:hAnsi="Arial"/>
                <w:sz w:val="14"/>
                <w:szCs w:val="14"/>
                <w:b w:val="1"/>
                <w:bCs w:val="1"/>
                <w:color w:val="auto"/>
                <w:w w:val="91"/>
              </w:rPr>
              <w:t>Valuation Technique</w:t>
            </w:r>
          </w:p>
        </w:tc>
        <w:tc>
          <w:tcPr>
            <w:tcW w:w="2200" w:type="dxa"/>
            <w:vAlign w:val="bottom"/>
            <w:gridSpan w:val="2"/>
            <w:vMerge w:val="restart"/>
          </w:tcPr>
          <w:p>
            <w:pPr>
              <w:jc w:val="center"/>
              <w:ind w:right="160"/>
              <w:spacing w:after="0"/>
              <w:rPr>
                <w:sz w:val="20"/>
                <w:szCs w:val="20"/>
                <w:color w:val="auto"/>
              </w:rPr>
            </w:pPr>
            <w:r>
              <w:rPr>
                <w:rFonts w:ascii="Arial" w:cs="Arial" w:eastAsia="Arial" w:hAnsi="Arial"/>
                <w:sz w:val="14"/>
                <w:szCs w:val="14"/>
                <w:b w:val="1"/>
                <w:bCs w:val="1"/>
                <w:color w:val="auto"/>
                <w:w w:val="94"/>
              </w:rPr>
              <w:t>Unobservable Input</w:t>
            </w:r>
          </w:p>
        </w:tc>
        <w:tc>
          <w:tcPr>
            <w:tcW w:w="2220" w:type="dxa"/>
            <w:vAlign w:val="bottom"/>
          </w:tcPr>
          <w:p>
            <w:pPr>
              <w:jc w:val="center"/>
              <w:spacing w:after="0"/>
              <w:rPr>
                <w:sz w:val="20"/>
                <w:szCs w:val="20"/>
                <w:color w:val="auto"/>
              </w:rPr>
            </w:pPr>
            <w:r>
              <w:rPr>
                <w:rFonts w:ascii="Arial" w:cs="Arial" w:eastAsia="Arial" w:hAnsi="Arial"/>
                <w:sz w:val="14"/>
                <w:szCs w:val="14"/>
                <w:b w:val="1"/>
                <w:bCs w:val="1"/>
                <w:color w:val="auto"/>
                <w:w w:val="95"/>
              </w:rPr>
              <w:t>Range of Input</w:t>
            </w:r>
          </w:p>
        </w:tc>
        <w:tc>
          <w:tcPr>
            <w:tcW w:w="0" w:type="dxa"/>
            <w:vAlign w:val="bottom"/>
          </w:tcPr>
          <w:p>
            <w:pPr>
              <w:spacing w:after="0"/>
              <w:rPr>
                <w:sz w:val="1"/>
                <w:szCs w:val="1"/>
                <w:color w:val="auto"/>
              </w:rPr>
            </w:pPr>
          </w:p>
        </w:tc>
      </w:tr>
      <w:tr>
        <w:trPr>
          <w:trHeight w:val="171"/>
        </w:trPr>
        <w:tc>
          <w:tcPr>
            <w:tcW w:w="2740" w:type="dxa"/>
            <w:vAlign w:val="bottom"/>
            <w:gridSpan w:val="2"/>
            <w:vMerge w:val="continue"/>
          </w:tcPr>
          <w:p>
            <w:pPr>
              <w:spacing w:after="0"/>
              <w:rPr>
                <w:sz w:val="14"/>
                <w:szCs w:val="14"/>
                <w:color w:val="auto"/>
              </w:rPr>
            </w:pPr>
          </w:p>
        </w:tc>
        <w:tc>
          <w:tcPr>
            <w:tcW w:w="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380" w:type="dxa"/>
            <w:vAlign w:val="bottom"/>
          </w:tcPr>
          <w:p>
            <w:pPr>
              <w:jc w:val="right"/>
              <w:ind w:right="328"/>
              <w:spacing w:after="0"/>
              <w:rPr>
                <w:sz w:val="20"/>
                <w:szCs w:val="20"/>
                <w:color w:val="auto"/>
              </w:rPr>
            </w:pPr>
            <w:r>
              <w:rPr>
                <w:rFonts w:ascii="Arial" w:cs="Arial" w:eastAsia="Arial" w:hAnsi="Arial"/>
                <w:sz w:val="14"/>
                <w:szCs w:val="14"/>
                <w:b w:val="1"/>
                <w:bCs w:val="1"/>
                <w:color w:val="auto"/>
              </w:rPr>
              <w:t>June 30, 2017</w:t>
            </w:r>
          </w:p>
        </w:tc>
        <w:tc>
          <w:tcPr>
            <w:tcW w:w="260" w:type="dxa"/>
            <w:vAlign w:val="bottom"/>
          </w:tcPr>
          <w:p>
            <w:pPr>
              <w:spacing w:after="0"/>
              <w:rPr>
                <w:sz w:val="14"/>
                <w:szCs w:val="14"/>
                <w:color w:val="auto"/>
              </w:rPr>
            </w:pPr>
          </w:p>
        </w:tc>
        <w:tc>
          <w:tcPr>
            <w:tcW w:w="2200" w:type="dxa"/>
            <w:vAlign w:val="bottom"/>
            <w:gridSpan w:val="2"/>
            <w:vMerge w:val="continue"/>
          </w:tcPr>
          <w:p>
            <w:pPr>
              <w:spacing w:after="0"/>
              <w:rPr>
                <w:sz w:val="14"/>
                <w:szCs w:val="14"/>
                <w:color w:val="auto"/>
              </w:rPr>
            </w:pPr>
          </w:p>
        </w:tc>
        <w:tc>
          <w:tcPr>
            <w:tcW w:w="2200" w:type="dxa"/>
            <w:vAlign w:val="bottom"/>
            <w:gridSpan w:val="2"/>
            <w:vMerge w:val="continue"/>
          </w:tcPr>
          <w:p>
            <w:pPr>
              <w:spacing w:after="0"/>
              <w:rPr>
                <w:sz w:val="14"/>
                <w:szCs w:val="14"/>
                <w:color w:val="auto"/>
              </w:rPr>
            </w:pPr>
          </w:p>
        </w:tc>
        <w:tc>
          <w:tcPr>
            <w:tcW w:w="2220" w:type="dxa"/>
            <w:vAlign w:val="bottom"/>
          </w:tcPr>
          <w:p>
            <w:pPr>
              <w:jc w:val="center"/>
              <w:spacing w:after="0"/>
              <w:rPr>
                <w:sz w:val="20"/>
                <w:szCs w:val="20"/>
                <w:color w:val="auto"/>
              </w:rPr>
            </w:pPr>
            <w:r>
              <w:rPr>
                <w:rFonts w:ascii="Arial" w:cs="Arial" w:eastAsia="Arial" w:hAnsi="Arial"/>
                <w:sz w:val="14"/>
                <w:szCs w:val="14"/>
                <w:b w:val="1"/>
                <w:bCs w:val="1"/>
                <w:color w:val="auto"/>
                <w:w w:val="92"/>
              </w:rPr>
              <w:t>(Weighted Average)</w:t>
            </w:r>
          </w:p>
        </w:tc>
        <w:tc>
          <w:tcPr>
            <w:tcW w:w="0" w:type="dxa"/>
            <w:vAlign w:val="bottom"/>
          </w:tcPr>
          <w:p>
            <w:pPr>
              <w:spacing w:after="0"/>
              <w:rPr>
                <w:sz w:val="1"/>
                <w:szCs w:val="1"/>
                <w:color w:val="auto"/>
              </w:rPr>
            </w:pPr>
          </w:p>
        </w:tc>
      </w:tr>
      <w:tr>
        <w:trPr>
          <w:trHeight w:val="155"/>
        </w:trPr>
        <w:tc>
          <w:tcPr>
            <w:tcW w:w="2580" w:type="dxa"/>
            <w:vAlign w:val="bottom"/>
            <w:tcBorders>
              <w:top w:val="single" w:sz="8" w:color="auto"/>
            </w:tcBorders>
            <w:shd w:val="clear" w:color="auto" w:fill="CCECFF"/>
          </w:tcPr>
          <w:p>
            <w:pPr>
              <w:spacing w:after="0" w:line="155" w:lineRule="exact"/>
              <w:rPr>
                <w:sz w:val="20"/>
                <w:szCs w:val="20"/>
                <w:color w:val="auto"/>
              </w:rPr>
            </w:pPr>
            <w:r>
              <w:rPr>
                <w:rFonts w:ascii="Arial" w:cs="Arial" w:eastAsia="Arial" w:hAnsi="Arial"/>
                <w:sz w:val="14"/>
                <w:szCs w:val="14"/>
                <w:color w:val="auto"/>
              </w:rPr>
              <w:t>First lien</w:t>
            </w:r>
          </w:p>
        </w:tc>
        <w:tc>
          <w:tcPr>
            <w:tcW w:w="160" w:type="dxa"/>
            <w:vAlign w:val="bottom"/>
            <w:tcBorders>
              <w:top w:val="single" w:sz="8" w:color="CCECFF"/>
            </w:tcBorders>
            <w:shd w:val="clear" w:color="auto" w:fill="CCECFF"/>
          </w:tcPr>
          <w:p>
            <w:pPr>
              <w:spacing w:after="0"/>
              <w:rPr>
                <w:sz w:val="13"/>
                <w:szCs w:val="13"/>
                <w:color w:val="auto"/>
              </w:rPr>
            </w:pPr>
          </w:p>
        </w:tc>
        <w:tc>
          <w:tcPr>
            <w:tcW w:w="20" w:type="dxa"/>
            <w:vAlign w:val="bottom"/>
            <w:tcBorders>
              <w:top w:val="single" w:sz="8" w:color="CCECFF"/>
            </w:tcBorders>
            <w:shd w:val="clear" w:color="auto" w:fill="CCECFF"/>
          </w:tcPr>
          <w:p>
            <w:pPr>
              <w:spacing w:after="0"/>
              <w:rPr>
                <w:sz w:val="13"/>
                <w:szCs w:val="13"/>
                <w:color w:val="auto"/>
              </w:rPr>
            </w:pPr>
          </w:p>
        </w:tc>
        <w:tc>
          <w:tcPr>
            <w:tcW w:w="220" w:type="dxa"/>
            <w:vAlign w:val="bottom"/>
            <w:tcBorders>
              <w:top w:val="single" w:sz="8" w:color="auto"/>
            </w:tcBorders>
            <w:shd w:val="clear" w:color="auto" w:fill="CCECFF"/>
          </w:tcPr>
          <w:p>
            <w:pPr>
              <w:jc w:val="right"/>
              <w:ind w:right="109"/>
              <w:spacing w:after="0"/>
              <w:rPr>
                <w:sz w:val="20"/>
                <w:szCs w:val="20"/>
                <w:color w:val="auto"/>
              </w:rPr>
            </w:pPr>
            <w:r>
              <w:rPr>
                <w:rFonts w:ascii="Arial" w:cs="Arial" w:eastAsia="Arial" w:hAnsi="Arial"/>
                <w:sz w:val="10"/>
                <w:szCs w:val="10"/>
                <w:color w:val="auto"/>
                <w:w w:val="71"/>
              </w:rPr>
              <w:t>$</w:t>
            </w:r>
          </w:p>
        </w:tc>
        <w:tc>
          <w:tcPr>
            <w:tcW w:w="1380" w:type="dxa"/>
            <w:vAlign w:val="bottom"/>
            <w:tcBorders>
              <w:top w:val="single" w:sz="8" w:color="auto"/>
            </w:tcBorders>
            <w:shd w:val="clear" w:color="auto" w:fill="CCECFF"/>
          </w:tcPr>
          <w:p>
            <w:pPr>
              <w:jc w:val="right"/>
              <w:spacing w:after="0" w:line="155" w:lineRule="exact"/>
              <w:rPr>
                <w:sz w:val="20"/>
                <w:szCs w:val="20"/>
                <w:color w:val="auto"/>
              </w:rPr>
            </w:pPr>
            <w:r>
              <w:rPr>
                <w:rFonts w:ascii="Arial" w:cs="Arial" w:eastAsia="Arial" w:hAnsi="Arial"/>
                <w:sz w:val="14"/>
                <w:szCs w:val="14"/>
                <w:color w:val="auto"/>
              </w:rPr>
              <w:t>14,606,250</w:t>
            </w:r>
          </w:p>
        </w:tc>
        <w:tc>
          <w:tcPr>
            <w:tcW w:w="260" w:type="dxa"/>
            <w:vAlign w:val="bottom"/>
            <w:tcBorders>
              <w:top w:val="single" w:sz="8" w:color="CCECFF"/>
            </w:tcBorders>
            <w:shd w:val="clear" w:color="auto" w:fill="CCECFF"/>
          </w:tcPr>
          <w:p>
            <w:pPr>
              <w:spacing w:after="0"/>
              <w:rPr>
                <w:sz w:val="13"/>
                <w:szCs w:val="13"/>
                <w:color w:val="auto"/>
              </w:rPr>
            </w:pPr>
          </w:p>
        </w:tc>
        <w:tc>
          <w:tcPr>
            <w:tcW w:w="2040" w:type="dxa"/>
            <w:vAlign w:val="bottom"/>
            <w:tcBorders>
              <w:top w:val="single" w:sz="8" w:color="auto"/>
            </w:tcBorders>
            <w:shd w:val="clear" w:color="auto" w:fill="CCECFF"/>
          </w:tcPr>
          <w:p>
            <w:pPr>
              <w:jc w:val="center"/>
              <w:spacing w:after="0" w:line="155" w:lineRule="exact"/>
              <w:rPr>
                <w:sz w:val="20"/>
                <w:szCs w:val="20"/>
                <w:color w:val="auto"/>
              </w:rPr>
            </w:pPr>
            <w:r>
              <w:rPr>
                <w:rFonts w:ascii="Arial" w:cs="Arial" w:eastAsia="Arial" w:hAnsi="Arial"/>
                <w:sz w:val="14"/>
                <w:szCs w:val="14"/>
                <w:color w:val="auto"/>
                <w:w w:val="94"/>
              </w:rPr>
              <w:t>Market Comparable</w:t>
            </w:r>
          </w:p>
        </w:tc>
        <w:tc>
          <w:tcPr>
            <w:tcW w:w="160" w:type="dxa"/>
            <w:vAlign w:val="bottom"/>
            <w:tcBorders>
              <w:top w:val="single" w:sz="8" w:color="CCECFF"/>
            </w:tcBorders>
            <w:shd w:val="clear" w:color="auto" w:fill="CCECFF"/>
          </w:tcPr>
          <w:p>
            <w:pPr>
              <w:spacing w:after="0"/>
              <w:rPr>
                <w:sz w:val="13"/>
                <w:szCs w:val="13"/>
                <w:color w:val="auto"/>
              </w:rPr>
            </w:pPr>
          </w:p>
        </w:tc>
        <w:tc>
          <w:tcPr>
            <w:tcW w:w="2040" w:type="dxa"/>
            <w:vAlign w:val="bottom"/>
            <w:tcBorders>
              <w:top w:val="single" w:sz="8" w:color="auto"/>
            </w:tcBorders>
            <w:shd w:val="clear" w:color="auto" w:fill="CCECFF"/>
          </w:tcPr>
          <w:p>
            <w:pPr>
              <w:jc w:val="center"/>
              <w:spacing w:after="0" w:line="155" w:lineRule="exact"/>
              <w:rPr>
                <w:sz w:val="20"/>
                <w:szCs w:val="20"/>
                <w:color w:val="auto"/>
              </w:rPr>
            </w:pPr>
            <w:r>
              <w:rPr>
                <w:rFonts w:ascii="Arial" w:cs="Arial" w:eastAsia="Arial" w:hAnsi="Arial"/>
                <w:sz w:val="14"/>
                <w:szCs w:val="14"/>
                <w:color w:val="auto"/>
                <w:w w:val="94"/>
              </w:rPr>
              <w:t>Broker/Dealer bids or quotes</w:t>
            </w:r>
          </w:p>
        </w:tc>
        <w:tc>
          <w:tcPr>
            <w:tcW w:w="160" w:type="dxa"/>
            <w:vAlign w:val="bottom"/>
            <w:tcBorders>
              <w:top w:val="single" w:sz="8" w:color="CCECFF"/>
            </w:tcBorders>
            <w:shd w:val="clear" w:color="auto" w:fill="CCECFF"/>
          </w:tcPr>
          <w:p>
            <w:pPr>
              <w:spacing w:after="0"/>
              <w:rPr>
                <w:sz w:val="13"/>
                <w:szCs w:val="13"/>
                <w:color w:val="auto"/>
              </w:rPr>
            </w:pPr>
          </w:p>
        </w:tc>
        <w:tc>
          <w:tcPr>
            <w:tcW w:w="2220" w:type="dxa"/>
            <w:vAlign w:val="bottom"/>
            <w:tcBorders>
              <w:top w:val="single" w:sz="8" w:color="auto"/>
            </w:tcBorders>
            <w:shd w:val="clear" w:color="auto" w:fill="CCECFF"/>
          </w:tcPr>
          <w:p>
            <w:pPr>
              <w:jc w:val="center"/>
              <w:spacing w:after="0" w:line="155" w:lineRule="exact"/>
              <w:rPr>
                <w:sz w:val="20"/>
                <w:szCs w:val="20"/>
                <w:color w:val="auto"/>
              </w:rPr>
            </w:pPr>
            <w:r>
              <w:rPr>
                <w:rFonts w:ascii="Arial" w:cs="Arial" w:eastAsia="Arial" w:hAnsi="Arial"/>
                <w:sz w:val="14"/>
                <w:szCs w:val="14"/>
                <w:color w:val="auto"/>
              </w:rPr>
              <w:t>N/A</w:t>
            </w:r>
          </w:p>
        </w:tc>
        <w:tc>
          <w:tcPr>
            <w:tcW w:w="0" w:type="dxa"/>
            <w:vAlign w:val="bottom"/>
          </w:tcPr>
          <w:p>
            <w:pPr>
              <w:spacing w:after="0"/>
              <w:rPr>
                <w:sz w:val="1"/>
                <w:szCs w:val="1"/>
                <w:color w:val="auto"/>
              </w:rPr>
            </w:pPr>
          </w:p>
        </w:tc>
      </w:tr>
      <w:tr>
        <w:trPr>
          <w:trHeight w:val="162"/>
        </w:trPr>
        <w:tc>
          <w:tcPr>
            <w:tcW w:w="2740" w:type="dxa"/>
            <w:vAlign w:val="bottom"/>
            <w:gridSpan w:val="2"/>
          </w:tcPr>
          <w:p>
            <w:pPr>
              <w:spacing w:after="0"/>
              <w:rPr>
                <w:sz w:val="20"/>
                <w:szCs w:val="20"/>
                <w:color w:val="auto"/>
              </w:rPr>
            </w:pPr>
            <w:r>
              <w:rPr>
                <w:rFonts w:ascii="Arial" w:cs="Arial" w:eastAsia="Arial" w:hAnsi="Arial"/>
                <w:sz w:val="14"/>
                <w:szCs w:val="14"/>
                <w:color w:val="auto"/>
              </w:rPr>
              <w:t>Second lien</w:t>
            </w:r>
          </w:p>
        </w:tc>
        <w:tc>
          <w:tcPr>
            <w:tcW w:w="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380" w:type="dxa"/>
            <w:vAlign w:val="bottom"/>
          </w:tcPr>
          <w:p>
            <w:pPr>
              <w:jc w:val="right"/>
              <w:spacing w:after="0"/>
              <w:rPr>
                <w:sz w:val="20"/>
                <w:szCs w:val="20"/>
                <w:color w:val="auto"/>
              </w:rPr>
            </w:pPr>
            <w:r>
              <w:rPr>
                <w:rFonts w:ascii="Arial" w:cs="Arial" w:eastAsia="Arial" w:hAnsi="Arial"/>
                <w:sz w:val="14"/>
                <w:szCs w:val="14"/>
                <w:color w:val="auto"/>
              </w:rPr>
              <w:t>125,617,812</w:t>
            </w:r>
          </w:p>
        </w:tc>
        <w:tc>
          <w:tcPr>
            <w:tcW w:w="260" w:type="dxa"/>
            <w:vAlign w:val="bottom"/>
          </w:tcPr>
          <w:p>
            <w:pPr>
              <w:spacing w:after="0"/>
              <w:rPr>
                <w:sz w:val="14"/>
                <w:szCs w:val="14"/>
                <w:color w:val="auto"/>
              </w:rPr>
            </w:pPr>
          </w:p>
        </w:tc>
        <w:tc>
          <w:tcPr>
            <w:tcW w:w="2200" w:type="dxa"/>
            <w:vAlign w:val="bottom"/>
            <w:gridSpan w:val="2"/>
          </w:tcPr>
          <w:p>
            <w:pPr>
              <w:jc w:val="center"/>
              <w:ind w:right="160"/>
              <w:spacing w:after="0"/>
              <w:rPr>
                <w:sz w:val="20"/>
                <w:szCs w:val="20"/>
                <w:color w:val="auto"/>
              </w:rPr>
            </w:pPr>
            <w:r>
              <w:rPr>
                <w:rFonts w:ascii="Arial" w:cs="Arial" w:eastAsia="Arial" w:hAnsi="Arial"/>
                <w:sz w:val="14"/>
                <w:szCs w:val="14"/>
                <w:color w:val="auto"/>
                <w:w w:val="94"/>
              </w:rPr>
              <w:t>Market Comparable</w:t>
            </w:r>
          </w:p>
        </w:tc>
        <w:tc>
          <w:tcPr>
            <w:tcW w:w="2200" w:type="dxa"/>
            <w:vAlign w:val="bottom"/>
            <w:gridSpan w:val="2"/>
          </w:tcPr>
          <w:p>
            <w:pPr>
              <w:jc w:val="center"/>
              <w:ind w:right="160"/>
              <w:spacing w:after="0"/>
              <w:rPr>
                <w:sz w:val="20"/>
                <w:szCs w:val="20"/>
                <w:color w:val="auto"/>
              </w:rPr>
            </w:pPr>
            <w:r>
              <w:rPr>
                <w:rFonts w:ascii="Arial" w:cs="Arial" w:eastAsia="Arial" w:hAnsi="Arial"/>
                <w:sz w:val="14"/>
                <w:szCs w:val="14"/>
                <w:color w:val="auto"/>
                <w:w w:val="94"/>
              </w:rPr>
              <w:t>Broker/Dealer bids or quotes</w:t>
            </w:r>
          </w:p>
        </w:tc>
        <w:tc>
          <w:tcPr>
            <w:tcW w:w="2220" w:type="dxa"/>
            <w:vAlign w:val="bottom"/>
          </w:tcPr>
          <w:p>
            <w:pPr>
              <w:jc w:val="center"/>
              <w:spacing w:after="0"/>
              <w:rPr>
                <w:sz w:val="20"/>
                <w:szCs w:val="20"/>
                <w:color w:val="auto"/>
              </w:rPr>
            </w:pPr>
            <w:r>
              <w:rPr>
                <w:rFonts w:ascii="Arial" w:cs="Arial" w:eastAsia="Arial" w:hAnsi="Arial"/>
                <w:sz w:val="14"/>
                <w:szCs w:val="14"/>
                <w:color w:val="auto"/>
              </w:rPr>
              <w:t>N/A</w:t>
            </w:r>
          </w:p>
        </w:tc>
        <w:tc>
          <w:tcPr>
            <w:tcW w:w="0" w:type="dxa"/>
            <w:vAlign w:val="bottom"/>
          </w:tcPr>
          <w:p>
            <w:pPr>
              <w:spacing w:after="0"/>
              <w:rPr>
                <w:sz w:val="1"/>
                <w:szCs w:val="1"/>
                <w:color w:val="auto"/>
              </w:rPr>
            </w:pPr>
          </w:p>
        </w:tc>
      </w:tr>
      <w:tr>
        <w:trPr>
          <w:trHeight w:val="162"/>
        </w:trPr>
        <w:tc>
          <w:tcPr>
            <w:tcW w:w="2740" w:type="dxa"/>
            <w:vAlign w:val="bottom"/>
            <w:gridSpan w:val="2"/>
            <w:shd w:val="clear" w:color="auto" w:fill="CCECFF"/>
          </w:tcPr>
          <w:p>
            <w:pPr>
              <w:spacing w:after="0"/>
              <w:rPr>
                <w:sz w:val="20"/>
                <w:szCs w:val="20"/>
                <w:color w:val="auto"/>
              </w:rPr>
            </w:pPr>
            <w:r>
              <w:rPr>
                <w:rFonts w:ascii="Arial" w:cs="Arial" w:eastAsia="Arial" w:hAnsi="Arial"/>
                <w:sz w:val="14"/>
                <w:szCs w:val="14"/>
                <w:color w:val="auto"/>
              </w:rPr>
              <w:t>First lien</w:t>
            </w:r>
          </w:p>
        </w:tc>
        <w:tc>
          <w:tcPr>
            <w:tcW w:w="20" w:type="dxa"/>
            <w:vAlign w:val="bottom"/>
            <w:shd w:val="clear" w:color="auto" w:fill="CCECFF"/>
          </w:tcPr>
          <w:p>
            <w:pPr>
              <w:spacing w:after="0"/>
              <w:rPr>
                <w:sz w:val="14"/>
                <w:szCs w:val="14"/>
                <w:color w:val="auto"/>
              </w:rPr>
            </w:pPr>
          </w:p>
        </w:tc>
        <w:tc>
          <w:tcPr>
            <w:tcW w:w="220" w:type="dxa"/>
            <w:vAlign w:val="bottom"/>
            <w:shd w:val="clear" w:color="auto" w:fill="CCECFF"/>
          </w:tcPr>
          <w:p>
            <w:pPr>
              <w:spacing w:after="0"/>
              <w:rPr>
                <w:sz w:val="14"/>
                <w:szCs w:val="14"/>
                <w:color w:val="auto"/>
              </w:rPr>
            </w:pPr>
          </w:p>
        </w:tc>
        <w:tc>
          <w:tcPr>
            <w:tcW w:w="1380" w:type="dxa"/>
            <w:vAlign w:val="bottom"/>
            <w:shd w:val="clear" w:color="auto" w:fill="CCECFF"/>
          </w:tcPr>
          <w:p>
            <w:pPr>
              <w:jc w:val="right"/>
              <w:spacing w:after="0"/>
              <w:rPr>
                <w:sz w:val="20"/>
                <w:szCs w:val="20"/>
                <w:color w:val="auto"/>
              </w:rPr>
            </w:pPr>
            <w:r>
              <w:rPr>
                <w:rFonts w:ascii="Arial" w:cs="Arial" w:eastAsia="Arial" w:hAnsi="Arial"/>
                <w:sz w:val="14"/>
                <w:szCs w:val="14"/>
                <w:color w:val="auto"/>
              </w:rPr>
              <w:t>449,878,775</w:t>
            </w:r>
          </w:p>
        </w:tc>
        <w:tc>
          <w:tcPr>
            <w:tcW w:w="260" w:type="dxa"/>
            <w:vAlign w:val="bottom"/>
            <w:shd w:val="clear" w:color="auto" w:fill="CCECFF"/>
          </w:tcPr>
          <w:p>
            <w:pPr>
              <w:spacing w:after="0"/>
              <w:rPr>
                <w:sz w:val="14"/>
                <w:szCs w:val="14"/>
                <w:color w:val="auto"/>
              </w:rPr>
            </w:pPr>
          </w:p>
        </w:tc>
        <w:tc>
          <w:tcPr>
            <w:tcW w:w="2200" w:type="dxa"/>
            <w:vAlign w:val="bottom"/>
            <w:gridSpan w:val="2"/>
            <w:shd w:val="clear" w:color="auto" w:fill="CCECFF"/>
          </w:tcPr>
          <w:p>
            <w:pPr>
              <w:jc w:val="center"/>
              <w:ind w:right="160"/>
              <w:spacing w:after="0"/>
              <w:rPr>
                <w:sz w:val="20"/>
                <w:szCs w:val="20"/>
                <w:color w:val="auto"/>
              </w:rPr>
            </w:pPr>
            <w:r>
              <w:rPr>
                <w:rFonts w:ascii="Arial" w:cs="Arial" w:eastAsia="Arial" w:hAnsi="Arial"/>
                <w:sz w:val="14"/>
                <w:szCs w:val="14"/>
                <w:color w:val="auto"/>
                <w:w w:val="94"/>
              </w:rPr>
              <w:t>Market Comparable</w:t>
            </w:r>
          </w:p>
        </w:tc>
        <w:tc>
          <w:tcPr>
            <w:tcW w:w="2200" w:type="dxa"/>
            <w:vAlign w:val="bottom"/>
            <w:gridSpan w:val="2"/>
            <w:shd w:val="clear" w:color="auto" w:fill="CCECFF"/>
          </w:tcPr>
          <w:p>
            <w:pPr>
              <w:jc w:val="center"/>
              <w:ind w:right="160"/>
              <w:spacing w:after="0"/>
              <w:rPr>
                <w:sz w:val="20"/>
                <w:szCs w:val="20"/>
                <w:color w:val="auto"/>
              </w:rPr>
            </w:pPr>
            <w:r>
              <w:rPr>
                <w:rFonts w:ascii="Arial" w:cs="Arial" w:eastAsia="Arial" w:hAnsi="Arial"/>
                <w:sz w:val="14"/>
                <w:szCs w:val="14"/>
                <w:color w:val="auto"/>
                <w:w w:val="97"/>
              </w:rPr>
              <w:t>Market Yield</w:t>
            </w:r>
          </w:p>
        </w:tc>
        <w:tc>
          <w:tcPr>
            <w:tcW w:w="2220" w:type="dxa"/>
            <w:vAlign w:val="bottom"/>
            <w:shd w:val="clear" w:color="auto" w:fill="CCECFF"/>
          </w:tcPr>
          <w:p>
            <w:pPr>
              <w:jc w:val="center"/>
              <w:spacing w:after="0"/>
              <w:rPr>
                <w:sz w:val="20"/>
                <w:szCs w:val="20"/>
                <w:color w:val="auto"/>
              </w:rPr>
            </w:pPr>
            <w:r>
              <w:rPr>
                <w:rFonts w:ascii="Arial" w:cs="Arial" w:eastAsia="Arial" w:hAnsi="Arial"/>
                <w:sz w:val="14"/>
                <w:szCs w:val="14"/>
                <w:color w:val="auto"/>
                <w:w w:val="94"/>
              </w:rPr>
              <w:t>8.1% – 18.3% (12.3%)</w:t>
            </w:r>
          </w:p>
        </w:tc>
        <w:tc>
          <w:tcPr>
            <w:tcW w:w="0" w:type="dxa"/>
            <w:vAlign w:val="bottom"/>
          </w:tcPr>
          <w:p>
            <w:pPr>
              <w:spacing w:after="0"/>
              <w:rPr>
                <w:sz w:val="1"/>
                <w:szCs w:val="1"/>
                <w:color w:val="auto"/>
              </w:rPr>
            </w:pPr>
          </w:p>
        </w:tc>
      </w:tr>
      <w:tr>
        <w:trPr>
          <w:trHeight w:val="162"/>
        </w:trPr>
        <w:tc>
          <w:tcPr>
            <w:tcW w:w="2740" w:type="dxa"/>
            <w:vAlign w:val="bottom"/>
            <w:gridSpan w:val="2"/>
          </w:tcPr>
          <w:p>
            <w:pPr>
              <w:spacing w:after="0"/>
              <w:rPr>
                <w:sz w:val="20"/>
                <w:szCs w:val="20"/>
                <w:color w:val="auto"/>
              </w:rPr>
            </w:pPr>
            <w:r>
              <w:rPr>
                <w:rFonts w:ascii="Arial" w:cs="Arial" w:eastAsia="Arial" w:hAnsi="Arial"/>
                <w:sz w:val="14"/>
                <w:szCs w:val="14"/>
                <w:color w:val="auto"/>
              </w:rPr>
              <w:t>Second lien</w:t>
            </w:r>
          </w:p>
        </w:tc>
        <w:tc>
          <w:tcPr>
            <w:tcW w:w="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380" w:type="dxa"/>
            <w:vAlign w:val="bottom"/>
          </w:tcPr>
          <w:p>
            <w:pPr>
              <w:jc w:val="right"/>
              <w:spacing w:after="0"/>
              <w:rPr>
                <w:sz w:val="20"/>
                <w:szCs w:val="20"/>
                <w:color w:val="auto"/>
              </w:rPr>
            </w:pPr>
            <w:r>
              <w:rPr>
                <w:rFonts w:ascii="Arial" w:cs="Arial" w:eastAsia="Arial" w:hAnsi="Arial"/>
                <w:sz w:val="14"/>
                <w:szCs w:val="14"/>
                <w:color w:val="auto"/>
              </w:rPr>
              <w:t>259,361,296</w:t>
            </w:r>
          </w:p>
        </w:tc>
        <w:tc>
          <w:tcPr>
            <w:tcW w:w="260" w:type="dxa"/>
            <w:vAlign w:val="bottom"/>
          </w:tcPr>
          <w:p>
            <w:pPr>
              <w:spacing w:after="0"/>
              <w:rPr>
                <w:sz w:val="14"/>
                <w:szCs w:val="14"/>
                <w:color w:val="auto"/>
              </w:rPr>
            </w:pPr>
          </w:p>
        </w:tc>
        <w:tc>
          <w:tcPr>
            <w:tcW w:w="2200" w:type="dxa"/>
            <w:vAlign w:val="bottom"/>
            <w:gridSpan w:val="2"/>
          </w:tcPr>
          <w:p>
            <w:pPr>
              <w:jc w:val="center"/>
              <w:ind w:right="160"/>
              <w:spacing w:after="0"/>
              <w:rPr>
                <w:sz w:val="20"/>
                <w:szCs w:val="20"/>
                <w:color w:val="auto"/>
              </w:rPr>
            </w:pPr>
            <w:r>
              <w:rPr>
                <w:rFonts w:ascii="Arial" w:cs="Arial" w:eastAsia="Arial" w:hAnsi="Arial"/>
                <w:sz w:val="14"/>
                <w:szCs w:val="14"/>
                <w:color w:val="auto"/>
                <w:w w:val="94"/>
              </w:rPr>
              <w:t>Market Comparable</w:t>
            </w:r>
          </w:p>
        </w:tc>
        <w:tc>
          <w:tcPr>
            <w:tcW w:w="2200" w:type="dxa"/>
            <w:vAlign w:val="bottom"/>
            <w:gridSpan w:val="2"/>
          </w:tcPr>
          <w:p>
            <w:pPr>
              <w:jc w:val="center"/>
              <w:ind w:right="160"/>
              <w:spacing w:after="0"/>
              <w:rPr>
                <w:sz w:val="20"/>
                <w:szCs w:val="20"/>
                <w:color w:val="auto"/>
              </w:rPr>
            </w:pPr>
            <w:r>
              <w:rPr>
                <w:rFonts w:ascii="Arial" w:cs="Arial" w:eastAsia="Arial" w:hAnsi="Arial"/>
                <w:sz w:val="14"/>
                <w:szCs w:val="14"/>
                <w:color w:val="auto"/>
                <w:w w:val="97"/>
              </w:rPr>
              <w:t>Market Yield</w:t>
            </w:r>
          </w:p>
        </w:tc>
        <w:tc>
          <w:tcPr>
            <w:tcW w:w="2220" w:type="dxa"/>
            <w:vAlign w:val="bottom"/>
          </w:tcPr>
          <w:p>
            <w:pPr>
              <w:jc w:val="center"/>
              <w:spacing w:after="0"/>
              <w:rPr>
                <w:sz w:val="20"/>
                <w:szCs w:val="20"/>
                <w:color w:val="auto"/>
              </w:rPr>
            </w:pPr>
            <w:r>
              <w:rPr>
                <w:rFonts w:ascii="Arial" w:cs="Arial" w:eastAsia="Arial" w:hAnsi="Arial"/>
                <w:sz w:val="14"/>
                <w:szCs w:val="14"/>
                <w:color w:val="auto"/>
                <w:w w:val="93"/>
              </w:rPr>
              <w:t>10.0% – 14.6% (13.2%)</w:t>
            </w:r>
          </w:p>
        </w:tc>
        <w:tc>
          <w:tcPr>
            <w:tcW w:w="0" w:type="dxa"/>
            <w:vAlign w:val="bottom"/>
          </w:tcPr>
          <w:p>
            <w:pPr>
              <w:spacing w:after="0"/>
              <w:rPr>
                <w:sz w:val="1"/>
                <w:szCs w:val="1"/>
                <w:color w:val="auto"/>
              </w:rPr>
            </w:pPr>
          </w:p>
        </w:tc>
      </w:tr>
      <w:tr>
        <w:trPr>
          <w:trHeight w:val="162"/>
        </w:trPr>
        <w:tc>
          <w:tcPr>
            <w:tcW w:w="2740" w:type="dxa"/>
            <w:vAlign w:val="bottom"/>
            <w:gridSpan w:val="2"/>
            <w:shd w:val="clear" w:color="auto" w:fill="CCECFF"/>
          </w:tcPr>
          <w:p>
            <w:pPr>
              <w:spacing w:after="0"/>
              <w:rPr>
                <w:sz w:val="20"/>
                <w:szCs w:val="20"/>
                <w:color w:val="auto"/>
              </w:rPr>
            </w:pPr>
            <w:r>
              <w:rPr>
                <w:rFonts w:ascii="Arial" w:cs="Arial" w:eastAsia="Arial" w:hAnsi="Arial"/>
                <w:sz w:val="14"/>
                <w:szCs w:val="14"/>
                <w:color w:val="auto"/>
              </w:rPr>
              <w:t>Subordinated debt / corporate notes</w:t>
            </w:r>
          </w:p>
        </w:tc>
        <w:tc>
          <w:tcPr>
            <w:tcW w:w="20" w:type="dxa"/>
            <w:vAlign w:val="bottom"/>
            <w:shd w:val="clear" w:color="auto" w:fill="CCECFF"/>
          </w:tcPr>
          <w:p>
            <w:pPr>
              <w:spacing w:after="0"/>
              <w:rPr>
                <w:sz w:val="14"/>
                <w:szCs w:val="14"/>
                <w:color w:val="auto"/>
              </w:rPr>
            </w:pPr>
          </w:p>
        </w:tc>
        <w:tc>
          <w:tcPr>
            <w:tcW w:w="220" w:type="dxa"/>
            <w:vAlign w:val="bottom"/>
            <w:shd w:val="clear" w:color="auto" w:fill="CCECFF"/>
          </w:tcPr>
          <w:p>
            <w:pPr>
              <w:spacing w:after="0"/>
              <w:rPr>
                <w:sz w:val="14"/>
                <w:szCs w:val="14"/>
                <w:color w:val="auto"/>
              </w:rPr>
            </w:pPr>
          </w:p>
        </w:tc>
        <w:tc>
          <w:tcPr>
            <w:tcW w:w="1380" w:type="dxa"/>
            <w:vAlign w:val="bottom"/>
            <w:shd w:val="clear" w:color="auto" w:fill="CCECFF"/>
          </w:tcPr>
          <w:p>
            <w:pPr>
              <w:jc w:val="right"/>
              <w:spacing w:after="0"/>
              <w:rPr>
                <w:sz w:val="20"/>
                <w:szCs w:val="20"/>
                <w:color w:val="auto"/>
              </w:rPr>
            </w:pPr>
            <w:r>
              <w:rPr>
                <w:rFonts w:ascii="Arial" w:cs="Arial" w:eastAsia="Arial" w:hAnsi="Arial"/>
                <w:sz w:val="14"/>
                <w:szCs w:val="14"/>
                <w:color w:val="auto"/>
              </w:rPr>
              <w:t>120,947,095</w:t>
            </w:r>
          </w:p>
        </w:tc>
        <w:tc>
          <w:tcPr>
            <w:tcW w:w="260" w:type="dxa"/>
            <w:vAlign w:val="bottom"/>
            <w:shd w:val="clear" w:color="auto" w:fill="CCECFF"/>
          </w:tcPr>
          <w:p>
            <w:pPr>
              <w:spacing w:after="0"/>
              <w:rPr>
                <w:sz w:val="14"/>
                <w:szCs w:val="14"/>
                <w:color w:val="auto"/>
              </w:rPr>
            </w:pPr>
          </w:p>
        </w:tc>
        <w:tc>
          <w:tcPr>
            <w:tcW w:w="2200" w:type="dxa"/>
            <w:vAlign w:val="bottom"/>
            <w:gridSpan w:val="2"/>
            <w:shd w:val="clear" w:color="auto" w:fill="CCECFF"/>
          </w:tcPr>
          <w:p>
            <w:pPr>
              <w:jc w:val="center"/>
              <w:ind w:right="160"/>
              <w:spacing w:after="0"/>
              <w:rPr>
                <w:sz w:val="20"/>
                <w:szCs w:val="20"/>
                <w:color w:val="auto"/>
              </w:rPr>
            </w:pPr>
            <w:r>
              <w:rPr>
                <w:rFonts w:ascii="Arial" w:cs="Arial" w:eastAsia="Arial" w:hAnsi="Arial"/>
                <w:sz w:val="14"/>
                <w:szCs w:val="14"/>
                <w:color w:val="auto"/>
                <w:w w:val="94"/>
              </w:rPr>
              <w:t>Market Comparable</w:t>
            </w:r>
          </w:p>
        </w:tc>
        <w:tc>
          <w:tcPr>
            <w:tcW w:w="2200" w:type="dxa"/>
            <w:vAlign w:val="bottom"/>
            <w:gridSpan w:val="2"/>
            <w:shd w:val="clear" w:color="auto" w:fill="CCECFF"/>
          </w:tcPr>
          <w:p>
            <w:pPr>
              <w:jc w:val="center"/>
              <w:ind w:right="160"/>
              <w:spacing w:after="0"/>
              <w:rPr>
                <w:sz w:val="20"/>
                <w:szCs w:val="20"/>
                <w:color w:val="auto"/>
              </w:rPr>
            </w:pPr>
            <w:r>
              <w:rPr>
                <w:rFonts w:ascii="Arial" w:cs="Arial" w:eastAsia="Arial" w:hAnsi="Arial"/>
                <w:sz w:val="14"/>
                <w:szCs w:val="14"/>
                <w:color w:val="auto"/>
                <w:w w:val="97"/>
              </w:rPr>
              <w:t>Market Yield</w:t>
            </w:r>
          </w:p>
        </w:tc>
        <w:tc>
          <w:tcPr>
            <w:tcW w:w="2220" w:type="dxa"/>
            <w:vAlign w:val="bottom"/>
            <w:shd w:val="clear" w:color="auto" w:fill="CCECFF"/>
          </w:tcPr>
          <w:p>
            <w:pPr>
              <w:jc w:val="center"/>
              <w:spacing w:after="0"/>
              <w:rPr>
                <w:sz w:val="20"/>
                <w:szCs w:val="20"/>
                <w:color w:val="auto"/>
              </w:rPr>
            </w:pPr>
            <w:r>
              <w:rPr>
                <w:rFonts w:ascii="Arial" w:cs="Arial" w:eastAsia="Arial" w:hAnsi="Arial"/>
                <w:sz w:val="14"/>
                <w:szCs w:val="14"/>
                <w:color w:val="auto"/>
                <w:w w:val="93"/>
              </w:rPr>
              <w:t>11.7% – 20.5% (14.4%)</w:t>
            </w:r>
          </w:p>
        </w:tc>
        <w:tc>
          <w:tcPr>
            <w:tcW w:w="0" w:type="dxa"/>
            <w:vAlign w:val="bottom"/>
          </w:tcPr>
          <w:p>
            <w:pPr>
              <w:spacing w:after="0"/>
              <w:rPr>
                <w:sz w:val="1"/>
                <w:szCs w:val="1"/>
                <w:color w:val="auto"/>
              </w:rPr>
            </w:pPr>
          </w:p>
        </w:tc>
      </w:tr>
      <w:tr>
        <w:trPr>
          <w:trHeight w:val="162"/>
        </w:trPr>
        <w:tc>
          <w:tcPr>
            <w:tcW w:w="2740" w:type="dxa"/>
            <w:vAlign w:val="bottom"/>
            <w:tcBorders>
              <w:bottom w:val="single" w:sz="8" w:color="CCECFF"/>
            </w:tcBorders>
            <w:gridSpan w:val="2"/>
          </w:tcPr>
          <w:p>
            <w:pPr>
              <w:spacing w:after="0"/>
              <w:rPr>
                <w:sz w:val="20"/>
                <w:szCs w:val="20"/>
                <w:color w:val="auto"/>
              </w:rPr>
            </w:pPr>
            <w:r>
              <w:rPr>
                <w:rFonts w:ascii="Arial" w:cs="Arial" w:eastAsia="Arial" w:hAnsi="Arial"/>
                <w:sz w:val="14"/>
                <w:szCs w:val="14"/>
                <w:color w:val="auto"/>
              </w:rPr>
              <w:t>Equity</w:t>
            </w:r>
          </w:p>
        </w:tc>
        <w:tc>
          <w:tcPr>
            <w:tcW w:w="20" w:type="dxa"/>
            <w:vAlign w:val="bottom"/>
            <w:tcBorders>
              <w:bottom w:val="single" w:sz="8" w:color="CCECFF"/>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13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127,318,822</w:t>
            </w:r>
          </w:p>
        </w:tc>
        <w:tc>
          <w:tcPr>
            <w:tcW w:w="260" w:type="dxa"/>
            <w:vAlign w:val="bottom"/>
            <w:tcBorders>
              <w:bottom w:val="single" w:sz="8" w:color="CCECFF"/>
            </w:tcBorders>
          </w:tcPr>
          <w:p>
            <w:pPr>
              <w:spacing w:after="0"/>
              <w:rPr>
                <w:sz w:val="14"/>
                <w:szCs w:val="14"/>
                <w:color w:val="auto"/>
              </w:rPr>
            </w:pPr>
          </w:p>
        </w:tc>
        <w:tc>
          <w:tcPr>
            <w:tcW w:w="2200" w:type="dxa"/>
            <w:vAlign w:val="bottom"/>
            <w:tcBorders>
              <w:bottom w:val="single" w:sz="8" w:color="CCECFF"/>
            </w:tcBorders>
            <w:gridSpan w:val="2"/>
          </w:tcPr>
          <w:p>
            <w:pPr>
              <w:jc w:val="center"/>
              <w:ind w:right="160"/>
              <w:spacing w:after="0"/>
              <w:rPr>
                <w:sz w:val="20"/>
                <w:szCs w:val="20"/>
                <w:color w:val="auto"/>
              </w:rPr>
            </w:pPr>
            <w:r>
              <w:rPr>
                <w:rFonts w:ascii="Arial" w:cs="Arial" w:eastAsia="Arial" w:hAnsi="Arial"/>
                <w:sz w:val="14"/>
                <w:szCs w:val="14"/>
                <w:color w:val="auto"/>
                <w:w w:val="93"/>
              </w:rPr>
              <w:t>Enterprise Market Value</w:t>
            </w:r>
          </w:p>
        </w:tc>
        <w:tc>
          <w:tcPr>
            <w:tcW w:w="2200" w:type="dxa"/>
            <w:vAlign w:val="bottom"/>
            <w:tcBorders>
              <w:bottom w:val="single" w:sz="8" w:color="CCECFF"/>
            </w:tcBorders>
            <w:gridSpan w:val="2"/>
          </w:tcPr>
          <w:p>
            <w:pPr>
              <w:jc w:val="center"/>
              <w:ind w:right="160"/>
              <w:spacing w:after="0"/>
              <w:rPr>
                <w:sz w:val="20"/>
                <w:szCs w:val="20"/>
                <w:color w:val="auto"/>
              </w:rPr>
            </w:pPr>
            <w:r>
              <w:rPr>
                <w:rFonts w:ascii="Arial" w:cs="Arial" w:eastAsia="Arial" w:hAnsi="Arial"/>
                <w:sz w:val="14"/>
                <w:szCs w:val="14"/>
                <w:color w:val="auto"/>
              </w:rPr>
              <w:t>EBITDA multiple</w:t>
            </w:r>
          </w:p>
        </w:tc>
        <w:tc>
          <w:tcPr>
            <w:tcW w:w="2220" w:type="dxa"/>
            <w:vAlign w:val="bottom"/>
            <w:tcBorders>
              <w:bottom w:val="single" w:sz="8" w:color="CCECFF"/>
            </w:tcBorders>
          </w:tcPr>
          <w:p>
            <w:pPr>
              <w:jc w:val="center"/>
              <w:spacing w:after="0"/>
              <w:rPr>
                <w:sz w:val="20"/>
                <w:szCs w:val="20"/>
                <w:color w:val="auto"/>
              </w:rPr>
            </w:pPr>
            <w:r>
              <w:rPr>
                <w:rFonts w:ascii="Arial" w:cs="Arial" w:eastAsia="Arial" w:hAnsi="Arial"/>
                <w:sz w:val="14"/>
                <w:szCs w:val="14"/>
                <w:color w:val="auto"/>
                <w:w w:val="94"/>
              </w:rPr>
              <w:t>5.3x – 15.5x (8.2x)</w:t>
            </w:r>
          </w:p>
        </w:tc>
        <w:tc>
          <w:tcPr>
            <w:tcW w:w="0" w:type="dxa"/>
            <w:vAlign w:val="bottom"/>
          </w:tcPr>
          <w:p>
            <w:pPr>
              <w:spacing w:after="0"/>
              <w:rPr>
                <w:sz w:val="1"/>
                <w:szCs w:val="1"/>
                <w:color w:val="auto"/>
              </w:rPr>
            </w:pPr>
          </w:p>
        </w:tc>
      </w:tr>
      <w:tr>
        <w:trPr>
          <w:trHeight w:val="155"/>
        </w:trPr>
        <w:tc>
          <w:tcPr>
            <w:tcW w:w="2740" w:type="dxa"/>
            <w:vAlign w:val="bottom"/>
            <w:tcBorders>
              <w:bottom w:val="single" w:sz="8" w:color="CCECFF"/>
            </w:tcBorders>
            <w:gridSpan w:val="2"/>
            <w:shd w:val="clear" w:color="auto" w:fill="CCECFF"/>
          </w:tcPr>
          <w:p>
            <w:pPr>
              <w:ind w:left="500"/>
              <w:spacing w:after="0" w:line="155" w:lineRule="exact"/>
              <w:rPr>
                <w:sz w:val="20"/>
                <w:szCs w:val="20"/>
                <w:color w:val="auto"/>
              </w:rPr>
            </w:pPr>
            <w:r>
              <w:rPr>
                <w:rFonts w:ascii="Arial" w:cs="Arial" w:eastAsia="Arial" w:hAnsi="Arial"/>
                <w:sz w:val="14"/>
                <w:szCs w:val="14"/>
                <w:color w:val="auto"/>
              </w:rPr>
              <w:t>Total Level 3 investments</w:t>
            </w:r>
          </w:p>
        </w:tc>
        <w:tc>
          <w:tcPr>
            <w:tcW w:w="20" w:type="dxa"/>
            <w:vAlign w:val="bottom"/>
            <w:tcBorders>
              <w:bottom w:val="single" w:sz="8" w:color="CCECFF"/>
            </w:tcBorders>
            <w:shd w:val="clear" w:color="auto" w:fill="CCECFF"/>
          </w:tcPr>
          <w:p>
            <w:pPr>
              <w:spacing w:after="0"/>
              <w:rPr>
                <w:sz w:val="13"/>
                <w:szCs w:val="13"/>
                <w:color w:val="auto"/>
              </w:rPr>
            </w:pPr>
          </w:p>
        </w:tc>
        <w:tc>
          <w:tcPr>
            <w:tcW w:w="220" w:type="dxa"/>
            <w:vAlign w:val="bottom"/>
            <w:tcBorders>
              <w:bottom w:val="single" w:sz="8" w:color="auto"/>
            </w:tcBorders>
            <w:shd w:val="clear" w:color="auto" w:fill="CCECFF"/>
          </w:tcPr>
          <w:p>
            <w:pPr>
              <w:jc w:val="right"/>
              <w:ind w:right="109"/>
              <w:spacing w:after="0"/>
              <w:rPr>
                <w:sz w:val="20"/>
                <w:szCs w:val="20"/>
                <w:color w:val="auto"/>
              </w:rPr>
            </w:pPr>
            <w:r>
              <w:rPr>
                <w:rFonts w:ascii="Arial" w:cs="Arial" w:eastAsia="Arial" w:hAnsi="Arial"/>
                <w:sz w:val="10"/>
                <w:szCs w:val="10"/>
                <w:color w:val="auto"/>
                <w:w w:val="71"/>
              </w:rPr>
              <w:t>$</w:t>
            </w:r>
          </w:p>
        </w:tc>
        <w:tc>
          <w:tcPr>
            <w:tcW w:w="1380" w:type="dxa"/>
            <w:vAlign w:val="bottom"/>
            <w:tcBorders>
              <w:bottom w:val="single" w:sz="8" w:color="auto"/>
            </w:tcBorders>
            <w:shd w:val="clear" w:color="auto" w:fill="CCECFF"/>
          </w:tcPr>
          <w:p>
            <w:pPr>
              <w:jc w:val="right"/>
              <w:spacing w:after="0" w:line="155" w:lineRule="exact"/>
              <w:rPr>
                <w:sz w:val="20"/>
                <w:szCs w:val="20"/>
                <w:color w:val="auto"/>
              </w:rPr>
            </w:pPr>
            <w:r>
              <w:rPr>
                <w:rFonts w:ascii="Arial" w:cs="Arial" w:eastAsia="Arial" w:hAnsi="Arial"/>
                <w:sz w:val="14"/>
                <w:szCs w:val="14"/>
                <w:color w:val="auto"/>
              </w:rPr>
              <w:t>1,097,730,050</w:t>
            </w:r>
          </w:p>
        </w:tc>
        <w:tc>
          <w:tcPr>
            <w:tcW w:w="260" w:type="dxa"/>
            <w:vAlign w:val="bottom"/>
            <w:tcBorders>
              <w:bottom w:val="single" w:sz="8" w:color="CCECFF"/>
            </w:tcBorders>
            <w:shd w:val="clear" w:color="auto" w:fill="CCECFF"/>
          </w:tcPr>
          <w:p>
            <w:pPr>
              <w:spacing w:after="0"/>
              <w:rPr>
                <w:sz w:val="13"/>
                <w:szCs w:val="13"/>
                <w:color w:val="auto"/>
              </w:rPr>
            </w:pPr>
          </w:p>
        </w:tc>
        <w:tc>
          <w:tcPr>
            <w:tcW w:w="2040" w:type="dxa"/>
            <w:vAlign w:val="bottom"/>
            <w:tcBorders>
              <w:bottom w:val="single" w:sz="8" w:color="CCECFF"/>
            </w:tcBorders>
            <w:shd w:val="clear" w:color="auto" w:fill="CCECFF"/>
          </w:tcPr>
          <w:p>
            <w:pPr>
              <w:spacing w:after="0"/>
              <w:rPr>
                <w:sz w:val="13"/>
                <w:szCs w:val="13"/>
                <w:color w:val="auto"/>
              </w:rPr>
            </w:pPr>
          </w:p>
        </w:tc>
        <w:tc>
          <w:tcPr>
            <w:tcW w:w="160" w:type="dxa"/>
            <w:vAlign w:val="bottom"/>
            <w:tcBorders>
              <w:bottom w:val="single" w:sz="8" w:color="CCECFF"/>
            </w:tcBorders>
            <w:shd w:val="clear" w:color="auto" w:fill="CCECFF"/>
          </w:tcPr>
          <w:p>
            <w:pPr>
              <w:spacing w:after="0"/>
              <w:rPr>
                <w:sz w:val="13"/>
                <w:szCs w:val="13"/>
                <w:color w:val="auto"/>
              </w:rPr>
            </w:pPr>
          </w:p>
        </w:tc>
        <w:tc>
          <w:tcPr>
            <w:tcW w:w="2040" w:type="dxa"/>
            <w:vAlign w:val="bottom"/>
            <w:tcBorders>
              <w:bottom w:val="single" w:sz="8" w:color="CCECFF"/>
            </w:tcBorders>
            <w:shd w:val="clear" w:color="auto" w:fill="CCECFF"/>
          </w:tcPr>
          <w:p>
            <w:pPr>
              <w:spacing w:after="0"/>
              <w:rPr>
                <w:sz w:val="13"/>
                <w:szCs w:val="13"/>
                <w:color w:val="auto"/>
              </w:rPr>
            </w:pPr>
          </w:p>
        </w:tc>
        <w:tc>
          <w:tcPr>
            <w:tcW w:w="160" w:type="dxa"/>
            <w:vAlign w:val="bottom"/>
            <w:tcBorders>
              <w:bottom w:val="single" w:sz="8" w:color="CCECFF"/>
            </w:tcBorders>
            <w:shd w:val="clear" w:color="auto" w:fill="CCECFF"/>
          </w:tcPr>
          <w:p>
            <w:pPr>
              <w:spacing w:after="0"/>
              <w:rPr>
                <w:sz w:val="13"/>
                <w:szCs w:val="13"/>
                <w:color w:val="auto"/>
              </w:rPr>
            </w:pPr>
          </w:p>
        </w:tc>
        <w:tc>
          <w:tcPr>
            <w:tcW w:w="2220" w:type="dxa"/>
            <w:vAlign w:val="bottom"/>
            <w:tcBorders>
              <w:bottom w:val="single" w:sz="8" w:color="CCECFF"/>
            </w:tcBorders>
            <w:shd w:val="clear" w:color="auto" w:fill="CCECFF"/>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2740" w:type="dxa"/>
            <w:vAlign w:val="bottom"/>
            <w:gridSpan w:val="2"/>
            <w:vMerge w:val="restart"/>
          </w:tcPr>
          <w:p>
            <w:pPr>
              <w:spacing w:after="0"/>
              <w:rPr>
                <w:sz w:val="20"/>
                <w:szCs w:val="20"/>
                <w:color w:val="auto"/>
              </w:rPr>
            </w:pPr>
            <w:r>
              <w:rPr>
                <w:rFonts w:ascii="Arial" w:cs="Arial" w:eastAsia="Arial" w:hAnsi="Arial"/>
                <w:sz w:val="14"/>
                <w:szCs w:val="14"/>
                <w:color w:val="auto"/>
              </w:rPr>
              <w:t>Long-Term Credit Facility</w:t>
            </w:r>
          </w:p>
        </w:tc>
        <w:tc>
          <w:tcPr>
            <w:tcW w:w="240" w:type="dxa"/>
            <w:vAlign w:val="bottom"/>
            <w:gridSpan w:val="2"/>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200" w:type="dxa"/>
            <w:vAlign w:val="bottom"/>
            <w:gridSpan w:val="2"/>
            <w:vMerge w:val="restart"/>
          </w:tcPr>
          <w:p>
            <w:pPr>
              <w:jc w:val="center"/>
              <w:ind w:right="160"/>
              <w:spacing w:after="0"/>
              <w:rPr>
                <w:sz w:val="20"/>
                <w:szCs w:val="20"/>
                <w:color w:val="auto"/>
              </w:rPr>
            </w:pPr>
            <w:r>
              <w:rPr>
                <w:rFonts w:ascii="Arial" w:cs="Arial" w:eastAsia="Arial" w:hAnsi="Arial"/>
                <w:sz w:val="14"/>
                <w:szCs w:val="14"/>
                <w:color w:val="auto"/>
                <w:w w:val="94"/>
              </w:rPr>
              <w:t>Market Comparable</w:t>
            </w:r>
          </w:p>
        </w:tc>
        <w:tc>
          <w:tcPr>
            <w:tcW w:w="2200" w:type="dxa"/>
            <w:vAlign w:val="bottom"/>
            <w:gridSpan w:val="2"/>
            <w:vMerge w:val="restart"/>
          </w:tcPr>
          <w:p>
            <w:pPr>
              <w:jc w:val="center"/>
              <w:ind w:right="160"/>
              <w:spacing w:after="0"/>
              <w:rPr>
                <w:sz w:val="20"/>
                <w:szCs w:val="20"/>
                <w:color w:val="auto"/>
              </w:rPr>
            </w:pPr>
            <w:r>
              <w:rPr>
                <w:rFonts w:ascii="Arial" w:cs="Arial" w:eastAsia="Arial" w:hAnsi="Arial"/>
                <w:sz w:val="14"/>
                <w:szCs w:val="14"/>
                <w:color w:val="auto"/>
                <w:w w:val="97"/>
              </w:rPr>
              <w:t>Market Yield</w:t>
            </w:r>
          </w:p>
        </w:tc>
        <w:tc>
          <w:tcPr>
            <w:tcW w:w="2220" w:type="dxa"/>
            <w:vAlign w:val="bottom"/>
            <w:vMerge w:val="restart"/>
          </w:tcPr>
          <w:p>
            <w:pPr>
              <w:jc w:val="center"/>
              <w:spacing w:after="0"/>
              <w:rPr>
                <w:sz w:val="20"/>
                <w:szCs w:val="20"/>
                <w:color w:val="auto"/>
              </w:rPr>
            </w:pPr>
            <w:r>
              <w:rPr>
                <w:rFonts w:ascii="Arial" w:cs="Arial" w:eastAsia="Arial" w:hAnsi="Arial"/>
                <w:sz w:val="14"/>
                <w:szCs w:val="14"/>
                <w:color w:val="auto"/>
                <w:w w:val="93"/>
              </w:rPr>
              <w:t>4.3%</w:t>
            </w:r>
          </w:p>
        </w:tc>
        <w:tc>
          <w:tcPr>
            <w:tcW w:w="0" w:type="dxa"/>
            <w:vAlign w:val="bottom"/>
          </w:tcPr>
          <w:p>
            <w:pPr>
              <w:spacing w:after="0" w:line="20" w:lineRule="exact"/>
              <w:rPr>
                <w:sz w:val="1"/>
                <w:szCs w:val="1"/>
                <w:color w:val="auto"/>
              </w:rPr>
            </w:pPr>
          </w:p>
        </w:tc>
      </w:tr>
      <w:tr>
        <w:trPr>
          <w:trHeight w:val="143"/>
        </w:trPr>
        <w:tc>
          <w:tcPr>
            <w:tcW w:w="2740" w:type="dxa"/>
            <w:vAlign w:val="bottom"/>
            <w:gridSpan w:val="2"/>
            <w:vMerge w:val="continue"/>
          </w:tcPr>
          <w:p>
            <w:pPr>
              <w:spacing w:after="0"/>
              <w:rPr>
                <w:sz w:val="12"/>
                <w:szCs w:val="12"/>
                <w:color w:val="auto"/>
              </w:rPr>
            </w:pPr>
          </w:p>
        </w:tc>
        <w:tc>
          <w:tcPr>
            <w:tcW w:w="20" w:type="dxa"/>
            <w:vAlign w:val="bottom"/>
            <w:tcBorders>
              <w:bottom w:val="single" w:sz="8" w:color="auto"/>
            </w:tcBorders>
          </w:tcPr>
          <w:p>
            <w:pPr>
              <w:spacing w:after="0"/>
              <w:rPr>
                <w:sz w:val="12"/>
                <w:szCs w:val="12"/>
                <w:color w:val="auto"/>
              </w:rPr>
            </w:pPr>
          </w:p>
        </w:tc>
        <w:tc>
          <w:tcPr>
            <w:tcW w:w="220" w:type="dxa"/>
            <w:vAlign w:val="bottom"/>
            <w:tcBorders>
              <w:top w:val="single" w:sz="8" w:color="auto"/>
              <w:bottom w:val="single" w:sz="8" w:color="auto"/>
            </w:tcBorders>
          </w:tcPr>
          <w:p>
            <w:pPr>
              <w:jc w:val="right"/>
              <w:ind w:right="109"/>
              <w:spacing w:after="0"/>
              <w:rPr>
                <w:sz w:val="20"/>
                <w:szCs w:val="20"/>
                <w:color w:val="auto"/>
              </w:rPr>
            </w:pPr>
            <w:r>
              <w:rPr>
                <w:rFonts w:ascii="Arial" w:cs="Arial" w:eastAsia="Arial" w:hAnsi="Arial"/>
                <w:sz w:val="10"/>
                <w:szCs w:val="10"/>
                <w:color w:val="auto"/>
                <w:w w:val="71"/>
              </w:rPr>
              <w:t>$</w:t>
            </w:r>
          </w:p>
        </w:tc>
        <w:tc>
          <w:tcPr>
            <w:tcW w:w="1380" w:type="dxa"/>
            <w:vAlign w:val="bottom"/>
            <w:tcBorders>
              <w:top w:val="single" w:sz="8" w:color="auto"/>
              <w:bottom w:val="single" w:sz="8" w:color="auto"/>
            </w:tcBorders>
          </w:tcPr>
          <w:p>
            <w:pPr>
              <w:jc w:val="right"/>
              <w:spacing w:after="0" w:line="143" w:lineRule="exact"/>
              <w:rPr>
                <w:sz w:val="20"/>
                <w:szCs w:val="20"/>
                <w:color w:val="auto"/>
              </w:rPr>
            </w:pPr>
            <w:r>
              <w:rPr>
                <w:rFonts w:ascii="Arial" w:cs="Arial" w:eastAsia="Arial" w:hAnsi="Arial"/>
                <w:sz w:val="14"/>
                <w:szCs w:val="14"/>
                <w:color w:val="auto"/>
              </w:rPr>
              <w:t>75,908,513</w:t>
            </w:r>
          </w:p>
        </w:tc>
        <w:tc>
          <w:tcPr>
            <w:tcW w:w="260" w:type="dxa"/>
            <w:vAlign w:val="bottom"/>
          </w:tcPr>
          <w:p>
            <w:pPr>
              <w:spacing w:after="0"/>
              <w:rPr>
                <w:sz w:val="12"/>
                <w:szCs w:val="12"/>
                <w:color w:val="auto"/>
              </w:rPr>
            </w:pPr>
          </w:p>
        </w:tc>
        <w:tc>
          <w:tcPr>
            <w:tcW w:w="2200" w:type="dxa"/>
            <w:vAlign w:val="bottom"/>
            <w:gridSpan w:val="2"/>
            <w:vMerge w:val="continue"/>
          </w:tcPr>
          <w:p>
            <w:pPr>
              <w:spacing w:after="0"/>
              <w:rPr>
                <w:sz w:val="12"/>
                <w:szCs w:val="12"/>
                <w:color w:val="auto"/>
              </w:rPr>
            </w:pPr>
          </w:p>
        </w:tc>
        <w:tc>
          <w:tcPr>
            <w:tcW w:w="2200" w:type="dxa"/>
            <w:vAlign w:val="bottom"/>
            <w:gridSpan w:val="2"/>
            <w:vMerge w:val="continue"/>
          </w:tcPr>
          <w:p>
            <w:pPr>
              <w:spacing w:after="0"/>
              <w:rPr>
                <w:sz w:val="12"/>
                <w:szCs w:val="12"/>
                <w:color w:val="auto"/>
              </w:rPr>
            </w:pPr>
          </w:p>
        </w:tc>
        <w:tc>
          <w:tcPr>
            <w:tcW w:w="222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25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2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2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580" w:type="dxa"/>
            <w:vAlign w:val="bottom"/>
            <w:vMerge w:val="restart"/>
          </w:tcPr>
          <w:p>
            <w:pPr>
              <w:spacing w:after="0"/>
              <w:rPr>
                <w:sz w:val="20"/>
                <w:szCs w:val="20"/>
                <w:color w:val="auto"/>
              </w:rPr>
            </w:pPr>
            <w:r>
              <w:rPr>
                <w:rFonts w:ascii="Arial" w:cs="Arial" w:eastAsia="Arial" w:hAnsi="Arial"/>
                <w:sz w:val="14"/>
                <w:szCs w:val="14"/>
                <w:b w:val="1"/>
                <w:bCs w:val="1"/>
                <w:color w:val="auto"/>
              </w:rPr>
              <w:t>Asset Category</w:t>
            </w:r>
          </w:p>
        </w:tc>
        <w:tc>
          <w:tcPr>
            <w:tcW w:w="1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480" w:type="dxa"/>
            <w:vAlign w:val="bottom"/>
          </w:tcPr>
          <w:p>
            <w:pPr>
              <w:jc w:val="right"/>
              <w:ind w:right="348"/>
              <w:spacing w:after="0"/>
              <w:rPr>
                <w:sz w:val="20"/>
                <w:szCs w:val="20"/>
                <w:color w:val="auto"/>
              </w:rPr>
            </w:pPr>
            <w:r>
              <w:rPr>
                <w:rFonts w:ascii="Arial" w:cs="Arial" w:eastAsia="Arial" w:hAnsi="Arial"/>
                <w:sz w:val="14"/>
                <w:szCs w:val="14"/>
                <w:b w:val="1"/>
                <w:bCs w:val="1"/>
                <w:color w:val="auto"/>
              </w:rPr>
              <w:t>Fair Value at</w:t>
            </w:r>
          </w:p>
        </w:tc>
        <w:tc>
          <w:tcPr>
            <w:tcW w:w="260" w:type="dxa"/>
            <w:vAlign w:val="bottom"/>
          </w:tcPr>
          <w:p>
            <w:pPr>
              <w:spacing w:after="0"/>
              <w:rPr>
                <w:sz w:val="14"/>
                <w:szCs w:val="14"/>
                <w:color w:val="auto"/>
              </w:rPr>
            </w:pPr>
          </w:p>
        </w:tc>
        <w:tc>
          <w:tcPr>
            <w:tcW w:w="2200" w:type="dxa"/>
            <w:vAlign w:val="bottom"/>
            <w:gridSpan w:val="2"/>
            <w:vMerge w:val="restart"/>
          </w:tcPr>
          <w:p>
            <w:pPr>
              <w:jc w:val="center"/>
              <w:ind w:right="180"/>
              <w:spacing w:after="0"/>
              <w:rPr>
                <w:sz w:val="20"/>
                <w:szCs w:val="20"/>
                <w:color w:val="auto"/>
              </w:rPr>
            </w:pPr>
            <w:r>
              <w:rPr>
                <w:rFonts w:ascii="Arial" w:cs="Arial" w:eastAsia="Arial" w:hAnsi="Arial"/>
                <w:sz w:val="14"/>
                <w:szCs w:val="14"/>
                <w:b w:val="1"/>
                <w:bCs w:val="1"/>
                <w:color w:val="auto"/>
                <w:w w:val="91"/>
              </w:rPr>
              <w:t>Valuation Technique</w:t>
            </w:r>
          </w:p>
        </w:tc>
        <w:tc>
          <w:tcPr>
            <w:tcW w:w="2200" w:type="dxa"/>
            <w:vAlign w:val="bottom"/>
            <w:gridSpan w:val="2"/>
            <w:vMerge w:val="restart"/>
          </w:tcPr>
          <w:p>
            <w:pPr>
              <w:jc w:val="center"/>
              <w:ind w:right="160"/>
              <w:spacing w:after="0"/>
              <w:rPr>
                <w:sz w:val="20"/>
                <w:szCs w:val="20"/>
                <w:color w:val="auto"/>
              </w:rPr>
            </w:pPr>
            <w:r>
              <w:rPr>
                <w:rFonts w:ascii="Arial" w:cs="Arial" w:eastAsia="Arial" w:hAnsi="Arial"/>
                <w:sz w:val="14"/>
                <w:szCs w:val="14"/>
                <w:b w:val="1"/>
                <w:bCs w:val="1"/>
                <w:color w:val="auto"/>
                <w:w w:val="94"/>
              </w:rPr>
              <w:t>Unobservable Input</w:t>
            </w:r>
          </w:p>
        </w:tc>
        <w:tc>
          <w:tcPr>
            <w:tcW w:w="2220" w:type="dxa"/>
            <w:vAlign w:val="bottom"/>
            <w:gridSpan w:val="2"/>
          </w:tcPr>
          <w:p>
            <w:pPr>
              <w:jc w:val="center"/>
              <w:ind w:right="140"/>
              <w:spacing w:after="0"/>
              <w:rPr>
                <w:sz w:val="20"/>
                <w:szCs w:val="20"/>
                <w:color w:val="auto"/>
              </w:rPr>
            </w:pPr>
            <w:r>
              <w:rPr>
                <w:rFonts w:ascii="Arial" w:cs="Arial" w:eastAsia="Arial" w:hAnsi="Arial"/>
                <w:sz w:val="14"/>
                <w:szCs w:val="14"/>
                <w:b w:val="1"/>
                <w:bCs w:val="1"/>
                <w:color w:val="auto"/>
                <w:w w:val="93"/>
              </w:rPr>
              <w:t>Range of Input</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1"/>
        </w:trPr>
        <w:tc>
          <w:tcPr>
            <w:tcW w:w="2580" w:type="dxa"/>
            <w:vAlign w:val="bottom"/>
            <w:vMerge w:val="continue"/>
          </w:tcPr>
          <w:p>
            <w:pPr>
              <w:spacing w:after="0"/>
              <w:rPr>
                <w:sz w:val="14"/>
                <w:szCs w:val="14"/>
                <w:color w:val="auto"/>
              </w:rPr>
            </w:pPr>
          </w:p>
        </w:tc>
        <w:tc>
          <w:tcPr>
            <w:tcW w:w="1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480" w:type="dxa"/>
            <w:vAlign w:val="bottom"/>
          </w:tcPr>
          <w:p>
            <w:pPr>
              <w:jc w:val="right"/>
              <w:ind w:right="148"/>
              <w:spacing w:after="0"/>
              <w:rPr>
                <w:sz w:val="20"/>
                <w:szCs w:val="20"/>
                <w:color w:val="auto"/>
              </w:rPr>
            </w:pPr>
            <w:r>
              <w:rPr>
                <w:rFonts w:ascii="Arial" w:cs="Arial" w:eastAsia="Arial" w:hAnsi="Arial"/>
                <w:sz w:val="14"/>
                <w:szCs w:val="14"/>
                <w:b w:val="1"/>
                <w:bCs w:val="1"/>
                <w:color w:val="auto"/>
                <w:w w:val="94"/>
              </w:rPr>
              <w:t>September 30, 2016</w:t>
            </w:r>
          </w:p>
        </w:tc>
        <w:tc>
          <w:tcPr>
            <w:tcW w:w="260" w:type="dxa"/>
            <w:vAlign w:val="bottom"/>
          </w:tcPr>
          <w:p>
            <w:pPr>
              <w:spacing w:after="0"/>
              <w:rPr>
                <w:sz w:val="14"/>
                <w:szCs w:val="14"/>
                <w:color w:val="auto"/>
              </w:rPr>
            </w:pPr>
          </w:p>
        </w:tc>
        <w:tc>
          <w:tcPr>
            <w:tcW w:w="2200" w:type="dxa"/>
            <w:vAlign w:val="bottom"/>
            <w:gridSpan w:val="2"/>
            <w:vMerge w:val="continue"/>
          </w:tcPr>
          <w:p>
            <w:pPr>
              <w:spacing w:after="0"/>
              <w:rPr>
                <w:sz w:val="14"/>
                <w:szCs w:val="14"/>
                <w:color w:val="auto"/>
              </w:rPr>
            </w:pPr>
          </w:p>
        </w:tc>
        <w:tc>
          <w:tcPr>
            <w:tcW w:w="2200" w:type="dxa"/>
            <w:vAlign w:val="bottom"/>
            <w:gridSpan w:val="2"/>
            <w:vMerge w:val="continue"/>
          </w:tcPr>
          <w:p>
            <w:pPr>
              <w:spacing w:after="0"/>
              <w:rPr>
                <w:sz w:val="14"/>
                <w:szCs w:val="14"/>
                <w:color w:val="auto"/>
              </w:rPr>
            </w:pPr>
          </w:p>
        </w:tc>
        <w:tc>
          <w:tcPr>
            <w:tcW w:w="2220" w:type="dxa"/>
            <w:vAlign w:val="bottom"/>
            <w:gridSpan w:val="2"/>
          </w:tcPr>
          <w:p>
            <w:pPr>
              <w:jc w:val="center"/>
              <w:ind w:right="140"/>
              <w:spacing w:after="0"/>
              <w:rPr>
                <w:sz w:val="20"/>
                <w:szCs w:val="20"/>
                <w:color w:val="auto"/>
              </w:rPr>
            </w:pPr>
            <w:r>
              <w:rPr>
                <w:rFonts w:ascii="Arial" w:cs="Arial" w:eastAsia="Arial" w:hAnsi="Arial"/>
                <w:sz w:val="14"/>
                <w:szCs w:val="14"/>
                <w:b w:val="1"/>
                <w:bCs w:val="1"/>
                <w:color w:val="auto"/>
                <w:w w:val="94"/>
              </w:rPr>
              <w:t>(Weighted Average)</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5"/>
        </w:trPr>
        <w:tc>
          <w:tcPr>
            <w:tcW w:w="2580" w:type="dxa"/>
            <w:vAlign w:val="bottom"/>
            <w:tcBorders>
              <w:top w:val="single" w:sz="8" w:color="auto"/>
            </w:tcBorders>
            <w:shd w:val="clear" w:color="auto" w:fill="CCECFF"/>
          </w:tcPr>
          <w:p>
            <w:pPr>
              <w:spacing w:after="0" w:line="155" w:lineRule="exact"/>
              <w:rPr>
                <w:sz w:val="20"/>
                <w:szCs w:val="20"/>
                <w:color w:val="auto"/>
              </w:rPr>
            </w:pPr>
            <w:r>
              <w:rPr>
                <w:rFonts w:ascii="Arial" w:cs="Arial" w:eastAsia="Arial" w:hAnsi="Arial"/>
                <w:sz w:val="14"/>
                <w:szCs w:val="14"/>
                <w:color w:val="auto"/>
              </w:rPr>
              <w:t>First lien</w:t>
            </w:r>
          </w:p>
        </w:tc>
        <w:tc>
          <w:tcPr>
            <w:tcW w:w="160" w:type="dxa"/>
            <w:vAlign w:val="bottom"/>
            <w:tcBorders>
              <w:top w:val="single" w:sz="8" w:color="CCECFF"/>
            </w:tcBorders>
            <w:shd w:val="clear" w:color="auto" w:fill="CCECFF"/>
          </w:tcPr>
          <w:p>
            <w:pPr>
              <w:spacing w:after="0"/>
              <w:rPr>
                <w:sz w:val="13"/>
                <w:szCs w:val="13"/>
                <w:color w:val="auto"/>
              </w:rPr>
            </w:pPr>
          </w:p>
        </w:tc>
        <w:tc>
          <w:tcPr>
            <w:tcW w:w="140" w:type="dxa"/>
            <w:vAlign w:val="bottom"/>
            <w:tcBorders>
              <w:top w:val="single" w:sz="8" w:color="auto"/>
            </w:tcBorders>
            <w:shd w:val="clear" w:color="auto" w:fill="CCECFF"/>
          </w:tcPr>
          <w:p>
            <w:pPr>
              <w:jc w:val="right"/>
              <w:spacing w:after="0" w:line="155" w:lineRule="exact"/>
              <w:rPr>
                <w:sz w:val="20"/>
                <w:szCs w:val="20"/>
                <w:color w:val="auto"/>
              </w:rPr>
            </w:pPr>
            <w:r>
              <w:rPr>
                <w:rFonts w:ascii="Arial" w:cs="Arial" w:eastAsia="Arial" w:hAnsi="Arial"/>
                <w:sz w:val="14"/>
                <w:szCs w:val="14"/>
                <w:color w:val="auto"/>
                <w:w w:val="76"/>
              </w:rPr>
              <w:t>$</w:t>
            </w:r>
          </w:p>
        </w:tc>
        <w:tc>
          <w:tcPr>
            <w:tcW w:w="1480" w:type="dxa"/>
            <w:vAlign w:val="bottom"/>
            <w:tcBorders>
              <w:top w:val="single" w:sz="8" w:color="auto"/>
            </w:tcBorders>
            <w:shd w:val="clear" w:color="auto" w:fill="CCECFF"/>
          </w:tcPr>
          <w:p>
            <w:pPr>
              <w:jc w:val="right"/>
              <w:spacing w:after="0" w:line="155" w:lineRule="exact"/>
              <w:rPr>
                <w:sz w:val="20"/>
                <w:szCs w:val="20"/>
                <w:color w:val="auto"/>
              </w:rPr>
            </w:pPr>
            <w:r>
              <w:rPr>
                <w:rFonts w:ascii="Arial" w:cs="Arial" w:eastAsia="Arial" w:hAnsi="Arial"/>
                <w:sz w:val="14"/>
                <w:szCs w:val="14"/>
                <w:color w:val="auto"/>
              </w:rPr>
              <w:t>35,569,934</w:t>
            </w:r>
          </w:p>
        </w:tc>
        <w:tc>
          <w:tcPr>
            <w:tcW w:w="260" w:type="dxa"/>
            <w:vAlign w:val="bottom"/>
            <w:tcBorders>
              <w:top w:val="single" w:sz="8" w:color="CCECFF"/>
            </w:tcBorders>
            <w:shd w:val="clear" w:color="auto" w:fill="CCECFF"/>
          </w:tcPr>
          <w:p>
            <w:pPr>
              <w:spacing w:after="0"/>
              <w:rPr>
                <w:sz w:val="13"/>
                <w:szCs w:val="13"/>
                <w:color w:val="auto"/>
              </w:rPr>
            </w:pPr>
          </w:p>
        </w:tc>
        <w:tc>
          <w:tcPr>
            <w:tcW w:w="2040" w:type="dxa"/>
            <w:vAlign w:val="bottom"/>
            <w:tcBorders>
              <w:top w:val="single" w:sz="8" w:color="auto"/>
            </w:tcBorders>
            <w:shd w:val="clear" w:color="auto" w:fill="CCECFF"/>
          </w:tcPr>
          <w:p>
            <w:pPr>
              <w:jc w:val="center"/>
              <w:spacing w:after="0" w:line="155" w:lineRule="exact"/>
              <w:rPr>
                <w:sz w:val="20"/>
                <w:szCs w:val="20"/>
                <w:color w:val="auto"/>
              </w:rPr>
            </w:pPr>
            <w:r>
              <w:rPr>
                <w:rFonts w:ascii="Arial" w:cs="Arial" w:eastAsia="Arial" w:hAnsi="Arial"/>
                <w:sz w:val="14"/>
                <w:szCs w:val="14"/>
                <w:color w:val="auto"/>
                <w:w w:val="94"/>
              </w:rPr>
              <w:t>Market Comparable</w:t>
            </w:r>
          </w:p>
        </w:tc>
        <w:tc>
          <w:tcPr>
            <w:tcW w:w="160" w:type="dxa"/>
            <w:vAlign w:val="bottom"/>
            <w:tcBorders>
              <w:top w:val="single" w:sz="8" w:color="CCECFF"/>
            </w:tcBorders>
            <w:shd w:val="clear" w:color="auto" w:fill="CCECFF"/>
          </w:tcPr>
          <w:p>
            <w:pPr>
              <w:spacing w:after="0"/>
              <w:rPr>
                <w:sz w:val="13"/>
                <w:szCs w:val="13"/>
                <w:color w:val="auto"/>
              </w:rPr>
            </w:pPr>
          </w:p>
        </w:tc>
        <w:tc>
          <w:tcPr>
            <w:tcW w:w="2040" w:type="dxa"/>
            <w:vAlign w:val="bottom"/>
            <w:tcBorders>
              <w:top w:val="single" w:sz="8" w:color="auto"/>
            </w:tcBorders>
            <w:shd w:val="clear" w:color="auto" w:fill="CCECFF"/>
          </w:tcPr>
          <w:p>
            <w:pPr>
              <w:jc w:val="center"/>
              <w:spacing w:after="0" w:line="155" w:lineRule="exact"/>
              <w:rPr>
                <w:sz w:val="20"/>
                <w:szCs w:val="20"/>
                <w:color w:val="auto"/>
              </w:rPr>
            </w:pPr>
            <w:r>
              <w:rPr>
                <w:rFonts w:ascii="Arial" w:cs="Arial" w:eastAsia="Arial" w:hAnsi="Arial"/>
                <w:sz w:val="14"/>
                <w:szCs w:val="14"/>
                <w:color w:val="auto"/>
                <w:w w:val="94"/>
              </w:rPr>
              <w:t>Broker/Dealer bids or quotes</w:t>
            </w:r>
          </w:p>
        </w:tc>
        <w:tc>
          <w:tcPr>
            <w:tcW w:w="160" w:type="dxa"/>
            <w:vAlign w:val="bottom"/>
            <w:tcBorders>
              <w:top w:val="single" w:sz="8" w:color="CCECFF"/>
            </w:tcBorders>
            <w:shd w:val="clear" w:color="auto" w:fill="CCECFF"/>
          </w:tcPr>
          <w:p>
            <w:pPr>
              <w:spacing w:after="0"/>
              <w:rPr>
                <w:sz w:val="13"/>
                <w:szCs w:val="13"/>
                <w:color w:val="auto"/>
              </w:rPr>
            </w:pPr>
          </w:p>
        </w:tc>
        <w:tc>
          <w:tcPr>
            <w:tcW w:w="2100" w:type="dxa"/>
            <w:vAlign w:val="bottom"/>
            <w:tcBorders>
              <w:top w:val="single" w:sz="8" w:color="auto"/>
            </w:tcBorders>
            <w:shd w:val="clear" w:color="auto" w:fill="CCECFF"/>
          </w:tcPr>
          <w:p>
            <w:pPr>
              <w:jc w:val="center"/>
              <w:spacing w:after="0" w:line="155" w:lineRule="exact"/>
              <w:rPr>
                <w:sz w:val="20"/>
                <w:szCs w:val="20"/>
                <w:color w:val="auto"/>
              </w:rPr>
            </w:pPr>
            <w:r>
              <w:rPr>
                <w:rFonts w:ascii="Arial" w:cs="Arial" w:eastAsia="Arial" w:hAnsi="Arial"/>
                <w:sz w:val="14"/>
                <w:szCs w:val="14"/>
                <w:color w:val="auto"/>
              </w:rPr>
              <w:t>N/A</w:t>
            </w:r>
          </w:p>
        </w:tc>
        <w:tc>
          <w:tcPr>
            <w:tcW w:w="120" w:type="dxa"/>
            <w:vAlign w:val="bottom"/>
            <w:tcBorders>
              <w:top w:val="single" w:sz="8" w:color="CCECFF"/>
            </w:tcBorders>
            <w:shd w:val="clear" w:color="auto" w:fill="CCECFF"/>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2"/>
        </w:trPr>
        <w:tc>
          <w:tcPr>
            <w:tcW w:w="2580" w:type="dxa"/>
            <w:vAlign w:val="bottom"/>
          </w:tcPr>
          <w:p>
            <w:pPr>
              <w:spacing w:after="0"/>
              <w:rPr>
                <w:sz w:val="20"/>
                <w:szCs w:val="20"/>
                <w:color w:val="auto"/>
              </w:rPr>
            </w:pPr>
            <w:r>
              <w:rPr>
                <w:rFonts w:ascii="Arial" w:cs="Arial" w:eastAsia="Arial" w:hAnsi="Arial"/>
                <w:sz w:val="14"/>
                <w:szCs w:val="14"/>
                <w:color w:val="auto"/>
              </w:rPr>
              <w:t>Second lien</w:t>
            </w:r>
          </w:p>
        </w:tc>
        <w:tc>
          <w:tcPr>
            <w:tcW w:w="1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480" w:type="dxa"/>
            <w:vAlign w:val="bottom"/>
          </w:tcPr>
          <w:p>
            <w:pPr>
              <w:jc w:val="right"/>
              <w:spacing w:after="0"/>
              <w:rPr>
                <w:sz w:val="20"/>
                <w:szCs w:val="20"/>
                <w:color w:val="auto"/>
              </w:rPr>
            </w:pPr>
            <w:r>
              <w:rPr>
                <w:rFonts w:ascii="Arial" w:cs="Arial" w:eastAsia="Arial" w:hAnsi="Arial"/>
                <w:sz w:val="14"/>
                <w:szCs w:val="14"/>
                <w:color w:val="auto"/>
              </w:rPr>
              <w:t>122,923,804</w:t>
            </w:r>
          </w:p>
        </w:tc>
        <w:tc>
          <w:tcPr>
            <w:tcW w:w="260" w:type="dxa"/>
            <w:vAlign w:val="bottom"/>
          </w:tcPr>
          <w:p>
            <w:pPr>
              <w:spacing w:after="0"/>
              <w:rPr>
                <w:sz w:val="14"/>
                <w:szCs w:val="14"/>
                <w:color w:val="auto"/>
              </w:rPr>
            </w:pPr>
          </w:p>
        </w:tc>
        <w:tc>
          <w:tcPr>
            <w:tcW w:w="2200" w:type="dxa"/>
            <w:vAlign w:val="bottom"/>
            <w:gridSpan w:val="2"/>
          </w:tcPr>
          <w:p>
            <w:pPr>
              <w:jc w:val="center"/>
              <w:ind w:right="160"/>
              <w:spacing w:after="0"/>
              <w:rPr>
                <w:sz w:val="20"/>
                <w:szCs w:val="20"/>
                <w:color w:val="auto"/>
              </w:rPr>
            </w:pPr>
            <w:r>
              <w:rPr>
                <w:rFonts w:ascii="Arial" w:cs="Arial" w:eastAsia="Arial" w:hAnsi="Arial"/>
                <w:sz w:val="14"/>
                <w:szCs w:val="14"/>
                <w:color w:val="auto"/>
                <w:w w:val="94"/>
              </w:rPr>
              <w:t>Market Comparable</w:t>
            </w:r>
          </w:p>
        </w:tc>
        <w:tc>
          <w:tcPr>
            <w:tcW w:w="2200" w:type="dxa"/>
            <w:vAlign w:val="bottom"/>
            <w:gridSpan w:val="2"/>
          </w:tcPr>
          <w:p>
            <w:pPr>
              <w:jc w:val="center"/>
              <w:ind w:right="160"/>
              <w:spacing w:after="0"/>
              <w:rPr>
                <w:sz w:val="20"/>
                <w:szCs w:val="20"/>
                <w:color w:val="auto"/>
              </w:rPr>
            </w:pPr>
            <w:r>
              <w:rPr>
                <w:rFonts w:ascii="Arial" w:cs="Arial" w:eastAsia="Arial" w:hAnsi="Arial"/>
                <w:sz w:val="14"/>
                <w:szCs w:val="14"/>
                <w:color w:val="auto"/>
                <w:w w:val="94"/>
              </w:rPr>
              <w:t>Broker/Dealer bids or quotes</w:t>
            </w:r>
          </w:p>
        </w:tc>
        <w:tc>
          <w:tcPr>
            <w:tcW w:w="2220" w:type="dxa"/>
            <w:vAlign w:val="bottom"/>
            <w:gridSpan w:val="2"/>
          </w:tcPr>
          <w:p>
            <w:pPr>
              <w:jc w:val="center"/>
              <w:ind w:right="140"/>
              <w:spacing w:after="0"/>
              <w:rPr>
                <w:sz w:val="20"/>
                <w:szCs w:val="20"/>
                <w:color w:val="auto"/>
              </w:rPr>
            </w:pPr>
            <w:r>
              <w:rPr>
                <w:rFonts w:ascii="Arial" w:cs="Arial" w:eastAsia="Arial" w:hAnsi="Arial"/>
                <w:sz w:val="14"/>
                <w:szCs w:val="14"/>
                <w:color w:val="auto"/>
              </w:rPr>
              <w:t>N/A</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580" w:type="dxa"/>
            <w:vAlign w:val="bottom"/>
            <w:shd w:val="clear" w:color="auto" w:fill="CCECFF"/>
          </w:tcPr>
          <w:p>
            <w:pPr>
              <w:spacing w:after="0"/>
              <w:rPr>
                <w:sz w:val="20"/>
                <w:szCs w:val="20"/>
                <w:color w:val="auto"/>
              </w:rPr>
            </w:pPr>
            <w:r>
              <w:rPr>
                <w:rFonts w:ascii="Arial" w:cs="Arial" w:eastAsia="Arial" w:hAnsi="Arial"/>
                <w:sz w:val="14"/>
                <w:szCs w:val="14"/>
                <w:color w:val="auto"/>
              </w:rPr>
              <w:t>Subordinated debt / corporate notes</w:t>
            </w:r>
          </w:p>
        </w:tc>
        <w:tc>
          <w:tcPr>
            <w:tcW w:w="160" w:type="dxa"/>
            <w:vAlign w:val="bottom"/>
            <w:shd w:val="clear" w:color="auto" w:fill="CCECFF"/>
          </w:tcPr>
          <w:p>
            <w:pPr>
              <w:spacing w:after="0"/>
              <w:rPr>
                <w:sz w:val="14"/>
                <w:szCs w:val="14"/>
                <w:color w:val="auto"/>
              </w:rPr>
            </w:pPr>
          </w:p>
        </w:tc>
        <w:tc>
          <w:tcPr>
            <w:tcW w:w="140" w:type="dxa"/>
            <w:vAlign w:val="bottom"/>
            <w:shd w:val="clear" w:color="auto" w:fill="CCECFF"/>
          </w:tcPr>
          <w:p>
            <w:pPr>
              <w:spacing w:after="0"/>
              <w:rPr>
                <w:sz w:val="14"/>
                <w:szCs w:val="14"/>
                <w:color w:val="auto"/>
              </w:rPr>
            </w:pPr>
          </w:p>
        </w:tc>
        <w:tc>
          <w:tcPr>
            <w:tcW w:w="1480" w:type="dxa"/>
            <w:vAlign w:val="bottom"/>
            <w:shd w:val="clear" w:color="auto" w:fill="CCECFF"/>
          </w:tcPr>
          <w:p>
            <w:pPr>
              <w:jc w:val="right"/>
              <w:spacing w:after="0"/>
              <w:rPr>
                <w:sz w:val="20"/>
                <w:szCs w:val="20"/>
                <w:color w:val="auto"/>
              </w:rPr>
            </w:pPr>
            <w:r>
              <w:rPr>
                <w:rFonts w:ascii="Arial" w:cs="Arial" w:eastAsia="Arial" w:hAnsi="Arial"/>
                <w:sz w:val="14"/>
                <w:szCs w:val="14"/>
                <w:color w:val="auto"/>
              </w:rPr>
              <w:t>8,995,448</w:t>
            </w:r>
          </w:p>
        </w:tc>
        <w:tc>
          <w:tcPr>
            <w:tcW w:w="260" w:type="dxa"/>
            <w:vAlign w:val="bottom"/>
            <w:shd w:val="clear" w:color="auto" w:fill="CCECFF"/>
          </w:tcPr>
          <w:p>
            <w:pPr>
              <w:spacing w:after="0"/>
              <w:rPr>
                <w:sz w:val="14"/>
                <w:szCs w:val="14"/>
                <w:color w:val="auto"/>
              </w:rPr>
            </w:pPr>
          </w:p>
        </w:tc>
        <w:tc>
          <w:tcPr>
            <w:tcW w:w="2200" w:type="dxa"/>
            <w:vAlign w:val="bottom"/>
            <w:gridSpan w:val="2"/>
            <w:shd w:val="clear" w:color="auto" w:fill="CCECFF"/>
          </w:tcPr>
          <w:p>
            <w:pPr>
              <w:jc w:val="center"/>
              <w:ind w:right="160"/>
              <w:spacing w:after="0"/>
              <w:rPr>
                <w:sz w:val="20"/>
                <w:szCs w:val="20"/>
                <w:color w:val="auto"/>
              </w:rPr>
            </w:pPr>
            <w:r>
              <w:rPr>
                <w:rFonts w:ascii="Arial" w:cs="Arial" w:eastAsia="Arial" w:hAnsi="Arial"/>
                <w:sz w:val="14"/>
                <w:szCs w:val="14"/>
                <w:color w:val="auto"/>
                <w:w w:val="94"/>
              </w:rPr>
              <w:t>Market Comparable</w:t>
            </w:r>
          </w:p>
        </w:tc>
        <w:tc>
          <w:tcPr>
            <w:tcW w:w="2200" w:type="dxa"/>
            <w:vAlign w:val="bottom"/>
            <w:gridSpan w:val="2"/>
            <w:shd w:val="clear" w:color="auto" w:fill="CCECFF"/>
          </w:tcPr>
          <w:p>
            <w:pPr>
              <w:jc w:val="center"/>
              <w:ind w:right="160"/>
              <w:spacing w:after="0"/>
              <w:rPr>
                <w:sz w:val="20"/>
                <w:szCs w:val="20"/>
                <w:color w:val="auto"/>
              </w:rPr>
            </w:pPr>
            <w:r>
              <w:rPr>
                <w:rFonts w:ascii="Arial" w:cs="Arial" w:eastAsia="Arial" w:hAnsi="Arial"/>
                <w:sz w:val="14"/>
                <w:szCs w:val="14"/>
                <w:color w:val="auto"/>
                <w:w w:val="94"/>
              </w:rPr>
              <w:t>Broker/Dealer bids or quotes</w:t>
            </w:r>
          </w:p>
        </w:tc>
        <w:tc>
          <w:tcPr>
            <w:tcW w:w="2220" w:type="dxa"/>
            <w:vAlign w:val="bottom"/>
            <w:gridSpan w:val="2"/>
            <w:shd w:val="clear" w:color="auto" w:fill="CCECFF"/>
          </w:tcPr>
          <w:p>
            <w:pPr>
              <w:jc w:val="center"/>
              <w:ind w:right="140"/>
              <w:spacing w:after="0"/>
              <w:rPr>
                <w:sz w:val="20"/>
                <w:szCs w:val="20"/>
                <w:color w:val="auto"/>
              </w:rPr>
            </w:pPr>
            <w:r>
              <w:rPr>
                <w:rFonts w:ascii="Arial" w:cs="Arial" w:eastAsia="Arial" w:hAnsi="Arial"/>
                <w:sz w:val="14"/>
                <w:szCs w:val="14"/>
                <w:color w:val="auto"/>
              </w:rPr>
              <w:t>N/A</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580" w:type="dxa"/>
            <w:vAlign w:val="bottom"/>
          </w:tcPr>
          <w:p>
            <w:pPr>
              <w:spacing w:after="0"/>
              <w:rPr>
                <w:sz w:val="20"/>
                <w:szCs w:val="20"/>
                <w:color w:val="auto"/>
              </w:rPr>
            </w:pPr>
            <w:r>
              <w:rPr>
                <w:rFonts w:ascii="Arial" w:cs="Arial" w:eastAsia="Arial" w:hAnsi="Arial"/>
                <w:sz w:val="14"/>
                <w:szCs w:val="14"/>
                <w:color w:val="auto"/>
              </w:rPr>
              <w:t>First lien</w:t>
            </w:r>
          </w:p>
        </w:tc>
        <w:tc>
          <w:tcPr>
            <w:tcW w:w="1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480" w:type="dxa"/>
            <w:vAlign w:val="bottom"/>
          </w:tcPr>
          <w:p>
            <w:pPr>
              <w:jc w:val="right"/>
              <w:spacing w:after="0"/>
              <w:rPr>
                <w:sz w:val="20"/>
                <w:szCs w:val="20"/>
                <w:color w:val="auto"/>
              </w:rPr>
            </w:pPr>
            <w:r>
              <w:rPr>
                <w:rFonts w:ascii="Arial" w:cs="Arial" w:eastAsia="Arial" w:hAnsi="Arial"/>
                <w:sz w:val="14"/>
                <w:szCs w:val="14"/>
                <w:color w:val="auto"/>
              </w:rPr>
              <w:t>361,532,787</w:t>
            </w:r>
          </w:p>
        </w:tc>
        <w:tc>
          <w:tcPr>
            <w:tcW w:w="260" w:type="dxa"/>
            <w:vAlign w:val="bottom"/>
          </w:tcPr>
          <w:p>
            <w:pPr>
              <w:spacing w:after="0"/>
              <w:rPr>
                <w:sz w:val="14"/>
                <w:szCs w:val="14"/>
                <w:color w:val="auto"/>
              </w:rPr>
            </w:pPr>
          </w:p>
        </w:tc>
        <w:tc>
          <w:tcPr>
            <w:tcW w:w="2200" w:type="dxa"/>
            <w:vAlign w:val="bottom"/>
            <w:gridSpan w:val="2"/>
          </w:tcPr>
          <w:p>
            <w:pPr>
              <w:jc w:val="center"/>
              <w:ind w:right="160"/>
              <w:spacing w:after="0"/>
              <w:rPr>
                <w:sz w:val="20"/>
                <w:szCs w:val="20"/>
                <w:color w:val="auto"/>
              </w:rPr>
            </w:pPr>
            <w:r>
              <w:rPr>
                <w:rFonts w:ascii="Arial" w:cs="Arial" w:eastAsia="Arial" w:hAnsi="Arial"/>
                <w:sz w:val="14"/>
                <w:szCs w:val="14"/>
                <w:color w:val="auto"/>
                <w:w w:val="94"/>
              </w:rPr>
              <w:t>Market Comparable</w:t>
            </w:r>
          </w:p>
        </w:tc>
        <w:tc>
          <w:tcPr>
            <w:tcW w:w="2200" w:type="dxa"/>
            <w:vAlign w:val="bottom"/>
            <w:gridSpan w:val="2"/>
          </w:tcPr>
          <w:p>
            <w:pPr>
              <w:jc w:val="center"/>
              <w:ind w:right="160"/>
              <w:spacing w:after="0"/>
              <w:rPr>
                <w:sz w:val="20"/>
                <w:szCs w:val="20"/>
                <w:color w:val="auto"/>
              </w:rPr>
            </w:pPr>
            <w:r>
              <w:rPr>
                <w:rFonts w:ascii="Arial" w:cs="Arial" w:eastAsia="Arial" w:hAnsi="Arial"/>
                <w:sz w:val="14"/>
                <w:szCs w:val="14"/>
                <w:color w:val="auto"/>
                <w:w w:val="97"/>
              </w:rPr>
              <w:t>Market Yield</w:t>
            </w:r>
          </w:p>
        </w:tc>
        <w:tc>
          <w:tcPr>
            <w:tcW w:w="2220" w:type="dxa"/>
            <w:vAlign w:val="bottom"/>
            <w:gridSpan w:val="2"/>
          </w:tcPr>
          <w:p>
            <w:pPr>
              <w:jc w:val="center"/>
              <w:ind w:right="140"/>
              <w:spacing w:after="0"/>
              <w:rPr>
                <w:sz w:val="20"/>
                <w:szCs w:val="20"/>
                <w:color w:val="auto"/>
              </w:rPr>
            </w:pPr>
            <w:r>
              <w:rPr>
                <w:rFonts w:ascii="Arial" w:cs="Arial" w:eastAsia="Arial" w:hAnsi="Arial"/>
                <w:sz w:val="14"/>
                <w:szCs w:val="14"/>
                <w:color w:val="auto"/>
                <w:w w:val="94"/>
              </w:rPr>
              <w:t>8.8% – 21.7% (13.1%)</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580" w:type="dxa"/>
            <w:vAlign w:val="bottom"/>
            <w:shd w:val="clear" w:color="auto" w:fill="CCECFF"/>
          </w:tcPr>
          <w:p>
            <w:pPr>
              <w:spacing w:after="0"/>
              <w:rPr>
                <w:sz w:val="20"/>
                <w:szCs w:val="20"/>
                <w:color w:val="auto"/>
              </w:rPr>
            </w:pPr>
            <w:r>
              <w:rPr>
                <w:rFonts w:ascii="Arial" w:cs="Arial" w:eastAsia="Arial" w:hAnsi="Arial"/>
                <w:sz w:val="14"/>
                <w:szCs w:val="14"/>
                <w:color w:val="auto"/>
              </w:rPr>
              <w:t>Second lien</w:t>
            </w:r>
          </w:p>
        </w:tc>
        <w:tc>
          <w:tcPr>
            <w:tcW w:w="160" w:type="dxa"/>
            <w:vAlign w:val="bottom"/>
            <w:shd w:val="clear" w:color="auto" w:fill="CCECFF"/>
          </w:tcPr>
          <w:p>
            <w:pPr>
              <w:spacing w:after="0"/>
              <w:rPr>
                <w:sz w:val="14"/>
                <w:szCs w:val="14"/>
                <w:color w:val="auto"/>
              </w:rPr>
            </w:pPr>
          </w:p>
        </w:tc>
        <w:tc>
          <w:tcPr>
            <w:tcW w:w="140" w:type="dxa"/>
            <w:vAlign w:val="bottom"/>
            <w:shd w:val="clear" w:color="auto" w:fill="CCECFF"/>
          </w:tcPr>
          <w:p>
            <w:pPr>
              <w:spacing w:after="0"/>
              <w:rPr>
                <w:sz w:val="14"/>
                <w:szCs w:val="14"/>
                <w:color w:val="auto"/>
              </w:rPr>
            </w:pPr>
          </w:p>
        </w:tc>
        <w:tc>
          <w:tcPr>
            <w:tcW w:w="1480" w:type="dxa"/>
            <w:vAlign w:val="bottom"/>
            <w:shd w:val="clear" w:color="auto" w:fill="CCECFF"/>
          </w:tcPr>
          <w:p>
            <w:pPr>
              <w:jc w:val="right"/>
              <w:spacing w:after="0"/>
              <w:rPr>
                <w:sz w:val="20"/>
                <w:szCs w:val="20"/>
                <w:color w:val="auto"/>
              </w:rPr>
            </w:pPr>
            <w:r>
              <w:rPr>
                <w:rFonts w:ascii="Arial" w:cs="Arial" w:eastAsia="Arial" w:hAnsi="Arial"/>
                <w:sz w:val="14"/>
                <w:szCs w:val="14"/>
                <w:color w:val="auto"/>
              </w:rPr>
              <w:t>302,488,639</w:t>
            </w:r>
          </w:p>
        </w:tc>
        <w:tc>
          <w:tcPr>
            <w:tcW w:w="260" w:type="dxa"/>
            <w:vAlign w:val="bottom"/>
            <w:shd w:val="clear" w:color="auto" w:fill="CCECFF"/>
          </w:tcPr>
          <w:p>
            <w:pPr>
              <w:spacing w:after="0"/>
              <w:rPr>
                <w:sz w:val="14"/>
                <w:szCs w:val="14"/>
                <w:color w:val="auto"/>
              </w:rPr>
            </w:pPr>
          </w:p>
        </w:tc>
        <w:tc>
          <w:tcPr>
            <w:tcW w:w="2200" w:type="dxa"/>
            <w:vAlign w:val="bottom"/>
            <w:gridSpan w:val="2"/>
            <w:shd w:val="clear" w:color="auto" w:fill="CCECFF"/>
          </w:tcPr>
          <w:p>
            <w:pPr>
              <w:jc w:val="center"/>
              <w:ind w:right="160"/>
              <w:spacing w:after="0"/>
              <w:rPr>
                <w:sz w:val="20"/>
                <w:szCs w:val="20"/>
                <w:color w:val="auto"/>
              </w:rPr>
            </w:pPr>
            <w:r>
              <w:rPr>
                <w:rFonts w:ascii="Arial" w:cs="Arial" w:eastAsia="Arial" w:hAnsi="Arial"/>
                <w:sz w:val="14"/>
                <w:szCs w:val="14"/>
                <w:color w:val="auto"/>
                <w:w w:val="94"/>
              </w:rPr>
              <w:t>Market Comparable</w:t>
            </w:r>
          </w:p>
        </w:tc>
        <w:tc>
          <w:tcPr>
            <w:tcW w:w="2200" w:type="dxa"/>
            <w:vAlign w:val="bottom"/>
            <w:gridSpan w:val="2"/>
            <w:shd w:val="clear" w:color="auto" w:fill="CCECFF"/>
          </w:tcPr>
          <w:p>
            <w:pPr>
              <w:jc w:val="center"/>
              <w:ind w:right="160"/>
              <w:spacing w:after="0"/>
              <w:rPr>
                <w:sz w:val="20"/>
                <w:szCs w:val="20"/>
                <w:color w:val="auto"/>
              </w:rPr>
            </w:pPr>
            <w:r>
              <w:rPr>
                <w:rFonts w:ascii="Arial" w:cs="Arial" w:eastAsia="Arial" w:hAnsi="Arial"/>
                <w:sz w:val="14"/>
                <w:szCs w:val="14"/>
                <w:color w:val="auto"/>
                <w:w w:val="97"/>
              </w:rPr>
              <w:t>Market Yield</w:t>
            </w:r>
          </w:p>
        </w:tc>
        <w:tc>
          <w:tcPr>
            <w:tcW w:w="2220" w:type="dxa"/>
            <w:vAlign w:val="bottom"/>
            <w:gridSpan w:val="2"/>
            <w:shd w:val="clear" w:color="auto" w:fill="CCECFF"/>
          </w:tcPr>
          <w:p>
            <w:pPr>
              <w:jc w:val="center"/>
              <w:ind w:right="140"/>
              <w:spacing w:after="0"/>
              <w:rPr>
                <w:sz w:val="20"/>
                <w:szCs w:val="20"/>
                <w:color w:val="auto"/>
              </w:rPr>
            </w:pPr>
            <w:r>
              <w:rPr>
                <w:rFonts w:ascii="Arial" w:cs="Arial" w:eastAsia="Arial" w:hAnsi="Arial"/>
                <w:sz w:val="14"/>
                <w:szCs w:val="14"/>
                <w:color w:val="auto"/>
                <w:w w:val="94"/>
              </w:rPr>
              <w:t>9.5% – 17.3% (13.6%)</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580" w:type="dxa"/>
            <w:vAlign w:val="bottom"/>
          </w:tcPr>
          <w:p>
            <w:pPr>
              <w:spacing w:after="0"/>
              <w:rPr>
                <w:sz w:val="20"/>
                <w:szCs w:val="20"/>
                <w:color w:val="auto"/>
              </w:rPr>
            </w:pPr>
            <w:r>
              <w:rPr>
                <w:rFonts w:ascii="Arial" w:cs="Arial" w:eastAsia="Arial" w:hAnsi="Arial"/>
                <w:sz w:val="14"/>
                <w:szCs w:val="14"/>
                <w:color w:val="auto"/>
              </w:rPr>
              <w:t>Subordinated debt / corporate notes</w:t>
            </w:r>
          </w:p>
        </w:tc>
        <w:tc>
          <w:tcPr>
            <w:tcW w:w="1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480" w:type="dxa"/>
            <w:vAlign w:val="bottom"/>
          </w:tcPr>
          <w:p>
            <w:pPr>
              <w:jc w:val="right"/>
              <w:spacing w:after="0"/>
              <w:rPr>
                <w:sz w:val="20"/>
                <w:szCs w:val="20"/>
                <w:color w:val="auto"/>
              </w:rPr>
            </w:pPr>
            <w:r>
              <w:rPr>
                <w:rFonts w:ascii="Arial" w:cs="Arial" w:eastAsia="Arial" w:hAnsi="Arial"/>
                <w:sz w:val="14"/>
                <w:szCs w:val="14"/>
                <w:color w:val="auto"/>
              </w:rPr>
              <w:t>168,636,069</w:t>
            </w:r>
          </w:p>
        </w:tc>
        <w:tc>
          <w:tcPr>
            <w:tcW w:w="260" w:type="dxa"/>
            <w:vAlign w:val="bottom"/>
          </w:tcPr>
          <w:p>
            <w:pPr>
              <w:spacing w:after="0"/>
              <w:rPr>
                <w:sz w:val="14"/>
                <w:szCs w:val="14"/>
                <w:color w:val="auto"/>
              </w:rPr>
            </w:pPr>
          </w:p>
        </w:tc>
        <w:tc>
          <w:tcPr>
            <w:tcW w:w="2200" w:type="dxa"/>
            <w:vAlign w:val="bottom"/>
            <w:gridSpan w:val="2"/>
          </w:tcPr>
          <w:p>
            <w:pPr>
              <w:jc w:val="center"/>
              <w:ind w:right="160"/>
              <w:spacing w:after="0"/>
              <w:rPr>
                <w:sz w:val="20"/>
                <w:szCs w:val="20"/>
                <w:color w:val="auto"/>
              </w:rPr>
            </w:pPr>
            <w:r>
              <w:rPr>
                <w:rFonts w:ascii="Arial" w:cs="Arial" w:eastAsia="Arial" w:hAnsi="Arial"/>
                <w:sz w:val="14"/>
                <w:szCs w:val="14"/>
                <w:color w:val="auto"/>
                <w:w w:val="94"/>
              </w:rPr>
              <w:t>Market Comparable</w:t>
            </w:r>
          </w:p>
        </w:tc>
        <w:tc>
          <w:tcPr>
            <w:tcW w:w="2200" w:type="dxa"/>
            <w:vAlign w:val="bottom"/>
            <w:gridSpan w:val="2"/>
          </w:tcPr>
          <w:p>
            <w:pPr>
              <w:jc w:val="center"/>
              <w:ind w:right="160"/>
              <w:spacing w:after="0"/>
              <w:rPr>
                <w:sz w:val="20"/>
                <w:szCs w:val="20"/>
                <w:color w:val="auto"/>
              </w:rPr>
            </w:pPr>
            <w:r>
              <w:rPr>
                <w:rFonts w:ascii="Arial" w:cs="Arial" w:eastAsia="Arial" w:hAnsi="Arial"/>
                <w:sz w:val="14"/>
                <w:szCs w:val="14"/>
                <w:color w:val="auto"/>
                <w:w w:val="97"/>
              </w:rPr>
              <w:t>Market Yield</w:t>
            </w:r>
          </w:p>
        </w:tc>
        <w:tc>
          <w:tcPr>
            <w:tcW w:w="2220" w:type="dxa"/>
            <w:vAlign w:val="bottom"/>
            <w:gridSpan w:val="2"/>
          </w:tcPr>
          <w:p>
            <w:pPr>
              <w:jc w:val="center"/>
              <w:ind w:right="120"/>
              <w:spacing w:after="0"/>
              <w:rPr>
                <w:sz w:val="20"/>
                <w:szCs w:val="20"/>
                <w:color w:val="auto"/>
              </w:rPr>
            </w:pPr>
            <w:r>
              <w:rPr>
                <w:rFonts w:ascii="Arial" w:cs="Arial" w:eastAsia="Arial" w:hAnsi="Arial"/>
                <w:sz w:val="14"/>
                <w:szCs w:val="14"/>
                <w:color w:val="auto"/>
                <w:w w:val="93"/>
              </w:rPr>
              <w:t>11.0% – 15.7% (13.2%)</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580" w:type="dxa"/>
            <w:vAlign w:val="bottom"/>
            <w:shd w:val="clear" w:color="auto" w:fill="CCECFF"/>
          </w:tcPr>
          <w:p>
            <w:pPr>
              <w:spacing w:after="0"/>
              <w:rPr>
                <w:sz w:val="20"/>
                <w:szCs w:val="20"/>
                <w:color w:val="auto"/>
              </w:rPr>
            </w:pPr>
            <w:r>
              <w:rPr>
                <w:rFonts w:ascii="Arial" w:cs="Arial" w:eastAsia="Arial" w:hAnsi="Arial"/>
                <w:sz w:val="14"/>
                <w:szCs w:val="14"/>
                <w:color w:val="auto"/>
              </w:rPr>
              <w:t>Equity</w:t>
            </w:r>
          </w:p>
        </w:tc>
        <w:tc>
          <w:tcPr>
            <w:tcW w:w="160" w:type="dxa"/>
            <w:vAlign w:val="bottom"/>
            <w:shd w:val="clear" w:color="auto" w:fill="CCECFF"/>
          </w:tcPr>
          <w:p>
            <w:pPr>
              <w:spacing w:after="0"/>
              <w:rPr>
                <w:sz w:val="14"/>
                <w:szCs w:val="14"/>
                <w:color w:val="auto"/>
              </w:rPr>
            </w:pPr>
          </w:p>
        </w:tc>
        <w:tc>
          <w:tcPr>
            <w:tcW w:w="140" w:type="dxa"/>
            <w:vAlign w:val="bottom"/>
            <w:tcBorders>
              <w:bottom w:val="single" w:sz="8" w:color="auto"/>
            </w:tcBorders>
            <w:shd w:val="clear" w:color="auto" w:fill="CCECFF"/>
          </w:tcPr>
          <w:p>
            <w:pPr>
              <w:spacing w:after="0"/>
              <w:rPr>
                <w:sz w:val="14"/>
                <w:szCs w:val="14"/>
                <w:color w:val="auto"/>
              </w:rPr>
            </w:pPr>
          </w:p>
        </w:tc>
        <w:tc>
          <w:tcPr>
            <w:tcW w:w="1480" w:type="dxa"/>
            <w:vAlign w:val="bottom"/>
            <w:tcBorders>
              <w:bottom w:val="single" w:sz="8" w:color="auto"/>
            </w:tcBorders>
            <w:shd w:val="clear" w:color="auto" w:fill="CCECFF"/>
          </w:tcPr>
          <w:p>
            <w:pPr>
              <w:jc w:val="right"/>
              <w:spacing w:after="0"/>
              <w:rPr>
                <w:sz w:val="20"/>
                <w:szCs w:val="20"/>
                <w:color w:val="auto"/>
              </w:rPr>
            </w:pPr>
            <w:r>
              <w:rPr>
                <w:rFonts w:ascii="Arial" w:cs="Arial" w:eastAsia="Arial" w:hAnsi="Arial"/>
                <w:sz w:val="14"/>
                <w:szCs w:val="14"/>
                <w:color w:val="auto"/>
              </w:rPr>
              <w:t>125,633,017</w:t>
            </w:r>
          </w:p>
        </w:tc>
        <w:tc>
          <w:tcPr>
            <w:tcW w:w="260" w:type="dxa"/>
            <w:vAlign w:val="bottom"/>
            <w:shd w:val="clear" w:color="auto" w:fill="CCECFF"/>
          </w:tcPr>
          <w:p>
            <w:pPr>
              <w:spacing w:after="0"/>
              <w:rPr>
                <w:sz w:val="14"/>
                <w:szCs w:val="14"/>
                <w:color w:val="auto"/>
              </w:rPr>
            </w:pPr>
          </w:p>
        </w:tc>
        <w:tc>
          <w:tcPr>
            <w:tcW w:w="2200" w:type="dxa"/>
            <w:vAlign w:val="bottom"/>
            <w:gridSpan w:val="2"/>
            <w:shd w:val="clear" w:color="auto" w:fill="CCECFF"/>
          </w:tcPr>
          <w:p>
            <w:pPr>
              <w:jc w:val="center"/>
              <w:ind w:right="160"/>
              <w:spacing w:after="0"/>
              <w:rPr>
                <w:sz w:val="20"/>
                <w:szCs w:val="20"/>
                <w:color w:val="auto"/>
              </w:rPr>
            </w:pPr>
            <w:r>
              <w:rPr>
                <w:rFonts w:ascii="Arial" w:cs="Arial" w:eastAsia="Arial" w:hAnsi="Arial"/>
                <w:sz w:val="14"/>
                <w:szCs w:val="14"/>
                <w:color w:val="auto"/>
                <w:w w:val="93"/>
              </w:rPr>
              <w:t>Enterprise Market Value</w:t>
            </w:r>
          </w:p>
        </w:tc>
        <w:tc>
          <w:tcPr>
            <w:tcW w:w="2200" w:type="dxa"/>
            <w:vAlign w:val="bottom"/>
            <w:gridSpan w:val="2"/>
            <w:shd w:val="clear" w:color="auto" w:fill="CCECFF"/>
          </w:tcPr>
          <w:p>
            <w:pPr>
              <w:jc w:val="center"/>
              <w:ind w:right="160"/>
              <w:spacing w:after="0"/>
              <w:rPr>
                <w:sz w:val="20"/>
                <w:szCs w:val="20"/>
                <w:color w:val="auto"/>
              </w:rPr>
            </w:pPr>
            <w:r>
              <w:rPr>
                <w:rFonts w:ascii="Arial" w:cs="Arial" w:eastAsia="Arial" w:hAnsi="Arial"/>
                <w:sz w:val="14"/>
                <w:szCs w:val="14"/>
                <w:color w:val="auto"/>
              </w:rPr>
              <w:t>EBITDA multiple</w:t>
            </w:r>
          </w:p>
        </w:tc>
        <w:tc>
          <w:tcPr>
            <w:tcW w:w="2220" w:type="dxa"/>
            <w:vAlign w:val="bottom"/>
            <w:gridSpan w:val="2"/>
            <w:shd w:val="clear" w:color="auto" w:fill="CCECFF"/>
          </w:tcPr>
          <w:p>
            <w:pPr>
              <w:jc w:val="center"/>
              <w:ind w:right="120"/>
              <w:spacing w:after="0"/>
              <w:rPr>
                <w:sz w:val="20"/>
                <w:szCs w:val="20"/>
                <w:color w:val="auto"/>
              </w:rPr>
            </w:pPr>
            <w:r>
              <w:rPr>
                <w:rFonts w:ascii="Arial" w:cs="Arial" w:eastAsia="Arial" w:hAnsi="Arial"/>
                <w:sz w:val="14"/>
                <w:szCs w:val="14"/>
                <w:color w:val="auto"/>
                <w:w w:val="94"/>
              </w:rPr>
              <w:t>5.0x – 15.5x (8.2x)</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95"/>
        </w:trPr>
        <w:tc>
          <w:tcPr>
            <w:tcW w:w="2580" w:type="dxa"/>
            <w:vAlign w:val="bottom"/>
            <w:tcBorders>
              <w:bottom w:val="single" w:sz="8" w:color="CCECFF"/>
            </w:tcBorders>
          </w:tcPr>
          <w:p>
            <w:pPr>
              <w:ind w:left="500"/>
              <w:spacing w:after="0" w:line="155" w:lineRule="exact"/>
              <w:rPr>
                <w:sz w:val="20"/>
                <w:szCs w:val="20"/>
                <w:color w:val="auto"/>
              </w:rPr>
            </w:pPr>
            <w:r>
              <w:rPr>
                <w:rFonts w:ascii="Arial" w:cs="Arial" w:eastAsia="Arial" w:hAnsi="Arial"/>
                <w:sz w:val="14"/>
                <w:szCs w:val="14"/>
                <w:color w:val="auto"/>
              </w:rPr>
              <w:t>Total Level 3 investments</w:t>
            </w:r>
          </w:p>
        </w:tc>
        <w:tc>
          <w:tcPr>
            <w:tcW w:w="160" w:type="dxa"/>
            <w:vAlign w:val="bottom"/>
            <w:tcBorders>
              <w:bottom w:val="single" w:sz="8" w:color="CCECFF"/>
            </w:tcBorders>
          </w:tcPr>
          <w:p>
            <w:pPr>
              <w:spacing w:after="0"/>
              <w:rPr>
                <w:sz w:val="17"/>
                <w:szCs w:val="17"/>
                <w:color w:val="auto"/>
              </w:rPr>
            </w:pPr>
          </w:p>
        </w:tc>
        <w:tc>
          <w:tcPr>
            <w:tcW w:w="140" w:type="dxa"/>
            <w:vAlign w:val="bottom"/>
            <w:tcBorders>
              <w:bottom w:val="single" w:sz="8" w:color="auto"/>
            </w:tcBorders>
          </w:tcPr>
          <w:p>
            <w:pPr>
              <w:jc w:val="right"/>
              <w:spacing w:after="0" w:line="155" w:lineRule="exact"/>
              <w:rPr>
                <w:sz w:val="20"/>
                <w:szCs w:val="20"/>
                <w:color w:val="auto"/>
              </w:rPr>
            </w:pPr>
            <w:r>
              <w:rPr>
                <w:rFonts w:ascii="Arial" w:cs="Arial" w:eastAsia="Arial" w:hAnsi="Arial"/>
                <w:sz w:val="14"/>
                <w:szCs w:val="14"/>
                <w:color w:val="auto"/>
                <w:w w:val="76"/>
              </w:rPr>
              <w:t>$</w:t>
            </w:r>
          </w:p>
        </w:tc>
        <w:tc>
          <w:tcPr>
            <w:tcW w:w="1480" w:type="dxa"/>
            <w:vAlign w:val="bottom"/>
            <w:tcBorders>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1,125,779,698</w:t>
            </w:r>
          </w:p>
        </w:tc>
        <w:tc>
          <w:tcPr>
            <w:tcW w:w="260" w:type="dxa"/>
            <w:vAlign w:val="bottom"/>
            <w:tcBorders>
              <w:bottom w:val="single" w:sz="8" w:color="CCECFF"/>
            </w:tcBorders>
          </w:tcPr>
          <w:p>
            <w:pPr>
              <w:spacing w:after="0"/>
              <w:rPr>
                <w:sz w:val="17"/>
                <w:szCs w:val="17"/>
                <w:color w:val="auto"/>
              </w:rPr>
            </w:pPr>
          </w:p>
        </w:tc>
        <w:tc>
          <w:tcPr>
            <w:tcW w:w="2040" w:type="dxa"/>
            <w:vAlign w:val="bottom"/>
            <w:tcBorders>
              <w:bottom w:val="single" w:sz="8" w:color="CCECFF"/>
            </w:tcBorders>
          </w:tcPr>
          <w:p>
            <w:pPr>
              <w:spacing w:after="0"/>
              <w:rPr>
                <w:sz w:val="17"/>
                <w:szCs w:val="17"/>
                <w:color w:val="auto"/>
              </w:rPr>
            </w:pPr>
          </w:p>
        </w:tc>
        <w:tc>
          <w:tcPr>
            <w:tcW w:w="160" w:type="dxa"/>
            <w:vAlign w:val="bottom"/>
            <w:tcBorders>
              <w:bottom w:val="single" w:sz="8" w:color="CCECFF"/>
            </w:tcBorders>
          </w:tcPr>
          <w:p>
            <w:pPr>
              <w:spacing w:after="0"/>
              <w:rPr>
                <w:sz w:val="17"/>
                <w:szCs w:val="17"/>
                <w:color w:val="auto"/>
              </w:rPr>
            </w:pPr>
          </w:p>
        </w:tc>
        <w:tc>
          <w:tcPr>
            <w:tcW w:w="2040" w:type="dxa"/>
            <w:vAlign w:val="bottom"/>
            <w:tcBorders>
              <w:bottom w:val="single" w:sz="8" w:color="CCECFF"/>
            </w:tcBorders>
          </w:tcPr>
          <w:p>
            <w:pPr>
              <w:spacing w:after="0"/>
              <w:rPr>
                <w:sz w:val="17"/>
                <w:szCs w:val="17"/>
                <w:color w:val="auto"/>
              </w:rPr>
            </w:pPr>
          </w:p>
        </w:tc>
        <w:tc>
          <w:tcPr>
            <w:tcW w:w="160" w:type="dxa"/>
            <w:vAlign w:val="bottom"/>
            <w:tcBorders>
              <w:bottom w:val="single" w:sz="8" w:color="CCECFF"/>
            </w:tcBorders>
          </w:tcPr>
          <w:p>
            <w:pPr>
              <w:spacing w:after="0"/>
              <w:rPr>
                <w:sz w:val="17"/>
                <w:szCs w:val="17"/>
                <w:color w:val="auto"/>
              </w:rPr>
            </w:pPr>
          </w:p>
        </w:tc>
        <w:tc>
          <w:tcPr>
            <w:tcW w:w="2100" w:type="dxa"/>
            <w:vAlign w:val="bottom"/>
            <w:tcBorders>
              <w:bottom w:val="single" w:sz="8" w:color="CCECFF"/>
            </w:tcBorders>
          </w:tcPr>
          <w:p>
            <w:pPr>
              <w:spacing w:after="0"/>
              <w:rPr>
                <w:sz w:val="17"/>
                <w:szCs w:val="17"/>
                <w:color w:val="auto"/>
              </w:rPr>
            </w:pPr>
          </w:p>
        </w:tc>
        <w:tc>
          <w:tcPr>
            <w:tcW w:w="120" w:type="dxa"/>
            <w:vAlign w:val="bottom"/>
            <w:tcBorders>
              <w:bottom w:val="single" w:sz="8" w:color="CCECFF"/>
            </w:tcBorders>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43"/>
        </w:trPr>
        <w:tc>
          <w:tcPr>
            <w:tcW w:w="2580" w:type="dxa"/>
            <w:vAlign w:val="bottom"/>
            <w:tcBorders>
              <w:bottom w:val="single" w:sz="8" w:color="CCECFF"/>
            </w:tcBorders>
            <w:shd w:val="clear" w:color="auto" w:fill="CCECFF"/>
          </w:tcPr>
          <w:p>
            <w:pPr>
              <w:spacing w:after="0" w:line="143" w:lineRule="exact"/>
              <w:rPr>
                <w:sz w:val="20"/>
                <w:szCs w:val="20"/>
                <w:color w:val="auto"/>
              </w:rPr>
            </w:pPr>
            <w:r>
              <w:rPr>
                <w:rFonts w:ascii="Arial" w:cs="Arial" w:eastAsia="Arial" w:hAnsi="Arial"/>
                <w:sz w:val="14"/>
                <w:szCs w:val="14"/>
                <w:color w:val="auto"/>
              </w:rPr>
              <w:t>Long-Term Credit Facility</w:t>
            </w:r>
          </w:p>
        </w:tc>
        <w:tc>
          <w:tcPr>
            <w:tcW w:w="160" w:type="dxa"/>
            <w:vAlign w:val="bottom"/>
            <w:tcBorders>
              <w:bottom w:val="single" w:sz="8" w:color="CCECFF"/>
            </w:tcBorders>
            <w:shd w:val="clear" w:color="auto" w:fill="CCECFF"/>
          </w:tcPr>
          <w:p>
            <w:pPr>
              <w:spacing w:after="0"/>
              <w:rPr>
                <w:sz w:val="12"/>
                <w:szCs w:val="12"/>
                <w:color w:val="auto"/>
              </w:rPr>
            </w:pPr>
          </w:p>
        </w:tc>
        <w:tc>
          <w:tcPr>
            <w:tcW w:w="140" w:type="dxa"/>
            <w:vAlign w:val="bottom"/>
            <w:tcBorders>
              <w:bottom w:val="single" w:sz="8" w:color="auto"/>
            </w:tcBorders>
            <w:shd w:val="clear" w:color="auto" w:fill="CCECFF"/>
          </w:tcPr>
          <w:p>
            <w:pPr>
              <w:jc w:val="right"/>
              <w:spacing w:after="0" w:line="143" w:lineRule="exact"/>
              <w:rPr>
                <w:sz w:val="20"/>
                <w:szCs w:val="20"/>
                <w:color w:val="auto"/>
              </w:rPr>
            </w:pPr>
            <w:r>
              <w:rPr>
                <w:rFonts w:ascii="Arial" w:cs="Arial" w:eastAsia="Arial" w:hAnsi="Arial"/>
                <w:sz w:val="14"/>
                <w:szCs w:val="14"/>
                <w:color w:val="auto"/>
                <w:w w:val="76"/>
              </w:rPr>
              <w:t>$</w:t>
            </w:r>
          </w:p>
        </w:tc>
        <w:tc>
          <w:tcPr>
            <w:tcW w:w="1480" w:type="dxa"/>
            <w:vAlign w:val="bottom"/>
            <w:tcBorders>
              <w:bottom w:val="single" w:sz="8" w:color="auto"/>
            </w:tcBorders>
            <w:shd w:val="clear" w:color="auto" w:fill="CCECFF"/>
          </w:tcPr>
          <w:p>
            <w:pPr>
              <w:jc w:val="right"/>
              <w:spacing w:after="0" w:line="143" w:lineRule="exact"/>
              <w:rPr>
                <w:sz w:val="20"/>
                <w:szCs w:val="20"/>
                <w:color w:val="auto"/>
              </w:rPr>
            </w:pPr>
            <w:r>
              <w:rPr>
                <w:rFonts w:ascii="Arial" w:cs="Arial" w:eastAsia="Arial" w:hAnsi="Arial"/>
                <w:sz w:val="14"/>
                <w:szCs w:val="14"/>
                <w:color w:val="auto"/>
              </w:rPr>
              <w:t>39,551,187</w:t>
            </w:r>
          </w:p>
        </w:tc>
        <w:tc>
          <w:tcPr>
            <w:tcW w:w="260" w:type="dxa"/>
            <w:vAlign w:val="bottom"/>
            <w:tcBorders>
              <w:bottom w:val="single" w:sz="8" w:color="CCECFF"/>
            </w:tcBorders>
            <w:shd w:val="clear" w:color="auto" w:fill="CCECFF"/>
          </w:tcPr>
          <w:p>
            <w:pPr>
              <w:spacing w:after="0"/>
              <w:rPr>
                <w:sz w:val="12"/>
                <w:szCs w:val="12"/>
                <w:color w:val="auto"/>
              </w:rPr>
            </w:pPr>
          </w:p>
        </w:tc>
        <w:tc>
          <w:tcPr>
            <w:tcW w:w="2200" w:type="dxa"/>
            <w:vAlign w:val="bottom"/>
            <w:tcBorders>
              <w:bottom w:val="single" w:sz="8" w:color="CCECFF"/>
            </w:tcBorders>
            <w:gridSpan w:val="2"/>
            <w:shd w:val="clear" w:color="auto" w:fill="CCECFF"/>
          </w:tcPr>
          <w:p>
            <w:pPr>
              <w:jc w:val="center"/>
              <w:ind w:right="160"/>
              <w:spacing w:after="0" w:line="143" w:lineRule="exact"/>
              <w:rPr>
                <w:sz w:val="20"/>
                <w:szCs w:val="20"/>
                <w:color w:val="auto"/>
              </w:rPr>
            </w:pPr>
            <w:r>
              <w:rPr>
                <w:rFonts w:ascii="Arial" w:cs="Arial" w:eastAsia="Arial" w:hAnsi="Arial"/>
                <w:sz w:val="14"/>
                <w:szCs w:val="14"/>
                <w:color w:val="auto"/>
                <w:w w:val="94"/>
              </w:rPr>
              <w:t>Market Comparable</w:t>
            </w:r>
          </w:p>
        </w:tc>
        <w:tc>
          <w:tcPr>
            <w:tcW w:w="2200" w:type="dxa"/>
            <w:vAlign w:val="bottom"/>
            <w:tcBorders>
              <w:bottom w:val="single" w:sz="8" w:color="CCECFF"/>
            </w:tcBorders>
            <w:gridSpan w:val="2"/>
            <w:shd w:val="clear" w:color="auto" w:fill="CCECFF"/>
          </w:tcPr>
          <w:p>
            <w:pPr>
              <w:jc w:val="center"/>
              <w:ind w:right="160"/>
              <w:spacing w:after="0" w:line="143" w:lineRule="exact"/>
              <w:rPr>
                <w:sz w:val="20"/>
                <w:szCs w:val="20"/>
                <w:color w:val="auto"/>
              </w:rPr>
            </w:pPr>
            <w:r>
              <w:rPr>
                <w:rFonts w:ascii="Arial" w:cs="Arial" w:eastAsia="Arial" w:hAnsi="Arial"/>
                <w:sz w:val="14"/>
                <w:szCs w:val="14"/>
                <w:color w:val="auto"/>
                <w:w w:val="97"/>
              </w:rPr>
              <w:t>Market Yield</w:t>
            </w:r>
          </w:p>
        </w:tc>
        <w:tc>
          <w:tcPr>
            <w:tcW w:w="2100" w:type="dxa"/>
            <w:vAlign w:val="bottom"/>
            <w:tcBorders>
              <w:bottom w:val="single" w:sz="8" w:color="CCECFF"/>
            </w:tcBorders>
            <w:shd w:val="clear" w:color="auto" w:fill="CCECFF"/>
          </w:tcPr>
          <w:p>
            <w:pPr>
              <w:jc w:val="right"/>
              <w:ind w:right="788"/>
              <w:spacing w:after="0" w:line="143" w:lineRule="exact"/>
              <w:rPr>
                <w:sz w:val="20"/>
                <w:szCs w:val="20"/>
                <w:color w:val="auto"/>
              </w:rPr>
            </w:pPr>
            <w:r>
              <w:rPr>
                <w:rFonts w:ascii="Arial" w:cs="Arial" w:eastAsia="Arial" w:hAnsi="Arial"/>
                <w:sz w:val="14"/>
                <w:szCs w:val="14"/>
                <w:color w:val="auto"/>
              </w:rPr>
              <w:t>3.8%</w:t>
            </w:r>
          </w:p>
        </w:tc>
        <w:tc>
          <w:tcPr>
            <w:tcW w:w="120" w:type="dxa"/>
            <w:vAlign w:val="bottom"/>
            <w:tcBorders>
              <w:bottom w:val="single" w:sz="8" w:color="CCECFF"/>
            </w:tcBorders>
            <w:shd w:val="clear" w:color="auto" w:fill="CCECFF"/>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25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c>
          <w:tcPr>
            <w:tcW w:w="2300" w:type="dxa"/>
            <w:vAlign w:val="bottom"/>
            <w:gridSpan w:val="2"/>
            <w:vMerge w:val="restart"/>
          </w:tcPr>
          <w:p>
            <w:pPr>
              <w:jc w:val="center"/>
              <w:ind w:left="168"/>
              <w:spacing w:after="0"/>
              <w:rPr>
                <w:sz w:val="20"/>
                <w:szCs w:val="20"/>
                <w:color w:val="auto"/>
              </w:rPr>
            </w:pPr>
            <w:r>
              <w:rPr>
                <w:rFonts w:ascii="Arial" w:cs="Arial" w:eastAsia="Arial" w:hAnsi="Arial"/>
                <w:sz w:val="14"/>
                <w:szCs w:val="14"/>
                <w:color w:val="auto"/>
                <w:w w:val="89"/>
              </w:rPr>
              <w:t>18</w:t>
            </w:r>
          </w:p>
        </w:tc>
        <w:tc>
          <w:tcPr>
            <w:tcW w:w="160" w:type="dxa"/>
            <w:vAlign w:val="bottom"/>
          </w:tcPr>
          <w:p>
            <w:pPr>
              <w:spacing w:after="0" w:line="20" w:lineRule="exact"/>
              <w:rPr>
                <w:sz w:val="1"/>
                <w:szCs w:val="1"/>
                <w:color w:val="auto"/>
              </w:rPr>
            </w:pPr>
          </w:p>
        </w:tc>
        <w:tc>
          <w:tcPr>
            <w:tcW w:w="20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08"/>
        </w:trPr>
        <w:tc>
          <w:tcPr>
            <w:tcW w:w="25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2300" w:type="dxa"/>
            <w:vAlign w:val="bottom"/>
            <w:gridSpan w:val="2"/>
            <w:vMerge w:val="continue"/>
          </w:tcPr>
          <w:p>
            <w:pPr>
              <w:spacing w:after="0"/>
              <w:rPr>
                <w:sz w:val="24"/>
                <w:szCs w:val="24"/>
                <w:color w:val="auto"/>
              </w:rPr>
            </w:pPr>
          </w:p>
        </w:tc>
        <w:tc>
          <w:tcPr>
            <w:tcW w:w="160" w:type="dxa"/>
            <w:vAlign w:val="bottom"/>
          </w:tcPr>
          <w:p>
            <w:pPr>
              <w:spacing w:after="0"/>
              <w:rPr>
                <w:sz w:val="24"/>
                <w:szCs w:val="24"/>
                <w:color w:val="auto"/>
              </w:rPr>
            </w:pPr>
          </w:p>
        </w:tc>
        <w:tc>
          <w:tcPr>
            <w:tcW w:w="20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00"/>
        </w:trPr>
        <w:tc>
          <w:tcPr>
            <w:tcW w:w="2580" w:type="dxa"/>
            <w:vAlign w:val="bottom"/>
            <w:tcBorders>
              <w:bottom w:val="single" w:sz="8" w:color="9A9A9A"/>
            </w:tcBorders>
          </w:tcPr>
          <w:p>
            <w:pPr>
              <w:spacing w:after="0"/>
              <w:rPr>
                <w:sz w:val="8"/>
                <w:szCs w:val="8"/>
                <w:color w:val="auto"/>
              </w:rPr>
            </w:pPr>
          </w:p>
        </w:tc>
        <w:tc>
          <w:tcPr>
            <w:tcW w:w="160" w:type="dxa"/>
            <w:vAlign w:val="bottom"/>
            <w:tcBorders>
              <w:bottom w:val="single" w:sz="8" w:color="9A9A9A"/>
            </w:tcBorders>
          </w:tcPr>
          <w:p>
            <w:pPr>
              <w:spacing w:after="0"/>
              <w:rPr>
                <w:sz w:val="8"/>
                <w:szCs w:val="8"/>
                <w:color w:val="auto"/>
              </w:rPr>
            </w:pPr>
          </w:p>
        </w:tc>
        <w:tc>
          <w:tcPr>
            <w:tcW w:w="140" w:type="dxa"/>
            <w:vAlign w:val="bottom"/>
            <w:tcBorders>
              <w:bottom w:val="single" w:sz="8" w:color="9A9A9A"/>
            </w:tcBorders>
          </w:tcPr>
          <w:p>
            <w:pPr>
              <w:spacing w:after="0"/>
              <w:rPr>
                <w:sz w:val="8"/>
                <w:szCs w:val="8"/>
                <w:color w:val="auto"/>
              </w:rPr>
            </w:pPr>
          </w:p>
        </w:tc>
        <w:tc>
          <w:tcPr>
            <w:tcW w:w="1480" w:type="dxa"/>
            <w:vAlign w:val="bottom"/>
            <w:tcBorders>
              <w:bottom w:val="single" w:sz="8" w:color="9A9A9A"/>
            </w:tcBorders>
          </w:tcPr>
          <w:p>
            <w:pPr>
              <w:spacing w:after="0"/>
              <w:rPr>
                <w:sz w:val="8"/>
                <w:szCs w:val="8"/>
                <w:color w:val="auto"/>
              </w:rPr>
            </w:pPr>
          </w:p>
        </w:tc>
        <w:tc>
          <w:tcPr>
            <w:tcW w:w="260" w:type="dxa"/>
            <w:vAlign w:val="bottom"/>
            <w:tcBorders>
              <w:bottom w:val="single" w:sz="8" w:color="9A9A9A"/>
            </w:tcBorders>
          </w:tcPr>
          <w:p>
            <w:pPr>
              <w:spacing w:after="0"/>
              <w:rPr>
                <w:sz w:val="8"/>
                <w:szCs w:val="8"/>
                <w:color w:val="auto"/>
              </w:rPr>
            </w:pPr>
          </w:p>
        </w:tc>
        <w:tc>
          <w:tcPr>
            <w:tcW w:w="2040" w:type="dxa"/>
            <w:vAlign w:val="bottom"/>
            <w:tcBorders>
              <w:bottom w:val="single" w:sz="8" w:color="9A9A9A"/>
            </w:tcBorders>
          </w:tcPr>
          <w:p>
            <w:pPr>
              <w:spacing w:after="0"/>
              <w:rPr>
                <w:sz w:val="8"/>
                <w:szCs w:val="8"/>
                <w:color w:val="auto"/>
              </w:rPr>
            </w:pPr>
          </w:p>
        </w:tc>
        <w:tc>
          <w:tcPr>
            <w:tcW w:w="160" w:type="dxa"/>
            <w:vAlign w:val="bottom"/>
            <w:tcBorders>
              <w:bottom w:val="single" w:sz="8" w:color="9A9A9A"/>
            </w:tcBorders>
          </w:tcPr>
          <w:p>
            <w:pPr>
              <w:spacing w:after="0"/>
              <w:rPr>
                <w:sz w:val="8"/>
                <w:szCs w:val="8"/>
                <w:color w:val="auto"/>
              </w:rPr>
            </w:pPr>
          </w:p>
        </w:tc>
        <w:tc>
          <w:tcPr>
            <w:tcW w:w="2040" w:type="dxa"/>
            <w:vAlign w:val="bottom"/>
            <w:tcBorders>
              <w:bottom w:val="single" w:sz="8" w:color="9A9A9A"/>
            </w:tcBorders>
          </w:tcPr>
          <w:p>
            <w:pPr>
              <w:spacing w:after="0"/>
              <w:rPr>
                <w:sz w:val="8"/>
                <w:szCs w:val="8"/>
                <w:color w:val="auto"/>
              </w:rPr>
            </w:pPr>
          </w:p>
        </w:tc>
        <w:tc>
          <w:tcPr>
            <w:tcW w:w="160" w:type="dxa"/>
            <w:vAlign w:val="bottom"/>
            <w:tcBorders>
              <w:bottom w:val="single" w:sz="8" w:color="9A9A9A"/>
            </w:tcBorders>
          </w:tcPr>
          <w:p>
            <w:pPr>
              <w:spacing w:after="0"/>
              <w:rPr>
                <w:sz w:val="8"/>
                <w:szCs w:val="8"/>
                <w:color w:val="auto"/>
              </w:rPr>
            </w:pPr>
          </w:p>
        </w:tc>
        <w:tc>
          <w:tcPr>
            <w:tcW w:w="2100" w:type="dxa"/>
            <w:vAlign w:val="bottom"/>
            <w:tcBorders>
              <w:bottom w:val="single" w:sz="8" w:color="9A9A9A"/>
            </w:tcBorders>
          </w:tcPr>
          <w:p>
            <w:pPr>
              <w:spacing w:after="0"/>
              <w:rPr>
                <w:sz w:val="8"/>
                <w:szCs w:val="8"/>
                <w:color w:val="auto"/>
              </w:rPr>
            </w:pPr>
          </w:p>
        </w:tc>
        <w:tc>
          <w:tcPr>
            <w:tcW w:w="120" w:type="dxa"/>
            <w:vAlign w:val="bottom"/>
            <w:tcBorders>
              <w:bottom w:val="single" w:sz="8" w:color="9A9A9A"/>
            </w:tcBorders>
          </w:tcPr>
          <w:p>
            <w:pPr>
              <w:spacing w:after="0"/>
              <w:rPr>
                <w:sz w:val="8"/>
                <w:szCs w:val="8"/>
                <w:color w:val="auto"/>
              </w:rPr>
            </w:pPr>
          </w:p>
        </w:tc>
        <w:tc>
          <w:tcPr>
            <w:tcW w:w="20" w:type="dxa"/>
            <w:vAlign w:val="bottom"/>
            <w:tcBorders>
              <w:bottom w:val="single" w:sz="8" w:color="9A9A9A"/>
            </w:tcBorders>
          </w:tcPr>
          <w:p>
            <w:pPr>
              <w:spacing w:after="0"/>
              <w:rPr>
                <w:sz w:val="8"/>
                <w:szCs w:val="8"/>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7145655</wp:posOffset>
            </wp:positionH>
            <wp:positionV relativeFrom="paragraph">
              <wp:posOffset>-8255</wp:posOffset>
            </wp:positionV>
            <wp:extent cx="8255" cy="889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-16510</wp:posOffset>
            </wp:positionV>
            <wp:extent cx="8890" cy="171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8890" cy="17145"/>
                    </a:xfrm>
                    <a:prstGeom prst="rect">
                      <a:avLst/>
                    </a:prstGeom>
                    <a:noFill/>
                  </pic:spPr>
                </pic:pic>
              </a:graphicData>
            </a:graphic>
          </wp:anchor>
        </w:drawing>
      </w:r>
    </w:p>
    <w:p>
      <w:pPr>
        <w:sectPr>
          <w:pgSz w:w="11900" w:h="16838" w:orient="portrait"/>
          <w:cols w:equalWidth="0" w:num="1">
            <w:col w:w="11260"/>
          </w:cols>
          <w:pgMar w:left="320" w:top="118" w:right="319" w:bottom="1440" w:gutter="0" w:footer="0" w:header="0"/>
        </w:sectPr>
      </w:pPr>
    </w:p>
    <w:bookmarkStart w:id="18" w:name="page19"/>
    <w:bookmarkEnd w:id="18"/>
    <w:p>
      <w:pPr>
        <w:ind w:left="3220"/>
        <w:spacing w:after="0"/>
        <w:rPr>
          <w:sz w:val="20"/>
          <w:szCs w:val="20"/>
          <w:color w:val="auto"/>
        </w:rPr>
      </w:pPr>
      <w:r>
        <w:rPr>
          <w:rFonts w:ascii="Arial" w:cs="Arial" w:eastAsia="Arial" w:hAnsi="Arial"/>
          <w:sz w:val="14"/>
          <w:szCs w:val="14"/>
          <w:b w:val="1"/>
          <w:bCs w:val="1"/>
          <w:color w:val="auto"/>
        </w:rPr>
        <w:t>PENNANTPARK INVESTMENT CORPORATION AND SUBSIDIARIES</w:t>
      </w:r>
    </w:p>
    <w:p>
      <w:pPr>
        <w:ind w:left="3200"/>
        <w:spacing w:after="0" w:line="225" w:lineRule="auto"/>
        <w:rPr>
          <w:sz w:val="20"/>
          <w:szCs w:val="20"/>
          <w:color w:val="auto"/>
        </w:rPr>
      </w:pPr>
      <w:r>
        <w:rPr>
          <w:rFonts w:ascii="Arial" w:cs="Arial" w:eastAsia="Arial" w:hAnsi="Arial"/>
          <w:sz w:val="14"/>
          <w:szCs w:val="14"/>
          <w:b w:val="1"/>
          <w:bCs w:val="1"/>
          <w:color w:val="auto"/>
        </w:rPr>
        <w:t>NOTES TO CONSOLIDATED FINANCIAL STATEMENTS—(Continued)</w:t>
      </w:r>
    </w:p>
    <w:p>
      <w:pPr>
        <w:jc w:val="center"/>
        <w:ind w:right="80"/>
        <w:spacing w:after="0" w:line="221" w:lineRule="auto"/>
        <w:rPr>
          <w:sz w:val="20"/>
          <w:szCs w:val="20"/>
          <w:color w:val="auto"/>
        </w:rPr>
      </w:pPr>
      <w:r>
        <w:rPr>
          <w:rFonts w:ascii="Arial" w:cs="Arial" w:eastAsia="Arial" w:hAnsi="Arial"/>
          <w:sz w:val="14"/>
          <w:szCs w:val="14"/>
          <w:b w:val="1"/>
          <w:bCs w:val="1"/>
          <w:color w:val="auto"/>
        </w:rPr>
        <w:t>JUNE 30, 2017</w:t>
      </w:r>
    </w:p>
    <w:p>
      <w:pPr>
        <w:spacing w:after="0" w:line="1" w:lineRule="exact"/>
        <w:rPr>
          <w:sz w:val="20"/>
          <w:szCs w:val="20"/>
          <w:color w:val="auto"/>
        </w:rPr>
      </w:pPr>
    </w:p>
    <w:p>
      <w:pPr>
        <w:jc w:val="center"/>
        <w:ind w:right="80"/>
        <w:spacing w:after="0"/>
        <w:rPr>
          <w:sz w:val="20"/>
          <w:szCs w:val="20"/>
          <w:color w:val="auto"/>
        </w:rPr>
      </w:pPr>
      <w:r>
        <w:rPr>
          <w:rFonts w:ascii="Arial" w:cs="Arial" w:eastAsia="Arial" w:hAnsi="Arial"/>
          <w:sz w:val="14"/>
          <w:szCs w:val="14"/>
          <w:b w:val="1"/>
          <w:bCs w:val="1"/>
          <w:color w:val="auto"/>
        </w:rPr>
        <w:t>(Unaudited)</w:t>
      </w:r>
    </w:p>
    <w:p>
      <w:pPr>
        <w:spacing w:after="0" w:line="340" w:lineRule="exact"/>
        <w:rPr>
          <w:sz w:val="20"/>
          <w:szCs w:val="20"/>
          <w:color w:val="auto"/>
        </w:rPr>
      </w:pPr>
    </w:p>
    <w:tbl>
      <w:tblPr>
        <w:tblLayout w:type="fixed"/>
        <w:tblInd w:w="0" w:type="dxa"/>
        <w:tblCellMar>
          <w:top w:w="0" w:type="dxa"/>
          <w:left w:w="0" w:type="dxa"/>
          <w:bottom w:w="0" w:type="dxa"/>
          <w:right w:w="0" w:type="dxa"/>
        </w:tblCellMar>
      </w:tblPr>
      <w:tr>
        <w:trPr>
          <w:trHeight w:val="182"/>
        </w:trPr>
        <w:tc>
          <w:tcPr>
            <w:tcW w:w="9640" w:type="dxa"/>
            <w:vAlign w:val="bottom"/>
            <w:gridSpan w:val="11"/>
          </w:tcPr>
          <w:p>
            <w:pPr>
              <w:ind w:left="460"/>
              <w:spacing w:after="0"/>
              <w:rPr>
                <w:sz w:val="20"/>
                <w:szCs w:val="20"/>
                <w:color w:val="auto"/>
              </w:rPr>
            </w:pPr>
            <w:r>
              <w:rPr>
                <w:rFonts w:ascii="Arial" w:cs="Arial" w:eastAsia="Arial" w:hAnsi="Arial"/>
                <w:sz w:val="14"/>
                <w:szCs w:val="14"/>
                <w:color w:val="auto"/>
                <w:w w:val="97"/>
              </w:rPr>
              <w:t>Our investments, cash and cash equivalents, Credit Facility and our Notes were categorized as follows in the fair value hierarchy for ASC 820 purposes:</w:t>
            </w:r>
          </w:p>
        </w:tc>
        <w:tc>
          <w:tcPr>
            <w:tcW w:w="30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351"/>
        </w:trPr>
        <w:tc>
          <w:tcPr>
            <w:tcW w:w="42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3180" w:type="dxa"/>
            <w:vAlign w:val="bottom"/>
            <w:gridSpan w:val="5"/>
          </w:tcPr>
          <w:p>
            <w:pPr>
              <w:ind w:left="460"/>
              <w:spacing w:after="0"/>
              <w:rPr>
                <w:sz w:val="20"/>
                <w:szCs w:val="20"/>
                <w:color w:val="auto"/>
              </w:rPr>
            </w:pPr>
            <w:r>
              <w:rPr>
                <w:rFonts w:ascii="Arial" w:cs="Arial" w:eastAsia="Arial" w:hAnsi="Arial"/>
                <w:sz w:val="14"/>
                <w:szCs w:val="14"/>
                <w:b w:val="1"/>
                <w:bCs w:val="1"/>
                <w:color w:val="auto"/>
              </w:rPr>
              <w:t>Fair Value at June 30, 2017</w:t>
            </w:r>
          </w:p>
        </w:tc>
        <w:tc>
          <w:tcPr>
            <w:tcW w:w="30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6"/>
        </w:trPr>
        <w:tc>
          <w:tcPr>
            <w:tcW w:w="4260" w:type="dxa"/>
            <w:vAlign w:val="bottom"/>
            <w:vMerge w:val="restart"/>
          </w:tcPr>
          <w:p>
            <w:pPr>
              <w:spacing w:after="0"/>
              <w:rPr>
                <w:sz w:val="20"/>
                <w:szCs w:val="20"/>
                <w:color w:val="auto"/>
              </w:rPr>
            </w:pPr>
            <w:r>
              <w:rPr>
                <w:rFonts w:ascii="Arial" w:cs="Arial" w:eastAsia="Arial" w:hAnsi="Arial"/>
                <w:sz w:val="14"/>
                <w:szCs w:val="14"/>
                <w:b w:val="1"/>
                <w:bCs w:val="1"/>
                <w:color w:val="auto"/>
              </w:rPr>
              <w:t>Description</w:t>
            </w:r>
          </w:p>
        </w:tc>
        <w:tc>
          <w:tcPr>
            <w:tcW w:w="160" w:type="dxa"/>
            <w:vAlign w:val="bottom"/>
          </w:tcPr>
          <w:p>
            <w:pPr>
              <w:spacing w:after="0"/>
              <w:rPr>
                <w:sz w:val="2"/>
                <w:szCs w:val="2"/>
                <w:color w:val="auto"/>
              </w:rPr>
            </w:pPr>
          </w:p>
        </w:tc>
        <w:tc>
          <w:tcPr>
            <w:tcW w:w="240" w:type="dxa"/>
            <w:vAlign w:val="bottom"/>
          </w:tcPr>
          <w:p>
            <w:pPr>
              <w:spacing w:after="0"/>
              <w:rPr>
                <w:sz w:val="2"/>
                <w:szCs w:val="2"/>
                <w:color w:val="auto"/>
              </w:rPr>
            </w:pPr>
          </w:p>
        </w:tc>
        <w:tc>
          <w:tcPr>
            <w:tcW w:w="1500" w:type="dxa"/>
            <w:vAlign w:val="bottom"/>
            <w:gridSpan w:val="2"/>
          </w:tcPr>
          <w:p>
            <w:pPr>
              <w:spacing w:after="0"/>
              <w:rPr>
                <w:sz w:val="2"/>
                <w:szCs w:val="2"/>
                <w:color w:val="auto"/>
              </w:rPr>
            </w:pPr>
          </w:p>
        </w:tc>
        <w:tc>
          <w:tcPr>
            <w:tcW w:w="300" w:type="dxa"/>
            <w:vAlign w:val="bottom"/>
          </w:tcPr>
          <w:p>
            <w:pPr>
              <w:spacing w:after="0"/>
              <w:rPr>
                <w:sz w:val="2"/>
                <w:szCs w:val="2"/>
                <w:color w:val="auto"/>
              </w:rPr>
            </w:pPr>
          </w:p>
        </w:tc>
        <w:tc>
          <w:tcPr>
            <w:tcW w:w="1180" w:type="dxa"/>
            <w:vAlign w:val="bottom"/>
          </w:tcPr>
          <w:p>
            <w:pPr>
              <w:spacing w:after="0"/>
              <w:rPr>
                <w:sz w:val="2"/>
                <w:szCs w:val="2"/>
                <w:color w:val="auto"/>
              </w:rPr>
            </w:pPr>
          </w:p>
        </w:tc>
        <w:tc>
          <w:tcPr>
            <w:tcW w:w="260" w:type="dxa"/>
            <w:vAlign w:val="bottom"/>
          </w:tcPr>
          <w:p>
            <w:pPr>
              <w:spacing w:after="0"/>
              <w:rPr>
                <w:sz w:val="2"/>
                <w:szCs w:val="2"/>
                <w:color w:val="auto"/>
              </w:rPr>
            </w:pPr>
          </w:p>
        </w:tc>
        <w:tc>
          <w:tcPr>
            <w:tcW w:w="300" w:type="dxa"/>
            <w:vAlign w:val="bottom"/>
          </w:tcPr>
          <w:p>
            <w:pPr>
              <w:spacing w:after="0"/>
              <w:rPr>
                <w:sz w:val="2"/>
                <w:szCs w:val="2"/>
                <w:color w:val="auto"/>
              </w:rPr>
            </w:pPr>
          </w:p>
        </w:tc>
        <w:tc>
          <w:tcPr>
            <w:tcW w:w="1440" w:type="dxa"/>
            <w:vAlign w:val="bottom"/>
            <w:gridSpan w:val="2"/>
          </w:tcPr>
          <w:p>
            <w:pPr>
              <w:spacing w:after="0"/>
              <w:rPr>
                <w:sz w:val="2"/>
                <w:szCs w:val="2"/>
                <w:color w:val="auto"/>
              </w:rPr>
            </w:pPr>
          </w:p>
        </w:tc>
        <w:tc>
          <w:tcPr>
            <w:tcW w:w="300" w:type="dxa"/>
            <w:vAlign w:val="bottom"/>
          </w:tcPr>
          <w:p>
            <w:pPr>
              <w:spacing w:after="0"/>
              <w:rPr>
                <w:sz w:val="2"/>
                <w:szCs w:val="2"/>
                <w:color w:val="auto"/>
              </w:rPr>
            </w:pPr>
          </w:p>
        </w:tc>
        <w:tc>
          <w:tcPr>
            <w:tcW w:w="1300" w:type="dxa"/>
            <w:vAlign w:val="bottom"/>
            <w:gridSpan w:val="2"/>
          </w:tcPr>
          <w:p>
            <w:pPr>
              <w:spacing w:after="0"/>
              <w:rPr>
                <w:sz w:val="2"/>
                <w:szCs w:val="2"/>
                <w:color w:val="auto"/>
              </w:rPr>
            </w:pPr>
          </w:p>
        </w:tc>
        <w:tc>
          <w:tcPr>
            <w:tcW w:w="0" w:type="dxa"/>
            <w:vAlign w:val="bottom"/>
          </w:tcPr>
          <w:p>
            <w:pPr>
              <w:spacing w:after="0"/>
              <w:rPr>
                <w:sz w:val="1"/>
                <w:szCs w:val="1"/>
                <w:color w:val="auto"/>
              </w:rPr>
            </w:pPr>
          </w:p>
        </w:tc>
      </w:tr>
      <w:tr>
        <w:trPr>
          <w:trHeight w:val="155"/>
        </w:trPr>
        <w:tc>
          <w:tcPr>
            <w:tcW w:w="4260" w:type="dxa"/>
            <w:vAlign w:val="bottom"/>
            <w:vMerge w:val="continue"/>
          </w:tcPr>
          <w:p>
            <w:pPr>
              <w:spacing w:after="0"/>
              <w:rPr>
                <w:sz w:val="13"/>
                <w:szCs w:val="13"/>
                <w:color w:val="auto"/>
              </w:rPr>
            </w:pPr>
          </w:p>
        </w:tc>
        <w:tc>
          <w:tcPr>
            <w:tcW w:w="160" w:type="dxa"/>
            <w:vAlign w:val="bottom"/>
          </w:tcPr>
          <w:p>
            <w:pPr>
              <w:spacing w:after="0"/>
              <w:rPr>
                <w:sz w:val="13"/>
                <w:szCs w:val="13"/>
                <w:color w:val="auto"/>
              </w:rPr>
            </w:pPr>
          </w:p>
        </w:tc>
        <w:tc>
          <w:tcPr>
            <w:tcW w:w="240" w:type="dxa"/>
            <w:vAlign w:val="bottom"/>
            <w:tcBorders>
              <w:top w:val="single" w:sz="8" w:color="auto"/>
            </w:tcBorders>
          </w:tcPr>
          <w:p>
            <w:pPr>
              <w:spacing w:after="0"/>
              <w:rPr>
                <w:sz w:val="13"/>
                <w:szCs w:val="13"/>
                <w:color w:val="auto"/>
              </w:rPr>
            </w:pPr>
          </w:p>
        </w:tc>
        <w:tc>
          <w:tcPr>
            <w:tcW w:w="1500" w:type="dxa"/>
            <w:vAlign w:val="bottom"/>
            <w:tcBorders>
              <w:top w:val="single" w:sz="8" w:color="auto"/>
            </w:tcBorders>
            <w:gridSpan w:val="2"/>
          </w:tcPr>
          <w:p>
            <w:pPr>
              <w:ind w:left="160"/>
              <w:spacing w:after="0" w:line="155" w:lineRule="exact"/>
              <w:rPr>
                <w:sz w:val="20"/>
                <w:szCs w:val="20"/>
                <w:color w:val="auto"/>
              </w:rPr>
            </w:pPr>
            <w:r>
              <w:rPr>
                <w:rFonts w:ascii="Arial" w:cs="Arial" w:eastAsia="Arial" w:hAnsi="Arial"/>
                <w:sz w:val="14"/>
                <w:szCs w:val="14"/>
                <w:b w:val="1"/>
                <w:bCs w:val="1"/>
                <w:color w:val="auto"/>
              </w:rPr>
              <w:t>Fair Value</w:t>
            </w:r>
          </w:p>
        </w:tc>
        <w:tc>
          <w:tcPr>
            <w:tcW w:w="300" w:type="dxa"/>
            <w:vAlign w:val="bottom"/>
            <w:tcBorders>
              <w:top w:val="single" w:sz="8" w:color="auto"/>
            </w:tcBorders>
          </w:tcPr>
          <w:p>
            <w:pPr>
              <w:spacing w:after="0"/>
              <w:rPr>
                <w:sz w:val="13"/>
                <w:szCs w:val="13"/>
                <w:color w:val="auto"/>
              </w:rPr>
            </w:pPr>
          </w:p>
        </w:tc>
        <w:tc>
          <w:tcPr>
            <w:tcW w:w="1180" w:type="dxa"/>
            <w:vAlign w:val="bottom"/>
            <w:tcBorders>
              <w:top w:val="single" w:sz="8" w:color="auto"/>
            </w:tcBorders>
          </w:tcPr>
          <w:p>
            <w:pPr>
              <w:jc w:val="right"/>
              <w:ind w:right="448"/>
              <w:spacing w:after="0" w:line="155" w:lineRule="exact"/>
              <w:rPr>
                <w:sz w:val="20"/>
                <w:szCs w:val="20"/>
                <w:color w:val="auto"/>
              </w:rPr>
            </w:pPr>
            <w:r>
              <w:rPr>
                <w:rFonts w:ascii="Arial" w:cs="Arial" w:eastAsia="Arial" w:hAnsi="Arial"/>
                <w:sz w:val="14"/>
                <w:szCs w:val="14"/>
                <w:b w:val="1"/>
                <w:bCs w:val="1"/>
                <w:color w:val="auto"/>
              </w:rPr>
              <w:t>Level 1</w:t>
            </w:r>
          </w:p>
        </w:tc>
        <w:tc>
          <w:tcPr>
            <w:tcW w:w="260" w:type="dxa"/>
            <w:vAlign w:val="bottom"/>
            <w:tcBorders>
              <w:top w:val="single" w:sz="8" w:color="auto"/>
            </w:tcBorders>
          </w:tcPr>
          <w:p>
            <w:pPr>
              <w:spacing w:after="0"/>
              <w:rPr>
                <w:sz w:val="13"/>
                <w:szCs w:val="13"/>
                <w:color w:val="auto"/>
              </w:rPr>
            </w:pPr>
          </w:p>
        </w:tc>
        <w:tc>
          <w:tcPr>
            <w:tcW w:w="300" w:type="dxa"/>
            <w:vAlign w:val="bottom"/>
            <w:tcBorders>
              <w:top w:val="single" w:sz="8" w:color="auto"/>
            </w:tcBorders>
          </w:tcPr>
          <w:p>
            <w:pPr>
              <w:spacing w:after="0"/>
              <w:rPr>
                <w:sz w:val="13"/>
                <w:szCs w:val="13"/>
                <w:color w:val="auto"/>
              </w:rPr>
            </w:pPr>
          </w:p>
        </w:tc>
        <w:tc>
          <w:tcPr>
            <w:tcW w:w="1440" w:type="dxa"/>
            <w:vAlign w:val="bottom"/>
            <w:tcBorders>
              <w:top w:val="single" w:sz="8" w:color="auto"/>
            </w:tcBorders>
            <w:gridSpan w:val="2"/>
          </w:tcPr>
          <w:p>
            <w:pPr>
              <w:ind w:left="220"/>
              <w:spacing w:after="0" w:line="155" w:lineRule="exact"/>
              <w:rPr>
                <w:sz w:val="20"/>
                <w:szCs w:val="20"/>
                <w:color w:val="auto"/>
              </w:rPr>
            </w:pPr>
            <w:r>
              <w:rPr>
                <w:rFonts w:ascii="Arial" w:cs="Arial" w:eastAsia="Arial" w:hAnsi="Arial"/>
                <w:sz w:val="14"/>
                <w:szCs w:val="14"/>
                <w:b w:val="1"/>
                <w:bCs w:val="1"/>
                <w:color w:val="auto"/>
              </w:rPr>
              <w:t>Level 2</w:t>
            </w:r>
          </w:p>
        </w:tc>
        <w:tc>
          <w:tcPr>
            <w:tcW w:w="300" w:type="dxa"/>
            <w:vAlign w:val="bottom"/>
            <w:tcBorders>
              <w:top w:val="single" w:sz="8" w:color="auto"/>
            </w:tcBorders>
          </w:tcPr>
          <w:p>
            <w:pPr>
              <w:spacing w:after="0"/>
              <w:rPr>
                <w:sz w:val="13"/>
                <w:szCs w:val="13"/>
                <w:color w:val="auto"/>
              </w:rPr>
            </w:pPr>
          </w:p>
        </w:tc>
        <w:tc>
          <w:tcPr>
            <w:tcW w:w="1180" w:type="dxa"/>
            <w:vAlign w:val="bottom"/>
            <w:tcBorders>
              <w:top w:val="single" w:sz="8" w:color="auto"/>
            </w:tcBorders>
          </w:tcPr>
          <w:p>
            <w:pPr>
              <w:jc w:val="right"/>
              <w:ind w:right="448"/>
              <w:spacing w:after="0" w:line="155" w:lineRule="exact"/>
              <w:rPr>
                <w:sz w:val="20"/>
                <w:szCs w:val="20"/>
                <w:color w:val="auto"/>
              </w:rPr>
            </w:pPr>
            <w:r>
              <w:rPr>
                <w:rFonts w:ascii="Arial" w:cs="Arial" w:eastAsia="Arial" w:hAnsi="Arial"/>
                <w:sz w:val="14"/>
                <w:szCs w:val="14"/>
                <w:b w:val="1"/>
                <w:bCs w:val="1"/>
                <w:color w:val="auto"/>
              </w:rPr>
              <w:t>Level 3</w:t>
            </w:r>
          </w:p>
        </w:tc>
        <w:tc>
          <w:tcPr>
            <w:tcW w:w="1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6"/>
        </w:trPr>
        <w:tc>
          <w:tcPr>
            <w:tcW w:w="4260" w:type="dxa"/>
            <w:vAlign w:val="bottom"/>
            <w:tcBorders>
              <w:top w:val="single" w:sz="8" w:color="auto"/>
            </w:tcBorders>
            <w:shd w:val="clear" w:color="auto" w:fill="CCECFF"/>
          </w:tcPr>
          <w:p>
            <w:pPr>
              <w:spacing w:after="0" w:line="155" w:lineRule="exact"/>
              <w:rPr>
                <w:sz w:val="20"/>
                <w:szCs w:val="20"/>
                <w:color w:val="auto"/>
              </w:rPr>
            </w:pPr>
            <w:r>
              <w:rPr>
                <w:rFonts w:ascii="Arial" w:cs="Arial" w:eastAsia="Arial" w:hAnsi="Arial"/>
                <w:sz w:val="14"/>
                <w:szCs w:val="14"/>
                <w:color w:val="auto"/>
              </w:rPr>
              <w:t>Debt investments</w:t>
            </w:r>
          </w:p>
        </w:tc>
        <w:tc>
          <w:tcPr>
            <w:tcW w:w="160" w:type="dxa"/>
            <w:vAlign w:val="bottom"/>
            <w:tcBorders>
              <w:top w:val="single" w:sz="8" w:color="CCECFF"/>
            </w:tcBorders>
            <w:shd w:val="clear" w:color="auto" w:fill="CCECFF"/>
          </w:tcPr>
          <w:p>
            <w:pPr>
              <w:spacing w:after="0"/>
              <w:rPr>
                <w:sz w:val="13"/>
                <w:szCs w:val="13"/>
                <w:color w:val="auto"/>
              </w:rPr>
            </w:pPr>
          </w:p>
        </w:tc>
        <w:tc>
          <w:tcPr>
            <w:tcW w:w="240" w:type="dxa"/>
            <w:vAlign w:val="bottom"/>
            <w:tcBorders>
              <w:top w:val="single" w:sz="8" w:color="auto"/>
            </w:tcBorders>
            <w:shd w:val="clear" w:color="auto" w:fill="CCECFF"/>
          </w:tcPr>
          <w:p>
            <w:pPr>
              <w:jc w:val="right"/>
              <w:ind w:right="88"/>
              <w:spacing w:after="0" w:line="155" w:lineRule="exact"/>
              <w:rPr>
                <w:sz w:val="20"/>
                <w:szCs w:val="20"/>
                <w:color w:val="auto"/>
              </w:rPr>
            </w:pPr>
            <w:r>
              <w:rPr>
                <w:rFonts w:ascii="Arial" w:cs="Arial" w:eastAsia="Arial" w:hAnsi="Arial"/>
                <w:sz w:val="14"/>
                <w:szCs w:val="14"/>
                <w:color w:val="auto"/>
                <w:w w:val="76"/>
              </w:rPr>
              <w:t>$</w:t>
            </w:r>
          </w:p>
        </w:tc>
        <w:tc>
          <w:tcPr>
            <w:tcW w:w="1240" w:type="dxa"/>
            <w:vAlign w:val="bottom"/>
            <w:tcBorders>
              <w:top w:val="single" w:sz="8" w:color="auto"/>
            </w:tcBorders>
            <w:shd w:val="clear" w:color="auto" w:fill="CCECFF"/>
          </w:tcPr>
          <w:p>
            <w:pPr>
              <w:jc w:val="right"/>
              <w:spacing w:after="0" w:line="155" w:lineRule="exact"/>
              <w:rPr>
                <w:sz w:val="20"/>
                <w:szCs w:val="20"/>
                <w:color w:val="auto"/>
              </w:rPr>
            </w:pPr>
            <w:r>
              <w:rPr>
                <w:rFonts w:ascii="Arial" w:cs="Arial" w:eastAsia="Arial" w:hAnsi="Arial"/>
                <w:sz w:val="14"/>
                <w:szCs w:val="14"/>
                <w:color w:val="auto"/>
              </w:rPr>
              <w:t>970,411,228</w:t>
            </w:r>
          </w:p>
        </w:tc>
        <w:tc>
          <w:tcPr>
            <w:tcW w:w="260" w:type="dxa"/>
            <w:vAlign w:val="bottom"/>
            <w:tcBorders>
              <w:top w:val="single" w:sz="8" w:color="CCECFF"/>
            </w:tcBorders>
            <w:shd w:val="clear" w:color="auto" w:fill="CCECFF"/>
          </w:tcPr>
          <w:p>
            <w:pPr>
              <w:spacing w:after="0"/>
              <w:rPr>
                <w:sz w:val="13"/>
                <w:szCs w:val="13"/>
                <w:color w:val="auto"/>
              </w:rPr>
            </w:pPr>
          </w:p>
        </w:tc>
        <w:tc>
          <w:tcPr>
            <w:tcW w:w="300" w:type="dxa"/>
            <w:vAlign w:val="bottom"/>
            <w:tcBorders>
              <w:top w:val="single" w:sz="8" w:color="auto"/>
            </w:tcBorders>
            <w:shd w:val="clear" w:color="auto" w:fill="CCECFF"/>
          </w:tcPr>
          <w:p>
            <w:pPr>
              <w:jc w:val="right"/>
              <w:ind w:right="148"/>
              <w:spacing w:after="0" w:line="155" w:lineRule="exact"/>
              <w:rPr>
                <w:sz w:val="20"/>
                <w:szCs w:val="20"/>
                <w:color w:val="auto"/>
              </w:rPr>
            </w:pPr>
            <w:r>
              <w:rPr>
                <w:rFonts w:ascii="Arial" w:cs="Arial" w:eastAsia="Arial" w:hAnsi="Arial"/>
                <w:sz w:val="14"/>
                <w:szCs w:val="14"/>
                <w:color w:val="auto"/>
                <w:w w:val="76"/>
              </w:rPr>
              <w:t>$</w:t>
            </w:r>
          </w:p>
        </w:tc>
        <w:tc>
          <w:tcPr>
            <w:tcW w:w="1180" w:type="dxa"/>
            <w:vAlign w:val="bottom"/>
            <w:tcBorders>
              <w:top w:val="single" w:sz="8" w:color="auto"/>
            </w:tcBorders>
            <w:shd w:val="clear" w:color="auto" w:fill="CCECFF"/>
          </w:tcPr>
          <w:p>
            <w:pPr>
              <w:jc w:val="right"/>
              <w:spacing w:after="0" w:line="155" w:lineRule="exact"/>
              <w:rPr>
                <w:sz w:val="20"/>
                <w:szCs w:val="20"/>
                <w:color w:val="auto"/>
              </w:rPr>
            </w:pPr>
            <w:r>
              <w:rPr>
                <w:rFonts w:ascii="Arial" w:cs="Arial" w:eastAsia="Arial" w:hAnsi="Arial"/>
                <w:sz w:val="14"/>
                <w:szCs w:val="14"/>
                <w:color w:val="auto"/>
              </w:rPr>
              <w:t>—</w:t>
            </w:r>
          </w:p>
        </w:tc>
        <w:tc>
          <w:tcPr>
            <w:tcW w:w="260" w:type="dxa"/>
            <w:vAlign w:val="bottom"/>
            <w:tcBorders>
              <w:top w:val="single" w:sz="8" w:color="CCECFF"/>
            </w:tcBorders>
            <w:shd w:val="clear" w:color="auto" w:fill="CCECFF"/>
          </w:tcPr>
          <w:p>
            <w:pPr>
              <w:spacing w:after="0"/>
              <w:rPr>
                <w:sz w:val="13"/>
                <w:szCs w:val="13"/>
                <w:color w:val="auto"/>
              </w:rPr>
            </w:pPr>
          </w:p>
        </w:tc>
        <w:tc>
          <w:tcPr>
            <w:tcW w:w="300" w:type="dxa"/>
            <w:vAlign w:val="bottom"/>
            <w:tcBorders>
              <w:top w:val="single" w:sz="8" w:color="auto"/>
            </w:tcBorders>
            <w:shd w:val="clear" w:color="auto" w:fill="CCECFF"/>
          </w:tcPr>
          <w:p>
            <w:pPr>
              <w:jc w:val="right"/>
              <w:ind w:right="148"/>
              <w:spacing w:after="0" w:line="155" w:lineRule="exact"/>
              <w:rPr>
                <w:sz w:val="20"/>
                <w:szCs w:val="20"/>
                <w:color w:val="auto"/>
              </w:rPr>
            </w:pPr>
            <w:r>
              <w:rPr>
                <w:rFonts w:ascii="Arial" w:cs="Arial" w:eastAsia="Arial" w:hAnsi="Arial"/>
                <w:sz w:val="14"/>
                <w:szCs w:val="14"/>
                <w:color w:val="auto"/>
                <w:w w:val="76"/>
              </w:rPr>
              <w:t>$</w:t>
            </w:r>
          </w:p>
        </w:tc>
        <w:tc>
          <w:tcPr>
            <w:tcW w:w="1180" w:type="dxa"/>
            <w:vAlign w:val="bottom"/>
            <w:tcBorders>
              <w:top w:val="single" w:sz="8" w:color="auto"/>
            </w:tcBorders>
            <w:shd w:val="clear" w:color="auto" w:fill="CCECFF"/>
          </w:tcPr>
          <w:p>
            <w:pPr>
              <w:jc w:val="right"/>
              <w:spacing w:after="0" w:line="155" w:lineRule="exact"/>
              <w:rPr>
                <w:sz w:val="20"/>
                <w:szCs w:val="20"/>
                <w:color w:val="auto"/>
              </w:rPr>
            </w:pPr>
            <w:r>
              <w:rPr>
                <w:rFonts w:ascii="Arial" w:cs="Arial" w:eastAsia="Arial" w:hAnsi="Arial"/>
                <w:sz w:val="14"/>
                <w:szCs w:val="14"/>
                <w:color w:val="auto"/>
              </w:rPr>
              <w:t>—</w:t>
            </w:r>
          </w:p>
        </w:tc>
        <w:tc>
          <w:tcPr>
            <w:tcW w:w="260" w:type="dxa"/>
            <w:vAlign w:val="bottom"/>
            <w:tcBorders>
              <w:top w:val="single" w:sz="8" w:color="CCECFF"/>
            </w:tcBorders>
            <w:shd w:val="clear" w:color="auto" w:fill="CCECFF"/>
          </w:tcPr>
          <w:p>
            <w:pPr>
              <w:spacing w:after="0"/>
              <w:rPr>
                <w:sz w:val="13"/>
                <w:szCs w:val="13"/>
                <w:color w:val="auto"/>
              </w:rPr>
            </w:pPr>
          </w:p>
        </w:tc>
        <w:tc>
          <w:tcPr>
            <w:tcW w:w="300" w:type="dxa"/>
            <w:vAlign w:val="bottom"/>
            <w:tcBorders>
              <w:top w:val="single" w:sz="8" w:color="auto"/>
            </w:tcBorders>
            <w:shd w:val="clear" w:color="auto" w:fill="CCECFF"/>
          </w:tcPr>
          <w:p>
            <w:pPr>
              <w:jc w:val="right"/>
              <w:ind w:right="148"/>
              <w:spacing w:after="0" w:line="155" w:lineRule="exact"/>
              <w:rPr>
                <w:sz w:val="20"/>
                <w:szCs w:val="20"/>
                <w:color w:val="auto"/>
              </w:rPr>
            </w:pPr>
            <w:r>
              <w:rPr>
                <w:rFonts w:ascii="Arial" w:cs="Arial" w:eastAsia="Arial" w:hAnsi="Arial"/>
                <w:sz w:val="14"/>
                <w:szCs w:val="14"/>
                <w:color w:val="auto"/>
                <w:w w:val="76"/>
              </w:rPr>
              <w:t>$</w:t>
            </w:r>
          </w:p>
        </w:tc>
        <w:tc>
          <w:tcPr>
            <w:tcW w:w="1180" w:type="dxa"/>
            <w:vAlign w:val="bottom"/>
            <w:tcBorders>
              <w:top w:val="single" w:sz="8" w:color="auto"/>
            </w:tcBorders>
            <w:shd w:val="clear" w:color="auto" w:fill="CCECFF"/>
          </w:tcPr>
          <w:p>
            <w:pPr>
              <w:jc w:val="right"/>
              <w:spacing w:after="0" w:line="155" w:lineRule="exact"/>
              <w:rPr>
                <w:sz w:val="20"/>
                <w:szCs w:val="20"/>
                <w:color w:val="auto"/>
              </w:rPr>
            </w:pPr>
            <w:r>
              <w:rPr>
                <w:rFonts w:ascii="Arial" w:cs="Arial" w:eastAsia="Arial" w:hAnsi="Arial"/>
                <w:sz w:val="14"/>
                <w:szCs w:val="14"/>
                <w:color w:val="auto"/>
              </w:rPr>
              <w:t>970,411,228</w:t>
            </w:r>
          </w:p>
        </w:tc>
        <w:tc>
          <w:tcPr>
            <w:tcW w:w="120" w:type="dxa"/>
            <w:vAlign w:val="bottom"/>
            <w:tcBorders>
              <w:top w:val="single" w:sz="8" w:color="CCECFF"/>
            </w:tcBorders>
            <w:shd w:val="clear" w:color="auto" w:fill="CCECFF"/>
          </w:tcPr>
          <w:p>
            <w:pPr>
              <w:spacing w:after="0"/>
              <w:rPr>
                <w:sz w:val="13"/>
                <w:szCs w:val="13"/>
                <w:color w:val="auto"/>
              </w:rPr>
            </w:pPr>
          </w:p>
        </w:tc>
        <w:tc>
          <w:tcPr>
            <w:tcW w:w="0" w:type="dxa"/>
            <w:vAlign w:val="bottom"/>
          </w:tcPr>
          <w:p>
            <w:pPr>
              <w:spacing w:after="0"/>
              <w:rPr>
                <w:sz w:val="1"/>
                <w:szCs w:val="1"/>
                <w:color w:val="auto"/>
              </w:rPr>
            </w:pPr>
          </w:p>
        </w:tc>
      </w:tr>
      <w:tr>
        <w:trPr>
          <w:trHeight w:val="162"/>
        </w:trPr>
        <w:tc>
          <w:tcPr>
            <w:tcW w:w="4260" w:type="dxa"/>
            <w:vAlign w:val="bottom"/>
          </w:tcPr>
          <w:p>
            <w:pPr>
              <w:spacing w:after="0"/>
              <w:rPr>
                <w:sz w:val="20"/>
                <w:szCs w:val="20"/>
                <w:color w:val="auto"/>
              </w:rPr>
            </w:pPr>
            <w:r>
              <w:rPr>
                <w:rFonts w:ascii="Arial" w:cs="Arial" w:eastAsia="Arial" w:hAnsi="Arial"/>
                <w:sz w:val="14"/>
                <w:szCs w:val="14"/>
                <w:color w:val="auto"/>
              </w:rPr>
              <w:t>Equity investments</w:t>
            </w:r>
          </w:p>
        </w:tc>
        <w:tc>
          <w:tcPr>
            <w:tcW w:w="1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240" w:type="dxa"/>
            <w:vAlign w:val="bottom"/>
          </w:tcPr>
          <w:p>
            <w:pPr>
              <w:jc w:val="right"/>
              <w:spacing w:after="0"/>
              <w:rPr>
                <w:sz w:val="20"/>
                <w:szCs w:val="20"/>
                <w:color w:val="auto"/>
              </w:rPr>
            </w:pPr>
            <w:r>
              <w:rPr>
                <w:rFonts w:ascii="Arial" w:cs="Arial" w:eastAsia="Arial" w:hAnsi="Arial"/>
                <w:sz w:val="14"/>
                <w:szCs w:val="14"/>
                <w:color w:val="auto"/>
              </w:rPr>
              <w:t>128,513,032</w:t>
            </w:r>
          </w:p>
        </w:tc>
        <w:tc>
          <w:tcPr>
            <w:tcW w:w="2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180" w:type="dxa"/>
            <w:vAlign w:val="bottom"/>
          </w:tcPr>
          <w:p>
            <w:pPr>
              <w:jc w:val="right"/>
              <w:spacing w:after="0"/>
              <w:rPr>
                <w:sz w:val="20"/>
                <w:szCs w:val="20"/>
                <w:color w:val="auto"/>
              </w:rPr>
            </w:pPr>
            <w:r>
              <w:rPr>
                <w:rFonts w:ascii="Arial" w:cs="Arial" w:eastAsia="Arial" w:hAnsi="Arial"/>
                <w:sz w:val="14"/>
                <w:szCs w:val="14"/>
                <w:color w:val="auto"/>
              </w:rPr>
              <w:t>1,194,210</w:t>
            </w:r>
          </w:p>
        </w:tc>
        <w:tc>
          <w:tcPr>
            <w:tcW w:w="2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440" w:type="dxa"/>
            <w:vAlign w:val="bottom"/>
            <w:gridSpan w:val="2"/>
          </w:tcPr>
          <w:p>
            <w:pPr>
              <w:jc w:val="right"/>
              <w:ind w:right="280"/>
              <w:spacing w:after="0"/>
              <w:rPr>
                <w:sz w:val="20"/>
                <w:szCs w:val="20"/>
                <w:color w:val="auto"/>
              </w:rPr>
            </w:pPr>
            <w:r>
              <w:rPr>
                <w:rFonts w:ascii="Arial" w:cs="Arial" w:eastAsia="Arial" w:hAnsi="Arial"/>
                <w:sz w:val="14"/>
                <w:szCs w:val="14"/>
                <w:color w:val="auto"/>
              </w:rPr>
              <w:t>—</w:t>
            </w:r>
          </w:p>
        </w:tc>
        <w:tc>
          <w:tcPr>
            <w:tcW w:w="300" w:type="dxa"/>
            <w:vAlign w:val="bottom"/>
          </w:tcPr>
          <w:p>
            <w:pPr>
              <w:spacing w:after="0"/>
              <w:rPr>
                <w:sz w:val="14"/>
                <w:szCs w:val="14"/>
                <w:color w:val="auto"/>
              </w:rPr>
            </w:pPr>
          </w:p>
        </w:tc>
        <w:tc>
          <w:tcPr>
            <w:tcW w:w="1180" w:type="dxa"/>
            <w:vAlign w:val="bottom"/>
          </w:tcPr>
          <w:p>
            <w:pPr>
              <w:jc w:val="right"/>
              <w:spacing w:after="0"/>
              <w:rPr>
                <w:sz w:val="20"/>
                <w:szCs w:val="20"/>
                <w:color w:val="auto"/>
              </w:rPr>
            </w:pPr>
            <w:r>
              <w:rPr>
                <w:rFonts w:ascii="Arial" w:cs="Arial" w:eastAsia="Arial" w:hAnsi="Arial"/>
                <w:sz w:val="14"/>
                <w:szCs w:val="14"/>
                <w:color w:val="auto"/>
              </w:rPr>
              <w:t>127,318,822</w:t>
            </w: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6"/>
        </w:trPr>
        <w:tc>
          <w:tcPr>
            <w:tcW w:w="4260" w:type="dxa"/>
            <w:vAlign w:val="bottom"/>
            <w:tcBorders>
              <w:top w:val="single" w:sz="8" w:color="CCECFF"/>
            </w:tcBorders>
            <w:shd w:val="clear" w:color="auto" w:fill="CCECFF"/>
          </w:tcPr>
          <w:p>
            <w:pPr>
              <w:ind w:left="500"/>
              <w:spacing w:after="0" w:line="155" w:lineRule="exact"/>
              <w:rPr>
                <w:sz w:val="20"/>
                <w:szCs w:val="20"/>
                <w:color w:val="auto"/>
              </w:rPr>
            </w:pPr>
            <w:r>
              <w:rPr>
                <w:rFonts w:ascii="Arial" w:cs="Arial" w:eastAsia="Arial" w:hAnsi="Arial"/>
                <w:sz w:val="14"/>
                <w:szCs w:val="14"/>
                <w:color w:val="auto"/>
              </w:rPr>
              <w:t>Total investments</w:t>
            </w:r>
          </w:p>
        </w:tc>
        <w:tc>
          <w:tcPr>
            <w:tcW w:w="160" w:type="dxa"/>
            <w:vAlign w:val="bottom"/>
            <w:tcBorders>
              <w:top w:val="single" w:sz="8" w:color="CCECFF"/>
            </w:tcBorders>
            <w:shd w:val="clear" w:color="auto" w:fill="CCECFF"/>
          </w:tcPr>
          <w:p>
            <w:pPr>
              <w:spacing w:after="0"/>
              <w:rPr>
                <w:sz w:val="13"/>
                <w:szCs w:val="13"/>
                <w:color w:val="auto"/>
              </w:rPr>
            </w:pPr>
          </w:p>
        </w:tc>
        <w:tc>
          <w:tcPr>
            <w:tcW w:w="240" w:type="dxa"/>
            <w:vAlign w:val="bottom"/>
            <w:tcBorders>
              <w:top w:val="single" w:sz="8" w:color="auto"/>
            </w:tcBorders>
            <w:shd w:val="clear" w:color="auto" w:fill="CCECFF"/>
          </w:tcPr>
          <w:p>
            <w:pPr>
              <w:spacing w:after="0"/>
              <w:rPr>
                <w:sz w:val="13"/>
                <w:szCs w:val="13"/>
                <w:color w:val="auto"/>
              </w:rPr>
            </w:pPr>
          </w:p>
        </w:tc>
        <w:tc>
          <w:tcPr>
            <w:tcW w:w="1240" w:type="dxa"/>
            <w:vAlign w:val="bottom"/>
            <w:tcBorders>
              <w:top w:val="single" w:sz="8" w:color="auto"/>
            </w:tcBorders>
            <w:shd w:val="clear" w:color="auto" w:fill="CCECFF"/>
          </w:tcPr>
          <w:p>
            <w:pPr>
              <w:jc w:val="right"/>
              <w:spacing w:after="0" w:line="155" w:lineRule="exact"/>
              <w:rPr>
                <w:sz w:val="20"/>
                <w:szCs w:val="20"/>
                <w:color w:val="auto"/>
              </w:rPr>
            </w:pPr>
            <w:r>
              <w:rPr>
                <w:rFonts w:ascii="Arial" w:cs="Arial" w:eastAsia="Arial" w:hAnsi="Arial"/>
                <w:sz w:val="14"/>
                <w:szCs w:val="14"/>
                <w:color w:val="auto"/>
              </w:rPr>
              <w:t>1,098,924,260</w:t>
            </w:r>
          </w:p>
        </w:tc>
        <w:tc>
          <w:tcPr>
            <w:tcW w:w="260" w:type="dxa"/>
            <w:vAlign w:val="bottom"/>
            <w:tcBorders>
              <w:top w:val="single" w:sz="8" w:color="CCECFF"/>
            </w:tcBorders>
            <w:shd w:val="clear" w:color="auto" w:fill="CCECFF"/>
          </w:tcPr>
          <w:p>
            <w:pPr>
              <w:spacing w:after="0"/>
              <w:rPr>
                <w:sz w:val="13"/>
                <w:szCs w:val="13"/>
                <w:color w:val="auto"/>
              </w:rPr>
            </w:pPr>
          </w:p>
        </w:tc>
        <w:tc>
          <w:tcPr>
            <w:tcW w:w="300" w:type="dxa"/>
            <w:vAlign w:val="bottom"/>
            <w:tcBorders>
              <w:top w:val="single" w:sz="8" w:color="auto"/>
            </w:tcBorders>
            <w:shd w:val="clear" w:color="auto" w:fill="CCECFF"/>
          </w:tcPr>
          <w:p>
            <w:pPr>
              <w:spacing w:after="0"/>
              <w:rPr>
                <w:sz w:val="13"/>
                <w:szCs w:val="13"/>
                <w:color w:val="auto"/>
              </w:rPr>
            </w:pPr>
          </w:p>
        </w:tc>
        <w:tc>
          <w:tcPr>
            <w:tcW w:w="1180" w:type="dxa"/>
            <w:vAlign w:val="bottom"/>
            <w:tcBorders>
              <w:top w:val="single" w:sz="8" w:color="auto"/>
            </w:tcBorders>
            <w:shd w:val="clear" w:color="auto" w:fill="CCECFF"/>
          </w:tcPr>
          <w:p>
            <w:pPr>
              <w:jc w:val="right"/>
              <w:spacing w:after="0" w:line="155" w:lineRule="exact"/>
              <w:rPr>
                <w:sz w:val="20"/>
                <w:szCs w:val="20"/>
                <w:color w:val="auto"/>
              </w:rPr>
            </w:pPr>
            <w:r>
              <w:rPr>
                <w:rFonts w:ascii="Arial" w:cs="Arial" w:eastAsia="Arial" w:hAnsi="Arial"/>
                <w:sz w:val="14"/>
                <w:szCs w:val="14"/>
                <w:color w:val="auto"/>
              </w:rPr>
              <w:t>1,194,210</w:t>
            </w:r>
          </w:p>
        </w:tc>
        <w:tc>
          <w:tcPr>
            <w:tcW w:w="260" w:type="dxa"/>
            <w:vAlign w:val="bottom"/>
            <w:tcBorders>
              <w:top w:val="single" w:sz="8" w:color="CCECFF"/>
            </w:tcBorders>
            <w:shd w:val="clear" w:color="auto" w:fill="CCECFF"/>
          </w:tcPr>
          <w:p>
            <w:pPr>
              <w:spacing w:after="0"/>
              <w:rPr>
                <w:sz w:val="13"/>
                <w:szCs w:val="13"/>
                <w:color w:val="auto"/>
              </w:rPr>
            </w:pPr>
          </w:p>
        </w:tc>
        <w:tc>
          <w:tcPr>
            <w:tcW w:w="300" w:type="dxa"/>
            <w:vAlign w:val="bottom"/>
            <w:tcBorders>
              <w:top w:val="single" w:sz="8" w:color="auto"/>
            </w:tcBorders>
            <w:shd w:val="clear" w:color="auto" w:fill="CCECFF"/>
          </w:tcPr>
          <w:p>
            <w:pPr>
              <w:spacing w:after="0"/>
              <w:rPr>
                <w:sz w:val="13"/>
                <w:szCs w:val="13"/>
                <w:color w:val="auto"/>
              </w:rPr>
            </w:pPr>
          </w:p>
        </w:tc>
        <w:tc>
          <w:tcPr>
            <w:tcW w:w="1180" w:type="dxa"/>
            <w:vAlign w:val="bottom"/>
            <w:tcBorders>
              <w:top w:val="single" w:sz="8" w:color="auto"/>
            </w:tcBorders>
            <w:shd w:val="clear" w:color="auto" w:fill="CCECFF"/>
          </w:tcPr>
          <w:p>
            <w:pPr>
              <w:jc w:val="right"/>
              <w:spacing w:after="0" w:line="155" w:lineRule="exact"/>
              <w:rPr>
                <w:sz w:val="20"/>
                <w:szCs w:val="20"/>
                <w:color w:val="auto"/>
              </w:rPr>
            </w:pPr>
            <w:r>
              <w:rPr>
                <w:rFonts w:ascii="Arial" w:cs="Arial" w:eastAsia="Arial" w:hAnsi="Arial"/>
                <w:sz w:val="14"/>
                <w:szCs w:val="14"/>
                <w:color w:val="auto"/>
              </w:rPr>
              <w:t>—</w:t>
            </w:r>
          </w:p>
        </w:tc>
        <w:tc>
          <w:tcPr>
            <w:tcW w:w="260" w:type="dxa"/>
            <w:vAlign w:val="bottom"/>
            <w:tcBorders>
              <w:top w:val="single" w:sz="8" w:color="CCECFF"/>
            </w:tcBorders>
            <w:shd w:val="clear" w:color="auto" w:fill="CCECFF"/>
          </w:tcPr>
          <w:p>
            <w:pPr>
              <w:spacing w:after="0"/>
              <w:rPr>
                <w:sz w:val="13"/>
                <w:szCs w:val="13"/>
                <w:color w:val="auto"/>
              </w:rPr>
            </w:pPr>
          </w:p>
        </w:tc>
        <w:tc>
          <w:tcPr>
            <w:tcW w:w="300" w:type="dxa"/>
            <w:vAlign w:val="bottom"/>
            <w:tcBorders>
              <w:top w:val="single" w:sz="8" w:color="auto"/>
            </w:tcBorders>
            <w:shd w:val="clear" w:color="auto" w:fill="CCECFF"/>
          </w:tcPr>
          <w:p>
            <w:pPr>
              <w:spacing w:after="0"/>
              <w:rPr>
                <w:sz w:val="13"/>
                <w:szCs w:val="13"/>
                <w:color w:val="auto"/>
              </w:rPr>
            </w:pPr>
          </w:p>
        </w:tc>
        <w:tc>
          <w:tcPr>
            <w:tcW w:w="1180" w:type="dxa"/>
            <w:vAlign w:val="bottom"/>
            <w:tcBorders>
              <w:top w:val="single" w:sz="8" w:color="auto"/>
            </w:tcBorders>
            <w:shd w:val="clear" w:color="auto" w:fill="CCECFF"/>
          </w:tcPr>
          <w:p>
            <w:pPr>
              <w:jc w:val="right"/>
              <w:spacing w:after="0" w:line="155" w:lineRule="exact"/>
              <w:rPr>
                <w:sz w:val="20"/>
                <w:szCs w:val="20"/>
                <w:color w:val="auto"/>
              </w:rPr>
            </w:pPr>
            <w:r>
              <w:rPr>
                <w:rFonts w:ascii="Arial" w:cs="Arial" w:eastAsia="Arial" w:hAnsi="Arial"/>
                <w:sz w:val="14"/>
                <w:szCs w:val="14"/>
                <w:color w:val="auto"/>
              </w:rPr>
              <w:t>1,097,730,050</w:t>
            </w:r>
          </w:p>
        </w:tc>
        <w:tc>
          <w:tcPr>
            <w:tcW w:w="120" w:type="dxa"/>
            <w:vAlign w:val="bottom"/>
            <w:tcBorders>
              <w:top w:val="single" w:sz="8" w:color="CCECFF"/>
            </w:tcBorders>
            <w:shd w:val="clear" w:color="auto" w:fill="CCECFF"/>
          </w:tcPr>
          <w:p>
            <w:pPr>
              <w:spacing w:after="0"/>
              <w:rPr>
                <w:sz w:val="13"/>
                <w:szCs w:val="13"/>
                <w:color w:val="auto"/>
              </w:rPr>
            </w:pPr>
          </w:p>
        </w:tc>
        <w:tc>
          <w:tcPr>
            <w:tcW w:w="0" w:type="dxa"/>
            <w:vAlign w:val="bottom"/>
          </w:tcPr>
          <w:p>
            <w:pPr>
              <w:spacing w:after="0"/>
              <w:rPr>
                <w:sz w:val="1"/>
                <w:szCs w:val="1"/>
                <w:color w:val="auto"/>
              </w:rPr>
            </w:pPr>
          </w:p>
        </w:tc>
      </w:tr>
      <w:tr>
        <w:trPr>
          <w:trHeight w:val="162"/>
        </w:trPr>
        <w:tc>
          <w:tcPr>
            <w:tcW w:w="4260" w:type="dxa"/>
            <w:vAlign w:val="bottom"/>
          </w:tcPr>
          <w:p>
            <w:pPr>
              <w:spacing w:after="0"/>
              <w:rPr>
                <w:sz w:val="20"/>
                <w:szCs w:val="20"/>
                <w:color w:val="auto"/>
              </w:rPr>
            </w:pPr>
            <w:r>
              <w:rPr>
                <w:rFonts w:ascii="Arial" w:cs="Arial" w:eastAsia="Arial" w:hAnsi="Arial"/>
                <w:sz w:val="14"/>
                <w:szCs w:val="14"/>
                <w:color w:val="auto"/>
              </w:rPr>
              <w:t>Cash and cash equivalents</w:t>
            </w:r>
          </w:p>
        </w:tc>
        <w:tc>
          <w:tcPr>
            <w:tcW w:w="1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240" w:type="dxa"/>
            <w:vAlign w:val="bottom"/>
          </w:tcPr>
          <w:p>
            <w:pPr>
              <w:jc w:val="right"/>
              <w:spacing w:after="0"/>
              <w:rPr>
                <w:sz w:val="20"/>
                <w:szCs w:val="20"/>
                <w:color w:val="auto"/>
              </w:rPr>
            </w:pPr>
            <w:r>
              <w:rPr>
                <w:rFonts w:ascii="Arial" w:cs="Arial" w:eastAsia="Arial" w:hAnsi="Arial"/>
                <w:sz w:val="14"/>
                <w:szCs w:val="14"/>
                <w:color w:val="auto"/>
              </w:rPr>
              <w:t>103,196,132</w:t>
            </w:r>
          </w:p>
        </w:tc>
        <w:tc>
          <w:tcPr>
            <w:tcW w:w="2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180" w:type="dxa"/>
            <w:vAlign w:val="bottom"/>
          </w:tcPr>
          <w:p>
            <w:pPr>
              <w:jc w:val="right"/>
              <w:spacing w:after="0"/>
              <w:rPr>
                <w:sz w:val="20"/>
                <w:szCs w:val="20"/>
                <w:color w:val="auto"/>
              </w:rPr>
            </w:pPr>
            <w:r>
              <w:rPr>
                <w:rFonts w:ascii="Arial" w:cs="Arial" w:eastAsia="Arial" w:hAnsi="Arial"/>
                <w:sz w:val="14"/>
                <w:szCs w:val="14"/>
                <w:color w:val="auto"/>
              </w:rPr>
              <w:t>103,196,132</w:t>
            </w:r>
          </w:p>
        </w:tc>
        <w:tc>
          <w:tcPr>
            <w:tcW w:w="2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440" w:type="dxa"/>
            <w:vAlign w:val="bottom"/>
            <w:gridSpan w:val="2"/>
          </w:tcPr>
          <w:p>
            <w:pPr>
              <w:jc w:val="right"/>
              <w:ind w:right="280"/>
              <w:spacing w:after="0"/>
              <w:rPr>
                <w:sz w:val="20"/>
                <w:szCs w:val="20"/>
                <w:color w:val="auto"/>
              </w:rPr>
            </w:pPr>
            <w:r>
              <w:rPr>
                <w:rFonts w:ascii="Arial" w:cs="Arial" w:eastAsia="Arial" w:hAnsi="Arial"/>
                <w:sz w:val="14"/>
                <w:szCs w:val="14"/>
                <w:color w:val="auto"/>
              </w:rPr>
              <w:t>—</w:t>
            </w:r>
          </w:p>
        </w:tc>
        <w:tc>
          <w:tcPr>
            <w:tcW w:w="300" w:type="dxa"/>
            <w:vAlign w:val="bottom"/>
          </w:tcPr>
          <w:p>
            <w:pPr>
              <w:spacing w:after="0"/>
              <w:rPr>
                <w:sz w:val="14"/>
                <w:szCs w:val="14"/>
                <w:color w:val="auto"/>
              </w:rPr>
            </w:pPr>
          </w:p>
        </w:tc>
        <w:tc>
          <w:tcPr>
            <w:tcW w:w="130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56"/>
        </w:trPr>
        <w:tc>
          <w:tcPr>
            <w:tcW w:w="4260" w:type="dxa"/>
            <w:vAlign w:val="bottom"/>
            <w:tcBorders>
              <w:top w:val="single" w:sz="8" w:color="CCECFF"/>
              <w:bottom w:val="single" w:sz="8" w:color="CCECFF"/>
            </w:tcBorders>
            <w:shd w:val="clear" w:color="auto" w:fill="CCECFF"/>
          </w:tcPr>
          <w:p>
            <w:pPr>
              <w:ind w:left="500"/>
              <w:spacing w:after="0" w:line="155" w:lineRule="exact"/>
              <w:rPr>
                <w:sz w:val="20"/>
                <w:szCs w:val="20"/>
                <w:color w:val="auto"/>
              </w:rPr>
            </w:pPr>
            <w:r>
              <w:rPr>
                <w:rFonts w:ascii="Arial" w:cs="Arial" w:eastAsia="Arial" w:hAnsi="Arial"/>
                <w:sz w:val="14"/>
                <w:szCs w:val="14"/>
                <w:color w:val="auto"/>
              </w:rPr>
              <w:t>Total investments, cash and cash equivalents</w:t>
            </w:r>
          </w:p>
        </w:tc>
        <w:tc>
          <w:tcPr>
            <w:tcW w:w="160" w:type="dxa"/>
            <w:vAlign w:val="bottom"/>
            <w:tcBorders>
              <w:top w:val="single" w:sz="8" w:color="CCECFF"/>
              <w:bottom w:val="single" w:sz="8" w:color="CCECFF"/>
            </w:tcBorders>
            <w:shd w:val="clear" w:color="auto" w:fill="CCECFF"/>
          </w:tcPr>
          <w:p>
            <w:pPr>
              <w:spacing w:after="0"/>
              <w:rPr>
                <w:sz w:val="13"/>
                <w:szCs w:val="13"/>
                <w:color w:val="auto"/>
              </w:rPr>
            </w:pPr>
          </w:p>
        </w:tc>
        <w:tc>
          <w:tcPr>
            <w:tcW w:w="240" w:type="dxa"/>
            <w:vAlign w:val="bottom"/>
            <w:tcBorders>
              <w:top w:val="single" w:sz="8" w:color="auto"/>
              <w:bottom w:val="single" w:sz="8" w:color="auto"/>
            </w:tcBorders>
            <w:shd w:val="clear" w:color="auto" w:fill="CCECFF"/>
          </w:tcPr>
          <w:p>
            <w:pPr>
              <w:jc w:val="right"/>
              <w:ind w:right="88"/>
              <w:spacing w:after="0" w:line="155" w:lineRule="exact"/>
              <w:rPr>
                <w:sz w:val="20"/>
                <w:szCs w:val="20"/>
                <w:color w:val="auto"/>
              </w:rPr>
            </w:pPr>
            <w:r>
              <w:rPr>
                <w:rFonts w:ascii="Arial" w:cs="Arial" w:eastAsia="Arial" w:hAnsi="Arial"/>
                <w:sz w:val="14"/>
                <w:szCs w:val="14"/>
                <w:color w:val="auto"/>
                <w:w w:val="76"/>
              </w:rPr>
              <w:t>$</w:t>
            </w:r>
          </w:p>
        </w:tc>
        <w:tc>
          <w:tcPr>
            <w:tcW w:w="1240" w:type="dxa"/>
            <w:vAlign w:val="bottom"/>
            <w:tcBorders>
              <w:top w:val="single" w:sz="8" w:color="auto"/>
              <w:bottom w:val="single" w:sz="8" w:color="auto"/>
            </w:tcBorders>
            <w:shd w:val="clear" w:color="auto" w:fill="CCECFF"/>
          </w:tcPr>
          <w:p>
            <w:pPr>
              <w:jc w:val="right"/>
              <w:spacing w:after="0" w:line="155" w:lineRule="exact"/>
              <w:rPr>
                <w:sz w:val="20"/>
                <w:szCs w:val="20"/>
                <w:color w:val="auto"/>
              </w:rPr>
            </w:pPr>
            <w:r>
              <w:rPr>
                <w:rFonts w:ascii="Arial" w:cs="Arial" w:eastAsia="Arial" w:hAnsi="Arial"/>
                <w:sz w:val="14"/>
                <w:szCs w:val="14"/>
                <w:color w:val="auto"/>
              </w:rPr>
              <w:t>1,202,120,392</w:t>
            </w:r>
          </w:p>
        </w:tc>
        <w:tc>
          <w:tcPr>
            <w:tcW w:w="260" w:type="dxa"/>
            <w:vAlign w:val="bottom"/>
            <w:tcBorders>
              <w:top w:val="single" w:sz="8" w:color="CCECFF"/>
              <w:bottom w:val="single" w:sz="8" w:color="CCECFF"/>
            </w:tcBorders>
            <w:shd w:val="clear" w:color="auto" w:fill="CCECFF"/>
          </w:tcPr>
          <w:p>
            <w:pPr>
              <w:spacing w:after="0"/>
              <w:rPr>
                <w:sz w:val="13"/>
                <w:szCs w:val="13"/>
                <w:color w:val="auto"/>
              </w:rPr>
            </w:pPr>
          </w:p>
        </w:tc>
        <w:tc>
          <w:tcPr>
            <w:tcW w:w="300" w:type="dxa"/>
            <w:vAlign w:val="bottom"/>
            <w:tcBorders>
              <w:top w:val="single" w:sz="8" w:color="auto"/>
              <w:bottom w:val="single" w:sz="8" w:color="auto"/>
            </w:tcBorders>
            <w:shd w:val="clear" w:color="auto" w:fill="CCECFF"/>
          </w:tcPr>
          <w:p>
            <w:pPr>
              <w:jc w:val="right"/>
              <w:ind w:right="148"/>
              <w:spacing w:after="0" w:line="155" w:lineRule="exact"/>
              <w:rPr>
                <w:sz w:val="20"/>
                <w:szCs w:val="20"/>
                <w:color w:val="auto"/>
              </w:rPr>
            </w:pPr>
            <w:r>
              <w:rPr>
                <w:rFonts w:ascii="Arial" w:cs="Arial" w:eastAsia="Arial" w:hAnsi="Arial"/>
                <w:sz w:val="14"/>
                <w:szCs w:val="14"/>
                <w:color w:val="auto"/>
                <w:w w:val="76"/>
              </w:rPr>
              <w:t>$</w:t>
            </w:r>
          </w:p>
        </w:tc>
        <w:tc>
          <w:tcPr>
            <w:tcW w:w="1180" w:type="dxa"/>
            <w:vAlign w:val="bottom"/>
            <w:tcBorders>
              <w:top w:val="single" w:sz="8" w:color="auto"/>
              <w:bottom w:val="single" w:sz="8" w:color="auto"/>
            </w:tcBorders>
            <w:shd w:val="clear" w:color="auto" w:fill="CCECFF"/>
          </w:tcPr>
          <w:p>
            <w:pPr>
              <w:jc w:val="right"/>
              <w:spacing w:after="0" w:line="155" w:lineRule="exact"/>
              <w:rPr>
                <w:sz w:val="20"/>
                <w:szCs w:val="20"/>
                <w:color w:val="auto"/>
              </w:rPr>
            </w:pPr>
            <w:r>
              <w:rPr>
                <w:rFonts w:ascii="Arial" w:cs="Arial" w:eastAsia="Arial" w:hAnsi="Arial"/>
                <w:sz w:val="14"/>
                <w:szCs w:val="14"/>
                <w:color w:val="auto"/>
              </w:rPr>
              <w:t>104,390,342</w:t>
            </w:r>
          </w:p>
        </w:tc>
        <w:tc>
          <w:tcPr>
            <w:tcW w:w="260" w:type="dxa"/>
            <w:vAlign w:val="bottom"/>
            <w:tcBorders>
              <w:top w:val="single" w:sz="8" w:color="CCECFF"/>
              <w:bottom w:val="single" w:sz="8" w:color="CCECFF"/>
            </w:tcBorders>
            <w:shd w:val="clear" w:color="auto" w:fill="CCECFF"/>
          </w:tcPr>
          <w:p>
            <w:pPr>
              <w:spacing w:after="0"/>
              <w:rPr>
                <w:sz w:val="13"/>
                <w:szCs w:val="13"/>
                <w:color w:val="auto"/>
              </w:rPr>
            </w:pPr>
          </w:p>
        </w:tc>
        <w:tc>
          <w:tcPr>
            <w:tcW w:w="300" w:type="dxa"/>
            <w:vAlign w:val="bottom"/>
            <w:tcBorders>
              <w:top w:val="single" w:sz="8" w:color="auto"/>
              <w:bottom w:val="single" w:sz="8" w:color="auto"/>
            </w:tcBorders>
            <w:shd w:val="clear" w:color="auto" w:fill="CCECFF"/>
          </w:tcPr>
          <w:p>
            <w:pPr>
              <w:jc w:val="right"/>
              <w:ind w:right="148"/>
              <w:spacing w:after="0" w:line="155" w:lineRule="exact"/>
              <w:rPr>
                <w:sz w:val="20"/>
                <w:szCs w:val="20"/>
                <w:color w:val="auto"/>
              </w:rPr>
            </w:pPr>
            <w:r>
              <w:rPr>
                <w:rFonts w:ascii="Arial" w:cs="Arial" w:eastAsia="Arial" w:hAnsi="Arial"/>
                <w:sz w:val="14"/>
                <w:szCs w:val="14"/>
                <w:color w:val="auto"/>
                <w:w w:val="76"/>
              </w:rPr>
              <w:t>$</w:t>
            </w:r>
          </w:p>
        </w:tc>
        <w:tc>
          <w:tcPr>
            <w:tcW w:w="1180" w:type="dxa"/>
            <w:vAlign w:val="bottom"/>
            <w:tcBorders>
              <w:top w:val="single" w:sz="8" w:color="auto"/>
              <w:bottom w:val="single" w:sz="8" w:color="auto"/>
            </w:tcBorders>
            <w:shd w:val="clear" w:color="auto" w:fill="CCECFF"/>
          </w:tcPr>
          <w:p>
            <w:pPr>
              <w:jc w:val="right"/>
              <w:spacing w:after="0" w:line="155" w:lineRule="exact"/>
              <w:rPr>
                <w:sz w:val="20"/>
                <w:szCs w:val="20"/>
                <w:color w:val="auto"/>
              </w:rPr>
            </w:pPr>
            <w:r>
              <w:rPr>
                <w:rFonts w:ascii="Arial" w:cs="Arial" w:eastAsia="Arial" w:hAnsi="Arial"/>
                <w:sz w:val="14"/>
                <w:szCs w:val="14"/>
                <w:color w:val="auto"/>
              </w:rPr>
              <w:t>—</w:t>
            </w:r>
          </w:p>
        </w:tc>
        <w:tc>
          <w:tcPr>
            <w:tcW w:w="260" w:type="dxa"/>
            <w:vAlign w:val="bottom"/>
            <w:tcBorders>
              <w:top w:val="single" w:sz="8" w:color="CCECFF"/>
              <w:bottom w:val="single" w:sz="8" w:color="CCECFF"/>
            </w:tcBorders>
            <w:shd w:val="clear" w:color="auto" w:fill="CCECFF"/>
          </w:tcPr>
          <w:p>
            <w:pPr>
              <w:spacing w:after="0"/>
              <w:rPr>
                <w:sz w:val="13"/>
                <w:szCs w:val="13"/>
                <w:color w:val="auto"/>
              </w:rPr>
            </w:pPr>
          </w:p>
        </w:tc>
        <w:tc>
          <w:tcPr>
            <w:tcW w:w="300" w:type="dxa"/>
            <w:vAlign w:val="bottom"/>
            <w:tcBorders>
              <w:top w:val="single" w:sz="8" w:color="auto"/>
              <w:bottom w:val="single" w:sz="8" w:color="auto"/>
            </w:tcBorders>
            <w:shd w:val="clear" w:color="auto" w:fill="CCECFF"/>
          </w:tcPr>
          <w:p>
            <w:pPr>
              <w:jc w:val="right"/>
              <w:ind w:right="148"/>
              <w:spacing w:after="0" w:line="155" w:lineRule="exact"/>
              <w:rPr>
                <w:sz w:val="20"/>
                <w:szCs w:val="20"/>
                <w:color w:val="auto"/>
              </w:rPr>
            </w:pPr>
            <w:r>
              <w:rPr>
                <w:rFonts w:ascii="Arial" w:cs="Arial" w:eastAsia="Arial" w:hAnsi="Arial"/>
                <w:sz w:val="14"/>
                <w:szCs w:val="14"/>
                <w:color w:val="auto"/>
                <w:w w:val="76"/>
              </w:rPr>
              <w:t>$</w:t>
            </w:r>
          </w:p>
        </w:tc>
        <w:tc>
          <w:tcPr>
            <w:tcW w:w="1180" w:type="dxa"/>
            <w:vAlign w:val="bottom"/>
            <w:tcBorders>
              <w:top w:val="single" w:sz="8" w:color="auto"/>
              <w:bottom w:val="single" w:sz="8" w:color="auto"/>
            </w:tcBorders>
            <w:shd w:val="clear" w:color="auto" w:fill="CCECFF"/>
          </w:tcPr>
          <w:p>
            <w:pPr>
              <w:jc w:val="right"/>
              <w:spacing w:after="0" w:line="155" w:lineRule="exact"/>
              <w:rPr>
                <w:sz w:val="20"/>
                <w:szCs w:val="20"/>
                <w:color w:val="auto"/>
              </w:rPr>
            </w:pPr>
            <w:r>
              <w:rPr>
                <w:rFonts w:ascii="Arial" w:cs="Arial" w:eastAsia="Arial" w:hAnsi="Arial"/>
                <w:sz w:val="14"/>
                <w:szCs w:val="14"/>
                <w:color w:val="auto"/>
              </w:rPr>
              <w:t>1,097,730,050</w:t>
            </w:r>
          </w:p>
        </w:tc>
        <w:tc>
          <w:tcPr>
            <w:tcW w:w="120" w:type="dxa"/>
            <w:vAlign w:val="bottom"/>
            <w:tcBorders>
              <w:top w:val="single" w:sz="8" w:color="CCECFF"/>
              <w:bottom w:val="single" w:sz="8" w:color="CCECFF"/>
            </w:tcBorders>
            <w:shd w:val="clear" w:color="auto" w:fill="CCECFF"/>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4260" w:type="dxa"/>
            <w:vAlign w:val="bottom"/>
            <w:vMerge w:val="restart"/>
          </w:tcPr>
          <w:p>
            <w:pPr>
              <w:spacing w:after="0"/>
              <w:rPr>
                <w:sz w:val="20"/>
                <w:szCs w:val="20"/>
                <w:color w:val="auto"/>
              </w:rPr>
            </w:pPr>
            <w:r>
              <w:rPr>
                <w:rFonts w:ascii="Arial" w:cs="Arial" w:eastAsia="Arial" w:hAnsi="Arial"/>
                <w:sz w:val="14"/>
                <w:szCs w:val="14"/>
                <w:color w:val="auto"/>
              </w:rPr>
              <w:t>Long-Term Credit Facility</w:t>
            </w:r>
          </w:p>
        </w:tc>
        <w:tc>
          <w:tcPr>
            <w:tcW w:w="400" w:type="dxa"/>
            <w:vAlign w:val="bottom"/>
            <w:gridSpan w:val="2"/>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560" w:type="dxa"/>
            <w:vAlign w:val="bottom"/>
            <w:gridSpan w:val="2"/>
          </w:tcPr>
          <w:p>
            <w:pPr>
              <w:spacing w:after="0" w:line="20" w:lineRule="exact"/>
              <w:rPr>
                <w:sz w:val="1"/>
                <w:szCs w:val="1"/>
                <w:color w:val="auto"/>
              </w:rPr>
            </w:pPr>
          </w:p>
        </w:tc>
        <w:tc>
          <w:tcPr>
            <w:tcW w:w="1440" w:type="dxa"/>
            <w:vAlign w:val="bottom"/>
            <w:gridSpan w:val="2"/>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3"/>
        </w:trPr>
        <w:tc>
          <w:tcPr>
            <w:tcW w:w="4260" w:type="dxa"/>
            <w:vAlign w:val="bottom"/>
            <w:vMerge w:val="continue"/>
          </w:tcPr>
          <w:p>
            <w:pPr>
              <w:spacing w:after="0"/>
              <w:rPr>
                <w:sz w:val="12"/>
                <w:szCs w:val="12"/>
                <w:color w:val="auto"/>
              </w:rPr>
            </w:pPr>
          </w:p>
        </w:tc>
        <w:tc>
          <w:tcPr>
            <w:tcW w:w="160" w:type="dxa"/>
            <w:vAlign w:val="bottom"/>
          </w:tcPr>
          <w:p>
            <w:pPr>
              <w:spacing w:after="0"/>
              <w:rPr>
                <w:sz w:val="12"/>
                <w:szCs w:val="12"/>
                <w:color w:val="auto"/>
              </w:rPr>
            </w:pPr>
          </w:p>
        </w:tc>
        <w:tc>
          <w:tcPr>
            <w:tcW w:w="240" w:type="dxa"/>
            <w:vAlign w:val="bottom"/>
            <w:tcBorders>
              <w:top w:val="single" w:sz="8" w:color="auto"/>
            </w:tcBorders>
          </w:tcPr>
          <w:p>
            <w:pPr>
              <w:jc w:val="right"/>
              <w:ind w:right="88"/>
              <w:spacing w:after="0" w:line="143" w:lineRule="exact"/>
              <w:rPr>
                <w:sz w:val="20"/>
                <w:szCs w:val="20"/>
                <w:color w:val="auto"/>
              </w:rPr>
            </w:pPr>
            <w:r>
              <w:rPr>
                <w:rFonts w:ascii="Arial" w:cs="Arial" w:eastAsia="Arial" w:hAnsi="Arial"/>
                <w:sz w:val="14"/>
                <w:szCs w:val="14"/>
                <w:color w:val="auto"/>
                <w:w w:val="76"/>
              </w:rPr>
              <w:t>$</w:t>
            </w:r>
          </w:p>
        </w:tc>
        <w:tc>
          <w:tcPr>
            <w:tcW w:w="1240" w:type="dxa"/>
            <w:vAlign w:val="bottom"/>
            <w:tcBorders>
              <w:top w:val="single" w:sz="8" w:color="auto"/>
            </w:tcBorders>
          </w:tcPr>
          <w:p>
            <w:pPr>
              <w:jc w:val="right"/>
              <w:spacing w:after="0" w:line="143" w:lineRule="exact"/>
              <w:rPr>
                <w:sz w:val="20"/>
                <w:szCs w:val="20"/>
                <w:color w:val="auto"/>
              </w:rPr>
            </w:pPr>
            <w:r>
              <w:rPr>
                <w:rFonts w:ascii="Arial" w:cs="Arial" w:eastAsia="Arial" w:hAnsi="Arial"/>
                <w:sz w:val="14"/>
                <w:szCs w:val="14"/>
                <w:color w:val="auto"/>
              </w:rPr>
              <w:t>75,908,513</w:t>
            </w:r>
          </w:p>
        </w:tc>
        <w:tc>
          <w:tcPr>
            <w:tcW w:w="260" w:type="dxa"/>
            <w:vAlign w:val="bottom"/>
          </w:tcPr>
          <w:p>
            <w:pPr>
              <w:spacing w:after="0"/>
              <w:rPr>
                <w:sz w:val="12"/>
                <w:szCs w:val="12"/>
                <w:color w:val="auto"/>
              </w:rPr>
            </w:pPr>
          </w:p>
        </w:tc>
        <w:tc>
          <w:tcPr>
            <w:tcW w:w="300" w:type="dxa"/>
            <w:vAlign w:val="bottom"/>
            <w:tcBorders>
              <w:top w:val="single" w:sz="8" w:color="auto"/>
            </w:tcBorders>
          </w:tcPr>
          <w:p>
            <w:pPr>
              <w:jc w:val="right"/>
              <w:ind w:right="148"/>
              <w:spacing w:after="0" w:line="143" w:lineRule="exact"/>
              <w:rPr>
                <w:sz w:val="20"/>
                <w:szCs w:val="20"/>
                <w:color w:val="auto"/>
              </w:rPr>
            </w:pPr>
            <w:r>
              <w:rPr>
                <w:rFonts w:ascii="Arial" w:cs="Arial" w:eastAsia="Arial" w:hAnsi="Arial"/>
                <w:sz w:val="14"/>
                <w:szCs w:val="14"/>
                <w:color w:val="auto"/>
                <w:w w:val="76"/>
              </w:rPr>
              <w:t>$</w:t>
            </w:r>
          </w:p>
        </w:tc>
        <w:tc>
          <w:tcPr>
            <w:tcW w:w="1180" w:type="dxa"/>
            <w:vAlign w:val="bottom"/>
            <w:tcBorders>
              <w:top w:val="single" w:sz="8" w:color="auto"/>
            </w:tcBorders>
          </w:tcPr>
          <w:p>
            <w:pPr>
              <w:jc w:val="right"/>
              <w:spacing w:after="0" w:line="143" w:lineRule="exact"/>
              <w:rPr>
                <w:sz w:val="20"/>
                <w:szCs w:val="20"/>
                <w:color w:val="auto"/>
              </w:rPr>
            </w:pPr>
            <w:r>
              <w:rPr>
                <w:rFonts w:ascii="Arial" w:cs="Arial" w:eastAsia="Arial" w:hAnsi="Arial"/>
                <w:sz w:val="14"/>
                <w:szCs w:val="14"/>
                <w:color w:val="auto"/>
              </w:rPr>
              <w:t>—</w:t>
            </w:r>
          </w:p>
        </w:tc>
        <w:tc>
          <w:tcPr>
            <w:tcW w:w="260" w:type="dxa"/>
            <w:vAlign w:val="bottom"/>
          </w:tcPr>
          <w:p>
            <w:pPr>
              <w:spacing w:after="0"/>
              <w:rPr>
                <w:sz w:val="12"/>
                <w:szCs w:val="12"/>
                <w:color w:val="auto"/>
              </w:rPr>
            </w:pPr>
          </w:p>
        </w:tc>
        <w:tc>
          <w:tcPr>
            <w:tcW w:w="300" w:type="dxa"/>
            <w:vAlign w:val="bottom"/>
            <w:tcBorders>
              <w:top w:val="single" w:sz="8" w:color="auto"/>
            </w:tcBorders>
          </w:tcPr>
          <w:p>
            <w:pPr>
              <w:jc w:val="right"/>
              <w:ind w:right="148"/>
              <w:spacing w:after="0" w:line="143" w:lineRule="exact"/>
              <w:rPr>
                <w:sz w:val="20"/>
                <w:szCs w:val="20"/>
                <w:color w:val="auto"/>
              </w:rPr>
            </w:pPr>
            <w:r>
              <w:rPr>
                <w:rFonts w:ascii="Arial" w:cs="Arial" w:eastAsia="Arial" w:hAnsi="Arial"/>
                <w:sz w:val="14"/>
                <w:szCs w:val="14"/>
                <w:color w:val="auto"/>
                <w:w w:val="76"/>
              </w:rPr>
              <w:t>$</w:t>
            </w:r>
          </w:p>
        </w:tc>
        <w:tc>
          <w:tcPr>
            <w:tcW w:w="1180" w:type="dxa"/>
            <w:vAlign w:val="bottom"/>
            <w:tcBorders>
              <w:top w:val="single" w:sz="8" w:color="auto"/>
            </w:tcBorders>
          </w:tcPr>
          <w:p>
            <w:pPr>
              <w:jc w:val="right"/>
              <w:spacing w:after="0" w:line="143" w:lineRule="exact"/>
              <w:rPr>
                <w:sz w:val="20"/>
                <w:szCs w:val="20"/>
                <w:color w:val="auto"/>
              </w:rPr>
            </w:pPr>
            <w:r>
              <w:rPr>
                <w:rFonts w:ascii="Arial" w:cs="Arial" w:eastAsia="Arial" w:hAnsi="Arial"/>
                <w:sz w:val="14"/>
                <w:szCs w:val="14"/>
                <w:color w:val="auto"/>
              </w:rPr>
              <w:t>—</w:t>
            </w:r>
          </w:p>
        </w:tc>
        <w:tc>
          <w:tcPr>
            <w:tcW w:w="260" w:type="dxa"/>
            <w:vAlign w:val="bottom"/>
          </w:tcPr>
          <w:p>
            <w:pPr>
              <w:spacing w:after="0"/>
              <w:rPr>
                <w:sz w:val="12"/>
                <w:szCs w:val="12"/>
                <w:color w:val="auto"/>
              </w:rPr>
            </w:pPr>
          </w:p>
        </w:tc>
        <w:tc>
          <w:tcPr>
            <w:tcW w:w="300" w:type="dxa"/>
            <w:vAlign w:val="bottom"/>
            <w:tcBorders>
              <w:top w:val="single" w:sz="8" w:color="auto"/>
            </w:tcBorders>
          </w:tcPr>
          <w:p>
            <w:pPr>
              <w:jc w:val="right"/>
              <w:ind w:right="148"/>
              <w:spacing w:after="0" w:line="143" w:lineRule="exact"/>
              <w:rPr>
                <w:sz w:val="20"/>
                <w:szCs w:val="20"/>
                <w:color w:val="auto"/>
              </w:rPr>
            </w:pPr>
            <w:r>
              <w:rPr>
                <w:rFonts w:ascii="Arial" w:cs="Arial" w:eastAsia="Arial" w:hAnsi="Arial"/>
                <w:sz w:val="14"/>
                <w:szCs w:val="14"/>
                <w:color w:val="auto"/>
                <w:w w:val="76"/>
              </w:rPr>
              <w:t>$</w:t>
            </w:r>
          </w:p>
        </w:tc>
        <w:tc>
          <w:tcPr>
            <w:tcW w:w="1180" w:type="dxa"/>
            <w:vAlign w:val="bottom"/>
            <w:tcBorders>
              <w:top w:val="single" w:sz="8" w:color="auto"/>
            </w:tcBorders>
          </w:tcPr>
          <w:p>
            <w:pPr>
              <w:jc w:val="right"/>
              <w:spacing w:after="0" w:line="143" w:lineRule="exact"/>
              <w:rPr>
                <w:sz w:val="20"/>
                <w:szCs w:val="20"/>
                <w:color w:val="auto"/>
              </w:rPr>
            </w:pPr>
            <w:r>
              <w:rPr>
                <w:rFonts w:ascii="Arial" w:cs="Arial" w:eastAsia="Arial" w:hAnsi="Arial"/>
                <w:sz w:val="14"/>
                <w:szCs w:val="14"/>
                <w:color w:val="auto"/>
              </w:rPr>
              <w:t>75,908,513</w:t>
            </w: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2"/>
        </w:trPr>
        <w:tc>
          <w:tcPr>
            <w:tcW w:w="4260" w:type="dxa"/>
            <w:vAlign w:val="bottom"/>
            <w:shd w:val="clear" w:color="auto" w:fill="CCECFF"/>
          </w:tcPr>
          <w:p>
            <w:pPr>
              <w:spacing w:after="0"/>
              <w:rPr>
                <w:sz w:val="20"/>
                <w:szCs w:val="20"/>
                <w:color w:val="auto"/>
              </w:rPr>
            </w:pPr>
            <w:r>
              <w:rPr>
                <w:rFonts w:ascii="Arial" w:cs="Arial" w:eastAsia="Arial" w:hAnsi="Arial"/>
                <w:sz w:val="14"/>
                <w:szCs w:val="14"/>
                <w:color w:val="auto"/>
              </w:rPr>
              <w:t>2019 Notes</w:t>
            </w:r>
          </w:p>
        </w:tc>
        <w:tc>
          <w:tcPr>
            <w:tcW w:w="160" w:type="dxa"/>
            <w:vAlign w:val="bottom"/>
            <w:shd w:val="clear" w:color="auto" w:fill="CCECFF"/>
          </w:tcPr>
          <w:p>
            <w:pPr>
              <w:spacing w:after="0"/>
              <w:rPr>
                <w:sz w:val="14"/>
                <w:szCs w:val="14"/>
                <w:color w:val="auto"/>
              </w:rPr>
            </w:pPr>
          </w:p>
        </w:tc>
        <w:tc>
          <w:tcPr>
            <w:tcW w:w="240" w:type="dxa"/>
            <w:vAlign w:val="bottom"/>
            <w:shd w:val="clear" w:color="auto" w:fill="CCECFF"/>
          </w:tcPr>
          <w:p>
            <w:pPr>
              <w:spacing w:after="0"/>
              <w:rPr>
                <w:sz w:val="14"/>
                <w:szCs w:val="14"/>
                <w:color w:val="auto"/>
              </w:rPr>
            </w:pPr>
          </w:p>
        </w:tc>
        <w:tc>
          <w:tcPr>
            <w:tcW w:w="1240" w:type="dxa"/>
            <w:vAlign w:val="bottom"/>
            <w:shd w:val="clear" w:color="auto" w:fill="CCECFF"/>
          </w:tcPr>
          <w:p>
            <w:pPr>
              <w:jc w:val="right"/>
              <w:spacing w:after="0"/>
              <w:rPr>
                <w:sz w:val="20"/>
                <w:szCs w:val="20"/>
                <w:color w:val="auto"/>
              </w:rPr>
            </w:pPr>
            <w:r>
              <w:rPr>
                <w:rFonts w:ascii="Arial" w:cs="Arial" w:eastAsia="Arial" w:hAnsi="Arial"/>
                <w:sz w:val="14"/>
                <w:szCs w:val="14"/>
                <w:color w:val="auto"/>
              </w:rPr>
              <w:t>253,375,000</w:t>
            </w:r>
          </w:p>
        </w:tc>
        <w:tc>
          <w:tcPr>
            <w:tcW w:w="260" w:type="dxa"/>
            <w:vAlign w:val="bottom"/>
            <w:shd w:val="clear" w:color="auto" w:fill="CCECFF"/>
          </w:tcPr>
          <w:p>
            <w:pPr>
              <w:spacing w:after="0"/>
              <w:rPr>
                <w:sz w:val="14"/>
                <w:szCs w:val="14"/>
                <w:color w:val="auto"/>
              </w:rPr>
            </w:pPr>
          </w:p>
        </w:tc>
        <w:tc>
          <w:tcPr>
            <w:tcW w:w="300" w:type="dxa"/>
            <w:vAlign w:val="bottom"/>
            <w:shd w:val="clear" w:color="auto" w:fill="CCECFF"/>
          </w:tcPr>
          <w:p>
            <w:pPr>
              <w:spacing w:after="0"/>
              <w:rPr>
                <w:sz w:val="14"/>
                <w:szCs w:val="14"/>
                <w:color w:val="auto"/>
              </w:rPr>
            </w:pPr>
          </w:p>
        </w:tc>
        <w:tc>
          <w:tcPr>
            <w:tcW w:w="1180" w:type="dxa"/>
            <w:vAlign w:val="bottom"/>
            <w:shd w:val="clear" w:color="auto" w:fill="CCECFF"/>
          </w:tcPr>
          <w:p>
            <w:pPr>
              <w:jc w:val="right"/>
              <w:spacing w:after="0"/>
              <w:rPr>
                <w:sz w:val="20"/>
                <w:szCs w:val="20"/>
                <w:color w:val="auto"/>
              </w:rPr>
            </w:pPr>
            <w:r>
              <w:rPr>
                <w:rFonts w:ascii="Arial" w:cs="Arial" w:eastAsia="Arial" w:hAnsi="Arial"/>
                <w:sz w:val="14"/>
                <w:szCs w:val="14"/>
                <w:color w:val="auto"/>
              </w:rPr>
              <w:t>—</w:t>
            </w:r>
          </w:p>
        </w:tc>
        <w:tc>
          <w:tcPr>
            <w:tcW w:w="260" w:type="dxa"/>
            <w:vAlign w:val="bottom"/>
            <w:shd w:val="clear" w:color="auto" w:fill="CCECFF"/>
          </w:tcPr>
          <w:p>
            <w:pPr>
              <w:spacing w:after="0"/>
              <w:rPr>
                <w:sz w:val="14"/>
                <w:szCs w:val="14"/>
                <w:color w:val="auto"/>
              </w:rPr>
            </w:pPr>
          </w:p>
        </w:tc>
        <w:tc>
          <w:tcPr>
            <w:tcW w:w="300" w:type="dxa"/>
            <w:vAlign w:val="bottom"/>
            <w:shd w:val="clear" w:color="auto" w:fill="CCECFF"/>
          </w:tcPr>
          <w:p>
            <w:pPr>
              <w:spacing w:after="0"/>
              <w:rPr>
                <w:sz w:val="14"/>
                <w:szCs w:val="14"/>
                <w:color w:val="auto"/>
              </w:rPr>
            </w:pPr>
          </w:p>
        </w:tc>
        <w:tc>
          <w:tcPr>
            <w:tcW w:w="1180" w:type="dxa"/>
            <w:vAlign w:val="bottom"/>
            <w:shd w:val="clear" w:color="auto" w:fill="CCECFF"/>
          </w:tcPr>
          <w:p>
            <w:pPr>
              <w:jc w:val="right"/>
              <w:spacing w:after="0"/>
              <w:rPr>
                <w:sz w:val="20"/>
                <w:szCs w:val="20"/>
                <w:color w:val="auto"/>
              </w:rPr>
            </w:pPr>
            <w:r>
              <w:rPr>
                <w:rFonts w:ascii="Arial" w:cs="Arial" w:eastAsia="Arial" w:hAnsi="Arial"/>
                <w:sz w:val="14"/>
                <w:szCs w:val="14"/>
                <w:color w:val="auto"/>
              </w:rPr>
              <w:t>253,375,000</w:t>
            </w:r>
          </w:p>
        </w:tc>
        <w:tc>
          <w:tcPr>
            <w:tcW w:w="260" w:type="dxa"/>
            <w:vAlign w:val="bottom"/>
            <w:shd w:val="clear" w:color="auto" w:fill="CCECFF"/>
          </w:tcPr>
          <w:p>
            <w:pPr>
              <w:spacing w:after="0"/>
              <w:rPr>
                <w:sz w:val="14"/>
                <w:szCs w:val="14"/>
                <w:color w:val="auto"/>
              </w:rPr>
            </w:pPr>
          </w:p>
        </w:tc>
        <w:tc>
          <w:tcPr>
            <w:tcW w:w="300" w:type="dxa"/>
            <w:vAlign w:val="bottom"/>
            <w:shd w:val="clear" w:color="auto" w:fill="CCECFF"/>
          </w:tcPr>
          <w:p>
            <w:pPr>
              <w:spacing w:after="0"/>
              <w:rPr>
                <w:sz w:val="14"/>
                <w:szCs w:val="14"/>
                <w:color w:val="auto"/>
              </w:rPr>
            </w:pPr>
          </w:p>
        </w:tc>
        <w:tc>
          <w:tcPr>
            <w:tcW w:w="1300" w:type="dxa"/>
            <w:vAlign w:val="bottom"/>
            <w:gridSpan w:val="2"/>
            <w:shd w:val="clear" w:color="auto" w:fill="CCECFF"/>
          </w:tcPr>
          <w:p>
            <w:pPr>
              <w:jc w:val="right"/>
              <w:ind w:right="140"/>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56"/>
        </w:trPr>
        <w:tc>
          <w:tcPr>
            <w:tcW w:w="4260" w:type="dxa"/>
            <w:vAlign w:val="bottom"/>
          </w:tcPr>
          <w:p>
            <w:pPr>
              <w:ind w:left="500"/>
              <w:spacing w:after="0" w:line="155" w:lineRule="exact"/>
              <w:rPr>
                <w:sz w:val="20"/>
                <w:szCs w:val="20"/>
                <w:color w:val="auto"/>
              </w:rPr>
            </w:pPr>
            <w:r>
              <w:rPr>
                <w:rFonts w:ascii="Arial" w:cs="Arial" w:eastAsia="Arial" w:hAnsi="Arial"/>
                <w:sz w:val="14"/>
                <w:szCs w:val="14"/>
                <w:color w:val="auto"/>
              </w:rPr>
              <w:t>Total debt</w:t>
            </w:r>
          </w:p>
        </w:tc>
        <w:tc>
          <w:tcPr>
            <w:tcW w:w="160" w:type="dxa"/>
            <w:vAlign w:val="bottom"/>
          </w:tcPr>
          <w:p>
            <w:pPr>
              <w:spacing w:after="0"/>
              <w:rPr>
                <w:sz w:val="13"/>
                <w:szCs w:val="13"/>
                <w:color w:val="auto"/>
              </w:rPr>
            </w:pPr>
          </w:p>
        </w:tc>
        <w:tc>
          <w:tcPr>
            <w:tcW w:w="240" w:type="dxa"/>
            <w:vAlign w:val="bottom"/>
            <w:tcBorders>
              <w:top w:val="single" w:sz="8" w:color="auto"/>
              <w:bottom w:val="single" w:sz="8" w:color="auto"/>
            </w:tcBorders>
          </w:tcPr>
          <w:p>
            <w:pPr>
              <w:jc w:val="right"/>
              <w:ind w:right="88"/>
              <w:spacing w:after="0" w:line="155" w:lineRule="exact"/>
              <w:rPr>
                <w:sz w:val="20"/>
                <w:szCs w:val="20"/>
                <w:color w:val="auto"/>
              </w:rPr>
            </w:pPr>
            <w:r>
              <w:rPr>
                <w:rFonts w:ascii="Arial" w:cs="Arial" w:eastAsia="Arial" w:hAnsi="Arial"/>
                <w:sz w:val="14"/>
                <w:szCs w:val="14"/>
                <w:color w:val="auto"/>
                <w:w w:val="76"/>
              </w:rPr>
              <w:t>$</w:t>
            </w:r>
          </w:p>
        </w:tc>
        <w:tc>
          <w:tcPr>
            <w:tcW w:w="124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329,283,513</w:t>
            </w:r>
          </w:p>
        </w:tc>
        <w:tc>
          <w:tcPr>
            <w:tcW w:w="260" w:type="dxa"/>
            <w:vAlign w:val="bottom"/>
          </w:tcPr>
          <w:p>
            <w:pPr>
              <w:spacing w:after="0"/>
              <w:rPr>
                <w:sz w:val="13"/>
                <w:szCs w:val="13"/>
                <w:color w:val="auto"/>
              </w:rPr>
            </w:pPr>
          </w:p>
        </w:tc>
        <w:tc>
          <w:tcPr>
            <w:tcW w:w="300" w:type="dxa"/>
            <w:vAlign w:val="bottom"/>
            <w:tcBorders>
              <w:top w:val="single" w:sz="8" w:color="auto"/>
              <w:bottom w:val="single" w:sz="8" w:color="auto"/>
            </w:tcBorders>
          </w:tcPr>
          <w:p>
            <w:pPr>
              <w:jc w:val="right"/>
              <w:ind w:right="148"/>
              <w:spacing w:after="0" w:line="155" w:lineRule="exact"/>
              <w:rPr>
                <w:sz w:val="20"/>
                <w:szCs w:val="20"/>
                <w:color w:val="auto"/>
              </w:rPr>
            </w:pPr>
            <w:r>
              <w:rPr>
                <w:rFonts w:ascii="Arial" w:cs="Arial" w:eastAsia="Arial" w:hAnsi="Arial"/>
                <w:sz w:val="14"/>
                <w:szCs w:val="14"/>
                <w:color w:val="auto"/>
                <w:w w:val="76"/>
              </w:rPr>
              <w:t>$</w:t>
            </w:r>
          </w:p>
        </w:tc>
        <w:tc>
          <w:tcPr>
            <w:tcW w:w="118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w:t>
            </w:r>
          </w:p>
        </w:tc>
        <w:tc>
          <w:tcPr>
            <w:tcW w:w="260" w:type="dxa"/>
            <w:vAlign w:val="bottom"/>
          </w:tcPr>
          <w:p>
            <w:pPr>
              <w:spacing w:after="0"/>
              <w:rPr>
                <w:sz w:val="13"/>
                <w:szCs w:val="13"/>
                <w:color w:val="auto"/>
              </w:rPr>
            </w:pPr>
          </w:p>
        </w:tc>
        <w:tc>
          <w:tcPr>
            <w:tcW w:w="300" w:type="dxa"/>
            <w:vAlign w:val="bottom"/>
            <w:tcBorders>
              <w:top w:val="single" w:sz="8" w:color="auto"/>
              <w:bottom w:val="single" w:sz="8" w:color="auto"/>
            </w:tcBorders>
          </w:tcPr>
          <w:p>
            <w:pPr>
              <w:jc w:val="right"/>
              <w:ind w:right="148"/>
              <w:spacing w:after="0" w:line="155" w:lineRule="exact"/>
              <w:rPr>
                <w:sz w:val="20"/>
                <w:szCs w:val="20"/>
                <w:color w:val="auto"/>
              </w:rPr>
            </w:pPr>
            <w:r>
              <w:rPr>
                <w:rFonts w:ascii="Arial" w:cs="Arial" w:eastAsia="Arial" w:hAnsi="Arial"/>
                <w:sz w:val="14"/>
                <w:szCs w:val="14"/>
                <w:color w:val="auto"/>
                <w:w w:val="76"/>
              </w:rPr>
              <w:t>$</w:t>
            </w:r>
          </w:p>
        </w:tc>
        <w:tc>
          <w:tcPr>
            <w:tcW w:w="118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253,375,000</w:t>
            </w:r>
          </w:p>
        </w:tc>
        <w:tc>
          <w:tcPr>
            <w:tcW w:w="260" w:type="dxa"/>
            <w:vAlign w:val="bottom"/>
          </w:tcPr>
          <w:p>
            <w:pPr>
              <w:spacing w:after="0"/>
              <w:rPr>
                <w:sz w:val="13"/>
                <w:szCs w:val="13"/>
                <w:color w:val="auto"/>
              </w:rPr>
            </w:pPr>
          </w:p>
        </w:tc>
        <w:tc>
          <w:tcPr>
            <w:tcW w:w="300" w:type="dxa"/>
            <w:vAlign w:val="bottom"/>
            <w:tcBorders>
              <w:top w:val="single" w:sz="8" w:color="auto"/>
              <w:bottom w:val="single" w:sz="8" w:color="auto"/>
            </w:tcBorders>
          </w:tcPr>
          <w:p>
            <w:pPr>
              <w:jc w:val="right"/>
              <w:ind w:right="148"/>
              <w:spacing w:after="0" w:line="155" w:lineRule="exact"/>
              <w:rPr>
                <w:sz w:val="20"/>
                <w:szCs w:val="20"/>
                <w:color w:val="auto"/>
              </w:rPr>
            </w:pPr>
            <w:r>
              <w:rPr>
                <w:rFonts w:ascii="Arial" w:cs="Arial" w:eastAsia="Arial" w:hAnsi="Arial"/>
                <w:sz w:val="14"/>
                <w:szCs w:val="14"/>
                <w:color w:val="auto"/>
                <w:w w:val="76"/>
              </w:rPr>
              <w:t>$</w:t>
            </w:r>
          </w:p>
        </w:tc>
        <w:tc>
          <w:tcPr>
            <w:tcW w:w="118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75,908,513</w:t>
            </w:r>
          </w:p>
        </w:tc>
        <w:tc>
          <w:tcPr>
            <w:tcW w:w="1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42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80"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42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3080" w:type="dxa"/>
            <w:vAlign w:val="bottom"/>
            <w:gridSpan w:val="9"/>
          </w:tcPr>
          <w:p>
            <w:pPr>
              <w:jc w:val="right"/>
              <w:ind w:right="860"/>
              <w:spacing w:after="0"/>
              <w:rPr>
                <w:sz w:val="20"/>
                <w:szCs w:val="20"/>
                <w:color w:val="auto"/>
              </w:rPr>
            </w:pPr>
            <w:r>
              <w:rPr>
                <w:rFonts w:ascii="Arial" w:cs="Arial" w:eastAsia="Arial" w:hAnsi="Arial"/>
                <w:sz w:val="14"/>
                <w:szCs w:val="14"/>
                <w:b w:val="1"/>
                <w:bCs w:val="1"/>
                <w:color w:val="auto"/>
              </w:rPr>
              <w:t>Fair Value at September 30, 2016</w:t>
            </w:r>
          </w:p>
        </w:tc>
        <w:tc>
          <w:tcPr>
            <w:tcW w:w="8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6"/>
        </w:trPr>
        <w:tc>
          <w:tcPr>
            <w:tcW w:w="4260" w:type="dxa"/>
            <w:vAlign w:val="bottom"/>
            <w:vMerge w:val="restart"/>
          </w:tcPr>
          <w:p>
            <w:pPr>
              <w:spacing w:after="0"/>
              <w:rPr>
                <w:sz w:val="20"/>
                <w:szCs w:val="20"/>
                <w:color w:val="auto"/>
              </w:rPr>
            </w:pPr>
            <w:r>
              <w:rPr>
                <w:rFonts w:ascii="Arial" w:cs="Arial" w:eastAsia="Arial" w:hAnsi="Arial"/>
                <w:sz w:val="14"/>
                <w:szCs w:val="14"/>
                <w:b w:val="1"/>
                <w:bCs w:val="1"/>
                <w:color w:val="auto"/>
              </w:rPr>
              <w:t>Description</w:t>
            </w:r>
          </w:p>
        </w:tc>
        <w:tc>
          <w:tcPr>
            <w:tcW w:w="160" w:type="dxa"/>
            <w:vAlign w:val="bottom"/>
          </w:tcPr>
          <w:p>
            <w:pPr>
              <w:spacing w:after="0"/>
              <w:rPr>
                <w:sz w:val="2"/>
                <w:szCs w:val="2"/>
                <w:color w:val="auto"/>
              </w:rPr>
            </w:pPr>
          </w:p>
        </w:tc>
        <w:tc>
          <w:tcPr>
            <w:tcW w:w="300" w:type="dxa"/>
            <w:vAlign w:val="bottom"/>
          </w:tcPr>
          <w:p>
            <w:pPr>
              <w:spacing w:after="0"/>
              <w:rPr>
                <w:sz w:val="2"/>
                <w:szCs w:val="2"/>
                <w:color w:val="auto"/>
              </w:rPr>
            </w:pPr>
          </w:p>
        </w:tc>
        <w:tc>
          <w:tcPr>
            <w:tcW w:w="1440" w:type="dxa"/>
            <w:vAlign w:val="bottom"/>
            <w:gridSpan w:val="2"/>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20" w:type="dxa"/>
            <w:vAlign w:val="bottom"/>
            <w:gridSpan w:val="2"/>
          </w:tcPr>
          <w:p>
            <w:pPr>
              <w:spacing w:after="0"/>
              <w:rPr>
                <w:sz w:val="2"/>
                <w:szCs w:val="2"/>
                <w:color w:val="auto"/>
              </w:rPr>
            </w:pPr>
          </w:p>
        </w:tc>
        <w:tc>
          <w:tcPr>
            <w:tcW w:w="80" w:type="dxa"/>
            <w:vAlign w:val="bottom"/>
          </w:tcPr>
          <w:p>
            <w:pPr>
              <w:spacing w:after="0"/>
              <w:rPr>
                <w:sz w:val="2"/>
                <w:szCs w:val="2"/>
                <w:color w:val="auto"/>
              </w:rPr>
            </w:pPr>
          </w:p>
        </w:tc>
        <w:tc>
          <w:tcPr>
            <w:tcW w:w="40" w:type="dxa"/>
            <w:vAlign w:val="bottom"/>
          </w:tcPr>
          <w:p>
            <w:pPr>
              <w:spacing w:after="0"/>
              <w:rPr>
                <w:sz w:val="2"/>
                <w:szCs w:val="2"/>
                <w:color w:val="auto"/>
              </w:rPr>
            </w:pPr>
          </w:p>
        </w:tc>
        <w:tc>
          <w:tcPr>
            <w:tcW w:w="16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00" w:type="dxa"/>
            <w:vAlign w:val="bottom"/>
            <w:gridSpan w:val="2"/>
          </w:tcPr>
          <w:p>
            <w:pPr>
              <w:spacing w:after="0"/>
              <w:rPr>
                <w:sz w:val="2"/>
                <w:szCs w:val="2"/>
                <w:color w:val="auto"/>
              </w:rPr>
            </w:pPr>
          </w:p>
        </w:tc>
        <w:tc>
          <w:tcPr>
            <w:tcW w:w="180" w:type="dxa"/>
            <w:vAlign w:val="bottom"/>
          </w:tcPr>
          <w:p>
            <w:pPr>
              <w:spacing w:after="0"/>
              <w:rPr>
                <w:sz w:val="2"/>
                <w:szCs w:val="2"/>
                <w:color w:val="auto"/>
              </w:rPr>
            </w:pPr>
          </w:p>
        </w:tc>
        <w:tc>
          <w:tcPr>
            <w:tcW w:w="80" w:type="dxa"/>
            <w:vAlign w:val="bottom"/>
          </w:tcPr>
          <w:p>
            <w:pPr>
              <w:spacing w:after="0"/>
              <w:rPr>
                <w:sz w:val="2"/>
                <w:szCs w:val="2"/>
                <w:color w:val="auto"/>
              </w:rPr>
            </w:pPr>
          </w:p>
        </w:tc>
        <w:tc>
          <w:tcPr>
            <w:tcW w:w="280" w:type="dxa"/>
            <w:vAlign w:val="bottom"/>
          </w:tcPr>
          <w:p>
            <w:pPr>
              <w:spacing w:after="0"/>
              <w:rPr>
                <w:sz w:val="2"/>
                <w:szCs w:val="2"/>
                <w:color w:val="auto"/>
              </w:rPr>
            </w:pPr>
          </w:p>
        </w:tc>
        <w:tc>
          <w:tcPr>
            <w:tcW w:w="1140" w:type="dxa"/>
            <w:vAlign w:val="bottom"/>
            <w:gridSpan w:val="2"/>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56"/>
        </w:trPr>
        <w:tc>
          <w:tcPr>
            <w:tcW w:w="4260" w:type="dxa"/>
            <w:vAlign w:val="bottom"/>
            <w:vMerge w:val="continue"/>
          </w:tcPr>
          <w:p>
            <w:pPr>
              <w:spacing w:after="0"/>
              <w:rPr>
                <w:sz w:val="13"/>
                <w:szCs w:val="13"/>
                <w:color w:val="auto"/>
              </w:rPr>
            </w:pPr>
          </w:p>
        </w:tc>
        <w:tc>
          <w:tcPr>
            <w:tcW w:w="160" w:type="dxa"/>
            <w:vAlign w:val="bottom"/>
          </w:tcPr>
          <w:p>
            <w:pPr>
              <w:spacing w:after="0"/>
              <w:rPr>
                <w:sz w:val="13"/>
                <w:szCs w:val="13"/>
                <w:color w:val="auto"/>
              </w:rPr>
            </w:pPr>
          </w:p>
        </w:tc>
        <w:tc>
          <w:tcPr>
            <w:tcW w:w="300" w:type="dxa"/>
            <w:vAlign w:val="bottom"/>
            <w:tcBorders>
              <w:top w:val="single" w:sz="8" w:color="auto"/>
            </w:tcBorders>
          </w:tcPr>
          <w:p>
            <w:pPr>
              <w:spacing w:after="0"/>
              <w:rPr>
                <w:sz w:val="13"/>
                <w:szCs w:val="13"/>
                <w:color w:val="auto"/>
              </w:rPr>
            </w:pPr>
          </w:p>
        </w:tc>
        <w:tc>
          <w:tcPr>
            <w:tcW w:w="1440" w:type="dxa"/>
            <w:vAlign w:val="bottom"/>
            <w:tcBorders>
              <w:top w:val="single" w:sz="8" w:color="auto"/>
            </w:tcBorders>
            <w:gridSpan w:val="2"/>
          </w:tcPr>
          <w:p>
            <w:pPr>
              <w:jc w:val="center"/>
              <w:ind w:right="580"/>
              <w:spacing w:after="0" w:line="155" w:lineRule="exact"/>
              <w:rPr>
                <w:sz w:val="20"/>
                <w:szCs w:val="20"/>
                <w:color w:val="auto"/>
              </w:rPr>
            </w:pPr>
            <w:r>
              <w:rPr>
                <w:rFonts w:ascii="Arial" w:cs="Arial" w:eastAsia="Arial" w:hAnsi="Arial"/>
                <w:sz w:val="14"/>
                <w:szCs w:val="14"/>
                <w:b w:val="1"/>
                <w:bCs w:val="1"/>
                <w:color w:val="auto"/>
                <w:w w:val="98"/>
              </w:rPr>
              <w:t>Fair Value</w:t>
            </w:r>
          </w:p>
        </w:tc>
        <w:tc>
          <w:tcPr>
            <w:tcW w:w="80" w:type="dxa"/>
            <w:vAlign w:val="bottom"/>
            <w:tcBorders>
              <w:top w:val="single" w:sz="8" w:color="auto"/>
            </w:tcBorders>
          </w:tcPr>
          <w:p>
            <w:pPr>
              <w:spacing w:after="0"/>
              <w:rPr>
                <w:sz w:val="13"/>
                <w:szCs w:val="13"/>
                <w:color w:val="auto"/>
              </w:rPr>
            </w:pPr>
          </w:p>
        </w:tc>
        <w:tc>
          <w:tcPr>
            <w:tcW w:w="80" w:type="dxa"/>
            <w:vAlign w:val="bottom"/>
            <w:tcBorders>
              <w:top w:val="single" w:sz="8" w:color="auto"/>
            </w:tcBorders>
          </w:tcPr>
          <w:p>
            <w:pPr>
              <w:spacing w:after="0"/>
              <w:rPr>
                <w:sz w:val="13"/>
                <w:szCs w:val="13"/>
                <w:color w:val="auto"/>
              </w:rPr>
            </w:pPr>
          </w:p>
        </w:tc>
        <w:tc>
          <w:tcPr>
            <w:tcW w:w="80" w:type="dxa"/>
            <w:vAlign w:val="bottom"/>
            <w:tcBorders>
              <w:top w:val="single" w:sz="8" w:color="auto"/>
            </w:tcBorders>
          </w:tcPr>
          <w:p>
            <w:pPr>
              <w:spacing w:after="0"/>
              <w:rPr>
                <w:sz w:val="13"/>
                <w:szCs w:val="13"/>
                <w:color w:val="auto"/>
              </w:rPr>
            </w:pPr>
          </w:p>
        </w:tc>
        <w:tc>
          <w:tcPr>
            <w:tcW w:w="160" w:type="dxa"/>
            <w:vAlign w:val="bottom"/>
            <w:tcBorders>
              <w:top w:val="single" w:sz="8" w:color="auto"/>
            </w:tcBorders>
          </w:tcPr>
          <w:p>
            <w:pPr>
              <w:spacing w:after="0"/>
              <w:rPr>
                <w:sz w:val="13"/>
                <w:szCs w:val="13"/>
                <w:color w:val="auto"/>
              </w:rPr>
            </w:pPr>
          </w:p>
        </w:tc>
        <w:tc>
          <w:tcPr>
            <w:tcW w:w="1300" w:type="dxa"/>
            <w:vAlign w:val="bottom"/>
            <w:tcBorders>
              <w:top w:val="single" w:sz="8" w:color="auto"/>
            </w:tcBorders>
            <w:gridSpan w:val="3"/>
          </w:tcPr>
          <w:p>
            <w:pPr>
              <w:jc w:val="right"/>
              <w:ind w:right="740"/>
              <w:spacing w:after="0" w:line="155" w:lineRule="exact"/>
              <w:rPr>
                <w:sz w:val="20"/>
                <w:szCs w:val="20"/>
                <w:color w:val="auto"/>
              </w:rPr>
            </w:pPr>
            <w:r>
              <w:rPr>
                <w:rFonts w:ascii="Arial" w:cs="Arial" w:eastAsia="Arial" w:hAnsi="Arial"/>
                <w:sz w:val="14"/>
                <w:szCs w:val="14"/>
                <w:b w:val="1"/>
                <w:bCs w:val="1"/>
                <w:color w:val="auto"/>
              </w:rPr>
              <w:t>Level 1</w:t>
            </w:r>
          </w:p>
        </w:tc>
        <w:tc>
          <w:tcPr>
            <w:tcW w:w="40" w:type="dxa"/>
            <w:vAlign w:val="bottom"/>
            <w:tcBorders>
              <w:top w:val="single" w:sz="8" w:color="auto"/>
            </w:tcBorders>
          </w:tcPr>
          <w:p>
            <w:pPr>
              <w:spacing w:after="0"/>
              <w:rPr>
                <w:sz w:val="13"/>
                <w:szCs w:val="13"/>
                <w:color w:val="auto"/>
              </w:rPr>
            </w:pPr>
          </w:p>
        </w:tc>
        <w:tc>
          <w:tcPr>
            <w:tcW w:w="160" w:type="dxa"/>
            <w:vAlign w:val="bottom"/>
            <w:tcBorders>
              <w:top w:val="single" w:sz="8" w:color="auto"/>
            </w:tcBorders>
          </w:tcPr>
          <w:p>
            <w:pPr>
              <w:spacing w:after="0"/>
              <w:rPr>
                <w:sz w:val="13"/>
                <w:szCs w:val="13"/>
                <w:color w:val="auto"/>
              </w:rPr>
            </w:pPr>
          </w:p>
        </w:tc>
        <w:tc>
          <w:tcPr>
            <w:tcW w:w="200" w:type="dxa"/>
            <w:vAlign w:val="bottom"/>
            <w:tcBorders>
              <w:top w:val="single" w:sz="8" w:color="auto"/>
            </w:tcBorders>
          </w:tcPr>
          <w:p>
            <w:pPr>
              <w:spacing w:after="0"/>
              <w:rPr>
                <w:sz w:val="13"/>
                <w:szCs w:val="13"/>
                <w:color w:val="auto"/>
              </w:rPr>
            </w:pPr>
          </w:p>
        </w:tc>
        <w:tc>
          <w:tcPr>
            <w:tcW w:w="1380" w:type="dxa"/>
            <w:vAlign w:val="bottom"/>
            <w:tcBorders>
              <w:top w:val="single" w:sz="8" w:color="auto"/>
            </w:tcBorders>
            <w:gridSpan w:val="3"/>
          </w:tcPr>
          <w:p>
            <w:pPr>
              <w:jc w:val="right"/>
              <w:ind w:right="780"/>
              <w:spacing w:after="0" w:line="155" w:lineRule="exact"/>
              <w:rPr>
                <w:sz w:val="20"/>
                <w:szCs w:val="20"/>
                <w:color w:val="auto"/>
              </w:rPr>
            </w:pPr>
            <w:r>
              <w:rPr>
                <w:rFonts w:ascii="Arial" w:cs="Arial" w:eastAsia="Arial" w:hAnsi="Arial"/>
                <w:sz w:val="14"/>
                <w:szCs w:val="14"/>
                <w:b w:val="1"/>
                <w:bCs w:val="1"/>
                <w:color w:val="auto"/>
              </w:rPr>
              <w:t>Level 2</w:t>
            </w:r>
          </w:p>
        </w:tc>
        <w:tc>
          <w:tcPr>
            <w:tcW w:w="80" w:type="dxa"/>
            <w:vAlign w:val="bottom"/>
            <w:tcBorders>
              <w:top w:val="single" w:sz="8" w:color="auto"/>
            </w:tcBorders>
          </w:tcPr>
          <w:p>
            <w:pPr>
              <w:spacing w:after="0"/>
              <w:rPr>
                <w:sz w:val="13"/>
                <w:szCs w:val="13"/>
                <w:color w:val="auto"/>
              </w:rPr>
            </w:pPr>
          </w:p>
        </w:tc>
        <w:tc>
          <w:tcPr>
            <w:tcW w:w="280" w:type="dxa"/>
            <w:vAlign w:val="bottom"/>
            <w:tcBorders>
              <w:top w:val="single" w:sz="8" w:color="auto"/>
            </w:tcBorders>
          </w:tcPr>
          <w:p>
            <w:pPr>
              <w:spacing w:after="0"/>
              <w:rPr>
                <w:sz w:val="13"/>
                <w:szCs w:val="13"/>
                <w:color w:val="auto"/>
              </w:rPr>
            </w:pPr>
          </w:p>
        </w:tc>
        <w:tc>
          <w:tcPr>
            <w:tcW w:w="1120" w:type="dxa"/>
            <w:vAlign w:val="bottom"/>
            <w:tcBorders>
              <w:top w:val="single" w:sz="8" w:color="auto"/>
            </w:tcBorders>
          </w:tcPr>
          <w:p>
            <w:pPr>
              <w:jc w:val="right"/>
              <w:ind w:right="448"/>
              <w:spacing w:after="0" w:line="155" w:lineRule="exact"/>
              <w:rPr>
                <w:sz w:val="20"/>
                <w:szCs w:val="20"/>
                <w:color w:val="auto"/>
              </w:rPr>
            </w:pPr>
            <w:r>
              <w:rPr>
                <w:rFonts w:ascii="Arial" w:cs="Arial" w:eastAsia="Arial" w:hAnsi="Arial"/>
                <w:sz w:val="14"/>
                <w:szCs w:val="14"/>
                <w:b w:val="1"/>
                <w:bCs w:val="1"/>
                <w:color w:val="auto"/>
              </w:rPr>
              <w:t>Level 3</w:t>
            </w: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5"/>
        </w:trPr>
        <w:tc>
          <w:tcPr>
            <w:tcW w:w="4260" w:type="dxa"/>
            <w:vAlign w:val="bottom"/>
            <w:tcBorders>
              <w:top w:val="single" w:sz="8" w:color="auto"/>
            </w:tcBorders>
            <w:shd w:val="clear" w:color="auto" w:fill="CCECFF"/>
          </w:tcPr>
          <w:p>
            <w:pPr>
              <w:spacing w:after="0" w:line="155" w:lineRule="exact"/>
              <w:rPr>
                <w:sz w:val="20"/>
                <w:szCs w:val="20"/>
                <w:color w:val="auto"/>
              </w:rPr>
            </w:pPr>
            <w:r>
              <w:rPr>
                <w:rFonts w:ascii="Arial" w:cs="Arial" w:eastAsia="Arial" w:hAnsi="Arial"/>
                <w:sz w:val="14"/>
                <w:szCs w:val="14"/>
                <w:color w:val="auto"/>
              </w:rPr>
              <w:t>Debt investments</w:t>
            </w:r>
          </w:p>
        </w:tc>
        <w:tc>
          <w:tcPr>
            <w:tcW w:w="160" w:type="dxa"/>
            <w:vAlign w:val="bottom"/>
            <w:tcBorders>
              <w:top w:val="single" w:sz="8" w:color="CCECFF"/>
            </w:tcBorders>
            <w:shd w:val="clear" w:color="auto" w:fill="CCECFF"/>
          </w:tcPr>
          <w:p>
            <w:pPr>
              <w:spacing w:after="0"/>
              <w:rPr>
                <w:sz w:val="13"/>
                <w:szCs w:val="13"/>
                <w:color w:val="auto"/>
              </w:rPr>
            </w:pPr>
          </w:p>
        </w:tc>
        <w:tc>
          <w:tcPr>
            <w:tcW w:w="300" w:type="dxa"/>
            <w:vAlign w:val="bottom"/>
            <w:tcBorders>
              <w:top w:val="single" w:sz="8" w:color="auto"/>
            </w:tcBorders>
            <w:shd w:val="clear" w:color="auto" w:fill="CCECFF"/>
          </w:tcPr>
          <w:p>
            <w:pPr>
              <w:jc w:val="right"/>
              <w:ind w:right="148"/>
              <w:spacing w:after="0" w:line="155" w:lineRule="exact"/>
              <w:rPr>
                <w:sz w:val="20"/>
                <w:szCs w:val="20"/>
                <w:color w:val="auto"/>
              </w:rPr>
            </w:pPr>
            <w:r>
              <w:rPr>
                <w:rFonts w:ascii="Arial" w:cs="Arial" w:eastAsia="Arial" w:hAnsi="Arial"/>
                <w:sz w:val="14"/>
                <w:szCs w:val="14"/>
                <w:color w:val="auto"/>
                <w:w w:val="76"/>
              </w:rPr>
              <w:t>$</w:t>
            </w:r>
          </w:p>
        </w:tc>
        <w:tc>
          <w:tcPr>
            <w:tcW w:w="1180" w:type="dxa"/>
            <w:vAlign w:val="bottom"/>
            <w:tcBorders>
              <w:top w:val="single" w:sz="8" w:color="auto"/>
            </w:tcBorders>
            <w:shd w:val="clear" w:color="auto" w:fill="CCECFF"/>
          </w:tcPr>
          <w:p>
            <w:pPr>
              <w:jc w:val="right"/>
              <w:spacing w:after="0" w:line="155" w:lineRule="exact"/>
              <w:rPr>
                <w:sz w:val="20"/>
                <w:szCs w:val="20"/>
                <w:color w:val="auto"/>
              </w:rPr>
            </w:pPr>
            <w:r>
              <w:rPr>
                <w:rFonts w:ascii="Arial" w:cs="Arial" w:eastAsia="Arial" w:hAnsi="Arial"/>
                <w:sz w:val="14"/>
                <w:szCs w:val="14"/>
                <w:color w:val="auto"/>
              </w:rPr>
              <w:t>1,000,146,681</w:t>
            </w:r>
          </w:p>
        </w:tc>
        <w:tc>
          <w:tcPr>
            <w:tcW w:w="260" w:type="dxa"/>
            <w:vAlign w:val="bottom"/>
            <w:tcBorders>
              <w:top w:val="single" w:sz="8" w:color="CCECFF"/>
            </w:tcBorders>
            <w:shd w:val="clear" w:color="auto" w:fill="CCECFF"/>
          </w:tcPr>
          <w:p>
            <w:pPr>
              <w:spacing w:after="0"/>
              <w:rPr>
                <w:sz w:val="13"/>
                <w:szCs w:val="13"/>
                <w:color w:val="auto"/>
              </w:rPr>
            </w:pPr>
          </w:p>
        </w:tc>
        <w:tc>
          <w:tcPr>
            <w:tcW w:w="160" w:type="dxa"/>
            <w:vAlign w:val="bottom"/>
            <w:tcBorders>
              <w:top w:val="single" w:sz="8" w:color="auto"/>
            </w:tcBorders>
            <w:gridSpan w:val="2"/>
            <w:shd w:val="clear" w:color="auto" w:fill="CCECFF"/>
          </w:tcPr>
          <w:p>
            <w:pPr>
              <w:jc w:val="right"/>
              <w:ind w:right="80"/>
              <w:spacing w:after="0" w:line="155" w:lineRule="exact"/>
              <w:rPr>
                <w:sz w:val="20"/>
                <w:szCs w:val="20"/>
                <w:color w:val="auto"/>
              </w:rPr>
            </w:pPr>
            <w:r>
              <w:rPr>
                <w:rFonts w:ascii="Arial" w:cs="Arial" w:eastAsia="Arial" w:hAnsi="Arial"/>
                <w:sz w:val="14"/>
                <w:szCs w:val="14"/>
                <w:color w:val="auto"/>
                <w:w w:val="76"/>
              </w:rPr>
              <w:t>$</w:t>
            </w:r>
          </w:p>
        </w:tc>
        <w:tc>
          <w:tcPr>
            <w:tcW w:w="80" w:type="dxa"/>
            <w:vAlign w:val="bottom"/>
            <w:tcBorders>
              <w:top w:val="single" w:sz="8" w:color="auto"/>
            </w:tcBorders>
            <w:shd w:val="clear" w:color="auto" w:fill="CCECFF"/>
          </w:tcPr>
          <w:p>
            <w:pPr>
              <w:spacing w:after="0"/>
              <w:rPr>
                <w:sz w:val="13"/>
                <w:szCs w:val="13"/>
                <w:color w:val="auto"/>
              </w:rPr>
            </w:pPr>
          </w:p>
        </w:tc>
        <w:tc>
          <w:tcPr>
            <w:tcW w:w="160" w:type="dxa"/>
            <w:vAlign w:val="bottom"/>
            <w:tcBorders>
              <w:top w:val="single" w:sz="8" w:color="auto"/>
            </w:tcBorders>
            <w:shd w:val="clear" w:color="auto" w:fill="CCECFF"/>
          </w:tcPr>
          <w:p>
            <w:pPr>
              <w:spacing w:after="0"/>
              <w:rPr>
                <w:sz w:val="13"/>
                <w:szCs w:val="13"/>
                <w:color w:val="auto"/>
              </w:rPr>
            </w:pPr>
          </w:p>
        </w:tc>
        <w:tc>
          <w:tcPr>
            <w:tcW w:w="1080" w:type="dxa"/>
            <w:vAlign w:val="bottom"/>
            <w:tcBorders>
              <w:top w:val="single" w:sz="8" w:color="auto"/>
            </w:tcBorders>
            <w:shd w:val="clear" w:color="auto" w:fill="CCECFF"/>
          </w:tcPr>
          <w:p>
            <w:pPr>
              <w:jc w:val="right"/>
              <w:spacing w:after="0" w:line="155" w:lineRule="exact"/>
              <w:rPr>
                <w:sz w:val="20"/>
                <w:szCs w:val="20"/>
                <w:color w:val="auto"/>
              </w:rPr>
            </w:pPr>
            <w:r>
              <w:rPr>
                <w:rFonts w:ascii="Arial" w:cs="Arial" w:eastAsia="Arial" w:hAnsi="Arial"/>
                <w:sz w:val="14"/>
                <w:szCs w:val="14"/>
                <w:color w:val="auto"/>
              </w:rPr>
              <w:t>—</w:t>
            </w:r>
          </w:p>
        </w:tc>
        <w:tc>
          <w:tcPr>
            <w:tcW w:w="140" w:type="dxa"/>
            <w:vAlign w:val="bottom"/>
            <w:tcBorders>
              <w:top w:val="single" w:sz="8" w:color="CCECFF"/>
            </w:tcBorders>
            <w:shd w:val="clear" w:color="auto" w:fill="CCECFF"/>
          </w:tcPr>
          <w:p>
            <w:pPr>
              <w:spacing w:after="0"/>
              <w:rPr>
                <w:sz w:val="13"/>
                <w:szCs w:val="13"/>
                <w:color w:val="auto"/>
              </w:rPr>
            </w:pPr>
          </w:p>
        </w:tc>
        <w:tc>
          <w:tcPr>
            <w:tcW w:w="80" w:type="dxa"/>
            <w:vAlign w:val="bottom"/>
            <w:tcBorders>
              <w:top w:val="single" w:sz="8" w:color="CCECFF"/>
            </w:tcBorders>
            <w:shd w:val="clear" w:color="auto" w:fill="CCECFF"/>
          </w:tcPr>
          <w:p>
            <w:pPr>
              <w:spacing w:after="0"/>
              <w:rPr>
                <w:sz w:val="13"/>
                <w:szCs w:val="13"/>
                <w:color w:val="auto"/>
              </w:rPr>
            </w:pPr>
          </w:p>
        </w:tc>
        <w:tc>
          <w:tcPr>
            <w:tcW w:w="40" w:type="dxa"/>
            <w:vAlign w:val="bottom"/>
            <w:tcBorders>
              <w:top w:val="single" w:sz="8" w:color="CCECFF"/>
            </w:tcBorders>
            <w:shd w:val="clear" w:color="auto" w:fill="CCECFF"/>
          </w:tcPr>
          <w:p>
            <w:pPr>
              <w:spacing w:after="0"/>
              <w:rPr>
                <w:sz w:val="13"/>
                <w:szCs w:val="13"/>
                <w:color w:val="auto"/>
              </w:rPr>
            </w:pPr>
          </w:p>
        </w:tc>
        <w:tc>
          <w:tcPr>
            <w:tcW w:w="160" w:type="dxa"/>
            <w:vAlign w:val="bottom"/>
            <w:tcBorders>
              <w:top w:val="single" w:sz="8" w:color="auto"/>
            </w:tcBorders>
            <w:shd w:val="clear" w:color="auto" w:fill="CCECFF"/>
          </w:tcPr>
          <w:p>
            <w:pPr>
              <w:jc w:val="right"/>
              <w:ind w:right="8"/>
              <w:spacing w:after="0" w:line="155" w:lineRule="exact"/>
              <w:rPr>
                <w:sz w:val="20"/>
                <w:szCs w:val="20"/>
                <w:color w:val="auto"/>
              </w:rPr>
            </w:pPr>
            <w:r>
              <w:rPr>
                <w:rFonts w:ascii="Arial" w:cs="Arial" w:eastAsia="Arial" w:hAnsi="Arial"/>
                <w:sz w:val="14"/>
                <w:szCs w:val="14"/>
                <w:color w:val="auto"/>
                <w:w w:val="76"/>
              </w:rPr>
              <w:t>$</w:t>
            </w:r>
          </w:p>
        </w:tc>
        <w:tc>
          <w:tcPr>
            <w:tcW w:w="200" w:type="dxa"/>
            <w:vAlign w:val="bottom"/>
            <w:tcBorders>
              <w:top w:val="single" w:sz="8" w:color="auto"/>
            </w:tcBorders>
            <w:shd w:val="clear" w:color="auto" w:fill="CCECFF"/>
          </w:tcPr>
          <w:p>
            <w:pPr>
              <w:spacing w:after="0"/>
              <w:rPr>
                <w:sz w:val="13"/>
                <w:szCs w:val="13"/>
                <w:color w:val="auto"/>
              </w:rPr>
            </w:pPr>
          </w:p>
        </w:tc>
        <w:tc>
          <w:tcPr>
            <w:tcW w:w="1120" w:type="dxa"/>
            <w:vAlign w:val="bottom"/>
            <w:tcBorders>
              <w:top w:val="single" w:sz="8" w:color="auto"/>
            </w:tcBorders>
            <w:shd w:val="clear" w:color="auto" w:fill="CCECFF"/>
          </w:tcPr>
          <w:p>
            <w:pPr>
              <w:jc w:val="right"/>
              <w:spacing w:after="0" w:line="155" w:lineRule="exact"/>
              <w:rPr>
                <w:sz w:val="20"/>
                <w:szCs w:val="20"/>
                <w:color w:val="auto"/>
              </w:rPr>
            </w:pPr>
            <w:r>
              <w:rPr>
                <w:rFonts w:ascii="Arial" w:cs="Arial" w:eastAsia="Arial" w:hAnsi="Arial"/>
                <w:sz w:val="14"/>
                <w:szCs w:val="14"/>
                <w:color w:val="auto"/>
              </w:rPr>
              <w:t>—</w:t>
            </w:r>
          </w:p>
        </w:tc>
        <w:tc>
          <w:tcPr>
            <w:tcW w:w="80" w:type="dxa"/>
            <w:vAlign w:val="bottom"/>
            <w:tcBorders>
              <w:top w:val="single" w:sz="8" w:color="CCECFF"/>
            </w:tcBorders>
            <w:shd w:val="clear" w:color="auto" w:fill="CCECFF"/>
          </w:tcPr>
          <w:p>
            <w:pPr>
              <w:spacing w:after="0"/>
              <w:rPr>
                <w:sz w:val="13"/>
                <w:szCs w:val="13"/>
                <w:color w:val="auto"/>
              </w:rPr>
            </w:pPr>
          </w:p>
        </w:tc>
        <w:tc>
          <w:tcPr>
            <w:tcW w:w="180" w:type="dxa"/>
            <w:vAlign w:val="bottom"/>
            <w:tcBorders>
              <w:top w:val="single" w:sz="8" w:color="CCECFF"/>
            </w:tcBorders>
            <w:shd w:val="clear" w:color="auto" w:fill="CCECFF"/>
          </w:tcPr>
          <w:p>
            <w:pPr>
              <w:spacing w:after="0"/>
              <w:rPr>
                <w:sz w:val="13"/>
                <w:szCs w:val="13"/>
                <w:color w:val="auto"/>
              </w:rPr>
            </w:pPr>
          </w:p>
        </w:tc>
        <w:tc>
          <w:tcPr>
            <w:tcW w:w="80" w:type="dxa"/>
            <w:vAlign w:val="bottom"/>
            <w:tcBorders>
              <w:top w:val="single" w:sz="8" w:color="auto"/>
            </w:tcBorders>
            <w:shd w:val="clear" w:color="auto" w:fill="CCECFF"/>
          </w:tcPr>
          <w:p>
            <w:pPr>
              <w:jc w:val="right"/>
              <w:spacing w:after="0" w:line="155" w:lineRule="exact"/>
              <w:rPr>
                <w:sz w:val="20"/>
                <w:szCs w:val="20"/>
                <w:color w:val="auto"/>
              </w:rPr>
            </w:pPr>
            <w:r>
              <w:rPr>
                <w:rFonts w:ascii="Arial" w:cs="Arial" w:eastAsia="Arial" w:hAnsi="Arial"/>
                <w:sz w:val="14"/>
                <w:szCs w:val="14"/>
                <w:color w:val="auto"/>
                <w:w w:val="76"/>
              </w:rPr>
              <w:t>$</w:t>
            </w:r>
          </w:p>
        </w:tc>
        <w:tc>
          <w:tcPr>
            <w:tcW w:w="280" w:type="dxa"/>
            <w:vAlign w:val="bottom"/>
            <w:tcBorders>
              <w:top w:val="single" w:sz="8" w:color="auto"/>
            </w:tcBorders>
            <w:shd w:val="clear" w:color="auto" w:fill="CCECFF"/>
          </w:tcPr>
          <w:p>
            <w:pPr>
              <w:spacing w:after="0"/>
              <w:rPr>
                <w:sz w:val="13"/>
                <w:szCs w:val="13"/>
                <w:color w:val="auto"/>
              </w:rPr>
            </w:pPr>
          </w:p>
        </w:tc>
        <w:tc>
          <w:tcPr>
            <w:tcW w:w="1120" w:type="dxa"/>
            <w:vAlign w:val="bottom"/>
            <w:tcBorders>
              <w:top w:val="single" w:sz="8" w:color="auto"/>
            </w:tcBorders>
            <w:shd w:val="clear" w:color="auto" w:fill="CCECFF"/>
          </w:tcPr>
          <w:p>
            <w:pPr>
              <w:jc w:val="right"/>
              <w:spacing w:after="0" w:line="155" w:lineRule="exact"/>
              <w:rPr>
                <w:sz w:val="20"/>
                <w:szCs w:val="20"/>
                <w:color w:val="auto"/>
              </w:rPr>
            </w:pPr>
            <w:r>
              <w:rPr>
                <w:rFonts w:ascii="Arial" w:cs="Arial" w:eastAsia="Arial" w:hAnsi="Arial"/>
                <w:sz w:val="14"/>
                <w:szCs w:val="14"/>
                <w:color w:val="auto"/>
              </w:rPr>
              <w:t>1,000,146,681</w:t>
            </w:r>
          </w:p>
        </w:tc>
        <w:tc>
          <w:tcPr>
            <w:tcW w:w="20" w:type="dxa"/>
            <w:vAlign w:val="bottom"/>
            <w:tcBorders>
              <w:top w:val="single" w:sz="8" w:color="CCECFF"/>
            </w:tcBorders>
            <w:shd w:val="clear" w:color="auto" w:fill="CCECFF"/>
          </w:tcPr>
          <w:p>
            <w:pPr>
              <w:spacing w:after="0"/>
              <w:rPr>
                <w:sz w:val="13"/>
                <w:szCs w:val="13"/>
                <w:color w:val="auto"/>
              </w:rPr>
            </w:pPr>
          </w:p>
        </w:tc>
        <w:tc>
          <w:tcPr>
            <w:tcW w:w="100" w:type="dxa"/>
            <w:vAlign w:val="bottom"/>
            <w:tcBorders>
              <w:top w:val="single" w:sz="8" w:color="CCECFF"/>
            </w:tcBorders>
            <w:shd w:val="clear" w:color="auto" w:fill="CCECFF"/>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2"/>
        </w:trPr>
        <w:tc>
          <w:tcPr>
            <w:tcW w:w="4260" w:type="dxa"/>
            <w:vAlign w:val="bottom"/>
            <w:tcBorders>
              <w:bottom w:val="single" w:sz="8" w:color="CCECFF"/>
            </w:tcBorders>
          </w:tcPr>
          <w:p>
            <w:pPr>
              <w:spacing w:after="0"/>
              <w:rPr>
                <w:sz w:val="20"/>
                <w:szCs w:val="20"/>
                <w:color w:val="auto"/>
              </w:rPr>
            </w:pPr>
            <w:r>
              <w:rPr>
                <w:rFonts w:ascii="Arial" w:cs="Arial" w:eastAsia="Arial" w:hAnsi="Arial"/>
                <w:sz w:val="14"/>
                <w:szCs w:val="14"/>
                <w:color w:val="auto"/>
              </w:rPr>
              <w:t>Equity investments</w:t>
            </w:r>
          </w:p>
        </w:tc>
        <w:tc>
          <w:tcPr>
            <w:tcW w:w="160" w:type="dxa"/>
            <w:vAlign w:val="bottom"/>
            <w:tcBorders>
              <w:bottom w:val="single" w:sz="8" w:color="CCECFF"/>
            </w:tcBorders>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153,532,994</w:t>
            </w:r>
          </w:p>
        </w:tc>
        <w:tc>
          <w:tcPr>
            <w:tcW w:w="260" w:type="dxa"/>
            <w:vAlign w:val="bottom"/>
            <w:tcBorders>
              <w:bottom w:val="single" w:sz="8" w:color="CCECFF"/>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2,758,757</w:t>
            </w:r>
          </w:p>
        </w:tc>
        <w:tc>
          <w:tcPr>
            <w:tcW w:w="140" w:type="dxa"/>
            <w:vAlign w:val="bottom"/>
            <w:tcBorders>
              <w:bottom w:val="single" w:sz="8" w:color="CCECFF"/>
            </w:tcBorders>
          </w:tcPr>
          <w:p>
            <w:pPr>
              <w:spacing w:after="0"/>
              <w:rPr>
                <w:sz w:val="14"/>
                <w:szCs w:val="14"/>
                <w:color w:val="auto"/>
              </w:rPr>
            </w:pPr>
          </w:p>
        </w:tc>
        <w:tc>
          <w:tcPr>
            <w:tcW w:w="80" w:type="dxa"/>
            <w:vAlign w:val="bottom"/>
            <w:tcBorders>
              <w:bottom w:val="single" w:sz="8" w:color="CCECFF"/>
            </w:tcBorders>
          </w:tcPr>
          <w:p>
            <w:pPr>
              <w:spacing w:after="0"/>
              <w:rPr>
                <w:sz w:val="14"/>
                <w:szCs w:val="14"/>
                <w:color w:val="auto"/>
              </w:rPr>
            </w:pPr>
          </w:p>
        </w:tc>
        <w:tc>
          <w:tcPr>
            <w:tcW w:w="40" w:type="dxa"/>
            <w:vAlign w:val="bottom"/>
            <w:tcBorders>
              <w:bottom w:val="single" w:sz="8" w:color="CCECFF"/>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25,141,220</w:t>
            </w:r>
          </w:p>
        </w:tc>
        <w:tc>
          <w:tcPr>
            <w:tcW w:w="80" w:type="dxa"/>
            <w:vAlign w:val="bottom"/>
            <w:tcBorders>
              <w:bottom w:val="single" w:sz="8" w:color="CCECFF"/>
            </w:tcBorders>
          </w:tcPr>
          <w:p>
            <w:pPr>
              <w:spacing w:after="0"/>
              <w:rPr>
                <w:sz w:val="14"/>
                <w:szCs w:val="14"/>
                <w:color w:val="auto"/>
              </w:rPr>
            </w:pPr>
          </w:p>
        </w:tc>
        <w:tc>
          <w:tcPr>
            <w:tcW w:w="180" w:type="dxa"/>
            <w:vAlign w:val="bottom"/>
            <w:tcBorders>
              <w:bottom w:val="single" w:sz="8" w:color="CCECFF"/>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125,633,017</w:t>
            </w:r>
          </w:p>
        </w:tc>
        <w:tc>
          <w:tcPr>
            <w:tcW w:w="20" w:type="dxa"/>
            <w:vAlign w:val="bottom"/>
            <w:tcBorders>
              <w:bottom w:val="single" w:sz="8" w:color="CCECFF"/>
            </w:tcBorders>
          </w:tcPr>
          <w:p>
            <w:pPr>
              <w:spacing w:after="0"/>
              <w:rPr>
                <w:sz w:val="14"/>
                <w:szCs w:val="14"/>
                <w:color w:val="auto"/>
              </w:rPr>
            </w:pPr>
          </w:p>
        </w:tc>
        <w:tc>
          <w:tcPr>
            <w:tcW w:w="100" w:type="dxa"/>
            <w:vAlign w:val="bottom"/>
            <w:tcBorders>
              <w:bottom w:val="single" w:sz="8" w:color="CCECFF"/>
            </w:tcBorders>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5"/>
        </w:trPr>
        <w:tc>
          <w:tcPr>
            <w:tcW w:w="4260" w:type="dxa"/>
            <w:vAlign w:val="bottom"/>
            <w:shd w:val="clear" w:color="auto" w:fill="CCECFF"/>
          </w:tcPr>
          <w:p>
            <w:pPr>
              <w:ind w:left="500"/>
              <w:spacing w:after="0" w:line="155" w:lineRule="exact"/>
              <w:rPr>
                <w:sz w:val="20"/>
                <w:szCs w:val="20"/>
                <w:color w:val="auto"/>
              </w:rPr>
            </w:pPr>
            <w:r>
              <w:rPr>
                <w:rFonts w:ascii="Arial" w:cs="Arial" w:eastAsia="Arial" w:hAnsi="Arial"/>
                <w:sz w:val="14"/>
                <w:szCs w:val="14"/>
                <w:color w:val="auto"/>
              </w:rPr>
              <w:t>Total investments</w:t>
            </w:r>
          </w:p>
        </w:tc>
        <w:tc>
          <w:tcPr>
            <w:tcW w:w="160" w:type="dxa"/>
            <w:vAlign w:val="bottom"/>
            <w:shd w:val="clear" w:color="auto" w:fill="CCECFF"/>
          </w:tcPr>
          <w:p>
            <w:pPr>
              <w:spacing w:after="0"/>
              <w:rPr>
                <w:sz w:val="13"/>
                <w:szCs w:val="13"/>
                <w:color w:val="auto"/>
              </w:rPr>
            </w:pPr>
          </w:p>
        </w:tc>
        <w:tc>
          <w:tcPr>
            <w:tcW w:w="300" w:type="dxa"/>
            <w:vAlign w:val="bottom"/>
            <w:shd w:val="clear" w:color="auto" w:fill="CCECFF"/>
          </w:tcPr>
          <w:p>
            <w:pPr>
              <w:spacing w:after="0"/>
              <w:rPr>
                <w:sz w:val="13"/>
                <w:szCs w:val="13"/>
                <w:color w:val="auto"/>
              </w:rPr>
            </w:pPr>
          </w:p>
        </w:tc>
        <w:tc>
          <w:tcPr>
            <w:tcW w:w="1180" w:type="dxa"/>
            <w:vAlign w:val="bottom"/>
            <w:shd w:val="clear" w:color="auto" w:fill="CCECFF"/>
          </w:tcPr>
          <w:p>
            <w:pPr>
              <w:jc w:val="right"/>
              <w:spacing w:after="0" w:line="155" w:lineRule="exact"/>
              <w:rPr>
                <w:sz w:val="20"/>
                <w:szCs w:val="20"/>
                <w:color w:val="auto"/>
              </w:rPr>
            </w:pPr>
            <w:r>
              <w:rPr>
                <w:rFonts w:ascii="Arial" w:cs="Arial" w:eastAsia="Arial" w:hAnsi="Arial"/>
                <w:sz w:val="14"/>
                <w:szCs w:val="14"/>
                <w:color w:val="auto"/>
              </w:rPr>
              <w:t>1,153,679,675</w:t>
            </w:r>
          </w:p>
        </w:tc>
        <w:tc>
          <w:tcPr>
            <w:tcW w:w="260" w:type="dxa"/>
            <w:vAlign w:val="bottom"/>
            <w:shd w:val="clear" w:color="auto" w:fill="CCECFF"/>
          </w:tcPr>
          <w:p>
            <w:pPr>
              <w:spacing w:after="0"/>
              <w:rPr>
                <w:sz w:val="13"/>
                <w:szCs w:val="13"/>
                <w:color w:val="auto"/>
              </w:rPr>
            </w:pPr>
          </w:p>
        </w:tc>
        <w:tc>
          <w:tcPr>
            <w:tcW w:w="80" w:type="dxa"/>
            <w:vAlign w:val="bottom"/>
            <w:shd w:val="clear" w:color="auto" w:fill="CCECFF"/>
          </w:tcPr>
          <w:p>
            <w:pPr>
              <w:spacing w:after="0"/>
              <w:rPr>
                <w:sz w:val="13"/>
                <w:szCs w:val="13"/>
                <w:color w:val="auto"/>
              </w:rPr>
            </w:pPr>
          </w:p>
        </w:tc>
        <w:tc>
          <w:tcPr>
            <w:tcW w:w="80" w:type="dxa"/>
            <w:vAlign w:val="bottom"/>
            <w:shd w:val="clear" w:color="auto" w:fill="CCECFF"/>
          </w:tcPr>
          <w:p>
            <w:pPr>
              <w:spacing w:after="0"/>
              <w:rPr>
                <w:sz w:val="13"/>
                <w:szCs w:val="13"/>
                <w:color w:val="auto"/>
              </w:rPr>
            </w:pPr>
          </w:p>
        </w:tc>
        <w:tc>
          <w:tcPr>
            <w:tcW w:w="80" w:type="dxa"/>
            <w:vAlign w:val="bottom"/>
            <w:shd w:val="clear" w:color="auto" w:fill="CCECFF"/>
          </w:tcPr>
          <w:p>
            <w:pPr>
              <w:spacing w:after="0"/>
              <w:rPr>
                <w:sz w:val="13"/>
                <w:szCs w:val="13"/>
                <w:color w:val="auto"/>
              </w:rPr>
            </w:pPr>
          </w:p>
        </w:tc>
        <w:tc>
          <w:tcPr>
            <w:tcW w:w="160" w:type="dxa"/>
            <w:vAlign w:val="bottom"/>
            <w:shd w:val="clear" w:color="auto" w:fill="CCECFF"/>
          </w:tcPr>
          <w:p>
            <w:pPr>
              <w:spacing w:after="0"/>
              <w:rPr>
                <w:sz w:val="13"/>
                <w:szCs w:val="13"/>
                <w:color w:val="auto"/>
              </w:rPr>
            </w:pPr>
          </w:p>
        </w:tc>
        <w:tc>
          <w:tcPr>
            <w:tcW w:w="1080" w:type="dxa"/>
            <w:vAlign w:val="bottom"/>
            <w:shd w:val="clear" w:color="auto" w:fill="CCECFF"/>
          </w:tcPr>
          <w:p>
            <w:pPr>
              <w:jc w:val="right"/>
              <w:spacing w:after="0" w:line="155" w:lineRule="exact"/>
              <w:rPr>
                <w:sz w:val="20"/>
                <w:szCs w:val="20"/>
                <w:color w:val="auto"/>
              </w:rPr>
            </w:pPr>
            <w:r>
              <w:rPr>
                <w:rFonts w:ascii="Arial" w:cs="Arial" w:eastAsia="Arial" w:hAnsi="Arial"/>
                <w:sz w:val="14"/>
                <w:szCs w:val="14"/>
                <w:color w:val="auto"/>
              </w:rPr>
              <w:t>2,758,757</w:t>
            </w:r>
          </w:p>
        </w:tc>
        <w:tc>
          <w:tcPr>
            <w:tcW w:w="140" w:type="dxa"/>
            <w:vAlign w:val="bottom"/>
            <w:shd w:val="clear" w:color="auto" w:fill="CCECFF"/>
          </w:tcPr>
          <w:p>
            <w:pPr>
              <w:spacing w:after="0"/>
              <w:rPr>
                <w:sz w:val="13"/>
                <w:szCs w:val="13"/>
                <w:color w:val="auto"/>
              </w:rPr>
            </w:pPr>
          </w:p>
        </w:tc>
        <w:tc>
          <w:tcPr>
            <w:tcW w:w="80" w:type="dxa"/>
            <w:vAlign w:val="bottom"/>
            <w:shd w:val="clear" w:color="auto" w:fill="CCECFF"/>
          </w:tcPr>
          <w:p>
            <w:pPr>
              <w:spacing w:after="0"/>
              <w:rPr>
                <w:sz w:val="13"/>
                <w:szCs w:val="13"/>
                <w:color w:val="auto"/>
              </w:rPr>
            </w:pPr>
          </w:p>
        </w:tc>
        <w:tc>
          <w:tcPr>
            <w:tcW w:w="40" w:type="dxa"/>
            <w:vAlign w:val="bottom"/>
            <w:shd w:val="clear" w:color="auto" w:fill="CCECFF"/>
          </w:tcPr>
          <w:p>
            <w:pPr>
              <w:spacing w:after="0"/>
              <w:rPr>
                <w:sz w:val="13"/>
                <w:szCs w:val="13"/>
                <w:color w:val="auto"/>
              </w:rPr>
            </w:pPr>
          </w:p>
        </w:tc>
        <w:tc>
          <w:tcPr>
            <w:tcW w:w="160" w:type="dxa"/>
            <w:vAlign w:val="bottom"/>
            <w:shd w:val="clear" w:color="auto" w:fill="CCECFF"/>
          </w:tcPr>
          <w:p>
            <w:pPr>
              <w:spacing w:after="0"/>
              <w:rPr>
                <w:sz w:val="13"/>
                <w:szCs w:val="13"/>
                <w:color w:val="auto"/>
              </w:rPr>
            </w:pPr>
          </w:p>
        </w:tc>
        <w:tc>
          <w:tcPr>
            <w:tcW w:w="200" w:type="dxa"/>
            <w:vAlign w:val="bottom"/>
            <w:shd w:val="clear" w:color="auto" w:fill="CCECFF"/>
          </w:tcPr>
          <w:p>
            <w:pPr>
              <w:spacing w:after="0"/>
              <w:rPr>
                <w:sz w:val="13"/>
                <w:szCs w:val="13"/>
                <w:color w:val="auto"/>
              </w:rPr>
            </w:pPr>
          </w:p>
        </w:tc>
        <w:tc>
          <w:tcPr>
            <w:tcW w:w="1120" w:type="dxa"/>
            <w:vAlign w:val="bottom"/>
            <w:shd w:val="clear" w:color="auto" w:fill="CCECFF"/>
          </w:tcPr>
          <w:p>
            <w:pPr>
              <w:jc w:val="right"/>
              <w:spacing w:after="0" w:line="155" w:lineRule="exact"/>
              <w:rPr>
                <w:sz w:val="20"/>
                <w:szCs w:val="20"/>
                <w:color w:val="auto"/>
              </w:rPr>
            </w:pPr>
            <w:r>
              <w:rPr>
                <w:rFonts w:ascii="Arial" w:cs="Arial" w:eastAsia="Arial" w:hAnsi="Arial"/>
                <w:sz w:val="14"/>
                <w:szCs w:val="14"/>
                <w:color w:val="auto"/>
              </w:rPr>
              <w:t>25,141,220</w:t>
            </w:r>
          </w:p>
        </w:tc>
        <w:tc>
          <w:tcPr>
            <w:tcW w:w="80" w:type="dxa"/>
            <w:vAlign w:val="bottom"/>
            <w:shd w:val="clear" w:color="auto" w:fill="CCECFF"/>
          </w:tcPr>
          <w:p>
            <w:pPr>
              <w:spacing w:after="0"/>
              <w:rPr>
                <w:sz w:val="13"/>
                <w:szCs w:val="13"/>
                <w:color w:val="auto"/>
              </w:rPr>
            </w:pPr>
          </w:p>
        </w:tc>
        <w:tc>
          <w:tcPr>
            <w:tcW w:w="180" w:type="dxa"/>
            <w:vAlign w:val="bottom"/>
            <w:shd w:val="clear" w:color="auto" w:fill="CCECFF"/>
          </w:tcPr>
          <w:p>
            <w:pPr>
              <w:spacing w:after="0"/>
              <w:rPr>
                <w:sz w:val="13"/>
                <w:szCs w:val="13"/>
                <w:color w:val="auto"/>
              </w:rPr>
            </w:pPr>
          </w:p>
        </w:tc>
        <w:tc>
          <w:tcPr>
            <w:tcW w:w="80" w:type="dxa"/>
            <w:vAlign w:val="bottom"/>
            <w:shd w:val="clear" w:color="auto" w:fill="CCECFF"/>
          </w:tcPr>
          <w:p>
            <w:pPr>
              <w:spacing w:after="0"/>
              <w:rPr>
                <w:sz w:val="13"/>
                <w:szCs w:val="13"/>
                <w:color w:val="auto"/>
              </w:rPr>
            </w:pPr>
          </w:p>
        </w:tc>
        <w:tc>
          <w:tcPr>
            <w:tcW w:w="280" w:type="dxa"/>
            <w:vAlign w:val="bottom"/>
            <w:shd w:val="clear" w:color="auto" w:fill="CCECFF"/>
          </w:tcPr>
          <w:p>
            <w:pPr>
              <w:spacing w:after="0"/>
              <w:rPr>
                <w:sz w:val="13"/>
                <w:szCs w:val="13"/>
                <w:color w:val="auto"/>
              </w:rPr>
            </w:pPr>
          </w:p>
        </w:tc>
        <w:tc>
          <w:tcPr>
            <w:tcW w:w="1120" w:type="dxa"/>
            <w:vAlign w:val="bottom"/>
            <w:shd w:val="clear" w:color="auto" w:fill="CCECFF"/>
          </w:tcPr>
          <w:p>
            <w:pPr>
              <w:jc w:val="right"/>
              <w:spacing w:after="0" w:line="155" w:lineRule="exact"/>
              <w:rPr>
                <w:sz w:val="20"/>
                <w:szCs w:val="20"/>
                <w:color w:val="auto"/>
              </w:rPr>
            </w:pPr>
            <w:r>
              <w:rPr>
                <w:rFonts w:ascii="Arial" w:cs="Arial" w:eastAsia="Arial" w:hAnsi="Arial"/>
                <w:sz w:val="14"/>
                <w:szCs w:val="14"/>
                <w:color w:val="auto"/>
              </w:rPr>
              <w:t>1,125,779,698</w:t>
            </w:r>
          </w:p>
        </w:tc>
        <w:tc>
          <w:tcPr>
            <w:tcW w:w="20" w:type="dxa"/>
            <w:vAlign w:val="bottom"/>
            <w:shd w:val="clear" w:color="auto" w:fill="CCECFF"/>
          </w:tcPr>
          <w:p>
            <w:pPr>
              <w:spacing w:after="0"/>
              <w:rPr>
                <w:sz w:val="13"/>
                <w:szCs w:val="13"/>
                <w:color w:val="auto"/>
              </w:rPr>
            </w:pPr>
          </w:p>
        </w:tc>
        <w:tc>
          <w:tcPr>
            <w:tcW w:w="100" w:type="dxa"/>
            <w:vAlign w:val="bottom"/>
            <w:shd w:val="clear" w:color="auto" w:fill="CCECFF"/>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2"/>
        </w:trPr>
        <w:tc>
          <w:tcPr>
            <w:tcW w:w="4260" w:type="dxa"/>
            <w:vAlign w:val="bottom"/>
          </w:tcPr>
          <w:p>
            <w:pPr>
              <w:spacing w:after="0"/>
              <w:rPr>
                <w:sz w:val="20"/>
                <w:szCs w:val="20"/>
                <w:color w:val="auto"/>
              </w:rPr>
            </w:pPr>
            <w:r>
              <w:rPr>
                <w:rFonts w:ascii="Arial" w:cs="Arial" w:eastAsia="Arial" w:hAnsi="Arial"/>
                <w:sz w:val="14"/>
                <w:szCs w:val="14"/>
                <w:color w:val="auto"/>
              </w:rPr>
              <w:t>Cash and cash equivalents</w:t>
            </w:r>
          </w:p>
        </w:tc>
        <w:tc>
          <w:tcPr>
            <w:tcW w:w="1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180" w:type="dxa"/>
            <w:vAlign w:val="bottom"/>
          </w:tcPr>
          <w:p>
            <w:pPr>
              <w:jc w:val="right"/>
              <w:spacing w:after="0"/>
              <w:rPr>
                <w:sz w:val="20"/>
                <w:szCs w:val="20"/>
                <w:color w:val="auto"/>
              </w:rPr>
            </w:pPr>
            <w:r>
              <w:rPr>
                <w:rFonts w:ascii="Arial" w:cs="Arial" w:eastAsia="Arial" w:hAnsi="Arial"/>
                <w:sz w:val="14"/>
                <w:szCs w:val="14"/>
                <w:color w:val="auto"/>
              </w:rPr>
              <w:t>75,608,113</w:t>
            </w:r>
          </w:p>
        </w:tc>
        <w:tc>
          <w:tcPr>
            <w:tcW w:w="2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80" w:type="dxa"/>
            <w:vAlign w:val="bottom"/>
          </w:tcPr>
          <w:p>
            <w:pPr>
              <w:jc w:val="right"/>
              <w:spacing w:after="0"/>
              <w:rPr>
                <w:sz w:val="20"/>
                <w:szCs w:val="20"/>
                <w:color w:val="auto"/>
              </w:rPr>
            </w:pPr>
            <w:r>
              <w:rPr>
                <w:rFonts w:ascii="Arial" w:cs="Arial" w:eastAsia="Arial" w:hAnsi="Arial"/>
                <w:sz w:val="14"/>
                <w:szCs w:val="14"/>
                <w:color w:val="auto"/>
              </w:rPr>
              <w:t>75,608,113</w:t>
            </w: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380" w:type="dxa"/>
            <w:vAlign w:val="bottom"/>
            <w:gridSpan w:val="3"/>
          </w:tcPr>
          <w:p>
            <w:pPr>
              <w:jc w:val="right"/>
              <w:ind w:right="280"/>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240" w:type="dxa"/>
            <w:vAlign w:val="bottom"/>
            <w:gridSpan w:val="3"/>
          </w:tcPr>
          <w:p>
            <w:pPr>
              <w:jc w:val="right"/>
              <w:ind w:right="140"/>
              <w:spacing w:after="0"/>
              <w:rPr>
                <w:sz w:val="20"/>
                <w:szCs w:val="20"/>
                <w:color w:val="auto"/>
              </w:rPr>
            </w:pPr>
            <w:r>
              <w:rPr>
                <w:rFonts w:ascii="Arial" w:cs="Arial" w:eastAsia="Arial" w:hAnsi="Arial"/>
                <w:sz w:val="14"/>
                <w:szCs w:val="14"/>
                <w:color w:val="auto"/>
              </w:rPr>
              <w:t>—</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5"/>
        </w:trPr>
        <w:tc>
          <w:tcPr>
            <w:tcW w:w="4260" w:type="dxa"/>
            <w:vAlign w:val="bottom"/>
            <w:tcBorders>
              <w:top w:val="single" w:sz="8" w:color="CCECFF"/>
              <w:bottom w:val="single" w:sz="8" w:color="CCECFF"/>
            </w:tcBorders>
            <w:shd w:val="clear" w:color="auto" w:fill="CCECFF"/>
          </w:tcPr>
          <w:p>
            <w:pPr>
              <w:ind w:left="500"/>
              <w:spacing w:after="0" w:line="155" w:lineRule="exact"/>
              <w:rPr>
                <w:sz w:val="20"/>
                <w:szCs w:val="20"/>
                <w:color w:val="auto"/>
              </w:rPr>
            </w:pPr>
            <w:r>
              <w:rPr>
                <w:rFonts w:ascii="Arial" w:cs="Arial" w:eastAsia="Arial" w:hAnsi="Arial"/>
                <w:sz w:val="14"/>
                <w:szCs w:val="14"/>
                <w:color w:val="auto"/>
              </w:rPr>
              <w:t>Total investments, cash and cash equivalents</w:t>
            </w:r>
          </w:p>
        </w:tc>
        <w:tc>
          <w:tcPr>
            <w:tcW w:w="160" w:type="dxa"/>
            <w:vAlign w:val="bottom"/>
            <w:tcBorders>
              <w:top w:val="single" w:sz="8" w:color="CCECFF"/>
              <w:bottom w:val="single" w:sz="8" w:color="CCECFF"/>
            </w:tcBorders>
            <w:shd w:val="clear" w:color="auto" w:fill="CCECFF"/>
          </w:tcPr>
          <w:p>
            <w:pPr>
              <w:spacing w:after="0"/>
              <w:rPr>
                <w:sz w:val="13"/>
                <w:szCs w:val="13"/>
                <w:color w:val="auto"/>
              </w:rPr>
            </w:pPr>
          </w:p>
        </w:tc>
        <w:tc>
          <w:tcPr>
            <w:tcW w:w="300" w:type="dxa"/>
            <w:vAlign w:val="bottom"/>
            <w:tcBorders>
              <w:top w:val="single" w:sz="8" w:color="auto"/>
              <w:bottom w:val="single" w:sz="8" w:color="auto"/>
            </w:tcBorders>
            <w:shd w:val="clear" w:color="auto" w:fill="CCECFF"/>
          </w:tcPr>
          <w:p>
            <w:pPr>
              <w:jc w:val="right"/>
              <w:ind w:right="148"/>
              <w:spacing w:after="0" w:line="155" w:lineRule="exact"/>
              <w:rPr>
                <w:sz w:val="20"/>
                <w:szCs w:val="20"/>
                <w:color w:val="auto"/>
              </w:rPr>
            </w:pPr>
            <w:r>
              <w:rPr>
                <w:rFonts w:ascii="Arial" w:cs="Arial" w:eastAsia="Arial" w:hAnsi="Arial"/>
                <w:sz w:val="14"/>
                <w:szCs w:val="14"/>
                <w:color w:val="auto"/>
                <w:w w:val="76"/>
              </w:rPr>
              <w:t>$</w:t>
            </w:r>
          </w:p>
        </w:tc>
        <w:tc>
          <w:tcPr>
            <w:tcW w:w="1180" w:type="dxa"/>
            <w:vAlign w:val="bottom"/>
            <w:tcBorders>
              <w:top w:val="single" w:sz="8" w:color="auto"/>
              <w:bottom w:val="single" w:sz="8" w:color="auto"/>
            </w:tcBorders>
            <w:shd w:val="clear" w:color="auto" w:fill="CCECFF"/>
          </w:tcPr>
          <w:p>
            <w:pPr>
              <w:jc w:val="right"/>
              <w:spacing w:after="0" w:line="155" w:lineRule="exact"/>
              <w:rPr>
                <w:sz w:val="20"/>
                <w:szCs w:val="20"/>
                <w:color w:val="auto"/>
              </w:rPr>
            </w:pPr>
            <w:r>
              <w:rPr>
                <w:rFonts w:ascii="Arial" w:cs="Arial" w:eastAsia="Arial" w:hAnsi="Arial"/>
                <w:sz w:val="14"/>
                <w:szCs w:val="14"/>
                <w:color w:val="auto"/>
              </w:rPr>
              <w:t>1,229,287,788</w:t>
            </w:r>
          </w:p>
        </w:tc>
        <w:tc>
          <w:tcPr>
            <w:tcW w:w="260" w:type="dxa"/>
            <w:vAlign w:val="bottom"/>
            <w:tcBorders>
              <w:top w:val="single" w:sz="8" w:color="CCECFF"/>
              <w:bottom w:val="single" w:sz="8" w:color="CCECFF"/>
            </w:tcBorders>
            <w:shd w:val="clear" w:color="auto" w:fill="CCECFF"/>
          </w:tcPr>
          <w:p>
            <w:pPr>
              <w:spacing w:after="0"/>
              <w:rPr>
                <w:sz w:val="13"/>
                <w:szCs w:val="13"/>
                <w:color w:val="auto"/>
              </w:rPr>
            </w:pPr>
          </w:p>
        </w:tc>
        <w:tc>
          <w:tcPr>
            <w:tcW w:w="160" w:type="dxa"/>
            <w:vAlign w:val="bottom"/>
            <w:tcBorders>
              <w:top w:val="single" w:sz="8" w:color="auto"/>
              <w:bottom w:val="single" w:sz="8" w:color="auto"/>
            </w:tcBorders>
            <w:gridSpan w:val="2"/>
            <w:shd w:val="clear" w:color="auto" w:fill="CCECFF"/>
          </w:tcPr>
          <w:p>
            <w:pPr>
              <w:jc w:val="right"/>
              <w:ind w:right="80"/>
              <w:spacing w:after="0" w:line="155" w:lineRule="exact"/>
              <w:rPr>
                <w:sz w:val="20"/>
                <w:szCs w:val="20"/>
                <w:color w:val="auto"/>
              </w:rPr>
            </w:pPr>
            <w:r>
              <w:rPr>
                <w:rFonts w:ascii="Arial" w:cs="Arial" w:eastAsia="Arial" w:hAnsi="Arial"/>
                <w:sz w:val="14"/>
                <w:szCs w:val="14"/>
                <w:color w:val="auto"/>
                <w:w w:val="76"/>
              </w:rPr>
              <w:t>$</w:t>
            </w:r>
          </w:p>
        </w:tc>
        <w:tc>
          <w:tcPr>
            <w:tcW w:w="80" w:type="dxa"/>
            <w:vAlign w:val="bottom"/>
            <w:tcBorders>
              <w:top w:val="single" w:sz="8" w:color="auto"/>
              <w:bottom w:val="single" w:sz="8" w:color="auto"/>
            </w:tcBorders>
            <w:shd w:val="clear" w:color="auto" w:fill="CCECFF"/>
          </w:tcPr>
          <w:p>
            <w:pPr>
              <w:spacing w:after="0"/>
              <w:rPr>
                <w:sz w:val="13"/>
                <w:szCs w:val="13"/>
                <w:color w:val="auto"/>
              </w:rPr>
            </w:pPr>
          </w:p>
        </w:tc>
        <w:tc>
          <w:tcPr>
            <w:tcW w:w="160" w:type="dxa"/>
            <w:vAlign w:val="bottom"/>
            <w:tcBorders>
              <w:top w:val="single" w:sz="8" w:color="auto"/>
              <w:bottom w:val="single" w:sz="8" w:color="auto"/>
            </w:tcBorders>
            <w:shd w:val="clear" w:color="auto" w:fill="CCECFF"/>
          </w:tcPr>
          <w:p>
            <w:pPr>
              <w:spacing w:after="0"/>
              <w:rPr>
                <w:sz w:val="13"/>
                <w:szCs w:val="13"/>
                <w:color w:val="auto"/>
              </w:rPr>
            </w:pPr>
          </w:p>
        </w:tc>
        <w:tc>
          <w:tcPr>
            <w:tcW w:w="1080" w:type="dxa"/>
            <w:vAlign w:val="bottom"/>
            <w:tcBorders>
              <w:top w:val="single" w:sz="8" w:color="auto"/>
              <w:bottom w:val="single" w:sz="8" w:color="auto"/>
            </w:tcBorders>
            <w:shd w:val="clear" w:color="auto" w:fill="CCECFF"/>
          </w:tcPr>
          <w:p>
            <w:pPr>
              <w:jc w:val="right"/>
              <w:spacing w:after="0" w:line="155" w:lineRule="exact"/>
              <w:rPr>
                <w:sz w:val="20"/>
                <w:szCs w:val="20"/>
                <w:color w:val="auto"/>
              </w:rPr>
            </w:pPr>
            <w:r>
              <w:rPr>
                <w:rFonts w:ascii="Arial" w:cs="Arial" w:eastAsia="Arial" w:hAnsi="Arial"/>
                <w:sz w:val="14"/>
                <w:szCs w:val="14"/>
                <w:color w:val="auto"/>
              </w:rPr>
              <w:t>78,366,870</w:t>
            </w:r>
          </w:p>
        </w:tc>
        <w:tc>
          <w:tcPr>
            <w:tcW w:w="140" w:type="dxa"/>
            <w:vAlign w:val="bottom"/>
            <w:tcBorders>
              <w:top w:val="single" w:sz="8" w:color="CCECFF"/>
              <w:bottom w:val="single" w:sz="8" w:color="CCECFF"/>
            </w:tcBorders>
            <w:shd w:val="clear" w:color="auto" w:fill="CCECFF"/>
          </w:tcPr>
          <w:p>
            <w:pPr>
              <w:spacing w:after="0"/>
              <w:rPr>
                <w:sz w:val="13"/>
                <w:szCs w:val="13"/>
                <w:color w:val="auto"/>
              </w:rPr>
            </w:pPr>
          </w:p>
        </w:tc>
        <w:tc>
          <w:tcPr>
            <w:tcW w:w="80" w:type="dxa"/>
            <w:vAlign w:val="bottom"/>
            <w:tcBorders>
              <w:top w:val="single" w:sz="8" w:color="CCECFF"/>
              <w:bottom w:val="single" w:sz="8" w:color="CCECFF"/>
            </w:tcBorders>
            <w:shd w:val="clear" w:color="auto" w:fill="CCECFF"/>
          </w:tcPr>
          <w:p>
            <w:pPr>
              <w:spacing w:after="0"/>
              <w:rPr>
                <w:sz w:val="13"/>
                <w:szCs w:val="13"/>
                <w:color w:val="auto"/>
              </w:rPr>
            </w:pPr>
          </w:p>
        </w:tc>
        <w:tc>
          <w:tcPr>
            <w:tcW w:w="40" w:type="dxa"/>
            <w:vAlign w:val="bottom"/>
            <w:tcBorders>
              <w:top w:val="single" w:sz="8" w:color="CCECFF"/>
              <w:bottom w:val="single" w:sz="8" w:color="CCECFF"/>
            </w:tcBorders>
            <w:shd w:val="clear" w:color="auto" w:fill="CCECFF"/>
          </w:tcPr>
          <w:p>
            <w:pPr>
              <w:spacing w:after="0"/>
              <w:rPr>
                <w:sz w:val="13"/>
                <w:szCs w:val="13"/>
                <w:color w:val="auto"/>
              </w:rPr>
            </w:pPr>
          </w:p>
        </w:tc>
        <w:tc>
          <w:tcPr>
            <w:tcW w:w="160" w:type="dxa"/>
            <w:vAlign w:val="bottom"/>
            <w:tcBorders>
              <w:top w:val="single" w:sz="8" w:color="auto"/>
              <w:bottom w:val="single" w:sz="8" w:color="auto"/>
            </w:tcBorders>
            <w:shd w:val="clear" w:color="auto" w:fill="CCECFF"/>
          </w:tcPr>
          <w:p>
            <w:pPr>
              <w:jc w:val="right"/>
              <w:ind w:right="8"/>
              <w:spacing w:after="0" w:line="155" w:lineRule="exact"/>
              <w:rPr>
                <w:sz w:val="20"/>
                <w:szCs w:val="20"/>
                <w:color w:val="auto"/>
              </w:rPr>
            </w:pPr>
            <w:r>
              <w:rPr>
                <w:rFonts w:ascii="Arial" w:cs="Arial" w:eastAsia="Arial" w:hAnsi="Arial"/>
                <w:sz w:val="14"/>
                <w:szCs w:val="14"/>
                <w:color w:val="auto"/>
                <w:w w:val="76"/>
              </w:rPr>
              <w:t>$</w:t>
            </w:r>
          </w:p>
        </w:tc>
        <w:tc>
          <w:tcPr>
            <w:tcW w:w="200" w:type="dxa"/>
            <w:vAlign w:val="bottom"/>
            <w:tcBorders>
              <w:top w:val="single" w:sz="8" w:color="auto"/>
              <w:bottom w:val="single" w:sz="8" w:color="auto"/>
            </w:tcBorders>
            <w:shd w:val="clear" w:color="auto" w:fill="CCECFF"/>
          </w:tcPr>
          <w:p>
            <w:pPr>
              <w:spacing w:after="0"/>
              <w:rPr>
                <w:sz w:val="13"/>
                <w:szCs w:val="13"/>
                <w:color w:val="auto"/>
              </w:rPr>
            </w:pPr>
          </w:p>
        </w:tc>
        <w:tc>
          <w:tcPr>
            <w:tcW w:w="1120" w:type="dxa"/>
            <w:vAlign w:val="bottom"/>
            <w:tcBorders>
              <w:top w:val="single" w:sz="8" w:color="auto"/>
              <w:bottom w:val="single" w:sz="8" w:color="auto"/>
            </w:tcBorders>
            <w:shd w:val="clear" w:color="auto" w:fill="CCECFF"/>
          </w:tcPr>
          <w:p>
            <w:pPr>
              <w:jc w:val="right"/>
              <w:spacing w:after="0" w:line="155" w:lineRule="exact"/>
              <w:rPr>
                <w:sz w:val="20"/>
                <w:szCs w:val="20"/>
                <w:color w:val="auto"/>
              </w:rPr>
            </w:pPr>
            <w:r>
              <w:rPr>
                <w:rFonts w:ascii="Arial" w:cs="Arial" w:eastAsia="Arial" w:hAnsi="Arial"/>
                <w:sz w:val="14"/>
                <w:szCs w:val="14"/>
                <w:color w:val="auto"/>
              </w:rPr>
              <w:t>25,141,220</w:t>
            </w:r>
          </w:p>
        </w:tc>
        <w:tc>
          <w:tcPr>
            <w:tcW w:w="80" w:type="dxa"/>
            <w:vAlign w:val="bottom"/>
            <w:tcBorders>
              <w:top w:val="single" w:sz="8" w:color="CCECFF"/>
              <w:bottom w:val="single" w:sz="8" w:color="CCECFF"/>
            </w:tcBorders>
            <w:shd w:val="clear" w:color="auto" w:fill="CCECFF"/>
          </w:tcPr>
          <w:p>
            <w:pPr>
              <w:spacing w:after="0"/>
              <w:rPr>
                <w:sz w:val="13"/>
                <w:szCs w:val="13"/>
                <w:color w:val="auto"/>
              </w:rPr>
            </w:pPr>
          </w:p>
        </w:tc>
        <w:tc>
          <w:tcPr>
            <w:tcW w:w="180" w:type="dxa"/>
            <w:vAlign w:val="bottom"/>
            <w:tcBorders>
              <w:top w:val="single" w:sz="8" w:color="CCECFF"/>
              <w:bottom w:val="single" w:sz="8" w:color="CCECFF"/>
            </w:tcBorders>
            <w:shd w:val="clear" w:color="auto" w:fill="CCECFF"/>
          </w:tcPr>
          <w:p>
            <w:pPr>
              <w:spacing w:after="0"/>
              <w:rPr>
                <w:sz w:val="13"/>
                <w:szCs w:val="13"/>
                <w:color w:val="auto"/>
              </w:rPr>
            </w:pPr>
          </w:p>
        </w:tc>
        <w:tc>
          <w:tcPr>
            <w:tcW w:w="80" w:type="dxa"/>
            <w:vAlign w:val="bottom"/>
            <w:tcBorders>
              <w:top w:val="single" w:sz="8" w:color="auto"/>
              <w:bottom w:val="single" w:sz="8" w:color="auto"/>
            </w:tcBorders>
            <w:shd w:val="clear" w:color="auto" w:fill="CCECFF"/>
          </w:tcPr>
          <w:p>
            <w:pPr>
              <w:jc w:val="right"/>
              <w:spacing w:after="0" w:line="155" w:lineRule="exact"/>
              <w:rPr>
                <w:sz w:val="20"/>
                <w:szCs w:val="20"/>
                <w:color w:val="auto"/>
              </w:rPr>
            </w:pPr>
            <w:r>
              <w:rPr>
                <w:rFonts w:ascii="Arial" w:cs="Arial" w:eastAsia="Arial" w:hAnsi="Arial"/>
                <w:sz w:val="14"/>
                <w:szCs w:val="14"/>
                <w:color w:val="auto"/>
                <w:w w:val="76"/>
              </w:rPr>
              <w:t>$</w:t>
            </w:r>
          </w:p>
        </w:tc>
        <w:tc>
          <w:tcPr>
            <w:tcW w:w="280" w:type="dxa"/>
            <w:vAlign w:val="bottom"/>
            <w:tcBorders>
              <w:top w:val="single" w:sz="8" w:color="auto"/>
              <w:bottom w:val="single" w:sz="8" w:color="auto"/>
            </w:tcBorders>
            <w:shd w:val="clear" w:color="auto" w:fill="CCECFF"/>
          </w:tcPr>
          <w:p>
            <w:pPr>
              <w:spacing w:after="0"/>
              <w:rPr>
                <w:sz w:val="13"/>
                <w:szCs w:val="13"/>
                <w:color w:val="auto"/>
              </w:rPr>
            </w:pPr>
          </w:p>
        </w:tc>
        <w:tc>
          <w:tcPr>
            <w:tcW w:w="1120" w:type="dxa"/>
            <w:vAlign w:val="bottom"/>
            <w:tcBorders>
              <w:top w:val="single" w:sz="8" w:color="auto"/>
              <w:bottom w:val="single" w:sz="8" w:color="auto"/>
            </w:tcBorders>
            <w:shd w:val="clear" w:color="auto" w:fill="CCECFF"/>
          </w:tcPr>
          <w:p>
            <w:pPr>
              <w:jc w:val="right"/>
              <w:spacing w:after="0" w:line="155" w:lineRule="exact"/>
              <w:rPr>
                <w:sz w:val="20"/>
                <w:szCs w:val="20"/>
                <w:color w:val="auto"/>
              </w:rPr>
            </w:pPr>
            <w:r>
              <w:rPr>
                <w:rFonts w:ascii="Arial" w:cs="Arial" w:eastAsia="Arial" w:hAnsi="Arial"/>
                <w:sz w:val="14"/>
                <w:szCs w:val="14"/>
                <w:color w:val="auto"/>
              </w:rPr>
              <w:t>1,125,779,698</w:t>
            </w:r>
          </w:p>
        </w:tc>
        <w:tc>
          <w:tcPr>
            <w:tcW w:w="20" w:type="dxa"/>
            <w:vAlign w:val="bottom"/>
            <w:tcBorders>
              <w:top w:val="single" w:sz="8" w:color="CCECFF"/>
              <w:bottom w:val="single" w:sz="8" w:color="CCECFF"/>
            </w:tcBorders>
            <w:shd w:val="clear" w:color="auto" w:fill="CCECFF"/>
          </w:tcPr>
          <w:p>
            <w:pPr>
              <w:spacing w:after="0"/>
              <w:rPr>
                <w:sz w:val="13"/>
                <w:szCs w:val="13"/>
                <w:color w:val="auto"/>
              </w:rPr>
            </w:pPr>
          </w:p>
        </w:tc>
        <w:tc>
          <w:tcPr>
            <w:tcW w:w="100" w:type="dxa"/>
            <w:vAlign w:val="bottom"/>
            <w:tcBorders>
              <w:top w:val="single" w:sz="8" w:color="CCECFF"/>
              <w:bottom w:val="single" w:sz="8" w:color="CCECFF"/>
            </w:tcBorders>
            <w:shd w:val="clear" w:color="auto" w:fill="CCECFF"/>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4260" w:type="dxa"/>
            <w:vAlign w:val="bottom"/>
            <w:vMerge w:val="restart"/>
          </w:tcPr>
          <w:p>
            <w:pPr>
              <w:spacing w:after="0"/>
              <w:rPr>
                <w:sz w:val="20"/>
                <w:szCs w:val="20"/>
                <w:color w:val="auto"/>
              </w:rPr>
            </w:pPr>
            <w:r>
              <w:rPr>
                <w:rFonts w:ascii="Arial" w:cs="Arial" w:eastAsia="Arial" w:hAnsi="Arial"/>
                <w:sz w:val="14"/>
                <w:szCs w:val="14"/>
                <w:color w:val="auto"/>
              </w:rPr>
              <w:t>Long-Term Credit Facility</w:t>
            </w:r>
          </w:p>
        </w:tc>
        <w:tc>
          <w:tcPr>
            <w:tcW w:w="460" w:type="dxa"/>
            <w:vAlign w:val="bottom"/>
            <w:gridSpan w:val="2"/>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2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gridSpan w:val="2"/>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0" w:type="dxa"/>
            <w:vAlign w:val="bottom"/>
            <w:gridSpan w:val="2"/>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3"/>
        </w:trPr>
        <w:tc>
          <w:tcPr>
            <w:tcW w:w="4260" w:type="dxa"/>
            <w:vAlign w:val="bottom"/>
            <w:vMerge w:val="continue"/>
          </w:tcPr>
          <w:p>
            <w:pPr>
              <w:spacing w:after="0"/>
              <w:rPr>
                <w:sz w:val="12"/>
                <w:szCs w:val="12"/>
                <w:color w:val="auto"/>
              </w:rPr>
            </w:pPr>
          </w:p>
        </w:tc>
        <w:tc>
          <w:tcPr>
            <w:tcW w:w="160" w:type="dxa"/>
            <w:vAlign w:val="bottom"/>
          </w:tcPr>
          <w:p>
            <w:pPr>
              <w:spacing w:after="0"/>
              <w:rPr>
                <w:sz w:val="12"/>
                <w:szCs w:val="12"/>
                <w:color w:val="auto"/>
              </w:rPr>
            </w:pPr>
          </w:p>
        </w:tc>
        <w:tc>
          <w:tcPr>
            <w:tcW w:w="300" w:type="dxa"/>
            <w:vAlign w:val="bottom"/>
            <w:tcBorders>
              <w:top w:val="single" w:sz="8" w:color="auto"/>
            </w:tcBorders>
          </w:tcPr>
          <w:p>
            <w:pPr>
              <w:jc w:val="right"/>
              <w:ind w:right="148"/>
              <w:spacing w:after="0" w:line="143" w:lineRule="exact"/>
              <w:rPr>
                <w:sz w:val="20"/>
                <w:szCs w:val="20"/>
                <w:color w:val="auto"/>
              </w:rPr>
            </w:pPr>
            <w:r>
              <w:rPr>
                <w:rFonts w:ascii="Arial" w:cs="Arial" w:eastAsia="Arial" w:hAnsi="Arial"/>
                <w:sz w:val="14"/>
                <w:szCs w:val="14"/>
                <w:color w:val="auto"/>
                <w:w w:val="76"/>
              </w:rPr>
              <w:t>$</w:t>
            </w:r>
          </w:p>
        </w:tc>
        <w:tc>
          <w:tcPr>
            <w:tcW w:w="1180" w:type="dxa"/>
            <w:vAlign w:val="bottom"/>
            <w:tcBorders>
              <w:top w:val="single" w:sz="8" w:color="auto"/>
            </w:tcBorders>
          </w:tcPr>
          <w:p>
            <w:pPr>
              <w:jc w:val="right"/>
              <w:spacing w:after="0" w:line="143" w:lineRule="exact"/>
              <w:rPr>
                <w:sz w:val="20"/>
                <w:szCs w:val="20"/>
                <w:color w:val="auto"/>
              </w:rPr>
            </w:pPr>
            <w:r>
              <w:rPr>
                <w:rFonts w:ascii="Arial" w:cs="Arial" w:eastAsia="Arial" w:hAnsi="Arial"/>
                <w:sz w:val="14"/>
                <w:szCs w:val="14"/>
                <w:color w:val="auto"/>
              </w:rPr>
              <w:t>39,551,187</w:t>
            </w:r>
          </w:p>
        </w:tc>
        <w:tc>
          <w:tcPr>
            <w:tcW w:w="260" w:type="dxa"/>
            <w:vAlign w:val="bottom"/>
          </w:tcPr>
          <w:p>
            <w:pPr>
              <w:spacing w:after="0"/>
              <w:rPr>
                <w:sz w:val="12"/>
                <w:szCs w:val="12"/>
                <w:color w:val="auto"/>
              </w:rPr>
            </w:pPr>
          </w:p>
        </w:tc>
        <w:tc>
          <w:tcPr>
            <w:tcW w:w="160" w:type="dxa"/>
            <w:vAlign w:val="bottom"/>
            <w:tcBorders>
              <w:top w:val="single" w:sz="8" w:color="auto"/>
            </w:tcBorders>
            <w:gridSpan w:val="2"/>
          </w:tcPr>
          <w:p>
            <w:pPr>
              <w:jc w:val="right"/>
              <w:ind w:right="80"/>
              <w:spacing w:after="0" w:line="143" w:lineRule="exact"/>
              <w:rPr>
                <w:sz w:val="20"/>
                <w:szCs w:val="20"/>
                <w:color w:val="auto"/>
              </w:rPr>
            </w:pPr>
            <w:r>
              <w:rPr>
                <w:rFonts w:ascii="Arial" w:cs="Arial" w:eastAsia="Arial" w:hAnsi="Arial"/>
                <w:sz w:val="14"/>
                <w:szCs w:val="14"/>
                <w:color w:val="auto"/>
                <w:w w:val="76"/>
              </w:rPr>
              <w:t>$</w:t>
            </w:r>
          </w:p>
        </w:tc>
        <w:tc>
          <w:tcPr>
            <w:tcW w:w="80" w:type="dxa"/>
            <w:vAlign w:val="bottom"/>
            <w:tcBorders>
              <w:top w:val="single" w:sz="8" w:color="auto"/>
            </w:tcBorders>
          </w:tcPr>
          <w:p>
            <w:pPr>
              <w:spacing w:after="0"/>
              <w:rPr>
                <w:sz w:val="12"/>
                <w:szCs w:val="12"/>
                <w:color w:val="auto"/>
              </w:rPr>
            </w:pPr>
          </w:p>
        </w:tc>
        <w:tc>
          <w:tcPr>
            <w:tcW w:w="160" w:type="dxa"/>
            <w:vAlign w:val="bottom"/>
            <w:tcBorders>
              <w:top w:val="single" w:sz="8" w:color="auto"/>
            </w:tcBorders>
          </w:tcPr>
          <w:p>
            <w:pPr>
              <w:spacing w:after="0"/>
              <w:rPr>
                <w:sz w:val="12"/>
                <w:szCs w:val="12"/>
                <w:color w:val="auto"/>
              </w:rPr>
            </w:pPr>
          </w:p>
        </w:tc>
        <w:tc>
          <w:tcPr>
            <w:tcW w:w="1080" w:type="dxa"/>
            <w:vAlign w:val="bottom"/>
            <w:tcBorders>
              <w:top w:val="single" w:sz="8" w:color="auto"/>
            </w:tcBorders>
          </w:tcPr>
          <w:p>
            <w:pPr>
              <w:jc w:val="right"/>
              <w:spacing w:after="0" w:line="143" w:lineRule="exact"/>
              <w:rPr>
                <w:sz w:val="20"/>
                <w:szCs w:val="20"/>
                <w:color w:val="auto"/>
              </w:rPr>
            </w:pPr>
            <w:r>
              <w:rPr>
                <w:rFonts w:ascii="Arial" w:cs="Arial" w:eastAsia="Arial" w:hAnsi="Arial"/>
                <w:sz w:val="14"/>
                <w:szCs w:val="14"/>
                <w:color w:val="auto"/>
              </w:rPr>
              <w:t>—</w:t>
            </w: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60" w:type="dxa"/>
            <w:vAlign w:val="bottom"/>
            <w:tcBorders>
              <w:top w:val="single" w:sz="8" w:color="auto"/>
            </w:tcBorders>
          </w:tcPr>
          <w:p>
            <w:pPr>
              <w:jc w:val="right"/>
              <w:ind w:right="8"/>
              <w:spacing w:after="0" w:line="143" w:lineRule="exact"/>
              <w:rPr>
                <w:sz w:val="20"/>
                <w:szCs w:val="20"/>
                <w:color w:val="auto"/>
              </w:rPr>
            </w:pPr>
            <w:r>
              <w:rPr>
                <w:rFonts w:ascii="Arial" w:cs="Arial" w:eastAsia="Arial" w:hAnsi="Arial"/>
                <w:sz w:val="14"/>
                <w:szCs w:val="14"/>
                <w:color w:val="auto"/>
                <w:w w:val="76"/>
              </w:rPr>
              <w:t>$</w:t>
            </w:r>
          </w:p>
        </w:tc>
        <w:tc>
          <w:tcPr>
            <w:tcW w:w="200" w:type="dxa"/>
            <w:vAlign w:val="bottom"/>
            <w:tcBorders>
              <w:top w:val="single" w:sz="8" w:color="auto"/>
            </w:tcBorders>
          </w:tcPr>
          <w:p>
            <w:pPr>
              <w:spacing w:after="0"/>
              <w:rPr>
                <w:sz w:val="12"/>
                <w:szCs w:val="12"/>
                <w:color w:val="auto"/>
              </w:rPr>
            </w:pPr>
          </w:p>
        </w:tc>
        <w:tc>
          <w:tcPr>
            <w:tcW w:w="1120" w:type="dxa"/>
            <w:vAlign w:val="bottom"/>
            <w:tcBorders>
              <w:top w:val="single" w:sz="8" w:color="auto"/>
            </w:tcBorders>
          </w:tcPr>
          <w:p>
            <w:pPr>
              <w:jc w:val="right"/>
              <w:spacing w:after="0" w:line="143" w:lineRule="exact"/>
              <w:rPr>
                <w:sz w:val="20"/>
                <w:szCs w:val="20"/>
                <w:color w:val="auto"/>
              </w:rPr>
            </w:pPr>
            <w:r>
              <w:rPr>
                <w:rFonts w:ascii="Arial" w:cs="Arial" w:eastAsia="Arial" w:hAnsi="Arial"/>
                <w:sz w:val="14"/>
                <w:szCs w:val="14"/>
                <w:color w:val="auto"/>
              </w:rPr>
              <w:t>—</w:t>
            </w:r>
          </w:p>
        </w:tc>
        <w:tc>
          <w:tcPr>
            <w:tcW w:w="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0" w:type="dxa"/>
            <w:vAlign w:val="bottom"/>
            <w:tcBorders>
              <w:top w:val="single" w:sz="8" w:color="auto"/>
            </w:tcBorders>
          </w:tcPr>
          <w:p>
            <w:pPr>
              <w:jc w:val="right"/>
              <w:spacing w:after="0" w:line="143" w:lineRule="exact"/>
              <w:rPr>
                <w:sz w:val="20"/>
                <w:szCs w:val="20"/>
                <w:color w:val="auto"/>
              </w:rPr>
            </w:pPr>
            <w:r>
              <w:rPr>
                <w:rFonts w:ascii="Arial" w:cs="Arial" w:eastAsia="Arial" w:hAnsi="Arial"/>
                <w:sz w:val="14"/>
                <w:szCs w:val="14"/>
                <w:color w:val="auto"/>
                <w:w w:val="76"/>
              </w:rPr>
              <w:t>$</w:t>
            </w:r>
          </w:p>
        </w:tc>
        <w:tc>
          <w:tcPr>
            <w:tcW w:w="280" w:type="dxa"/>
            <w:vAlign w:val="bottom"/>
            <w:tcBorders>
              <w:top w:val="single" w:sz="8" w:color="auto"/>
            </w:tcBorders>
          </w:tcPr>
          <w:p>
            <w:pPr>
              <w:spacing w:after="0"/>
              <w:rPr>
                <w:sz w:val="12"/>
                <w:szCs w:val="12"/>
                <w:color w:val="auto"/>
              </w:rPr>
            </w:pPr>
          </w:p>
        </w:tc>
        <w:tc>
          <w:tcPr>
            <w:tcW w:w="1120" w:type="dxa"/>
            <w:vAlign w:val="bottom"/>
            <w:tcBorders>
              <w:top w:val="single" w:sz="8" w:color="auto"/>
            </w:tcBorders>
          </w:tcPr>
          <w:p>
            <w:pPr>
              <w:jc w:val="right"/>
              <w:spacing w:after="0" w:line="143" w:lineRule="exact"/>
              <w:rPr>
                <w:sz w:val="20"/>
                <w:szCs w:val="20"/>
                <w:color w:val="auto"/>
              </w:rPr>
            </w:pPr>
            <w:r>
              <w:rPr>
                <w:rFonts w:ascii="Arial" w:cs="Arial" w:eastAsia="Arial" w:hAnsi="Arial"/>
                <w:sz w:val="14"/>
                <w:szCs w:val="14"/>
                <w:color w:val="auto"/>
              </w:rPr>
              <w:t>39,551,187</w:t>
            </w: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2"/>
        </w:trPr>
        <w:tc>
          <w:tcPr>
            <w:tcW w:w="4260" w:type="dxa"/>
            <w:vAlign w:val="bottom"/>
            <w:shd w:val="clear" w:color="auto" w:fill="CCECFF"/>
          </w:tcPr>
          <w:p>
            <w:pPr>
              <w:spacing w:after="0"/>
              <w:rPr>
                <w:sz w:val="20"/>
                <w:szCs w:val="20"/>
                <w:color w:val="auto"/>
              </w:rPr>
            </w:pPr>
            <w:r>
              <w:rPr>
                <w:rFonts w:ascii="Arial" w:cs="Arial" w:eastAsia="Arial" w:hAnsi="Arial"/>
                <w:sz w:val="14"/>
                <w:szCs w:val="14"/>
                <w:color w:val="auto"/>
              </w:rPr>
              <w:t>2019 Notes</w:t>
            </w:r>
          </w:p>
        </w:tc>
        <w:tc>
          <w:tcPr>
            <w:tcW w:w="160" w:type="dxa"/>
            <w:vAlign w:val="bottom"/>
            <w:shd w:val="clear" w:color="auto" w:fill="CCECFF"/>
          </w:tcPr>
          <w:p>
            <w:pPr>
              <w:spacing w:after="0"/>
              <w:rPr>
                <w:sz w:val="14"/>
                <w:szCs w:val="14"/>
                <w:color w:val="auto"/>
              </w:rPr>
            </w:pPr>
          </w:p>
        </w:tc>
        <w:tc>
          <w:tcPr>
            <w:tcW w:w="300" w:type="dxa"/>
            <w:vAlign w:val="bottom"/>
            <w:shd w:val="clear" w:color="auto" w:fill="CCECFF"/>
          </w:tcPr>
          <w:p>
            <w:pPr>
              <w:spacing w:after="0"/>
              <w:rPr>
                <w:sz w:val="14"/>
                <w:szCs w:val="14"/>
                <w:color w:val="auto"/>
              </w:rPr>
            </w:pPr>
          </w:p>
        </w:tc>
        <w:tc>
          <w:tcPr>
            <w:tcW w:w="1180" w:type="dxa"/>
            <w:vAlign w:val="bottom"/>
            <w:shd w:val="clear" w:color="auto" w:fill="CCECFF"/>
          </w:tcPr>
          <w:p>
            <w:pPr>
              <w:jc w:val="right"/>
              <w:spacing w:after="0"/>
              <w:rPr>
                <w:sz w:val="20"/>
                <w:szCs w:val="20"/>
                <w:color w:val="auto"/>
              </w:rPr>
            </w:pPr>
            <w:r>
              <w:rPr>
                <w:rFonts w:ascii="Arial" w:cs="Arial" w:eastAsia="Arial" w:hAnsi="Arial"/>
                <w:sz w:val="14"/>
                <w:szCs w:val="14"/>
                <w:color w:val="auto"/>
              </w:rPr>
              <w:t>254,175,000</w:t>
            </w:r>
          </w:p>
        </w:tc>
        <w:tc>
          <w:tcPr>
            <w:tcW w:w="260" w:type="dxa"/>
            <w:vAlign w:val="bottom"/>
            <w:shd w:val="clear" w:color="auto" w:fill="CCECFF"/>
          </w:tcPr>
          <w:p>
            <w:pPr>
              <w:spacing w:after="0"/>
              <w:rPr>
                <w:sz w:val="14"/>
                <w:szCs w:val="14"/>
                <w:color w:val="auto"/>
              </w:rPr>
            </w:pPr>
          </w:p>
        </w:tc>
        <w:tc>
          <w:tcPr>
            <w:tcW w:w="80" w:type="dxa"/>
            <w:vAlign w:val="bottom"/>
            <w:shd w:val="clear" w:color="auto" w:fill="CCECFF"/>
          </w:tcPr>
          <w:p>
            <w:pPr>
              <w:spacing w:after="0"/>
              <w:rPr>
                <w:sz w:val="14"/>
                <w:szCs w:val="14"/>
                <w:color w:val="auto"/>
              </w:rPr>
            </w:pPr>
          </w:p>
        </w:tc>
        <w:tc>
          <w:tcPr>
            <w:tcW w:w="80" w:type="dxa"/>
            <w:vAlign w:val="bottom"/>
            <w:shd w:val="clear" w:color="auto" w:fill="CCECFF"/>
          </w:tcPr>
          <w:p>
            <w:pPr>
              <w:spacing w:after="0"/>
              <w:rPr>
                <w:sz w:val="14"/>
                <w:szCs w:val="14"/>
                <w:color w:val="auto"/>
              </w:rPr>
            </w:pPr>
          </w:p>
        </w:tc>
        <w:tc>
          <w:tcPr>
            <w:tcW w:w="80" w:type="dxa"/>
            <w:vAlign w:val="bottom"/>
            <w:shd w:val="clear" w:color="auto" w:fill="CCECFF"/>
          </w:tcPr>
          <w:p>
            <w:pPr>
              <w:spacing w:after="0"/>
              <w:rPr>
                <w:sz w:val="14"/>
                <w:szCs w:val="14"/>
                <w:color w:val="auto"/>
              </w:rPr>
            </w:pPr>
          </w:p>
        </w:tc>
        <w:tc>
          <w:tcPr>
            <w:tcW w:w="160" w:type="dxa"/>
            <w:vAlign w:val="bottom"/>
            <w:shd w:val="clear" w:color="auto" w:fill="CCECFF"/>
          </w:tcPr>
          <w:p>
            <w:pPr>
              <w:spacing w:after="0"/>
              <w:rPr>
                <w:sz w:val="14"/>
                <w:szCs w:val="14"/>
                <w:color w:val="auto"/>
              </w:rPr>
            </w:pPr>
          </w:p>
        </w:tc>
        <w:tc>
          <w:tcPr>
            <w:tcW w:w="1300" w:type="dxa"/>
            <w:vAlign w:val="bottom"/>
            <w:gridSpan w:val="3"/>
            <w:shd w:val="clear" w:color="auto" w:fill="CCECFF"/>
          </w:tcPr>
          <w:p>
            <w:pPr>
              <w:jc w:val="right"/>
              <w:ind w:right="240"/>
              <w:spacing w:after="0"/>
              <w:rPr>
                <w:sz w:val="20"/>
                <w:szCs w:val="20"/>
                <w:color w:val="auto"/>
              </w:rPr>
            </w:pPr>
            <w:r>
              <w:rPr>
                <w:rFonts w:ascii="Arial" w:cs="Arial" w:eastAsia="Arial" w:hAnsi="Arial"/>
                <w:sz w:val="14"/>
                <w:szCs w:val="14"/>
                <w:color w:val="auto"/>
              </w:rPr>
              <w:t>—</w:t>
            </w:r>
          </w:p>
        </w:tc>
        <w:tc>
          <w:tcPr>
            <w:tcW w:w="40" w:type="dxa"/>
            <w:vAlign w:val="bottom"/>
            <w:shd w:val="clear" w:color="auto" w:fill="CCECFF"/>
          </w:tcPr>
          <w:p>
            <w:pPr>
              <w:spacing w:after="0"/>
              <w:rPr>
                <w:sz w:val="14"/>
                <w:szCs w:val="14"/>
                <w:color w:val="auto"/>
              </w:rPr>
            </w:pPr>
          </w:p>
        </w:tc>
        <w:tc>
          <w:tcPr>
            <w:tcW w:w="160" w:type="dxa"/>
            <w:vAlign w:val="bottom"/>
            <w:shd w:val="clear" w:color="auto" w:fill="CCECFF"/>
          </w:tcPr>
          <w:p>
            <w:pPr>
              <w:spacing w:after="0"/>
              <w:rPr>
                <w:sz w:val="14"/>
                <w:szCs w:val="14"/>
                <w:color w:val="auto"/>
              </w:rPr>
            </w:pPr>
          </w:p>
        </w:tc>
        <w:tc>
          <w:tcPr>
            <w:tcW w:w="200" w:type="dxa"/>
            <w:vAlign w:val="bottom"/>
            <w:shd w:val="clear" w:color="auto" w:fill="CCECFF"/>
          </w:tcPr>
          <w:p>
            <w:pPr>
              <w:spacing w:after="0"/>
              <w:rPr>
                <w:sz w:val="14"/>
                <w:szCs w:val="14"/>
                <w:color w:val="auto"/>
              </w:rPr>
            </w:pPr>
          </w:p>
        </w:tc>
        <w:tc>
          <w:tcPr>
            <w:tcW w:w="1120" w:type="dxa"/>
            <w:vAlign w:val="bottom"/>
            <w:shd w:val="clear" w:color="auto" w:fill="CCECFF"/>
          </w:tcPr>
          <w:p>
            <w:pPr>
              <w:jc w:val="right"/>
              <w:spacing w:after="0"/>
              <w:rPr>
                <w:sz w:val="20"/>
                <w:szCs w:val="20"/>
                <w:color w:val="auto"/>
              </w:rPr>
            </w:pPr>
            <w:r>
              <w:rPr>
                <w:rFonts w:ascii="Arial" w:cs="Arial" w:eastAsia="Arial" w:hAnsi="Arial"/>
                <w:sz w:val="14"/>
                <w:szCs w:val="14"/>
                <w:color w:val="auto"/>
              </w:rPr>
              <w:t>254,175,000</w:t>
            </w:r>
          </w:p>
        </w:tc>
        <w:tc>
          <w:tcPr>
            <w:tcW w:w="80" w:type="dxa"/>
            <w:vAlign w:val="bottom"/>
            <w:shd w:val="clear" w:color="auto" w:fill="CCECFF"/>
          </w:tcPr>
          <w:p>
            <w:pPr>
              <w:spacing w:after="0"/>
              <w:rPr>
                <w:sz w:val="14"/>
                <w:szCs w:val="14"/>
                <w:color w:val="auto"/>
              </w:rPr>
            </w:pPr>
          </w:p>
        </w:tc>
        <w:tc>
          <w:tcPr>
            <w:tcW w:w="180" w:type="dxa"/>
            <w:vAlign w:val="bottom"/>
            <w:shd w:val="clear" w:color="auto" w:fill="CCECFF"/>
          </w:tcPr>
          <w:p>
            <w:pPr>
              <w:spacing w:after="0"/>
              <w:rPr>
                <w:sz w:val="14"/>
                <w:szCs w:val="14"/>
                <w:color w:val="auto"/>
              </w:rPr>
            </w:pPr>
          </w:p>
        </w:tc>
        <w:tc>
          <w:tcPr>
            <w:tcW w:w="80" w:type="dxa"/>
            <w:vAlign w:val="bottom"/>
            <w:shd w:val="clear" w:color="auto" w:fill="CCECFF"/>
          </w:tcPr>
          <w:p>
            <w:pPr>
              <w:spacing w:after="0"/>
              <w:rPr>
                <w:sz w:val="14"/>
                <w:szCs w:val="14"/>
                <w:color w:val="auto"/>
              </w:rPr>
            </w:pPr>
          </w:p>
        </w:tc>
        <w:tc>
          <w:tcPr>
            <w:tcW w:w="280" w:type="dxa"/>
            <w:vAlign w:val="bottom"/>
            <w:shd w:val="clear" w:color="auto" w:fill="CCECFF"/>
          </w:tcPr>
          <w:p>
            <w:pPr>
              <w:spacing w:after="0"/>
              <w:rPr>
                <w:sz w:val="14"/>
                <w:szCs w:val="14"/>
                <w:color w:val="auto"/>
              </w:rPr>
            </w:pPr>
          </w:p>
        </w:tc>
        <w:tc>
          <w:tcPr>
            <w:tcW w:w="1240" w:type="dxa"/>
            <w:vAlign w:val="bottom"/>
            <w:gridSpan w:val="3"/>
            <w:shd w:val="clear" w:color="auto" w:fill="CCECFF"/>
          </w:tcPr>
          <w:p>
            <w:pPr>
              <w:jc w:val="right"/>
              <w:ind w:right="140"/>
              <w:spacing w:after="0"/>
              <w:rPr>
                <w:sz w:val="20"/>
                <w:szCs w:val="20"/>
                <w:color w:val="auto"/>
              </w:rPr>
            </w:pPr>
            <w:r>
              <w:rPr>
                <w:rFonts w:ascii="Arial" w:cs="Arial" w:eastAsia="Arial" w:hAnsi="Arial"/>
                <w:sz w:val="14"/>
                <w:szCs w:val="14"/>
                <w:color w:val="auto"/>
              </w:rPr>
              <w:t>—</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4260" w:type="dxa"/>
            <w:vAlign w:val="bottom"/>
          </w:tcPr>
          <w:p>
            <w:pPr>
              <w:spacing w:after="0"/>
              <w:rPr>
                <w:sz w:val="20"/>
                <w:szCs w:val="20"/>
                <w:color w:val="auto"/>
              </w:rPr>
            </w:pPr>
            <w:r>
              <w:rPr>
                <w:rFonts w:ascii="Arial" w:cs="Arial" w:eastAsia="Arial" w:hAnsi="Arial"/>
                <w:sz w:val="14"/>
                <w:szCs w:val="14"/>
                <w:color w:val="auto"/>
              </w:rPr>
              <w:t>2025 Notes</w:t>
            </w:r>
          </w:p>
        </w:tc>
        <w:tc>
          <w:tcPr>
            <w:tcW w:w="1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180" w:type="dxa"/>
            <w:vAlign w:val="bottom"/>
          </w:tcPr>
          <w:p>
            <w:pPr>
              <w:jc w:val="right"/>
              <w:spacing w:after="0"/>
              <w:rPr>
                <w:sz w:val="20"/>
                <w:szCs w:val="20"/>
                <w:color w:val="auto"/>
              </w:rPr>
            </w:pPr>
            <w:r>
              <w:rPr>
                <w:rFonts w:ascii="Arial" w:cs="Arial" w:eastAsia="Arial" w:hAnsi="Arial"/>
                <w:sz w:val="14"/>
                <w:szCs w:val="14"/>
                <w:color w:val="auto"/>
              </w:rPr>
              <w:t>72,618,000</w:t>
            </w:r>
          </w:p>
        </w:tc>
        <w:tc>
          <w:tcPr>
            <w:tcW w:w="2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80" w:type="dxa"/>
            <w:vAlign w:val="bottom"/>
          </w:tcPr>
          <w:p>
            <w:pPr>
              <w:jc w:val="right"/>
              <w:spacing w:after="0"/>
              <w:rPr>
                <w:sz w:val="20"/>
                <w:szCs w:val="20"/>
                <w:color w:val="auto"/>
              </w:rPr>
            </w:pPr>
            <w:r>
              <w:rPr>
                <w:rFonts w:ascii="Arial" w:cs="Arial" w:eastAsia="Arial" w:hAnsi="Arial"/>
                <w:sz w:val="14"/>
                <w:szCs w:val="14"/>
                <w:color w:val="auto"/>
              </w:rPr>
              <w:t>72,618,000</w:t>
            </w: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380" w:type="dxa"/>
            <w:vAlign w:val="bottom"/>
            <w:gridSpan w:val="3"/>
          </w:tcPr>
          <w:p>
            <w:pPr>
              <w:jc w:val="right"/>
              <w:ind w:right="280"/>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240" w:type="dxa"/>
            <w:vAlign w:val="bottom"/>
            <w:gridSpan w:val="3"/>
          </w:tcPr>
          <w:p>
            <w:pPr>
              <w:jc w:val="right"/>
              <w:ind w:right="140"/>
              <w:spacing w:after="0"/>
              <w:rPr>
                <w:sz w:val="20"/>
                <w:szCs w:val="20"/>
                <w:color w:val="auto"/>
              </w:rPr>
            </w:pPr>
            <w:r>
              <w:rPr>
                <w:rFonts w:ascii="Arial" w:cs="Arial" w:eastAsia="Arial" w:hAnsi="Arial"/>
                <w:sz w:val="14"/>
                <w:szCs w:val="14"/>
                <w:color w:val="auto"/>
              </w:rPr>
              <w:t>—</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6"/>
        </w:trPr>
        <w:tc>
          <w:tcPr>
            <w:tcW w:w="4260" w:type="dxa"/>
            <w:vAlign w:val="bottom"/>
            <w:tcBorders>
              <w:top w:val="single" w:sz="8" w:color="CCECFF"/>
              <w:bottom w:val="single" w:sz="8" w:color="CCECFF"/>
            </w:tcBorders>
            <w:shd w:val="clear" w:color="auto" w:fill="CCECFF"/>
          </w:tcPr>
          <w:p>
            <w:pPr>
              <w:ind w:left="500"/>
              <w:spacing w:after="0" w:line="155" w:lineRule="exact"/>
              <w:rPr>
                <w:sz w:val="20"/>
                <w:szCs w:val="20"/>
                <w:color w:val="auto"/>
              </w:rPr>
            </w:pPr>
            <w:r>
              <w:rPr>
                <w:rFonts w:ascii="Arial" w:cs="Arial" w:eastAsia="Arial" w:hAnsi="Arial"/>
                <w:sz w:val="14"/>
                <w:szCs w:val="14"/>
                <w:color w:val="auto"/>
              </w:rPr>
              <w:t>Total debt</w:t>
            </w:r>
          </w:p>
        </w:tc>
        <w:tc>
          <w:tcPr>
            <w:tcW w:w="160" w:type="dxa"/>
            <w:vAlign w:val="bottom"/>
            <w:tcBorders>
              <w:top w:val="single" w:sz="8" w:color="CCECFF"/>
              <w:bottom w:val="single" w:sz="8" w:color="CCECFF"/>
            </w:tcBorders>
            <w:shd w:val="clear" w:color="auto" w:fill="CCECFF"/>
          </w:tcPr>
          <w:p>
            <w:pPr>
              <w:spacing w:after="0"/>
              <w:rPr>
                <w:sz w:val="13"/>
                <w:szCs w:val="13"/>
                <w:color w:val="auto"/>
              </w:rPr>
            </w:pPr>
          </w:p>
        </w:tc>
        <w:tc>
          <w:tcPr>
            <w:tcW w:w="300" w:type="dxa"/>
            <w:vAlign w:val="bottom"/>
            <w:tcBorders>
              <w:top w:val="single" w:sz="8" w:color="auto"/>
              <w:bottom w:val="single" w:sz="8" w:color="auto"/>
            </w:tcBorders>
            <w:shd w:val="clear" w:color="auto" w:fill="CCECFF"/>
          </w:tcPr>
          <w:p>
            <w:pPr>
              <w:jc w:val="right"/>
              <w:ind w:right="148"/>
              <w:spacing w:after="0" w:line="155" w:lineRule="exact"/>
              <w:rPr>
                <w:sz w:val="20"/>
                <w:szCs w:val="20"/>
                <w:color w:val="auto"/>
              </w:rPr>
            </w:pPr>
            <w:r>
              <w:rPr>
                <w:rFonts w:ascii="Arial" w:cs="Arial" w:eastAsia="Arial" w:hAnsi="Arial"/>
                <w:sz w:val="14"/>
                <w:szCs w:val="14"/>
                <w:color w:val="auto"/>
                <w:w w:val="76"/>
              </w:rPr>
              <w:t>$</w:t>
            </w:r>
          </w:p>
        </w:tc>
        <w:tc>
          <w:tcPr>
            <w:tcW w:w="1180" w:type="dxa"/>
            <w:vAlign w:val="bottom"/>
            <w:tcBorders>
              <w:top w:val="single" w:sz="8" w:color="auto"/>
              <w:bottom w:val="single" w:sz="8" w:color="auto"/>
            </w:tcBorders>
            <w:shd w:val="clear" w:color="auto" w:fill="CCECFF"/>
          </w:tcPr>
          <w:p>
            <w:pPr>
              <w:jc w:val="right"/>
              <w:spacing w:after="0" w:line="155" w:lineRule="exact"/>
              <w:rPr>
                <w:sz w:val="20"/>
                <w:szCs w:val="20"/>
                <w:color w:val="auto"/>
              </w:rPr>
            </w:pPr>
            <w:r>
              <w:rPr>
                <w:rFonts w:ascii="Arial" w:cs="Arial" w:eastAsia="Arial" w:hAnsi="Arial"/>
                <w:sz w:val="14"/>
                <w:szCs w:val="14"/>
                <w:color w:val="auto"/>
              </w:rPr>
              <w:t>366,344,187</w:t>
            </w:r>
          </w:p>
        </w:tc>
        <w:tc>
          <w:tcPr>
            <w:tcW w:w="260" w:type="dxa"/>
            <w:vAlign w:val="bottom"/>
            <w:tcBorders>
              <w:top w:val="single" w:sz="8" w:color="CCECFF"/>
              <w:bottom w:val="single" w:sz="8" w:color="CCECFF"/>
            </w:tcBorders>
            <w:shd w:val="clear" w:color="auto" w:fill="CCECFF"/>
          </w:tcPr>
          <w:p>
            <w:pPr>
              <w:spacing w:after="0"/>
              <w:rPr>
                <w:sz w:val="13"/>
                <w:szCs w:val="13"/>
                <w:color w:val="auto"/>
              </w:rPr>
            </w:pPr>
          </w:p>
        </w:tc>
        <w:tc>
          <w:tcPr>
            <w:tcW w:w="160" w:type="dxa"/>
            <w:vAlign w:val="bottom"/>
            <w:tcBorders>
              <w:top w:val="single" w:sz="8" w:color="auto"/>
              <w:bottom w:val="single" w:sz="8" w:color="auto"/>
            </w:tcBorders>
            <w:gridSpan w:val="2"/>
            <w:shd w:val="clear" w:color="auto" w:fill="CCECFF"/>
          </w:tcPr>
          <w:p>
            <w:pPr>
              <w:jc w:val="right"/>
              <w:ind w:right="80"/>
              <w:spacing w:after="0" w:line="155" w:lineRule="exact"/>
              <w:rPr>
                <w:sz w:val="20"/>
                <w:szCs w:val="20"/>
                <w:color w:val="auto"/>
              </w:rPr>
            </w:pPr>
            <w:r>
              <w:rPr>
                <w:rFonts w:ascii="Arial" w:cs="Arial" w:eastAsia="Arial" w:hAnsi="Arial"/>
                <w:sz w:val="14"/>
                <w:szCs w:val="14"/>
                <w:color w:val="auto"/>
                <w:w w:val="76"/>
              </w:rPr>
              <w:t>$</w:t>
            </w:r>
          </w:p>
        </w:tc>
        <w:tc>
          <w:tcPr>
            <w:tcW w:w="80" w:type="dxa"/>
            <w:vAlign w:val="bottom"/>
            <w:tcBorders>
              <w:top w:val="single" w:sz="8" w:color="auto"/>
              <w:bottom w:val="single" w:sz="8" w:color="auto"/>
            </w:tcBorders>
            <w:shd w:val="clear" w:color="auto" w:fill="CCECFF"/>
          </w:tcPr>
          <w:p>
            <w:pPr>
              <w:spacing w:after="0"/>
              <w:rPr>
                <w:sz w:val="13"/>
                <w:szCs w:val="13"/>
                <w:color w:val="auto"/>
              </w:rPr>
            </w:pPr>
          </w:p>
        </w:tc>
        <w:tc>
          <w:tcPr>
            <w:tcW w:w="160" w:type="dxa"/>
            <w:vAlign w:val="bottom"/>
            <w:tcBorders>
              <w:top w:val="single" w:sz="8" w:color="auto"/>
              <w:bottom w:val="single" w:sz="8" w:color="auto"/>
            </w:tcBorders>
            <w:shd w:val="clear" w:color="auto" w:fill="CCECFF"/>
          </w:tcPr>
          <w:p>
            <w:pPr>
              <w:spacing w:after="0"/>
              <w:rPr>
                <w:sz w:val="13"/>
                <w:szCs w:val="13"/>
                <w:color w:val="auto"/>
              </w:rPr>
            </w:pPr>
          </w:p>
        </w:tc>
        <w:tc>
          <w:tcPr>
            <w:tcW w:w="1080" w:type="dxa"/>
            <w:vAlign w:val="bottom"/>
            <w:tcBorders>
              <w:top w:val="single" w:sz="8" w:color="auto"/>
              <w:bottom w:val="single" w:sz="8" w:color="auto"/>
            </w:tcBorders>
            <w:shd w:val="clear" w:color="auto" w:fill="CCECFF"/>
          </w:tcPr>
          <w:p>
            <w:pPr>
              <w:jc w:val="right"/>
              <w:spacing w:after="0" w:line="155" w:lineRule="exact"/>
              <w:rPr>
                <w:sz w:val="20"/>
                <w:szCs w:val="20"/>
                <w:color w:val="auto"/>
              </w:rPr>
            </w:pPr>
            <w:r>
              <w:rPr>
                <w:rFonts w:ascii="Arial" w:cs="Arial" w:eastAsia="Arial" w:hAnsi="Arial"/>
                <w:sz w:val="14"/>
                <w:szCs w:val="14"/>
                <w:color w:val="auto"/>
              </w:rPr>
              <w:t>72,618,000</w:t>
            </w:r>
          </w:p>
        </w:tc>
        <w:tc>
          <w:tcPr>
            <w:tcW w:w="140" w:type="dxa"/>
            <w:vAlign w:val="bottom"/>
            <w:tcBorders>
              <w:top w:val="single" w:sz="8" w:color="CCECFF"/>
              <w:bottom w:val="single" w:sz="8" w:color="CCECFF"/>
            </w:tcBorders>
            <w:shd w:val="clear" w:color="auto" w:fill="CCECFF"/>
          </w:tcPr>
          <w:p>
            <w:pPr>
              <w:spacing w:after="0"/>
              <w:rPr>
                <w:sz w:val="13"/>
                <w:szCs w:val="13"/>
                <w:color w:val="auto"/>
              </w:rPr>
            </w:pPr>
          </w:p>
        </w:tc>
        <w:tc>
          <w:tcPr>
            <w:tcW w:w="80" w:type="dxa"/>
            <w:vAlign w:val="bottom"/>
            <w:tcBorders>
              <w:top w:val="single" w:sz="8" w:color="CCECFF"/>
              <w:bottom w:val="single" w:sz="8" w:color="CCECFF"/>
            </w:tcBorders>
            <w:shd w:val="clear" w:color="auto" w:fill="CCECFF"/>
          </w:tcPr>
          <w:p>
            <w:pPr>
              <w:spacing w:after="0"/>
              <w:rPr>
                <w:sz w:val="13"/>
                <w:szCs w:val="13"/>
                <w:color w:val="auto"/>
              </w:rPr>
            </w:pPr>
          </w:p>
        </w:tc>
        <w:tc>
          <w:tcPr>
            <w:tcW w:w="40" w:type="dxa"/>
            <w:vAlign w:val="bottom"/>
            <w:tcBorders>
              <w:top w:val="single" w:sz="8" w:color="CCECFF"/>
              <w:bottom w:val="single" w:sz="8" w:color="CCECFF"/>
            </w:tcBorders>
            <w:shd w:val="clear" w:color="auto" w:fill="CCECFF"/>
          </w:tcPr>
          <w:p>
            <w:pPr>
              <w:spacing w:after="0"/>
              <w:rPr>
                <w:sz w:val="13"/>
                <w:szCs w:val="13"/>
                <w:color w:val="auto"/>
              </w:rPr>
            </w:pPr>
          </w:p>
        </w:tc>
        <w:tc>
          <w:tcPr>
            <w:tcW w:w="160" w:type="dxa"/>
            <w:vAlign w:val="bottom"/>
            <w:tcBorders>
              <w:top w:val="single" w:sz="8" w:color="auto"/>
              <w:bottom w:val="single" w:sz="8" w:color="auto"/>
            </w:tcBorders>
            <w:shd w:val="clear" w:color="auto" w:fill="CCECFF"/>
          </w:tcPr>
          <w:p>
            <w:pPr>
              <w:jc w:val="right"/>
              <w:ind w:right="8"/>
              <w:spacing w:after="0" w:line="155" w:lineRule="exact"/>
              <w:rPr>
                <w:sz w:val="20"/>
                <w:szCs w:val="20"/>
                <w:color w:val="auto"/>
              </w:rPr>
            </w:pPr>
            <w:r>
              <w:rPr>
                <w:rFonts w:ascii="Arial" w:cs="Arial" w:eastAsia="Arial" w:hAnsi="Arial"/>
                <w:sz w:val="14"/>
                <w:szCs w:val="14"/>
                <w:color w:val="auto"/>
                <w:w w:val="76"/>
              </w:rPr>
              <w:t>$</w:t>
            </w:r>
          </w:p>
        </w:tc>
        <w:tc>
          <w:tcPr>
            <w:tcW w:w="200" w:type="dxa"/>
            <w:vAlign w:val="bottom"/>
            <w:tcBorders>
              <w:top w:val="single" w:sz="8" w:color="auto"/>
              <w:bottom w:val="single" w:sz="8" w:color="auto"/>
            </w:tcBorders>
            <w:shd w:val="clear" w:color="auto" w:fill="CCECFF"/>
          </w:tcPr>
          <w:p>
            <w:pPr>
              <w:spacing w:after="0"/>
              <w:rPr>
                <w:sz w:val="13"/>
                <w:szCs w:val="13"/>
                <w:color w:val="auto"/>
              </w:rPr>
            </w:pPr>
          </w:p>
        </w:tc>
        <w:tc>
          <w:tcPr>
            <w:tcW w:w="1120" w:type="dxa"/>
            <w:vAlign w:val="bottom"/>
            <w:tcBorders>
              <w:top w:val="single" w:sz="8" w:color="auto"/>
              <w:bottom w:val="single" w:sz="8" w:color="auto"/>
            </w:tcBorders>
            <w:shd w:val="clear" w:color="auto" w:fill="CCECFF"/>
          </w:tcPr>
          <w:p>
            <w:pPr>
              <w:jc w:val="right"/>
              <w:spacing w:after="0" w:line="155" w:lineRule="exact"/>
              <w:rPr>
                <w:sz w:val="20"/>
                <w:szCs w:val="20"/>
                <w:color w:val="auto"/>
              </w:rPr>
            </w:pPr>
            <w:r>
              <w:rPr>
                <w:rFonts w:ascii="Arial" w:cs="Arial" w:eastAsia="Arial" w:hAnsi="Arial"/>
                <w:sz w:val="14"/>
                <w:szCs w:val="14"/>
                <w:color w:val="auto"/>
              </w:rPr>
              <w:t>254,175,000</w:t>
            </w:r>
          </w:p>
        </w:tc>
        <w:tc>
          <w:tcPr>
            <w:tcW w:w="80" w:type="dxa"/>
            <w:vAlign w:val="bottom"/>
            <w:tcBorders>
              <w:top w:val="single" w:sz="8" w:color="CCECFF"/>
              <w:bottom w:val="single" w:sz="8" w:color="CCECFF"/>
            </w:tcBorders>
            <w:shd w:val="clear" w:color="auto" w:fill="CCECFF"/>
          </w:tcPr>
          <w:p>
            <w:pPr>
              <w:spacing w:after="0"/>
              <w:rPr>
                <w:sz w:val="13"/>
                <w:szCs w:val="13"/>
                <w:color w:val="auto"/>
              </w:rPr>
            </w:pPr>
          </w:p>
        </w:tc>
        <w:tc>
          <w:tcPr>
            <w:tcW w:w="180" w:type="dxa"/>
            <w:vAlign w:val="bottom"/>
            <w:tcBorders>
              <w:top w:val="single" w:sz="8" w:color="CCECFF"/>
              <w:bottom w:val="single" w:sz="8" w:color="CCECFF"/>
            </w:tcBorders>
            <w:shd w:val="clear" w:color="auto" w:fill="CCECFF"/>
          </w:tcPr>
          <w:p>
            <w:pPr>
              <w:spacing w:after="0"/>
              <w:rPr>
                <w:sz w:val="13"/>
                <w:szCs w:val="13"/>
                <w:color w:val="auto"/>
              </w:rPr>
            </w:pPr>
          </w:p>
        </w:tc>
        <w:tc>
          <w:tcPr>
            <w:tcW w:w="80" w:type="dxa"/>
            <w:vAlign w:val="bottom"/>
            <w:tcBorders>
              <w:top w:val="single" w:sz="8" w:color="auto"/>
              <w:bottom w:val="single" w:sz="8" w:color="auto"/>
            </w:tcBorders>
            <w:shd w:val="clear" w:color="auto" w:fill="CCECFF"/>
          </w:tcPr>
          <w:p>
            <w:pPr>
              <w:jc w:val="right"/>
              <w:spacing w:after="0" w:line="155" w:lineRule="exact"/>
              <w:rPr>
                <w:sz w:val="20"/>
                <w:szCs w:val="20"/>
                <w:color w:val="auto"/>
              </w:rPr>
            </w:pPr>
            <w:r>
              <w:rPr>
                <w:rFonts w:ascii="Arial" w:cs="Arial" w:eastAsia="Arial" w:hAnsi="Arial"/>
                <w:sz w:val="14"/>
                <w:szCs w:val="14"/>
                <w:color w:val="auto"/>
                <w:w w:val="76"/>
              </w:rPr>
              <w:t>$</w:t>
            </w:r>
          </w:p>
        </w:tc>
        <w:tc>
          <w:tcPr>
            <w:tcW w:w="280" w:type="dxa"/>
            <w:vAlign w:val="bottom"/>
            <w:tcBorders>
              <w:top w:val="single" w:sz="8" w:color="auto"/>
              <w:bottom w:val="single" w:sz="8" w:color="auto"/>
            </w:tcBorders>
            <w:shd w:val="clear" w:color="auto" w:fill="CCECFF"/>
          </w:tcPr>
          <w:p>
            <w:pPr>
              <w:spacing w:after="0"/>
              <w:rPr>
                <w:sz w:val="13"/>
                <w:szCs w:val="13"/>
                <w:color w:val="auto"/>
              </w:rPr>
            </w:pPr>
          </w:p>
        </w:tc>
        <w:tc>
          <w:tcPr>
            <w:tcW w:w="1120" w:type="dxa"/>
            <w:vAlign w:val="bottom"/>
            <w:tcBorders>
              <w:top w:val="single" w:sz="8" w:color="auto"/>
              <w:bottom w:val="single" w:sz="8" w:color="auto"/>
            </w:tcBorders>
            <w:shd w:val="clear" w:color="auto" w:fill="CCECFF"/>
          </w:tcPr>
          <w:p>
            <w:pPr>
              <w:jc w:val="right"/>
              <w:spacing w:after="0" w:line="155" w:lineRule="exact"/>
              <w:rPr>
                <w:sz w:val="20"/>
                <w:szCs w:val="20"/>
                <w:color w:val="auto"/>
              </w:rPr>
            </w:pPr>
            <w:r>
              <w:rPr>
                <w:rFonts w:ascii="Arial" w:cs="Arial" w:eastAsia="Arial" w:hAnsi="Arial"/>
                <w:sz w:val="14"/>
                <w:szCs w:val="14"/>
                <w:color w:val="auto"/>
              </w:rPr>
              <w:t>39,551,187</w:t>
            </w:r>
          </w:p>
        </w:tc>
        <w:tc>
          <w:tcPr>
            <w:tcW w:w="20" w:type="dxa"/>
            <w:vAlign w:val="bottom"/>
            <w:tcBorders>
              <w:top w:val="single" w:sz="8" w:color="CCECFF"/>
              <w:bottom w:val="single" w:sz="8" w:color="CCECFF"/>
            </w:tcBorders>
            <w:shd w:val="clear" w:color="auto" w:fill="CCECFF"/>
          </w:tcPr>
          <w:p>
            <w:pPr>
              <w:spacing w:after="0"/>
              <w:rPr>
                <w:sz w:val="13"/>
                <w:szCs w:val="13"/>
                <w:color w:val="auto"/>
              </w:rPr>
            </w:pPr>
          </w:p>
        </w:tc>
        <w:tc>
          <w:tcPr>
            <w:tcW w:w="100" w:type="dxa"/>
            <w:vAlign w:val="bottom"/>
            <w:tcBorders>
              <w:top w:val="single" w:sz="8" w:color="CCECFF"/>
              <w:bottom w:val="single" w:sz="8" w:color="CCECFF"/>
            </w:tcBorders>
            <w:shd w:val="clear" w:color="auto" w:fill="CCECFF"/>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4420" w:type="dxa"/>
            <w:vAlign w:val="bottom"/>
            <w:gridSpan w:val="2"/>
          </w:tcPr>
          <w:p>
            <w:pPr>
              <w:spacing w:after="0" w:line="20" w:lineRule="exact"/>
              <w:rPr>
                <w:sz w:val="1"/>
                <w:szCs w:val="1"/>
                <w:color w:val="auto"/>
              </w:rPr>
            </w:pPr>
          </w:p>
        </w:tc>
        <w:tc>
          <w:tcPr>
            <w:tcW w:w="1480" w:type="dxa"/>
            <w:vAlign w:val="bottom"/>
            <w:tcBorders>
              <w:bottom w:val="single" w:sz="8" w:color="auto"/>
            </w:tcBorders>
            <w:gridSpan w:val="2"/>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gridSpan w:val="2"/>
          </w:tcPr>
          <w:p>
            <w:pPr>
              <w:spacing w:after="0" w:line="20" w:lineRule="exact"/>
              <w:rPr>
                <w:sz w:val="1"/>
                <w:szCs w:val="1"/>
                <w:color w:val="auto"/>
              </w:rPr>
            </w:pPr>
          </w:p>
        </w:tc>
        <w:tc>
          <w:tcPr>
            <w:tcW w:w="1240" w:type="dxa"/>
            <w:vAlign w:val="bottom"/>
            <w:tcBorders>
              <w:bottom w:val="single" w:sz="8" w:color="auto"/>
            </w:tcBorders>
            <w:gridSpan w:val="2"/>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92"/>
        </w:trPr>
        <w:tc>
          <w:tcPr>
            <w:tcW w:w="10000" w:type="dxa"/>
            <w:vAlign w:val="bottom"/>
            <w:gridSpan w:val="20"/>
          </w:tcPr>
          <w:p>
            <w:pPr>
              <w:jc w:val="center"/>
              <w:ind w:left="228"/>
              <w:spacing w:after="0"/>
              <w:rPr>
                <w:sz w:val="20"/>
                <w:szCs w:val="20"/>
                <w:color w:val="auto"/>
              </w:rPr>
            </w:pPr>
            <w:r>
              <w:rPr>
                <w:rFonts w:ascii="Arial" w:cs="Arial" w:eastAsia="Arial" w:hAnsi="Arial"/>
                <w:sz w:val="14"/>
                <w:szCs w:val="14"/>
                <w:color w:val="auto"/>
                <w:w w:val="93"/>
              </w:rPr>
              <w:t>The tables below show a reconciliation of the beginning and ending balances for fair valued investments measured using significant unobservable inputs (Level 3):</w:t>
            </w:r>
          </w:p>
        </w:tc>
        <w:tc>
          <w:tcPr>
            <w:tcW w:w="1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51"/>
        </w:trPr>
        <w:tc>
          <w:tcPr>
            <w:tcW w:w="42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2360" w:type="dxa"/>
            <w:vAlign w:val="bottom"/>
            <w:gridSpan w:val="10"/>
          </w:tcPr>
          <w:p>
            <w:pPr>
              <w:jc w:val="center"/>
              <w:ind w:right="68"/>
              <w:spacing w:after="0"/>
              <w:rPr>
                <w:sz w:val="20"/>
                <w:szCs w:val="20"/>
                <w:color w:val="auto"/>
              </w:rPr>
            </w:pPr>
            <w:r>
              <w:rPr>
                <w:rFonts w:ascii="Arial" w:cs="Arial" w:eastAsia="Arial" w:hAnsi="Arial"/>
                <w:sz w:val="14"/>
                <w:szCs w:val="14"/>
                <w:b w:val="1"/>
                <w:bCs w:val="1"/>
                <w:color w:val="auto"/>
                <w:w w:val="93"/>
              </w:rPr>
              <w:t>Nine Months Ended June 30, 2017</w:t>
            </w:r>
          </w:p>
        </w:tc>
        <w:tc>
          <w:tcPr>
            <w:tcW w:w="1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6"/>
        </w:trPr>
        <w:tc>
          <w:tcPr>
            <w:tcW w:w="4260" w:type="dxa"/>
            <w:vAlign w:val="bottom"/>
          </w:tcPr>
          <w:p>
            <w:pPr>
              <w:spacing w:after="0"/>
              <w:rPr>
                <w:sz w:val="2"/>
                <w:szCs w:val="2"/>
                <w:color w:val="auto"/>
              </w:rPr>
            </w:pPr>
          </w:p>
        </w:tc>
        <w:tc>
          <w:tcPr>
            <w:tcW w:w="16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80" w:type="dxa"/>
            <w:vAlign w:val="bottom"/>
          </w:tcPr>
          <w:p>
            <w:pPr>
              <w:spacing w:after="0"/>
              <w:rPr>
                <w:sz w:val="2"/>
                <w:szCs w:val="2"/>
                <w:color w:val="auto"/>
              </w:rPr>
            </w:pPr>
          </w:p>
        </w:tc>
        <w:tc>
          <w:tcPr>
            <w:tcW w:w="260" w:type="dxa"/>
            <w:vAlign w:val="bottom"/>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gridSpan w:val="3"/>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gridSpan w:val="3"/>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33"/>
        </w:trPr>
        <w:tc>
          <w:tcPr>
            <w:tcW w:w="42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300" w:type="dxa"/>
            <w:vAlign w:val="bottom"/>
            <w:gridSpan w:val="3"/>
          </w:tcPr>
          <w:p>
            <w:pPr>
              <w:jc w:val="center"/>
              <w:ind w:right="260"/>
              <w:spacing w:after="0" w:line="133" w:lineRule="exact"/>
              <w:rPr>
                <w:sz w:val="20"/>
                <w:szCs w:val="20"/>
                <w:color w:val="auto"/>
              </w:rPr>
            </w:pPr>
            <w:r>
              <w:rPr>
                <w:rFonts w:ascii="Arial" w:cs="Arial" w:eastAsia="Arial" w:hAnsi="Arial"/>
                <w:sz w:val="14"/>
                <w:szCs w:val="14"/>
                <w:b w:val="1"/>
                <w:bCs w:val="1"/>
                <w:color w:val="auto"/>
                <w:w w:val="89"/>
              </w:rPr>
              <w:t>Debt</w:t>
            </w:r>
          </w:p>
        </w:tc>
        <w:tc>
          <w:tcPr>
            <w:tcW w:w="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380" w:type="dxa"/>
            <w:vAlign w:val="bottom"/>
            <w:gridSpan w:val="3"/>
          </w:tcPr>
          <w:p>
            <w:pPr>
              <w:jc w:val="center"/>
              <w:ind w:right="400"/>
              <w:spacing w:after="0" w:line="133" w:lineRule="exact"/>
              <w:rPr>
                <w:sz w:val="20"/>
                <w:szCs w:val="20"/>
                <w:color w:val="auto"/>
              </w:rPr>
            </w:pPr>
            <w:r>
              <w:rPr>
                <w:rFonts w:ascii="Arial" w:cs="Arial" w:eastAsia="Arial" w:hAnsi="Arial"/>
                <w:sz w:val="14"/>
                <w:szCs w:val="14"/>
                <w:b w:val="1"/>
                <w:bCs w:val="1"/>
                <w:color w:val="auto"/>
                <w:w w:val="98"/>
              </w:rPr>
              <w:t>Equity</w:t>
            </w:r>
          </w:p>
        </w:tc>
        <w:tc>
          <w:tcPr>
            <w:tcW w:w="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240" w:type="dxa"/>
            <w:vAlign w:val="bottom"/>
            <w:gridSpan w:val="3"/>
            <w:vMerge w:val="restart"/>
          </w:tcPr>
          <w:p>
            <w:pPr>
              <w:jc w:val="right"/>
              <w:ind w:right="640"/>
              <w:spacing w:after="0"/>
              <w:rPr>
                <w:sz w:val="20"/>
                <w:szCs w:val="20"/>
                <w:color w:val="auto"/>
              </w:rPr>
            </w:pPr>
            <w:r>
              <w:rPr>
                <w:rFonts w:ascii="Arial" w:cs="Arial" w:eastAsia="Arial" w:hAnsi="Arial"/>
                <w:sz w:val="14"/>
                <w:szCs w:val="14"/>
                <w:b w:val="1"/>
                <w:bCs w:val="1"/>
                <w:color w:val="auto"/>
              </w:rPr>
              <w:t>Totals</w:t>
            </w: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05"/>
        </w:trPr>
        <w:tc>
          <w:tcPr>
            <w:tcW w:w="4260" w:type="dxa"/>
            <w:vAlign w:val="bottom"/>
            <w:vMerge w:val="restart"/>
          </w:tcPr>
          <w:p>
            <w:pPr>
              <w:ind w:left="2760"/>
              <w:spacing w:after="0"/>
              <w:rPr>
                <w:sz w:val="20"/>
                <w:szCs w:val="20"/>
                <w:color w:val="auto"/>
              </w:rPr>
            </w:pPr>
            <w:r>
              <w:rPr>
                <w:rFonts w:ascii="Arial" w:cs="Arial" w:eastAsia="Arial" w:hAnsi="Arial"/>
                <w:sz w:val="14"/>
                <w:szCs w:val="14"/>
                <w:b w:val="1"/>
                <w:bCs w:val="1"/>
                <w:color w:val="auto"/>
              </w:rPr>
              <w:t>Description</w:t>
            </w:r>
          </w:p>
        </w:tc>
        <w:tc>
          <w:tcPr>
            <w:tcW w:w="160" w:type="dxa"/>
            <w:vAlign w:val="bottom"/>
          </w:tcPr>
          <w:p>
            <w:pPr>
              <w:spacing w:after="0"/>
              <w:rPr>
                <w:sz w:val="9"/>
                <w:szCs w:val="9"/>
                <w:color w:val="auto"/>
              </w:rPr>
            </w:pPr>
          </w:p>
        </w:tc>
        <w:tc>
          <w:tcPr>
            <w:tcW w:w="300" w:type="dxa"/>
            <w:vAlign w:val="bottom"/>
          </w:tcPr>
          <w:p>
            <w:pPr>
              <w:spacing w:after="0"/>
              <w:rPr>
                <w:sz w:val="9"/>
                <w:szCs w:val="9"/>
                <w:color w:val="auto"/>
              </w:rPr>
            </w:pPr>
          </w:p>
        </w:tc>
        <w:tc>
          <w:tcPr>
            <w:tcW w:w="1180" w:type="dxa"/>
            <w:vAlign w:val="bottom"/>
          </w:tcPr>
          <w:p>
            <w:pPr>
              <w:spacing w:after="0"/>
              <w:rPr>
                <w:sz w:val="9"/>
                <w:szCs w:val="9"/>
                <w:color w:val="auto"/>
              </w:rPr>
            </w:pPr>
          </w:p>
        </w:tc>
        <w:tc>
          <w:tcPr>
            <w:tcW w:w="26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160" w:type="dxa"/>
            <w:vAlign w:val="bottom"/>
          </w:tcPr>
          <w:p>
            <w:pPr>
              <w:spacing w:after="0"/>
              <w:rPr>
                <w:sz w:val="9"/>
                <w:szCs w:val="9"/>
                <w:color w:val="auto"/>
              </w:rPr>
            </w:pPr>
          </w:p>
        </w:tc>
        <w:tc>
          <w:tcPr>
            <w:tcW w:w="1300" w:type="dxa"/>
            <w:vAlign w:val="bottom"/>
            <w:gridSpan w:val="3"/>
            <w:vMerge w:val="restart"/>
          </w:tcPr>
          <w:p>
            <w:pPr>
              <w:jc w:val="center"/>
              <w:ind w:right="260"/>
              <w:spacing w:after="0"/>
              <w:rPr>
                <w:sz w:val="20"/>
                <w:szCs w:val="20"/>
                <w:color w:val="auto"/>
              </w:rPr>
            </w:pPr>
            <w:r>
              <w:rPr>
                <w:rFonts w:ascii="Arial" w:cs="Arial" w:eastAsia="Arial" w:hAnsi="Arial"/>
                <w:sz w:val="14"/>
                <w:szCs w:val="14"/>
                <w:b w:val="1"/>
                <w:bCs w:val="1"/>
                <w:color w:val="auto"/>
                <w:w w:val="88"/>
              </w:rPr>
              <w:t>investments</w:t>
            </w:r>
          </w:p>
        </w:tc>
        <w:tc>
          <w:tcPr>
            <w:tcW w:w="40" w:type="dxa"/>
            <w:vAlign w:val="bottom"/>
          </w:tcPr>
          <w:p>
            <w:pPr>
              <w:spacing w:after="0"/>
              <w:rPr>
                <w:sz w:val="9"/>
                <w:szCs w:val="9"/>
                <w:color w:val="auto"/>
              </w:rPr>
            </w:pPr>
          </w:p>
        </w:tc>
        <w:tc>
          <w:tcPr>
            <w:tcW w:w="160" w:type="dxa"/>
            <w:vAlign w:val="bottom"/>
          </w:tcPr>
          <w:p>
            <w:pPr>
              <w:spacing w:after="0"/>
              <w:rPr>
                <w:sz w:val="9"/>
                <w:szCs w:val="9"/>
                <w:color w:val="auto"/>
              </w:rPr>
            </w:pPr>
          </w:p>
        </w:tc>
        <w:tc>
          <w:tcPr>
            <w:tcW w:w="200" w:type="dxa"/>
            <w:vAlign w:val="bottom"/>
          </w:tcPr>
          <w:p>
            <w:pPr>
              <w:spacing w:after="0"/>
              <w:rPr>
                <w:sz w:val="9"/>
                <w:szCs w:val="9"/>
                <w:color w:val="auto"/>
              </w:rPr>
            </w:pPr>
          </w:p>
        </w:tc>
        <w:tc>
          <w:tcPr>
            <w:tcW w:w="1380" w:type="dxa"/>
            <w:vAlign w:val="bottom"/>
            <w:gridSpan w:val="3"/>
            <w:vMerge w:val="restart"/>
          </w:tcPr>
          <w:p>
            <w:pPr>
              <w:jc w:val="center"/>
              <w:ind w:right="400"/>
              <w:spacing w:after="0"/>
              <w:rPr>
                <w:sz w:val="20"/>
                <w:szCs w:val="20"/>
                <w:color w:val="auto"/>
              </w:rPr>
            </w:pPr>
            <w:r>
              <w:rPr>
                <w:rFonts w:ascii="Arial" w:cs="Arial" w:eastAsia="Arial" w:hAnsi="Arial"/>
                <w:sz w:val="14"/>
                <w:szCs w:val="14"/>
                <w:b w:val="1"/>
                <w:bCs w:val="1"/>
                <w:color w:val="auto"/>
                <w:w w:val="90"/>
              </w:rPr>
              <w:t>investments</w:t>
            </w:r>
          </w:p>
        </w:tc>
        <w:tc>
          <w:tcPr>
            <w:tcW w:w="80" w:type="dxa"/>
            <w:vAlign w:val="bottom"/>
          </w:tcPr>
          <w:p>
            <w:pPr>
              <w:spacing w:after="0"/>
              <w:rPr>
                <w:sz w:val="9"/>
                <w:szCs w:val="9"/>
                <w:color w:val="auto"/>
              </w:rPr>
            </w:pPr>
          </w:p>
        </w:tc>
        <w:tc>
          <w:tcPr>
            <w:tcW w:w="280" w:type="dxa"/>
            <w:vAlign w:val="bottom"/>
          </w:tcPr>
          <w:p>
            <w:pPr>
              <w:spacing w:after="0"/>
              <w:rPr>
                <w:sz w:val="9"/>
                <w:szCs w:val="9"/>
                <w:color w:val="auto"/>
              </w:rPr>
            </w:pPr>
          </w:p>
        </w:tc>
        <w:tc>
          <w:tcPr>
            <w:tcW w:w="1240" w:type="dxa"/>
            <w:vAlign w:val="bottom"/>
            <w:gridSpan w:val="3"/>
            <w:vMerge w:val="continue"/>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66"/>
        </w:trPr>
        <w:tc>
          <w:tcPr>
            <w:tcW w:w="4260" w:type="dxa"/>
            <w:vAlign w:val="bottom"/>
            <w:vMerge w:val="continue"/>
          </w:tcPr>
          <w:p>
            <w:pPr>
              <w:spacing w:after="0"/>
              <w:rPr>
                <w:sz w:val="5"/>
                <w:szCs w:val="5"/>
                <w:color w:val="auto"/>
              </w:rPr>
            </w:pPr>
          </w:p>
        </w:tc>
        <w:tc>
          <w:tcPr>
            <w:tcW w:w="160" w:type="dxa"/>
            <w:vAlign w:val="bottom"/>
          </w:tcPr>
          <w:p>
            <w:pPr>
              <w:spacing w:after="0"/>
              <w:rPr>
                <w:sz w:val="5"/>
                <w:szCs w:val="5"/>
                <w:color w:val="auto"/>
              </w:rPr>
            </w:pPr>
          </w:p>
        </w:tc>
        <w:tc>
          <w:tcPr>
            <w:tcW w:w="300" w:type="dxa"/>
            <w:vAlign w:val="bottom"/>
          </w:tcPr>
          <w:p>
            <w:pPr>
              <w:spacing w:after="0"/>
              <w:rPr>
                <w:sz w:val="5"/>
                <w:szCs w:val="5"/>
                <w:color w:val="auto"/>
              </w:rPr>
            </w:pPr>
          </w:p>
        </w:tc>
        <w:tc>
          <w:tcPr>
            <w:tcW w:w="1180" w:type="dxa"/>
            <w:vAlign w:val="bottom"/>
          </w:tcPr>
          <w:p>
            <w:pPr>
              <w:spacing w:after="0"/>
              <w:rPr>
                <w:sz w:val="5"/>
                <w:szCs w:val="5"/>
                <w:color w:val="auto"/>
              </w:rPr>
            </w:pPr>
          </w:p>
        </w:tc>
        <w:tc>
          <w:tcPr>
            <w:tcW w:w="260" w:type="dxa"/>
            <w:vAlign w:val="bottom"/>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160" w:type="dxa"/>
            <w:vAlign w:val="bottom"/>
          </w:tcPr>
          <w:p>
            <w:pPr>
              <w:spacing w:after="0"/>
              <w:rPr>
                <w:sz w:val="5"/>
                <w:szCs w:val="5"/>
                <w:color w:val="auto"/>
              </w:rPr>
            </w:pPr>
          </w:p>
        </w:tc>
        <w:tc>
          <w:tcPr>
            <w:tcW w:w="1300" w:type="dxa"/>
            <w:vAlign w:val="bottom"/>
            <w:gridSpan w:val="3"/>
            <w:vMerge w:val="continue"/>
          </w:tcPr>
          <w:p>
            <w:pPr>
              <w:spacing w:after="0"/>
              <w:rPr>
                <w:sz w:val="5"/>
                <w:szCs w:val="5"/>
                <w:color w:val="auto"/>
              </w:rPr>
            </w:pPr>
          </w:p>
        </w:tc>
        <w:tc>
          <w:tcPr>
            <w:tcW w:w="40" w:type="dxa"/>
            <w:vAlign w:val="bottom"/>
          </w:tcPr>
          <w:p>
            <w:pPr>
              <w:spacing w:after="0"/>
              <w:rPr>
                <w:sz w:val="5"/>
                <w:szCs w:val="5"/>
                <w:color w:val="auto"/>
              </w:rPr>
            </w:pPr>
          </w:p>
        </w:tc>
        <w:tc>
          <w:tcPr>
            <w:tcW w:w="160" w:type="dxa"/>
            <w:vAlign w:val="bottom"/>
          </w:tcPr>
          <w:p>
            <w:pPr>
              <w:spacing w:after="0"/>
              <w:rPr>
                <w:sz w:val="5"/>
                <w:szCs w:val="5"/>
                <w:color w:val="auto"/>
              </w:rPr>
            </w:pPr>
          </w:p>
        </w:tc>
        <w:tc>
          <w:tcPr>
            <w:tcW w:w="200" w:type="dxa"/>
            <w:vAlign w:val="bottom"/>
          </w:tcPr>
          <w:p>
            <w:pPr>
              <w:spacing w:after="0"/>
              <w:rPr>
                <w:sz w:val="5"/>
                <w:szCs w:val="5"/>
                <w:color w:val="auto"/>
              </w:rPr>
            </w:pPr>
          </w:p>
        </w:tc>
        <w:tc>
          <w:tcPr>
            <w:tcW w:w="1380" w:type="dxa"/>
            <w:vAlign w:val="bottom"/>
            <w:gridSpan w:val="3"/>
            <w:vMerge w:val="continue"/>
          </w:tcPr>
          <w:p>
            <w:pPr>
              <w:spacing w:after="0"/>
              <w:rPr>
                <w:sz w:val="5"/>
                <w:szCs w:val="5"/>
                <w:color w:val="auto"/>
              </w:rPr>
            </w:pPr>
          </w:p>
        </w:tc>
        <w:tc>
          <w:tcPr>
            <w:tcW w:w="80" w:type="dxa"/>
            <w:vAlign w:val="bottom"/>
          </w:tcPr>
          <w:p>
            <w:pPr>
              <w:spacing w:after="0"/>
              <w:rPr>
                <w:sz w:val="5"/>
                <w:szCs w:val="5"/>
                <w:color w:val="auto"/>
              </w:rPr>
            </w:pPr>
          </w:p>
        </w:tc>
        <w:tc>
          <w:tcPr>
            <w:tcW w:w="280" w:type="dxa"/>
            <w:vAlign w:val="bottom"/>
          </w:tcPr>
          <w:p>
            <w:pPr>
              <w:spacing w:after="0"/>
              <w:rPr>
                <w:sz w:val="5"/>
                <w:szCs w:val="5"/>
                <w:color w:val="auto"/>
              </w:rPr>
            </w:pPr>
          </w:p>
        </w:tc>
        <w:tc>
          <w:tcPr>
            <w:tcW w:w="112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56"/>
        </w:trPr>
        <w:tc>
          <w:tcPr>
            <w:tcW w:w="4260" w:type="dxa"/>
            <w:vAlign w:val="bottom"/>
            <w:tcBorders>
              <w:top w:val="single" w:sz="8" w:color="auto"/>
            </w:tcBorders>
            <w:shd w:val="clear" w:color="auto" w:fill="CCECFF"/>
          </w:tcPr>
          <w:p>
            <w:pPr>
              <w:spacing w:after="0" w:line="155" w:lineRule="exact"/>
              <w:rPr>
                <w:sz w:val="20"/>
                <w:szCs w:val="20"/>
                <w:color w:val="auto"/>
              </w:rPr>
            </w:pPr>
            <w:r>
              <w:rPr>
                <w:rFonts w:ascii="Arial" w:cs="Arial" w:eastAsia="Arial" w:hAnsi="Arial"/>
                <w:sz w:val="14"/>
                <w:szCs w:val="14"/>
                <w:color w:val="auto"/>
              </w:rPr>
              <w:t>Beginning Balance</w:t>
            </w:r>
          </w:p>
        </w:tc>
        <w:tc>
          <w:tcPr>
            <w:tcW w:w="160" w:type="dxa"/>
            <w:vAlign w:val="bottom"/>
            <w:tcBorders>
              <w:top w:val="single" w:sz="8" w:color="auto"/>
            </w:tcBorders>
            <w:shd w:val="clear" w:color="auto" w:fill="CCECFF"/>
          </w:tcPr>
          <w:p>
            <w:pPr>
              <w:spacing w:after="0"/>
              <w:rPr>
                <w:sz w:val="13"/>
                <w:szCs w:val="13"/>
                <w:color w:val="auto"/>
              </w:rPr>
            </w:pPr>
          </w:p>
        </w:tc>
        <w:tc>
          <w:tcPr>
            <w:tcW w:w="300" w:type="dxa"/>
            <w:vAlign w:val="bottom"/>
            <w:tcBorders>
              <w:top w:val="single" w:sz="8" w:color="auto"/>
            </w:tcBorders>
            <w:shd w:val="clear" w:color="auto" w:fill="CCECFF"/>
          </w:tcPr>
          <w:p>
            <w:pPr>
              <w:spacing w:after="0"/>
              <w:rPr>
                <w:sz w:val="13"/>
                <w:szCs w:val="13"/>
                <w:color w:val="auto"/>
              </w:rPr>
            </w:pPr>
          </w:p>
        </w:tc>
        <w:tc>
          <w:tcPr>
            <w:tcW w:w="1180" w:type="dxa"/>
            <w:vAlign w:val="bottom"/>
            <w:tcBorders>
              <w:top w:val="single" w:sz="8" w:color="auto"/>
            </w:tcBorders>
            <w:shd w:val="clear" w:color="auto" w:fill="CCECFF"/>
          </w:tcPr>
          <w:p>
            <w:pPr>
              <w:spacing w:after="0"/>
              <w:rPr>
                <w:sz w:val="13"/>
                <w:szCs w:val="13"/>
                <w:color w:val="auto"/>
              </w:rPr>
            </w:pPr>
          </w:p>
        </w:tc>
        <w:tc>
          <w:tcPr>
            <w:tcW w:w="260" w:type="dxa"/>
            <w:vAlign w:val="bottom"/>
            <w:tcBorders>
              <w:top w:val="single" w:sz="8" w:color="auto"/>
            </w:tcBorders>
            <w:shd w:val="clear" w:color="auto" w:fill="CCECFF"/>
          </w:tcPr>
          <w:p>
            <w:pPr>
              <w:spacing w:after="0"/>
              <w:rPr>
                <w:sz w:val="13"/>
                <w:szCs w:val="13"/>
                <w:color w:val="auto"/>
              </w:rPr>
            </w:pPr>
          </w:p>
        </w:tc>
        <w:tc>
          <w:tcPr>
            <w:tcW w:w="80" w:type="dxa"/>
            <w:vAlign w:val="bottom"/>
            <w:tcBorders>
              <w:top w:val="single" w:sz="8" w:color="auto"/>
            </w:tcBorders>
            <w:shd w:val="clear" w:color="auto" w:fill="CCECFF"/>
          </w:tcPr>
          <w:p>
            <w:pPr>
              <w:spacing w:after="0"/>
              <w:rPr>
                <w:sz w:val="13"/>
                <w:szCs w:val="13"/>
                <w:color w:val="auto"/>
              </w:rPr>
            </w:pPr>
          </w:p>
        </w:tc>
        <w:tc>
          <w:tcPr>
            <w:tcW w:w="80" w:type="dxa"/>
            <w:vAlign w:val="bottom"/>
            <w:tcBorders>
              <w:top w:val="single" w:sz="8" w:color="CCECFF"/>
            </w:tcBorders>
            <w:shd w:val="clear" w:color="auto" w:fill="CCECFF"/>
          </w:tcPr>
          <w:p>
            <w:pPr>
              <w:spacing w:after="0"/>
              <w:rPr>
                <w:sz w:val="13"/>
                <w:szCs w:val="13"/>
                <w:color w:val="auto"/>
              </w:rPr>
            </w:pPr>
          </w:p>
        </w:tc>
        <w:tc>
          <w:tcPr>
            <w:tcW w:w="80" w:type="dxa"/>
            <w:vAlign w:val="bottom"/>
            <w:tcBorders>
              <w:top w:val="single" w:sz="8" w:color="CCECFF"/>
            </w:tcBorders>
            <w:shd w:val="clear" w:color="auto" w:fill="CCECFF"/>
          </w:tcPr>
          <w:p>
            <w:pPr>
              <w:spacing w:after="0"/>
              <w:rPr>
                <w:sz w:val="13"/>
                <w:szCs w:val="13"/>
                <w:color w:val="auto"/>
              </w:rPr>
            </w:pPr>
          </w:p>
        </w:tc>
        <w:tc>
          <w:tcPr>
            <w:tcW w:w="160" w:type="dxa"/>
            <w:vAlign w:val="bottom"/>
            <w:tcBorders>
              <w:top w:val="single" w:sz="8" w:color="auto"/>
            </w:tcBorders>
            <w:shd w:val="clear" w:color="auto" w:fill="CCECFF"/>
          </w:tcPr>
          <w:p>
            <w:pPr>
              <w:jc w:val="right"/>
              <w:ind w:right="49"/>
              <w:spacing w:after="0"/>
              <w:rPr>
                <w:sz w:val="20"/>
                <w:szCs w:val="20"/>
                <w:color w:val="auto"/>
              </w:rPr>
            </w:pPr>
            <w:r>
              <w:rPr>
                <w:rFonts w:ascii="Arial" w:cs="Arial" w:eastAsia="Arial" w:hAnsi="Arial"/>
                <w:sz w:val="10"/>
                <w:szCs w:val="10"/>
                <w:color w:val="auto"/>
                <w:w w:val="71"/>
              </w:rPr>
              <w:t>$</w:t>
            </w:r>
          </w:p>
        </w:tc>
        <w:tc>
          <w:tcPr>
            <w:tcW w:w="1220" w:type="dxa"/>
            <w:vAlign w:val="bottom"/>
            <w:tcBorders>
              <w:top w:val="single" w:sz="8" w:color="auto"/>
            </w:tcBorders>
            <w:gridSpan w:val="2"/>
            <w:shd w:val="clear" w:color="auto" w:fill="CCECFF"/>
          </w:tcPr>
          <w:p>
            <w:pPr>
              <w:jc w:val="right"/>
              <w:spacing w:after="0" w:line="155" w:lineRule="exact"/>
              <w:rPr>
                <w:sz w:val="20"/>
                <w:szCs w:val="20"/>
                <w:color w:val="auto"/>
              </w:rPr>
            </w:pPr>
            <w:r>
              <w:rPr>
                <w:rFonts w:ascii="Arial" w:cs="Arial" w:eastAsia="Arial" w:hAnsi="Arial"/>
                <w:sz w:val="14"/>
                <w:szCs w:val="14"/>
                <w:color w:val="auto"/>
              </w:rPr>
              <w:t>1,000,146,681</w:t>
            </w:r>
          </w:p>
        </w:tc>
        <w:tc>
          <w:tcPr>
            <w:tcW w:w="80" w:type="dxa"/>
            <w:vAlign w:val="bottom"/>
            <w:tcBorders>
              <w:top w:val="single" w:sz="8" w:color="CCECFF"/>
            </w:tcBorders>
            <w:shd w:val="clear" w:color="auto" w:fill="CCECFF"/>
          </w:tcPr>
          <w:p>
            <w:pPr>
              <w:spacing w:after="0"/>
              <w:rPr>
                <w:sz w:val="13"/>
                <w:szCs w:val="13"/>
                <w:color w:val="auto"/>
              </w:rPr>
            </w:pPr>
          </w:p>
        </w:tc>
        <w:tc>
          <w:tcPr>
            <w:tcW w:w="200" w:type="dxa"/>
            <w:vAlign w:val="bottom"/>
            <w:tcBorders>
              <w:top w:val="single" w:sz="8" w:color="CCECFF"/>
            </w:tcBorders>
            <w:gridSpan w:val="2"/>
            <w:shd w:val="clear" w:color="auto" w:fill="CCECFF"/>
          </w:tcPr>
          <w:p>
            <w:pPr>
              <w:spacing w:after="0"/>
              <w:rPr>
                <w:sz w:val="13"/>
                <w:szCs w:val="13"/>
                <w:color w:val="auto"/>
              </w:rPr>
            </w:pPr>
          </w:p>
        </w:tc>
        <w:tc>
          <w:tcPr>
            <w:tcW w:w="200" w:type="dxa"/>
            <w:vAlign w:val="bottom"/>
            <w:tcBorders>
              <w:top w:val="single" w:sz="8" w:color="auto"/>
            </w:tcBorders>
            <w:shd w:val="clear" w:color="auto" w:fill="CCECFF"/>
          </w:tcPr>
          <w:p>
            <w:pPr>
              <w:jc w:val="right"/>
              <w:ind w:right="89"/>
              <w:spacing w:after="0"/>
              <w:rPr>
                <w:sz w:val="20"/>
                <w:szCs w:val="20"/>
                <w:color w:val="auto"/>
              </w:rPr>
            </w:pPr>
            <w:r>
              <w:rPr>
                <w:rFonts w:ascii="Arial" w:cs="Arial" w:eastAsia="Arial" w:hAnsi="Arial"/>
                <w:sz w:val="10"/>
                <w:szCs w:val="10"/>
                <w:color w:val="auto"/>
                <w:w w:val="71"/>
              </w:rPr>
              <w:t>$</w:t>
            </w:r>
          </w:p>
        </w:tc>
        <w:tc>
          <w:tcPr>
            <w:tcW w:w="1200" w:type="dxa"/>
            <w:vAlign w:val="bottom"/>
            <w:tcBorders>
              <w:top w:val="single" w:sz="8" w:color="auto"/>
            </w:tcBorders>
            <w:gridSpan w:val="2"/>
            <w:shd w:val="clear" w:color="auto" w:fill="CCECFF"/>
          </w:tcPr>
          <w:p>
            <w:pPr>
              <w:jc w:val="right"/>
              <w:ind w:right="20"/>
              <w:spacing w:after="0" w:line="155" w:lineRule="exact"/>
              <w:rPr>
                <w:sz w:val="20"/>
                <w:szCs w:val="20"/>
                <w:color w:val="auto"/>
              </w:rPr>
            </w:pPr>
            <w:r>
              <w:rPr>
                <w:rFonts w:ascii="Arial" w:cs="Arial" w:eastAsia="Arial" w:hAnsi="Arial"/>
                <w:sz w:val="14"/>
                <w:szCs w:val="14"/>
                <w:color w:val="auto"/>
              </w:rPr>
              <w:t>125,633,017</w:t>
            </w:r>
          </w:p>
        </w:tc>
        <w:tc>
          <w:tcPr>
            <w:tcW w:w="180" w:type="dxa"/>
            <w:vAlign w:val="bottom"/>
            <w:tcBorders>
              <w:top w:val="single" w:sz="8" w:color="CCECFF"/>
            </w:tcBorders>
            <w:shd w:val="clear" w:color="auto" w:fill="CCECFF"/>
          </w:tcPr>
          <w:p>
            <w:pPr>
              <w:spacing w:after="0"/>
              <w:rPr>
                <w:sz w:val="13"/>
                <w:szCs w:val="13"/>
                <w:color w:val="auto"/>
              </w:rPr>
            </w:pPr>
          </w:p>
        </w:tc>
        <w:tc>
          <w:tcPr>
            <w:tcW w:w="80" w:type="dxa"/>
            <w:vAlign w:val="bottom"/>
            <w:tcBorders>
              <w:top w:val="single" w:sz="8" w:color="CCECFF"/>
            </w:tcBorders>
            <w:shd w:val="clear" w:color="auto" w:fill="CCECFF"/>
          </w:tcPr>
          <w:p>
            <w:pPr>
              <w:spacing w:after="0"/>
              <w:rPr>
                <w:sz w:val="13"/>
                <w:szCs w:val="13"/>
                <w:color w:val="auto"/>
              </w:rPr>
            </w:pPr>
          </w:p>
        </w:tc>
        <w:tc>
          <w:tcPr>
            <w:tcW w:w="280" w:type="dxa"/>
            <w:vAlign w:val="bottom"/>
            <w:tcBorders>
              <w:top w:val="single" w:sz="8" w:color="auto"/>
            </w:tcBorders>
            <w:shd w:val="clear" w:color="auto" w:fill="CCECFF"/>
          </w:tcPr>
          <w:p>
            <w:pPr>
              <w:jc w:val="right"/>
              <w:ind w:right="128"/>
              <w:spacing w:after="0" w:line="155" w:lineRule="exact"/>
              <w:rPr>
                <w:sz w:val="20"/>
                <w:szCs w:val="20"/>
                <w:color w:val="auto"/>
              </w:rPr>
            </w:pPr>
            <w:r>
              <w:rPr>
                <w:rFonts w:ascii="Arial" w:cs="Arial" w:eastAsia="Arial" w:hAnsi="Arial"/>
                <w:sz w:val="14"/>
                <w:szCs w:val="14"/>
                <w:color w:val="auto"/>
                <w:w w:val="76"/>
              </w:rPr>
              <w:t>$</w:t>
            </w:r>
          </w:p>
        </w:tc>
        <w:tc>
          <w:tcPr>
            <w:tcW w:w="1140" w:type="dxa"/>
            <w:vAlign w:val="bottom"/>
            <w:tcBorders>
              <w:top w:val="single" w:sz="8" w:color="auto"/>
            </w:tcBorders>
            <w:gridSpan w:val="2"/>
            <w:shd w:val="clear" w:color="auto" w:fill="CCECFF"/>
          </w:tcPr>
          <w:p>
            <w:pPr>
              <w:jc w:val="right"/>
              <w:ind w:right="20"/>
              <w:spacing w:after="0" w:line="155" w:lineRule="exact"/>
              <w:rPr>
                <w:sz w:val="20"/>
                <w:szCs w:val="20"/>
                <w:color w:val="auto"/>
              </w:rPr>
            </w:pPr>
            <w:r>
              <w:rPr>
                <w:rFonts w:ascii="Arial" w:cs="Arial" w:eastAsia="Arial" w:hAnsi="Arial"/>
                <w:sz w:val="14"/>
                <w:szCs w:val="14"/>
                <w:color w:val="auto"/>
              </w:rPr>
              <w:t>1,125,779,698</w:t>
            </w:r>
          </w:p>
        </w:tc>
        <w:tc>
          <w:tcPr>
            <w:tcW w:w="100" w:type="dxa"/>
            <w:vAlign w:val="bottom"/>
            <w:tcBorders>
              <w:top w:val="single" w:sz="8" w:color="CCECFF"/>
            </w:tcBorders>
            <w:shd w:val="clear" w:color="auto" w:fill="CCECFF"/>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2"/>
        </w:trPr>
        <w:tc>
          <w:tcPr>
            <w:tcW w:w="4260" w:type="dxa"/>
            <w:vAlign w:val="bottom"/>
          </w:tcPr>
          <w:p>
            <w:pPr>
              <w:ind w:left="500"/>
              <w:spacing w:after="0"/>
              <w:rPr>
                <w:sz w:val="20"/>
                <w:szCs w:val="20"/>
                <w:color w:val="auto"/>
              </w:rPr>
            </w:pPr>
            <w:r>
              <w:rPr>
                <w:rFonts w:ascii="Arial" w:cs="Arial" w:eastAsia="Arial" w:hAnsi="Arial"/>
                <w:sz w:val="14"/>
                <w:szCs w:val="14"/>
                <w:color w:val="auto"/>
              </w:rPr>
              <w:t>Net realized losses</w:t>
            </w:r>
          </w:p>
        </w:tc>
        <w:tc>
          <w:tcPr>
            <w:tcW w:w="1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300" w:type="dxa"/>
            <w:vAlign w:val="bottom"/>
            <w:gridSpan w:val="3"/>
          </w:tcPr>
          <w:p>
            <w:pPr>
              <w:jc w:val="right"/>
              <w:ind w:right="20"/>
              <w:spacing w:after="0"/>
              <w:rPr>
                <w:sz w:val="20"/>
                <w:szCs w:val="20"/>
                <w:color w:val="auto"/>
              </w:rPr>
            </w:pPr>
            <w:r>
              <w:rPr>
                <w:rFonts w:ascii="Arial" w:cs="Arial" w:eastAsia="Arial" w:hAnsi="Arial"/>
                <w:sz w:val="14"/>
                <w:szCs w:val="14"/>
                <w:color w:val="auto"/>
              </w:rPr>
              <w:t>(42,530,779)</w:t>
            </w:r>
          </w:p>
        </w:tc>
        <w:tc>
          <w:tcPr>
            <w:tcW w:w="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380" w:type="dxa"/>
            <w:vAlign w:val="bottom"/>
            <w:gridSpan w:val="3"/>
          </w:tcPr>
          <w:p>
            <w:pPr>
              <w:jc w:val="right"/>
              <w:ind w:right="140"/>
              <w:spacing w:after="0"/>
              <w:rPr>
                <w:sz w:val="20"/>
                <w:szCs w:val="20"/>
                <w:color w:val="auto"/>
              </w:rPr>
            </w:pPr>
            <w:r>
              <w:rPr>
                <w:rFonts w:ascii="Arial" w:cs="Arial" w:eastAsia="Arial" w:hAnsi="Arial"/>
                <w:sz w:val="14"/>
                <w:szCs w:val="14"/>
                <w:color w:val="auto"/>
              </w:rPr>
              <w:t>(10,853,430)</w:t>
            </w:r>
          </w:p>
        </w:tc>
        <w:tc>
          <w:tcPr>
            <w:tcW w:w="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240" w:type="dxa"/>
            <w:vAlign w:val="bottom"/>
            <w:gridSpan w:val="3"/>
          </w:tcPr>
          <w:p>
            <w:pPr>
              <w:jc w:val="right"/>
              <w:ind w:right="60"/>
              <w:spacing w:after="0"/>
              <w:rPr>
                <w:sz w:val="20"/>
                <w:szCs w:val="20"/>
                <w:color w:val="auto"/>
              </w:rPr>
            </w:pPr>
            <w:r>
              <w:rPr>
                <w:rFonts w:ascii="Arial" w:cs="Arial" w:eastAsia="Arial" w:hAnsi="Arial"/>
                <w:sz w:val="14"/>
                <w:szCs w:val="14"/>
                <w:color w:val="auto"/>
              </w:rPr>
              <w:t>(53,384,209)</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4260" w:type="dxa"/>
            <w:vAlign w:val="bottom"/>
            <w:shd w:val="clear" w:color="auto" w:fill="CCECFF"/>
          </w:tcPr>
          <w:p>
            <w:pPr>
              <w:ind w:left="500"/>
              <w:spacing w:after="0"/>
              <w:rPr>
                <w:sz w:val="20"/>
                <w:szCs w:val="20"/>
                <w:color w:val="auto"/>
              </w:rPr>
            </w:pPr>
            <w:r>
              <w:rPr>
                <w:rFonts w:ascii="Arial" w:cs="Arial" w:eastAsia="Arial" w:hAnsi="Arial"/>
                <w:sz w:val="14"/>
                <w:szCs w:val="14"/>
                <w:color w:val="auto"/>
              </w:rPr>
              <w:t>Net unrealized appreciation</w:t>
            </w:r>
          </w:p>
        </w:tc>
        <w:tc>
          <w:tcPr>
            <w:tcW w:w="160" w:type="dxa"/>
            <w:vAlign w:val="bottom"/>
            <w:shd w:val="clear" w:color="auto" w:fill="CCECFF"/>
          </w:tcPr>
          <w:p>
            <w:pPr>
              <w:spacing w:after="0"/>
              <w:rPr>
                <w:sz w:val="14"/>
                <w:szCs w:val="14"/>
                <w:color w:val="auto"/>
              </w:rPr>
            </w:pPr>
          </w:p>
        </w:tc>
        <w:tc>
          <w:tcPr>
            <w:tcW w:w="300" w:type="dxa"/>
            <w:vAlign w:val="bottom"/>
            <w:shd w:val="clear" w:color="auto" w:fill="CCECFF"/>
          </w:tcPr>
          <w:p>
            <w:pPr>
              <w:spacing w:after="0"/>
              <w:rPr>
                <w:sz w:val="14"/>
                <w:szCs w:val="14"/>
                <w:color w:val="auto"/>
              </w:rPr>
            </w:pPr>
          </w:p>
        </w:tc>
        <w:tc>
          <w:tcPr>
            <w:tcW w:w="1180" w:type="dxa"/>
            <w:vAlign w:val="bottom"/>
            <w:shd w:val="clear" w:color="auto" w:fill="CCECFF"/>
          </w:tcPr>
          <w:p>
            <w:pPr>
              <w:spacing w:after="0"/>
              <w:rPr>
                <w:sz w:val="14"/>
                <w:szCs w:val="14"/>
                <w:color w:val="auto"/>
              </w:rPr>
            </w:pPr>
          </w:p>
        </w:tc>
        <w:tc>
          <w:tcPr>
            <w:tcW w:w="260" w:type="dxa"/>
            <w:vAlign w:val="bottom"/>
            <w:shd w:val="clear" w:color="auto" w:fill="CCECFF"/>
          </w:tcPr>
          <w:p>
            <w:pPr>
              <w:spacing w:after="0"/>
              <w:rPr>
                <w:sz w:val="14"/>
                <w:szCs w:val="14"/>
                <w:color w:val="auto"/>
              </w:rPr>
            </w:pPr>
          </w:p>
        </w:tc>
        <w:tc>
          <w:tcPr>
            <w:tcW w:w="80" w:type="dxa"/>
            <w:vAlign w:val="bottom"/>
            <w:shd w:val="clear" w:color="auto" w:fill="CCECFF"/>
          </w:tcPr>
          <w:p>
            <w:pPr>
              <w:spacing w:after="0"/>
              <w:rPr>
                <w:sz w:val="14"/>
                <w:szCs w:val="14"/>
                <w:color w:val="auto"/>
              </w:rPr>
            </w:pPr>
          </w:p>
        </w:tc>
        <w:tc>
          <w:tcPr>
            <w:tcW w:w="80" w:type="dxa"/>
            <w:vAlign w:val="bottom"/>
            <w:shd w:val="clear" w:color="auto" w:fill="CCECFF"/>
          </w:tcPr>
          <w:p>
            <w:pPr>
              <w:spacing w:after="0"/>
              <w:rPr>
                <w:sz w:val="14"/>
                <w:szCs w:val="14"/>
                <w:color w:val="auto"/>
              </w:rPr>
            </w:pPr>
          </w:p>
        </w:tc>
        <w:tc>
          <w:tcPr>
            <w:tcW w:w="80" w:type="dxa"/>
            <w:vAlign w:val="bottom"/>
            <w:shd w:val="clear" w:color="auto" w:fill="CCECFF"/>
          </w:tcPr>
          <w:p>
            <w:pPr>
              <w:spacing w:after="0"/>
              <w:rPr>
                <w:sz w:val="14"/>
                <w:szCs w:val="14"/>
                <w:color w:val="auto"/>
              </w:rPr>
            </w:pPr>
          </w:p>
        </w:tc>
        <w:tc>
          <w:tcPr>
            <w:tcW w:w="160" w:type="dxa"/>
            <w:vAlign w:val="bottom"/>
            <w:shd w:val="clear" w:color="auto" w:fill="CCECFF"/>
          </w:tcPr>
          <w:p>
            <w:pPr>
              <w:spacing w:after="0"/>
              <w:rPr>
                <w:sz w:val="14"/>
                <w:szCs w:val="14"/>
                <w:color w:val="auto"/>
              </w:rPr>
            </w:pPr>
          </w:p>
        </w:tc>
        <w:tc>
          <w:tcPr>
            <w:tcW w:w="1220" w:type="dxa"/>
            <w:vAlign w:val="bottom"/>
            <w:gridSpan w:val="2"/>
            <w:shd w:val="clear" w:color="auto" w:fill="CCECFF"/>
          </w:tcPr>
          <w:p>
            <w:pPr>
              <w:jc w:val="right"/>
              <w:spacing w:after="0"/>
              <w:rPr>
                <w:sz w:val="20"/>
                <w:szCs w:val="20"/>
                <w:color w:val="auto"/>
              </w:rPr>
            </w:pPr>
            <w:r>
              <w:rPr>
                <w:rFonts w:ascii="Arial" w:cs="Arial" w:eastAsia="Arial" w:hAnsi="Arial"/>
                <w:sz w:val="14"/>
                <w:szCs w:val="14"/>
                <w:color w:val="auto"/>
              </w:rPr>
              <w:t>52,793,436</w:t>
            </w:r>
          </w:p>
        </w:tc>
        <w:tc>
          <w:tcPr>
            <w:tcW w:w="80" w:type="dxa"/>
            <w:vAlign w:val="bottom"/>
            <w:shd w:val="clear" w:color="auto" w:fill="CCECFF"/>
          </w:tcPr>
          <w:p>
            <w:pPr>
              <w:spacing w:after="0"/>
              <w:rPr>
                <w:sz w:val="14"/>
                <w:szCs w:val="14"/>
                <w:color w:val="auto"/>
              </w:rPr>
            </w:pPr>
          </w:p>
        </w:tc>
        <w:tc>
          <w:tcPr>
            <w:tcW w:w="40" w:type="dxa"/>
            <w:vAlign w:val="bottom"/>
            <w:shd w:val="clear" w:color="auto" w:fill="CCECFF"/>
          </w:tcPr>
          <w:p>
            <w:pPr>
              <w:spacing w:after="0"/>
              <w:rPr>
                <w:sz w:val="14"/>
                <w:szCs w:val="14"/>
                <w:color w:val="auto"/>
              </w:rPr>
            </w:pPr>
          </w:p>
        </w:tc>
        <w:tc>
          <w:tcPr>
            <w:tcW w:w="160" w:type="dxa"/>
            <w:vAlign w:val="bottom"/>
            <w:shd w:val="clear" w:color="auto" w:fill="CCECFF"/>
          </w:tcPr>
          <w:p>
            <w:pPr>
              <w:spacing w:after="0"/>
              <w:rPr>
                <w:sz w:val="14"/>
                <w:szCs w:val="14"/>
                <w:color w:val="auto"/>
              </w:rPr>
            </w:pPr>
          </w:p>
        </w:tc>
        <w:tc>
          <w:tcPr>
            <w:tcW w:w="200" w:type="dxa"/>
            <w:vAlign w:val="bottom"/>
            <w:shd w:val="clear" w:color="auto" w:fill="CCECFF"/>
          </w:tcPr>
          <w:p>
            <w:pPr>
              <w:spacing w:after="0"/>
              <w:rPr>
                <w:sz w:val="14"/>
                <w:szCs w:val="14"/>
                <w:color w:val="auto"/>
              </w:rPr>
            </w:pPr>
          </w:p>
        </w:tc>
        <w:tc>
          <w:tcPr>
            <w:tcW w:w="1200" w:type="dxa"/>
            <w:vAlign w:val="bottom"/>
            <w:gridSpan w:val="2"/>
            <w:shd w:val="clear" w:color="auto" w:fill="CCECFF"/>
          </w:tcPr>
          <w:p>
            <w:pPr>
              <w:jc w:val="right"/>
              <w:ind w:right="20"/>
              <w:spacing w:after="0"/>
              <w:rPr>
                <w:sz w:val="20"/>
                <w:szCs w:val="20"/>
                <w:color w:val="auto"/>
              </w:rPr>
            </w:pPr>
            <w:r>
              <w:rPr>
                <w:rFonts w:ascii="Arial" w:cs="Arial" w:eastAsia="Arial" w:hAnsi="Arial"/>
                <w:sz w:val="14"/>
                <w:szCs w:val="14"/>
                <w:color w:val="auto"/>
              </w:rPr>
              <w:t>15,126,608</w:t>
            </w:r>
          </w:p>
        </w:tc>
        <w:tc>
          <w:tcPr>
            <w:tcW w:w="180" w:type="dxa"/>
            <w:vAlign w:val="bottom"/>
            <w:shd w:val="clear" w:color="auto" w:fill="CCECFF"/>
          </w:tcPr>
          <w:p>
            <w:pPr>
              <w:spacing w:after="0"/>
              <w:rPr>
                <w:sz w:val="14"/>
                <w:szCs w:val="14"/>
                <w:color w:val="auto"/>
              </w:rPr>
            </w:pPr>
          </w:p>
        </w:tc>
        <w:tc>
          <w:tcPr>
            <w:tcW w:w="80" w:type="dxa"/>
            <w:vAlign w:val="bottom"/>
            <w:shd w:val="clear" w:color="auto" w:fill="CCECFF"/>
          </w:tcPr>
          <w:p>
            <w:pPr>
              <w:spacing w:after="0"/>
              <w:rPr>
                <w:sz w:val="14"/>
                <w:szCs w:val="14"/>
                <w:color w:val="auto"/>
              </w:rPr>
            </w:pPr>
          </w:p>
        </w:tc>
        <w:tc>
          <w:tcPr>
            <w:tcW w:w="280" w:type="dxa"/>
            <w:vAlign w:val="bottom"/>
            <w:shd w:val="clear" w:color="auto" w:fill="CCECFF"/>
          </w:tcPr>
          <w:p>
            <w:pPr>
              <w:spacing w:after="0"/>
              <w:rPr>
                <w:sz w:val="14"/>
                <w:szCs w:val="14"/>
                <w:color w:val="auto"/>
              </w:rPr>
            </w:pPr>
          </w:p>
        </w:tc>
        <w:tc>
          <w:tcPr>
            <w:tcW w:w="1140" w:type="dxa"/>
            <w:vAlign w:val="bottom"/>
            <w:gridSpan w:val="2"/>
            <w:shd w:val="clear" w:color="auto" w:fill="CCECFF"/>
          </w:tcPr>
          <w:p>
            <w:pPr>
              <w:jc w:val="right"/>
              <w:ind w:right="20"/>
              <w:spacing w:after="0"/>
              <w:rPr>
                <w:sz w:val="20"/>
                <w:szCs w:val="20"/>
                <w:color w:val="auto"/>
              </w:rPr>
            </w:pPr>
            <w:r>
              <w:rPr>
                <w:rFonts w:ascii="Arial" w:cs="Arial" w:eastAsia="Arial" w:hAnsi="Arial"/>
                <w:sz w:val="14"/>
                <w:szCs w:val="14"/>
                <w:color w:val="auto"/>
              </w:rPr>
              <w:t>67,920,044</w:t>
            </w:r>
          </w:p>
        </w:tc>
        <w:tc>
          <w:tcPr>
            <w:tcW w:w="100" w:type="dxa"/>
            <w:vAlign w:val="bottom"/>
            <w:shd w:val="clear" w:color="auto" w:fill="CCECFF"/>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4720" w:type="dxa"/>
            <w:vAlign w:val="bottom"/>
            <w:gridSpan w:val="3"/>
          </w:tcPr>
          <w:p>
            <w:pPr>
              <w:ind w:left="500"/>
              <w:spacing w:after="0"/>
              <w:rPr>
                <w:sz w:val="20"/>
                <w:szCs w:val="20"/>
                <w:color w:val="auto"/>
              </w:rPr>
            </w:pPr>
            <w:r>
              <w:rPr>
                <w:rFonts w:ascii="Arial" w:cs="Arial" w:eastAsia="Arial" w:hAnsi="Arial"/>
                <w:sz w:val="14"/>
                <w:szCs w:val="14"/>
                <w:color w:val="auto"/>
                <w:w w:val="93"/>
              </w:rPr>
              <w:t>Purchases, PIK interest, net discount accretion and non-cash exchanges</w:t>
            </w:r>
          </w:p>
        </w:tc>
        <w:tc>
          <w:tcPr>
            <w:tcW w:w="11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220" w:type="dxa"/>
            <w:vAlign w:val="bottom"/>
            <w:gridSpan w:val="2"/>
          </w:tcPr>
          <w:p>
            <w:pPr>
              <w:jc w:val="right"/>
              <w:spacing w:after="0"/>
              <w:rPr>
                <w:sz w:val="20"/>
                <w:szCs w:val="20"/>
                <w:color w:val="auto"/>
              </w:rPr>
            </w:pPr>
            <w:r>
              <w:rPr>
                <w:rFonts w:ascii="Arial" w:cs="Arial" w:eastAsia="Arial" w:hAnsi="Arial"/>
                <w:sz w:val="14"/>
                <w:szCs w:val="14"/>
                <w:color w:val="auto"/>
              </w:rPr>
              <w:t>381,119,413</w:t>
            </w:r>
          </w:p>
        </w:tc>
        <w:tc>
          <w:tcPr>
            <w:tcW w:w="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200" w:type="dxa"/>
            <w:vAlign w:val="bottom"/>
            <w:gridSpan w:val="2"/>
          </w:tcPr>
          <w:p>
            <w:pPr>
              <w:jc w:val="right"/>
              <w:ind w:right="20"/>
              <w:spacing w:after="0"/>
              <w:rPr>
                <w:sz w:val="20"/>
                <w:szCs w:val="20"/>
                <w:color w:val="auto"/>
              </w:rPr>
            </w:pPr>
            <w:r>
              <w:rPr>
                <w:rFonts w:ascii="Arial" w:cs="Arial" w:eastAsia="Arial" w:hAnsi="Arial"/>
                <w:sz w:val="14"/>
                <w:szCs w:val="14"/>
                <w:color w:val="auto"/>
              </w:rPr>
              <w:t>32,873,013</w:t>
            </w:r>
          </w:p>
        </w:tc>
        <w:tc>
          <w:tcPr>
            <w:tcW w:w="1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140" w:type="dxa"/>
            <w:vAlign w:val="bottom"/>
            <w:gridSpan w:val="2"/>
          </w:tcPr>
          <w:p>
            <w:pPr>
              <w:jc w:val="right"/>
              <w:ind w:right="20"/>
              <w:spacing w:after="0"/>
              <w:rPr>
                <w:sz w:val="20"/>
                <w:szCs w:val="20"/>
                <w:color w:val="auto"/>
              </w:rPr>
            </w:pPr>
            <w:r>
              <w:rPr>
                <w:rFonts w:ascii="Arial" w:cs="Arial" w:eastAsia="Arial" w:hAnsi="Arial"/>
                <w:sz w:val="14"/>
                <w:szCs w:val="14"/>
                <w:color w:val="auto"/>
              </w:rPr>
              <w:t>413,992,426</w:t>
            </w: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4260" w:type="dxa"/>
            <w:vAlign w:val="bottom"/>
            <w:shd w:val="clear" w:color="auto" w:fill="CCECFF"/>
          </w:tcPr>
          <w:p>
            <w:pPr>
              <w:ind w:left="500"/>
              <w:spacing w:after="0"/>
              <w:rPr>
                <w:sz w:val="20"/>
                <w:szCs w:val="20"/>
                <w:color w:val="auto"/>
              </w:rPr>
            </w:pPr>
            <w:r>
              <w:rPr>
                <w:rFonts w:ascii="Arial" w:cs="Arial" w:eastAsia="Arial" w:hAnsi="Arial"/>
                <w:sz w:val="14"/>
                <w:szCs w:val="14"/>
                <w:color w:val="auto"/>
              </w:rPr>
              <w:t>Sales, repayments and non-cash exchanges</w:t>
            </w:r>
          </w:p>
        </w:tc>
        <w:tc>
          <w:tcPr>
            <w:tcW w:w="160" w:type="dxa"/>
            <w:vAlign w:val="bottom"/>
            <w:shd w:val="clear" w:color="auto" w:fill="CCECFF"/>
          </w:tcPr>
          <w:p>
            <w:pPr>
              <w:spacing w:after="0"/>
              <w:rPr>
                <w:sz w:val="14"/>
                <w:szCs w:val="14"/>
                <w:color w:val="auto"/>
              </w:rPr>
            </w:pPr>
          </w:p>
        </w:tc>
        <w:tc>
          <w:tcPr>
            <w:tcW w:w="300" w:type="dxa"/>
            <w:vAlign w:val="bottom"/>
            <w:shd w:val="clear" w:color="auto" w:fill="CCECFF"/>
          </w:tcPr>
          <w:p>
            <w:pPr>
              <w:spacing w:after="0"/>
              <w:rPr>
                <w:sz w:val="14"/>
                <w:szCs w:val="14"/>
                <w:color w:val="auto"/>
              </w:rPr>
            </w:pPr>
          </w:p>
        </w:tc>
        <w:tc>
          <w:tcPr>
            <w:tcW w:w="1180" w:type="dxa"/>
            <w:vAlign w:val="bottom"/>
            <w:shd w:val="clear" w:color="auto" w:fill="CCECFF"/>
          </w:tcPr>
          <w:p>
            <w:pPr>
              <w:spacing w:after="0"/>
              <w:rPr>
                <w:sz w:val="14"/>
                <w:szCs w:val="14"/>
                <w:color w:val="auto"/>
              </w:rPr>
            </w:pPr>
          </w:p>
        </w:tc>
        <w:tc>
          <w:tcPr>
            <w:tcW w:w="260" w:type="dxa"/>
            <w:vAlign w:val="bottom"/>
            <w:shd w:val="clear" w:color="auto" w:fill="CCECFF"/>
          </w:tcPr>
          <w:p>
            <w:pPr>
              <w:spacing w:after="0"/>
              <w:rPr>
                <w:sz w:val="14"/>
                <w:szCs w:val="14"/>
                <w:color w:val="auto"/>
              </w:rPr>
            </w:pPr>
          </w:p>
        </w:tc>
        <w:tc>
          <w:tcPr>
            <w:tcW w:w="80" w:type="dxa"/>
            <w:vAlign w:val="bottom"/>
            <w:shd w:val="clear" w:color="auto" w:fill="CCECFF"/>
          </w:tcPr>
          <w:p>
            <w:pPr>
              <w:spacing w:after="0"/>
              <w:rPr>
                <w:sz w:val="14"/>
                <w:szCs w:val="14"/>
                <w:color w:val="auto"/>
              </w:rPr>
            </w:pPr>
          </w:p>
        </w:tc>
        <w:tc>
          <w:tcPr>
            <w:tcW w:w="80" w:type="dxa"/>
            <w:vAlign w:val="bottom"/>
            <w:shd w:val="clear" w:color="auto" w:fill="CCECFF"/>
          </w:tcPr>
          <w:p>
            <w:pPr>
              <w:spacing w:after="0"/>
              <w:rPr>
                <w:sz w:val="14"/>
                <w:szCs w:val="14"/>
                <w:color w:val="auto"/>
              </w:rPr>
            </w:pPr>
          </w:p>
        </w:tc>
        <w:tc>
          <w:tcPr>
            <w:tcW w:w="80" w:type="dxa"/>
            <w:vAlign w:val="bottom"/>
            <w:shd w:val="clear" w:color="auto" w:fill="CCECFF"/>
          </w:tcPr>
          <w:p>
            <w:pPr>
              <w:spacing w:after="0"/>
              <w:rPr>
                <w:sz w:val="14"/>
                <w:szCs w:val="14"/>
                <w:color w:val="auto"/>
              </w:rPr>
            </w:pPr>
          </w:p>
        </w:tc>
        <w:tc>
          <w:tcPr>
            <w:tcW w:w="160" w:type="dxa"/>
            <w:vAlign w:val="bottom"/>
            <w:shd w:val="clear" w:color="auto" w:fill="CCECFF"/>
          </w:tcPr>
          <w:p>
            <w:pPr>
              <w:spacing w:after="0"/>
              <w:rPr>
                <w:sz w:val="14"/>
                <w:szCs w:val="14"/>
                <w:color w:val="auto"/>
              </w:rPr>
            </w:pPr>
          </w:p>
        </w:tc>
        <w:tc>
          <w:tcPr>
            <w:tcW w:w="1300" w:type="dxa"/>
            <w:vAlign w:val="bottom"/>
            <w:gridSpan w:val="3"/>
            <w:shd w:val="clear" w:color="auto" w:fill="CCECFF"/>
          </w:tcPr>
          <w:p>
            <w:pPr>
              <w:jc w:val="right"/>
              <w:ind w:right="20"/>
              <w:spacing w:after="0"/>
              <w:rPr>
                <w:sz w:val="20"/>
                <w:szCs w:val="20"/>
                <w:color w:val="auto"/>
              </w:rPr>
            </w:pPr>
            <w:r>
              <w:rPr>
                <w:rFonts w:ascii="Arial" w:cs="Arial" w:eastAsia="Arial" w:hAnsi="Arial"/>
                <w:sz w:val="14"/>
                <w:szCs w:val="14"/>
                <w:color w:val="auto"/>
              </w:rPr>
              <w:t>(421,117,523)</w:t>
            </w:r>
          </w:p>
        </w:tc>
        <w:tc>
          <w:tcPr>
            <w:tcW w:w="40" w:type="dxa"/>
            <w:vAlign w:val="bottom"/>
            <w:shd w:val="clear" w:color="auto" w:fill="CCECFF"/>
          </w:tcPr>
          <w:p>
            <w:pPr>
              <w:spacing w:after="0"/>
              <w:rPr>
                <w:sz w:val="14"/>
                <w:szCs w:val="14"/>
                <w:color w:val="auto"/>
              </w:rPr>
            </w:pPr>
          </w:p>
        </w:tc>
        <w:tc>
          <w:tcPr>
            <w:tcW w:w="160" w:type="dxa"/>
            <w:vAlign w:val="bottom"/>
            <w:shd w:val="clear" w:color="auto" w:fill="CCECFF"/>
          </w:tcPr>
          <w:p>
            <w:pPr>
              <w:spacing w:after="0"/>
              <w:rPr>
                <w:sz w:val="14"/>
                <w:szCs w:val="14"/>
                <w:color w:val="auto"/>
              </w:rPr>
            </w:pPr>
          </w:p>
        </w:tc>
        <w:tc>
          <w:tcPr>
            <w:tcW w:w="200" w:type="dxa"/>
            <w:vAlign w:val="bottom"/>
            <w:shd w:val="clear" w:color="auto" w:fill="CCECFF"/>
          </w:tcPr>
          <w:p>
            <w:pPr>
              <w:spacing w:after="0"/>
              <w:rPr>
                <w:sz w:val="14"/>
                <w:szCs w:val="14"/>
                <w:color w:val="auto"/>
              </w:rPr>
            </w:pPr>
          </w:p>
        </w:tc>
        <w:tc>
          <w:tcPr>
            <w:tcW w:w="1380" w:type="dxa"/>
            <w:vAlign w:val="bottom"/>
            <w:gridSpan w:val="3"/>
            <w:shd w:val="clear" w:color="auto" w:fill="CCECFF"/>
          </w:tcPr>
          <w:p>
            <w:pPr>
              <w:jc w:val="right"/>
              <w:ind w:right="140"/>
              <w:spacing w:after="0"/>
              <w:rPr>
                <w:sz w:val="20"/>
                <w:szCs w:val="20"/>
                <w:color w:val="auto"/>
              </w:rPr>
            </w:pPr>
            <w:r>
              <w:rPr>
                <w:rFonts w:ascii="Arial" w:cs="Arial" w:eastAsia="Arial" w:hAnsi="Arial"/>
                <w:sz w:val="14"/>
                <w:szCs w:val="14"/>
                <w:color w:val="auto"/>
              </w:rPr>
              <w:t>(35,460,386)</w:t>
            </w:r>
          </w:p>
        </w:tc>
        <w:tc>
          <w:tcPr>
            <w:tcW w:w="80" w:type="dxa"/>
            <w:vAlign w:val="bottom"/>
            <w:shd w:val="clear" w:color="auto" w:fill="CCECFF"/>
          </w:tcPr>
          <w:p>
            <w:pPr>
              <w:spacing w:after="0"/>
              <w:rPr>
                <w:sz w:val="14"/>
                <w:szCs w:val="14"/>
                <w:color w:val="auto"/>
              </w:rPr>
            </w:pPr>
          </w:p>
        </w:tc>
        <w:tc>
          <w:tcPr>
            <w:tcW w:w="280" w:type="dxa"/>
            <w:vAlign w:val="bottom"/>
            <w:shd w:val="clear" w:color="auto" w:fill="CCECFF"/>
          </w:tcPr>
          <w:p>
            <w:pPr>
              <w:spacing w:after="0"/>
              <w:rPr>
                <w:sz w:val="14"/>
                <w:szCs w:val="14"/>
                <w:color w:val="auto"/>
              </w:rPr>
            </w:pPr>
          </w:p>
        </w:tc>
        <w:tc>
          <w:tcPr>
            <w:tcW w:w="1240" w:type="dxa"/>
            <w:vAlign w:val="bottom"/>
            <w:gridSpan w:val="3"/>
            <w:shd w:val="clear" w:color="auto" w:fill="CCECFF"/>
          </w:tcPr>
          <w:p>
            <w:pPr>
              <w:jc w:val="right"/>
              <w:ind w:right="60"/>
              <w:spacing w:after="0"/>
              <w:rPr>
                <w:sz w:val="20"/>
                <w:szCs w:val="20"/>
                <w:color w:val="auto"/>
              </w:rPr>
            </w:pPr>
            <w:r>
              <w:rPr>
                <w:rFonts w:ascii="Arial" w:cs="Arial" w:eastAsia="Arial" w:hAnsi="Arial"/>
                <w:sz w:val="14"/>
                <w:szCs w:val="14"/>
                <w:color w:val="auto"/>
              </w:rPr>
              <w:t>(456,577,909)</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4260" w:type="dxa"/>
            <w:vAlign w:val="bottom"/>
          </w:tcPr>
          <w:p>
            <w:pPr>
              <w:ind w:left="500"/>
              <w:spacing w:after="0"/>
              <w:rPr>
                <w:sz w:val="20"/>
                <w:szCs w:val="20"/>
                <w:color w:val="auto"/>
              </w:rPr>
            </w:pPr>
            <w:r>
              <w:rPr>
                <w:rFonts w:ascii="Arial" w:cs="Arial" w:eastAsia="Arial" w:hAnsi="Arial"/>
                <w:sz w:val="14"/>
                <w:szCs w:val="14"/>
                <w:color w:val="auto"/>
              </w:rPr>
              <w:t>Transfers in/out of Level 3</w:t>
            </w:r>
          </w:p>
        </w:tc>
        <w:tc>
          <w:tcPr>
            <w:tcW w:w="1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300" w:type="dxa"/>
            <w:vAlign w:val="bottom"/>
            <w:gridSpan w:val="3"/>
          </w:tcPr>
          <w:p>
            <w:pPr>
              <w:jc w:val="right"/>
              <w:ind w:right="80"/>
              <w:spacing w:after="0"/>
              <w:rPr>
                <w:sz w:val="20"/>
                <w:szCs w:val="20"/>
                <w:color w:val="auto"/>
              </w:rPr>
            </w:pPr>
            <w:r>
              <w:rPr>
                <w:rFonts w:ascii="Arial" w:cs="Arial" w:eastAsia="Arial" w:hAnsi="Arial"/>
                <w:sz w:val="14"/>
                <w:szCs w:val="14"/>
                <w:color w:val="auto"/>
              </w:rPr>
              <w:t>—</w:t>
            </w:r>
          </w:p>
        </w:tc>
        <w:tc>
          <w:tcPr>
            <w:tcW w:w="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380" w:type="dxa"/>
            <w:vAlign w:val="bottom"/>
            <w:gridSpan w:val="3"/>
          </w:tcPr>
          <w:p>
            <w:pPr>
              <w:jc w:val="right"/>
              <w:ind w:right="200"/>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240" w:type="dxa"/>
            <w:vAlign w:val="bottom"/>
            <w:gridSpan w:val="3"/>
          </w:tcPr>
          <w:p>
            <w:pPr>
              <w:jc w:val="right"/>
              <w:ind w:right="120"/>
              <w:spacing w:after="0"/>
              <w:rPr>
                <w:sz w:val="20"/>
                <w:szCs w:val="20"/>
                <w:color w:val="auto"/>
              </w:rPr>
            </w:pPr>
            <w:r>
              <w:rPr>
                <w:rFonts w:ascii="Arial" w:cs="Arial" w:eastAsia="Arial" w:hAnsi="Arial"/>
                <w:sz w:val="14"/>
                <w:szCs w:val="14"/>
                <w:color w:val="auto"/>
              </w:rPr>
              <w:t>—</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5"/>
        </w:trPr>
        <w:tc>
          <w:tcPr>
            <w:tcW w:w="4260" w:type="dxa"/>
            <w:vAlign w:val="bottom"/>
            <w:tcBorders>
              <w:top w:val="single" w:sz="8" w:color="CCECFF"/>
              <w:bottom w:val="single" w:sz="8" w:color="CCECFF"/>
            </w:tcBorders>
            <w:shd w:val="clear" w:color="auto" w:fill="CCECFF"/>
          </w:tcPr>
          <w:p>
            <w:pPr>
              <w:spacing w:after="0" w:line="155" w:lineRule="exact"/>
              <w:rPr>
                <w:sz w:val="20"/>
                <w:szCs w:val="20"/>
                <w:color w:val="auto"/>
              </w:rPr>
            </w:pPr>
            <w:r>
              <w:rPr>
                <w:rFonts w:ascii="Arial" w:cs="Arial" w:eastAsia="Arial" w:hAnsi="Arial"/>
                <w:sz w:val="14"/>
                <w:szCs w:val="14"/>
                <w:color w:val="auto"/>
              </w:rPr>
              <w:t>Ending Balance</w:t>
            </w:r>
          </w:p>
        </w:tc>
        <w:tc>
          <w:tcPr>
            <w:tcW w:w="160" w:type="dxa"/>
            <w:vAlign w:val="bottom"/>
            <w:tcBorders>
              <w:top w:val="single" w:sz="8" w:color="CCECFF"/>
              <w:bottom w:val="single" w:sz="8" w:color="CCECFF"/>
            </w:tcBorders>
            <w:shd w:val="clear" w:color="auto" w:fill="CCECFF"/>
          </w:tcPr>
          <w:p>
            <w:pPr>
              <w:spacing w:after="0"/>
              <w:rPr>
                <w:sz w:val="13"/>
                <w:szCs w:val="13"/>
                <w:color w:val="auto"/>
              </w:rPr>
            </w:pPr>
          </w:p>
        </w:tc>
        <w:tc>
          <w:tcPr>
            <w:tcW w:w="300" w:type="dxa"/>
            <w:vAlign w:val="bottom"/>
            <w:tcBorders>
              <w:top w:val="single" w:sz="8" w:color="CCECFF"/>
              <w:bottom w:val="single" w:sz="8" w:color="CCECFF"/>
            </w:tcBorders>
            <w:shd w:val="clear" w:color="auto" w:fill="CCECFF"/>
          </w:tcPr>
          <w:p>
            <w:pPr>
              <w:spacing w:after="0"/>
              <w:rPr>
                <w:sz w:val="13"/>
                <w:szCs w:val="13"/>
                <w:color w:val="auto"/>
              </w:rPr>
            </w:pPr>
          </w:p>
        </w:tc>
        <w:tc>
          <w:tcPr>
            <w:tcW w:w="1180" w:type="dxa"/>
            <w:vAlign w:val="bottom"/>
            <w:tcBorders>
              <w:top w:val="single" w:sz="8" w:color="CCECFF"/>
              <w:bottom w:val="single" w:sz="8" w:color="CCECFF"/>
            </w:tcBorders>
            <w:shd w:val="clear" w:color="auto" w:fill="CCECFF"/>
          </w:tcPr>
          <w:p>
            <w:pPr>
              <w:spacing w:after="0"/>
              <w:rPr>
                <w:sz w:val="13"/>
                <w:szCs w:val="13"/>
                <w:color w:val="auto"/>
              </w:rPr>
            </w:pPr>
          </w:p>
        </w:tc>
        <w:tc>
          <w:tcPr>
            <w:tcW w:w="260" w:type="dxa"/>
            <w:vAlign w:val="bottom"/>
            <w:tcBorders>
              <w:top w:val="single" w:sz="8" w:color="CCECFF"/>
              <w:bottom w:val="single" w:sz="8" w:color="CCECFF"/>
            </w:tcBorders>
            <w:shd w:val="clear" w:color="auto" w:fill="CCECFF"/>
          </w:tcPr>
          <w:p>
            <w:pPr>
              <w:spacing w:after="0"/>
              <w:rPr>
                <w:sz w:val="13"/>
                <w:szCs w:val="13"/>
                <w:color w:val="auto"/>
              </w:rPr>
            </w:pPr>
          </w:p>
        </w:tc>
        <w:tc>
          <w:tcPr>
            <w:tcW w:w="80" w:type="dxa"/>
            <w:vAlign w:val="bottom"/>
            <w:tcBorders>
              <w:top w:val="single" w:sz="8" w:color="CCECFF"/>
              <w:bottom w:val="single" w:sz="8" w:color="CCECFF"/>
            </w:tcBorders>
            <w:shd w:val="clear" w:color="auto" w:fill="CCECFF"/>
          </w:tcPr>
          <w:p>
            <w:pPr>
              <w:spacing w:after="0"/>
              <w:rPr>
                <w:sz w:val="13"/>
                <w:szCs w:val="13"/>
                <w:color w:val="auto"/>
              </w:rPr>
            </w:pPr>
          </w:p>
        </w:tc>
        <w:tc>
          <w:tcPr>
            <w:tcW w:w="80" w:type="dxa"/>
            <w:vAlign w:val="bottom"/>
            <w:tcBorders>
              <w:top w:val="single" w:sz="8" w:color="CCECFF"/>
              <w:bottom w:val="single" w:sz="8" w:color="CCECFF"/>
            </w:tcBorders>
            <w:shd w:val="clear" w:color="auto" w:fill="CCECFF"/>
          </w:tcPr>
          <w:p>
            <w:pPr>
              <w:spacing w:after="0"/>
              <w:rPr>
                <w:sz w:val="13"/>
                <w:szCs w:val="13"/>
                <w:color w:val="auto"/>
              </w:rPr>
            </w:pPr>
          </w:p>
        </w:tc>
        <w:tc>
          <w:tcPr>
            <w:tcW w:w="80" w:type="dxa"/>
            <w:vAlign w:val="bottom"/>
            <w:tcBorders>
              <w:top w:val="single" w:sz="8" w:color="CCECFF"/>
              <w:bottom w:val="single" w:sz="8" w:color="CCECFF"/>
            </w:tcBorders>
            <w:shd w:val="clear" w:color="auto" w:fill="CCECFF"/>
          </w:tcPr>
          <w:p>
            <w:pPr>
              <w:spacing w:after="0"/>
              <w:rPr>
                <w:sz w:val="13"/>
                <w:szCs w:val="13"/>
                <w:color w:val="auto"/>
              </w:rPr>
            </w:pPr>
          </w:p>
        </w:tc>
        <w:tc>
          <w:tcPr>
            <w:tcW w:w="160" w:type="dxa"/>
            <w:vAlign w:val="bottom"/>
            <w:tcBorders>
              <w:top w:val="single" w:sz="8" w:color="auto"/>
              <w:bottom w:val="single" w:sz="8" w:color="auto"/>
            </w:tcBorders>
            <w:shd w:val="clear" w:color="auto" w:fill="CCECFF"/>
          </w:tcPr>
          <w:p>
            <w:pPr>
              <w:jc w:val="right"/>
              <w:ind w:right="49"/>
              <w:spacing w:after="0"/>
              <w:rPr>
                <w:sz w:val="20"/>
                <w:szCs w:val="20"/>
                <w:color w:val="auto"/>
              </w:rPr>
            </w:pPr>
            <w:r>
              <w:rPr>
                <w:rFonts w:ascii="Arial" w:cs="Arial" w:eastAsia="Arial" w:hAnsi="Arial"/>
                <w:sz w:val="10"/>
                <w:szCs w:val="10"/>
                <w:color w:val="auto"/>
                <w:w w:val="71"/>
              </w:rPr>
              <w:t>$</w:t>
            </w:r>
          </w:p>
        </w:tc>
        <w:tc>
          <w:tcPr>
            <w:tcW w:w="1220" w:type="dxa"/>
            <w:vAlign w:val="bottom"/>
            <w:tcBorders>
              <w:top w:val="single" w:sz="8" w:color="auto"/>
              <w:bottom w:val="single" w:sz="8" w:color="auto"/>
            </w:tcBorders>
            <w:gridSpan w:val="2"/>
            <w:shd w:val="clear" w:color="auto" w:fill="CCECFF"/>
          </w:tcPr>
          <w:p>
            <w:pPr>
              <w:jc w:val="right"/>
              <w:spacing w:after="0" w:line="155" w:lineRule="exact"/>
              <w:rPr>
                <w:sz w:val="20"/>
                <w:szCs w:val="20"/>
                <w:color w:val="auto"/>
              </w:rPr>
            </w:pPr>
            <w:r>
              <w:rPr>
                <w:rFonts w:ascii="Arial" w:cs="Arial" w:eastAsia="Arial" w:hAnsi="Arial"/>
                <w:sz w:val="14"/>
                <w:szCs w:val="14"/>
                <w:color w:val="auto"/>
              </w:rPr>
              <w:t>970,411,228</w:t>
            </w:r>
          </w:p>
        </w:tc>
        <w:tc>
          <w:tcPr>
            <w:tcW w:w="80" w:type="dxa"/>
            <w:vAlign w:val="bottom"/>
            <w:tcBorders>
              <w:top w:val="single" w:sz="8" w:color="CCECFF"/>
              <w:bottom w:val="single" w:sz="8" w:color="CCECFF"/>
            </w:tcBorders>
            <w:shd w:val="clear" w:color="auto" w:fill="CCECFF"/>
          </w:tcPr>
          <w:p>
            <w:pPr>
              <w:spacing w:after="0"/>
              <w:rPr>
                <w:sz w:val="13"/>
                <w:szCs w:val="13"/>
                <w:color w:val="auto"/>
              </w:rPr>
            </w:pPr>
          </w:p>
        </w:tc>
        <w:tc>
          <w:tcPr>
            <w:tcW w:w="200" w:type="dxa"/>
            <w:vAlign w:val="bottom"/>
            <w:tcBorders>
              <w:top w:val="single" w:sz="8" w:color="CCECFF"/>
              <w:bottom w:val="single" w:sz="8" w:color="CCECFF"/>
            </w:tcBorders>
            <w:gridSpan w:val="2"/>
            <w:shd w:val="clear" w:color="auto" w:fill="CCECFF"/>
          </w:tcPr>
          <w:p>
            <w:pPr>
              <w:spacing w:after="0"/>
              <w:rPr>
                <w:sz w:val="13"/>
                <w:szCs w:val="13"/>
                <w:color w:val="auto"/>
              </w:rPr>
            </w:pPr>
          </w:p>
        </w:tc>
        <w:tc>
          <w:tcPr>
            <w:tcW w:w="200" w:type="dxa"/>
            <w:vAlign w:val="bottom"/>
            <w:tcBorders>
              <w:top w:val="single" w:sz="8" w:color="auto"/>
              <w:bottom w:val="single" w:sz="8" w:color="auto"/>
            </w:tcBorders>
            <w:shd w:val="clear" w:color="auto" w:fill="CCECFF"/>
          </w:tcPr>
          <w:p>
            <w:pPr>
              <w:jc w:val="right"/>
              <w:ind w:right="89"/>
              <w:spacing w:after="0"/>
              <w:rPr>
                <w:sz w:val="20"/>
                <w:szCs w:val="20"/>
                <w:color w:val="auto"/>
              </w:rPr>
            </w:pPr>
            <w:r>
              <w:rPr>
                <w:rFonts w:ascii="Arial" w:cs="Arial" w:eastAsia="Arial" w:hAnsi="Arial"/>
                <w:sz w:val="10"/>
                <w:szCs w:val="10"/>
                <w:color w:val="auto"/>
                <w:w w:val="71"/>
              </w:rPr>
              <w:t>$</w:t>
            </w:r>
          </w:p>
        </w:tc>
        <w:tc>
          <w:tcPr>
            <w:tcW w:w="1200" w:type="dxa"/>
            <w:vAlign w:val="bottom"/>
            <w:tcBorders>
              <w:top w:val="single" w:sz="8" w:color="auto"/>
              <w:bottom w:val="single" w:sz="8" w:color="auto"/>
            </w:tcBorders>
            <w:gridSpan w:val="2"/>
            <w:shd w:val="clear" w:color="auto" w:fill="CCECFF"/>
          </w:tcPr>
          <w:p>
            <w:pPr>
              <w:jc w:val="right"/>
              <w:ind w:right="20"/>
              <w:spacing w:after="0" w:line="155" w:lineRule="exact"/>
              <w:rPr>
                <w:sz w:val="20"/>
                <w:szCs w:val="20"/>
                <w:color w:val="auto"/>
              </w:rPr>
            </w:pPr>
            <w:r>
              <w:rPr>
                <w:rFonts w:ascii="Arial" w:cs="Arial" w:eastAsia="Arial" w:hAnsi="Arial"/>
                <w:sz w:val="14"/>
                <w:szCs w:val="14"/>
                <w:color w:val="auto"/>
              </w:rPr>
              <w:t>127,318,822</w:t>
            </w:r>
          </w:p>
        </w:tc>
        <w:tc>
          <w:tcPr>
            <w:tcW w:w="180" w:type="dxa"/>
            <w:vAlign w:val="bottom"/>
            <w:tcBorders>
              <w:top w:val="single" w:sz="8" w:color="CCECFF"/>
              <w:bottom w:val="single" w:sz="8" w:color="CCECFF"/>
            </w:tcBorders>
            <w:shd w:val="clear" w:color="auto" w:fill="CCECFF"/>
          </w:tcPr>
          <w:p>
            <w:pPr>
              <w:spacing w:after="0"/>
              <w:rPr>
                <w:sz w:val="13"/>
                <w:szCs w:val="13"/>
                <w:color w:val="auto"/>
              </w:rPr>
            </w:pPr>
          </w:p>
        </w:tc>
        <w:tc>
          <w:tcPr>
            <w:tcW w:w="80" w:type="dxa"/>
            <w:vAlign w:val="bottom"/>
            <w:tcBorders>
              <w:top w:val="single" w:sz="8" w:color="CCECFF"/>
              <w:bottom w:val="single" w:sz="8" w:color="CCECFF"/>
            </w:tcBorders>
            <w:shd w:val="clear" w:color="auto" w:fill="CCECFF"/>
          </w:tcPr>
          <w:p>
            <w:pPr>
              <w:spacing w:after="0"/>
              <w:rPr>
                <w:sz w:val="13"/>
                <w:szCs w:val="13"/>
                <w:color w:val="auto"/>
              </w:rPr>
            </w:pPr>
          </w:p>
        </w:tc>
        <w:tc>
          <w:tcPr>
            <w:tcW w:w="280" w:type="dxa"/>
            <w:vAlign w:val="bottom"/>
            <w:tcBorders>
              <w:top w:val="single" w:sz="8" w:color="auto"/>
              <w:bottom w:val="single" w:sz="8" w:color="auto"/>
            </w:tcBorders>
            <w:shd w:val="clear" w:color="auto" w:fill="CCECFF"/>
          </w:tcPr>
          <w:p>
            <w:pPr>
              <w:jc w:val="right"/>
              <w:ind w:right="128"/>
              <w:spacing w:after="0" w:line="155" w:lineRule="exact"/>
              <w:rPr>
                <w:sz w:val="20"/>
                <w:szCs w:val="20"/>
                <w:color w:val="auto"/>
              </w:rPr>
            </w:pPr>
            <w:r>
              <w:rPr>
                <w:rFonts w:ascii="Arial" w:cs="Arial" w:eastAsia="Arial" w:hAnsi="Arial"/>
                <w:sz w:val="14"/>
                <w:szCs w:val="14"/>
                <w:color w:val="auto"/>
                <w:w w:val="76"/>
              </w:rPr>
              <w:t>$</w:t>
            </w:r>
          </w:p>
        </w:tc>
        <w:tc>
          <w:tcPr>
            <w:tcW w:w="1140" w:type="dxa"/>
            <w:vAlign w:val="bottom"/>
            <w:tcBorders>
              <w:top w:val="single" w:sz="8" w:color="auto"/>
              <w:bottom w:val="single" w:sz="8" w:color="auto"/>
            </w:tcBorders>
            <w:gridSpan w:val="2"/>
            <w:shd w:val="clear" w:color="auto" w:fill="CCECFF"/>
          </w:tcPr>
          <w:p>
            <w:pPr>
              <w:jc w:val="right"/>
              <w:ind w:right="20"/>
              <w:spacing w:after="0" w:line="155" w:lineRule="exact"/>
              <w:rPr>
                <w:sz w:val="20"/>
                <w:szCs w:val="20"/>
                <w:color w:val="auto"/>
              </w:rPr>
            </w:pPr>
            <w:r>
              <w:rPr>
                <w:rFonts w:ascii="Arial" w:cs="Arial" w:eastAsia="Arial" w:hAnsi="Arial"/>
                <w:sz w:val="14"/>
                <w:szCs w:val="14"/>
                <w:color w:val="auto"/>
              </w:rPr>
              <w:t>1,097,730,050</w:t>
            </w:r>
          </w:p>
        </w:tc>
        <w:tc>
          <w:tcPr>
            <w:tcW w:w="100" w:type="dxa"/>
            <w:vAlign w:val="bottom"/>
            <w:tcBorders>
              <w:top w:val="single" w:sz="8" w:color="CCECFF"/>
              <w:bottom w:val="single" w:sz="8" w:color="CCECFF"/>
            </w:tcBorders>
            <w:shd w:val="clear" w:color="auto" w:fill="CCECFF"/>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6160" w:type="dxa"/>
            <w:vAlign w:val="bottom"/>
            <w:gridSpan w:val="5"/>
            <w:vMerge w:val="restart"/>
          </w:tcPr>
          <w:p>
            <w:pPr>
              <w:spacing w:after="0"/>
              <w:rPr>
                <w:sz w:val="20"/>
                <w:szCs w:val="20"/>
                <w:color w:val="auto"/>
              </w:rPr>
            </w:pPr>
            <w:r>
              <w:rPr>
                <w:rFonts w:ascii="Arial" w:cs="Arial" w:eastAsia="Arial" w:hAnsi="Arial"/>
                <w:sz w:val="14"/>
                <w:szCs w:val="14"/>
                <w:color w:val="auto"/>
              </w:rPr>
              <w:t>Net change in unrealized appreciation (depreciation) reported within the net change in unrealized</w:t>
            </w: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4"/>
        </w:trPr>
        <w:tc>
          <w:tcPr>
            <w:tcW w:w="6160" w:type="dxa"/>
            <w:vAlign w:val="bottom"/>
            <w:gridSpan w:val="5"/>
            <w:vMerge w:val="continue"/>
          </w:tcPr>
          <w:p>
            <w:pPr>
              <w:spacing w:after="0"/>
              <w:rPr>
                <w:sz w:val="10"/>
                <w:szCs w:val="10"/>
                <w:color w:val="auto"/>
              </w:rPr>
            </w:pPr>
          </w:p>
        </w:tc>
        <w:tc>
          <w:tcPr>
            <w:tcW w:w="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08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11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11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8"/>
        </w:trPr>
        <w:tc>
          <w:tcPr>
            <w:tcW w:w="6320" w:type="dxa"/>
            <w:vAlign w:val="bottom"/>
            <w:gridSpan w:val="7"/>
          </w:tcPr>
          <w:p>
            <w:pPr>
              <w:spacing w:after="0" w:line="149" w:lineRule="exact"/>
              <w:rPr>
                <w:sz w:val="20"/>
                <w:szCs w:val="20"/>
                <w:color w:val="auto"/>
              </w:rPr>
            </w:pPr>
            <w:r>
              <w:rPr>
                <w:rFonts w:ascii="Arial" w:cs="Arial" w:eastAsia="Arial" w:hAnsi="Arial"/>
                <w:sz w:val="14"/>
                <w:szCs w:val="14"/>
                <w:color w:val="auto"/>
                <w:w w:val="94"/>
              </w:rPr>
              <w:t>(depreciation) appreciation on investments in our Consolidated Statements of Operations attributable to our</w:t>
            </w:r>
          </w:p>
        </w:tc>
        <w:tc>
          <w:tcPr>
            <w:tcW w:w="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7"/>
        </w:trPr>
        <w:tc>
          <w:tcPr>
            <w:tcW w:w="4260" w:type="dxa"/>
            <w:vAlign w:val="bottom"/>
          </w:tcPr>
          <w:p>
            <w:pPr>
              <w:spacing w:after="0"/>
              <w:rPr>
                <w:sz w:val="20"/>
                <w:szCs w:val="20"/>
                <w:color w:val="auto"/>
              </w:rPr>
            </w:pPr>
            <w:r>
              <w:rPr>
                <w:rFonts w:ascii="Arial" w:cs="Arial" w:eastAsia="Arial" w:hAnsi="Arial"/>
                <w:sz w:val="14"/>
                <w:szCs w:val="14"/>
                <w:color w:val="auto"/>
              </w:rPr>
              <w:t>Level 3 assets still held at the reporting date.</w:t>
            </w:r>
          </w:p>
        </w:tc>
        <w:tc>
          <w:tcPr>
            <w:tcW w:w="1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40" w:type="dxa"/>
            <w:vAlign w:val="bottom"/>
            <w:gridSpan w:val="2"/>
          </w:tcPr>
          <w:p>
            <w:pPr>
              <w:jc w:val="right"/>
              <w:ind w:right="49"/>
              <w:spacing w:after="0"/>
              <w:rPr>
                <w:sz w:val="20"/>
                <w:szCs w:val="20"/>
                <w:color w:val="auto"/>
              </w:rPr>
            </w:pPr>
            <w:r>
              <w:rPr>
                <w:rFonts w:ascii="Arial" w:cs="Arial" w:eastAsia="Arial" w:hAnsi="Arial"/>
                <w:sz w:val="14"/>
                <w:szCs w:val="14"/>
                <w:color w:val="auto"/>
              </w:rPr>
              <w:t>$</w:t>
            </w:r>
          </w:p>
        </w:tc>
        <w:tc>
          <w:tcPr>
            <w:tcW w:w="1220" w:type="dxa"/>
            <w:vAlign w:val="bottom"/>
            <w:gridSpan w:val="2"/>
          </w:tcPr>
          <w:p>
            <w:pPr>
              <w:jc w:val="right"/>
              <w:spacing w:after="0"/>
              <w:rPr>
                <w:sz w:val="20"/>
                <w:szCs w:val="20"/>
                <w:color w:val="auto"/>
              </w:rPr>
            </w:pPr>
            <w:r>
              <w:rPr>
                <w:rFonts w:ascii="Arial" w:cs="Arial" w:eastAsia="Arial" w:hAnsi="Arial"/>
                <w:sz w:val="14"/>
                <w:szCs w:val="14"/>
                <w:color w:val="auto"/>
              </w:rPr>
              <w:t>15,859,153</w:t>
            </w:r>
          </w:p>
        </w:tc>
        <w:tc>
          <w:tcPr>
            <w:tcW w:w="80" w:type="dxa"/>
            <w:vAlign w:val="bottom"/>
          </w:tcPr>
          <w:p>
            <w:pPr>
              <w:spacing w:after="0"/>
              <w:rPr>
                <w:sz w:val="14"/>
                <w:szCs w:val="14"/>
                <w:color w:val="auto"/>
              </w:rPr>
            </w:pPr>
          </w:p>
        </w:tc>
        <w:tc>
          <w:tcPr>
            <w:tcW w:w="400" w:type="dxa"/>
            <w:vAlign w:val="bottom"/>
            <w:gridSpan w:val="3"/>
          </w:tcPr>
          <w:p>
            <w:pPr>
              <w:jc w:val="right"/>
              <w:ind w:right="89"/>
              <w:spacing w:after="0"/>
              <w:rPr>
                <w:sz w:val="20"/>
                <w:szCs w:val="20"/>
                <w:color w:val="auto"/>
              </w:rPr>
            </w:pPr>
            <w:r>
              <w:rPr>
                <w:rFonts w:ascii="Arial" w:cs="Arial" w:eastAsia="Arial" w:hAnsi="Arial"/>
                <w:sz w:val="14"/>
                <w:szCs w:val="14"/>
                <w:color w:val="auto"/>
              </w:rPr>
              <w:t>$</w:t>
            </w:r>
          </w:p>
        </w:tc>
        <w:tc>
          <w:tcPr>
            <w:tcW w:w="1380" w:type="dxa"/>
            <w:vAlign w:val="bottom"/>
            <w:gridSpan w:val="3"/>
          </w:tcPr>
          <w:p>
            <w:pPr>
              <w:jc w:val="right"/>
              <w:ind w:right="140"/>
              <w:spacing w:after="0"/>
              <w:rPr>
                <w:sz w:val="20"/>
                <w:szCs w:val="20"/>
                <w:color w:val="auto"/>
              </w:rPr>
            </w:pPr>
            <w:r>
              <w:rPr>
                <w:rFonts w:ascii="Arial" w:cs="Arial" w:eastAsia="Arial" w:hAnsi="Arial"/>
                <w:sz w:val="14"/>
                <w:szCs w:val="14"/>
                <w:color w:val="auto"/>
              </w:rPr>
              <w:t>(7,836,181)</w:t>
            </w:r>
          </w:p>
        </w:tc>
        <w:tc>
          <w:tcPr>
            <w:tcW w:w="360" w:type="dxa"/>
            <w:vAlign w:val="bottom"/>
            <w:gridSpan w:val="2"/>
          </w:tcPr>
          <w:p>
            <w:pPr>
              <w:jc w:val="right"/>
              <w:ind w:right="128"/>
              <w:spacing w:after="0"/>
              <w:rPr>
                <w:sz w:val="20"/>
                <w:szCs w:val="20"/>
                <w:color w:val="auto"/>
              </w:rPr>
            </w:pPr>
            <w:r>
              <w:rPr>
                <w:rFonts w:ascii="Arial" w:cs="Arial" w:eastAsia="Arial" w:hAnsi="Arial"/>
                <w:sz w:val="14"/>
                <w:szCs w:val="14"/>
                <w:color w:val="auto"/>
              </w:rPr>
              <w:t>$</w:t>
            </w:r>
          </w:p>
        </w:tc>
        <w:tc>
          <w:tcPr>
            <w:tcW w:w="1140" w:type="dxa"/>
            <w:vAlign w:val="bottom"/>
            <w:gridSpan w:val="2"/>
          </w:tcPr>
          <w:p>
            <w:pPr>
              <w:jc w:val="right"/>
              <w:ind w:right="20"/>
              <w:spacing w:after="0"/>
              <w:rPr>
                <w:sz w:val="20"/>
                <w:szCs w:val="20"/>
                <w:color w:val="auto"/>
              </w:rPr>
            </w:pPr>
            <w:r>
              <w:rPr>
                <w:rFonts w:ascii="Arial" w:cs="Arial" w:eastAsia="Arial" w:hAnsi="Arial"/>
                <w:sz w:val="14"/>
                <w:szCs w:val="14"/>
                <w:color w:val="auto"/>
              </w:rPr>
              <w:t>8,022,972</w:t>
            </w: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42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gridSpan w:val="3"/>
          </w:tcPr>
          <w:p>
            <w:pPr>
              <w:spacing w:after="0" w:line="20" w:lineRule="exact"/>
              <w:rPr>
                <w:sz w:val="1"/>
                <w:szCs w:val="1"/>
                <w:color w:val="auto"/>
              </w:rPr>
            </w:pPr>
          </w:p>
        </w:tc>
        <w:tc>
          <w:tcPr>
            <w:tcW w:w="1400" w:type="dxa"/>
            <w:vAlign w:val="bottom"/>
            <w:tcBorders>
              <w:top w:val="single" w:sz="8" w:color="auto"/>
              <w:bottom w:val="single" w:sz="8" w:color="auto"/>
            </w:tcBorders>
            <w:gridSpan w:val="3"/>
          </w:tcPr>
          <w:p>
            <w:pPr>
              <w:spacing w:after="0" w:line="20" w:lineRule="exact"/>
              <w:rPr>
                <w:sz w:val="1"/>
                <w:szCs w:val="1"/>
                <w:color w:val="auto"/>
              </w:rPr>
            </w:pPr>
          </w:p>
        </w:tc>
        <w:tc>
          <w:tcPr>
            <w:tcW w:w="260" w:type="dxa"/>
            <w:vAlign w:val="bottom"/>
            <w:gridSpan w:val="2"/>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87"/>
        </w:trPr>
        <w:tc>
          <w:tcPr>
            <w:tcW w:w="42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2360" w:type="dxa"/>
            <w:vAlign w:val="bottom"/>
            <w:gridSpan w:val="10"/>
          </w:tcPr>
          <w:p>
            <w:pPr>
              <w:jc w:val="center"/>
              <w:ind w:right="68"/>
              <w:spacing w:after="0"/>
              <w:rPr>
                <w:sz w:val="20"/>
                <w:szCs w:val="20"/>
                <w:color w:val="auto"/>
              </w:rPr>
            </w:pPr>
            <w:r>
              <w:rPr>
                <w:rFonts w:ascii="Arial" w:cs="Arial" w:eastAsia="Arial" w:hAnsi="Arial"/>
                <w:sz w:val="14"/>
                <w:szCs w:val="14"/>
                <w:b w:val="1"/>
                <w:bCs w:val="1"/>
                <w:color w:val="auto"/>
                <w:w w:val="93"/>
              </w:rPr>
              <w:t>Nine Months Ended June 30, 2016</w:t>
            </w:r>
          </w:p>
        </w:tc>
        <w:tc>
          <w:tcPr>
            <w:tcW w:w="1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
        </w:trPr>
        <w:tc>
          <w:tcPr>
            <w:tcW w:w="4260" w:type="dxa"/>
            <w:vAlign w:val="bottom"/>
          </w:tcPr>
          <w:p>
            <w:pPr>
              <w:spacing w:after="0"/>
              <w:rPr>
                <w:sz w:val="2"/>
                <w:szCs w:val="2"/>
                <w:color w:val="auto"/>
              </w:rPr>
            </w:pPr>
          </w:p>
        </w:tc>
        <w:tc>
          <w:tcPr>
            <w:tcW w:w="16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80" w:type="dxa"/>
            <w:vAlign w:val="bottom"/>
          </w:tcPr>
          <w:p>
            <w:pPr>
              <w:spacing w:after="0"/>
              <w:rPr>
                <w:sz w:val="2"/>
                <w:szCs w:val="2"/>
                <w:color w:val="auto"/>
              </w:rPr>
            </w:pPr>
          </w:p>
        </w:tc>
        <w:tc>
          <w:tcPr>
            <w:tcW w:w="260" w:type="dxa"/>
            <w:vAlign w:val="bottom"/>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gridSpan w:val="3"/>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gridSpan w:val="3"/>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33"/>
        </w:trPr>
        <w:tc>
          <w:tcPr>
            <w:tcW w:w="42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300" w:type="dxa"/>
            <w:vAlign w:val="bottom"/>
            <w:gridSpan w:val="3"/>
          </w:tcPr>
          <w:p>
            <w:pPr>
              <w:jc w:val="center"/>
              <w:ind w:right="260"/>
              <w:spacing w:after="0" w:line="133" w:lineRule="exact"/>
              <w:rPr>
                <w:sz w:val="20"/>
                <w:szCs w:val="20"/>
                <w:color w:val="auto"/>
              </w:rPr>
            </w:pPr>
            <w:r>
              <w:rPr>
                <w:rFonts w:ascii="Arial" w:cs="Arial" w:eastAsia="Arial" w:hAnsi="Arial"/>
                <w:sz w:val="14"/>
                <w:szCs w:val="14"/>
                <w:b w:val="1"/>
                <w:bCs w:val="1"/>
                <w:color w:val="auto"/>
                <w:w w:val="89"/>
              </w:rPr>
              <w:t>Debt</w:t>
            </w:r>
          </w:p>
        </w:tc>
        <w:tc>
          <w:tcPr>
            <w:tcW w:w="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380" w:type="dxa"/>
            <w:vAlign w:val="bottom"/>
            <w:gridSpan w:val="3"/>
          </w:tcPr>
          <w:p>
            <w:pPr>
              <w:jc w:val="center"/>
              <w:ind w:right="400"/>
              <w:spacing w:after="0" w:line="133" w:lineRule="exact"/>
              <w:rPr>
                <w:sz w:val="20"/>
                <w:szCs w:val="20"/>
                <w:color w:val="auto"/>
              </w:rPr>
            </w:pPr>
            <w:r>
              <w:rPr>
                <w:rFonts w:ascii="Arial" w:cs="Arial" w:eastAsia="Arial" w:hAnsi="Arial"/>
                <w:sz w:val="14"/>
                <w:szCs w:val="14"/>
                <w:b w:val="1"/>
                <w:bCs w:val="1"/>
                <w:color w:val="auto"/>
                <w:w w:val="98"/>
              </w:rPr>
              <w:t>Equity</w:t>
            </w:r>
          </w:p>
        </w:tc>
        <w:tc>
          <w:tcPr>
            <w:tcW w:w="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240" w:type="dxa"/>
            <w:vAlign w:val="bottom"/>
            <w:gridSpan w:val="3"/>
            <w:vMerge w:val="restart"/>
          </w:tcPr>
          <w:p>
            <w:pPr>
              <w:jc w:val="right"/>
              <w:ind w:right="640"/>
              <w:spacing w:after="0"/>
              <w:rPr>
                <w:sz w:val="20"/>
                <w:szCs w:val="20"/>
                <w:color w:val="auto"/>
              </w:rPr>
            </w:pPr>
            <w:r>
              <w:rPr>
                <w:rFonts w:ascii="Arial" w:cs="Arial" w:eastAsia="Arial" w:hAnsi="Arial"/>
                <w:sz w:val="14"/>
                <w:szCs w:val="14"/>
                <w:b w:val="1"/>
                <w:bCs w:val="1"/>
                <w:color w:val="auto"/>
              </w:rPr>
              <w:t>Totals</w:t>
            </w: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05"/>
        </w:trPr>
        <w:tc>
          <w:tcPr>
            <w:tcW w:w="4260" w:type="dxa"/>
            <w:vAlign w:val="bottom"/>
            <w:vMerge w:val="restart"/>
          </w:tcPr>
          <w:p>
            <w:pPr>
              <w:ind w:left="2760"/>
              <w:spacing w:after="0"/>
              <w:rPr>
                <w:sz w:val="20"/>
                <w:szCs w:val="20"/>
                <w:color w:val="auto"/>
              </w:rPr>
            </w:pPr>
            <w:r>
              <w:rPr>
                <w:rFonts w:ascii="Arial" w:cs="Arial" w:eastAsia="Arial" w:hAnsi="Arial"/>
                <w:sz w:val="14"/>
                <w:szCs w:val="14"/>
                <w:b w:val="1"/>
                <w:bCs w:val="1"/>
                <w:color w:val="auto"/>
              </w:rPr>
              <w:t>Description</w:t>
            </w:r>
          </w:p>
        </w:tc>
        <w:tc>
          <w:tcPr>
            <w:tcW w:w="160" w:type="dxa"/>
            <w:vAlign w:val="bottom"/>
          </w:tcPr>
          <w:p>
            <w:pPr>
              <w:spacing w:after="0"/>
              <w:rPr>
                <w:sz w:val="9"/>
                <w:szCs w:val="9"/>
                <w:color w:val="auto"/>
              </w:rPr>
            </w:pPr>
          </w:p>
        </w:tc>
        <w:tc>
          <w:tcPr>
            <w:tcW w:w="300" w:type="dxa"/>
            <w:vAlign w:val="bottom"/>
          </w:tcPr>
          <w:p>
            <w:pPr>
              <w:spacing w:after="0"/>
              <w:rPr>
                <w:sz w:val="9"/>
                <w:szCs w:val="9"/>
                <w:color w:val="auto"/>
              </w:rPr>
            </w:pPr>
          </w:p>
        </w:tc>
        <w:tc>
          <w:tcPr>
            <w:tcW w:w="1180" w:type="dxa"/>
            <w:vAlign w:val="bottom"/>
          </w:tcPr>
          <w:p>
            <w:pPr>
              <w:spacing w:after="0"/>
              <w:rPr>
                <w:sz w:val="9"/>
                <w:szCs w:val="9"/>
                <w:color w:val="auto"/>
              </w:rPr>
            </w:pPr>
          </w:p>
        </w:tc>
        <w:tc>
          <w:tcPr>
            <w:tcW w:w="26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160" w:type="dxa"/>
            <w:vAlign w:val="bottom"/>
          </w:tcPr>
          <w:p>
            <w:pPr>
              <w:spacing w:after="0"/>
              <w:rPr>
                <w:sz w:val="9"/>
                <w:szCs w:val="9"/>
                <w:color w:val="auto"/>
              </w:rPr>
            </w:pPr>
          </w:p>
        </w:tc>
        <w:tc>
          <w:tcPr>
            <w:tcW w:w="1300" w:type="dxa"/>
            <w:vAlign w:val="bottom"/>
            <w:gridSpan w:val="3"/>
            <w:vMerge w:val="restart"/>
          </w:tcPr>
          <w:p>
            <w:pPr>
              <w:jc w:val="center"/>
              <w:ind w:right="260"/>
              <w:spacing w:after="0"/>
              <w:rPr>
                <w:sz w:val="20"/>
                <w:szCs w:val="20"/>
                <w:color w:val="auto"/>
              </w:rPr>
            </w:pPr>
            <w:r>
              <w:rPr>
                <w:rFonts w:ascii="Arial" w:cs="Arial" w:eastAsia="Arial" w:hAnsi="Arial"/>
                <w:sz w:val="14"/>
                <w:szCs w:val="14"/>
                <w:b w:val="1"/>
                <w:bCs w:val="1"/>
                <w:color w:val="auto"/>
                <w:w w:val="88"/>
              </w:rPr>
              <w:t>investments</w:t>
            </w:r>
          </w:p>
        </w:tc>
        <w:tc>
          <w:tcPr>
            <w:tcW w:w="40" w:type="dxa"/>
            <w:vAlign w:val="bottom"/>
          </w:tcPr>
          <w:p>
            <w:pPr>
              <w:spacing w:after="0"/>
              <w:rPr>
                <w:sz w:val="9"/>
                <w:szCs w:val="9"/>
                <w:color w:val="auto"/>
              </w:rPr>
            </w:pPr>
          </w:p>
        </w:tc>
        <w:tc>
          <w:tcPr>
            <w:tcW w:w="160" w:type="dxa"/>
            <w:vAlign w:val="bottom"/>
          </w:tcPr>
          <w:p>
            <w:pPr>
              <w:spacing w:after="0"/>
              <w:rPr>
                <w:sz w:val="9"/>
                <w:szCs w:val="9"/>
                <w:color w:val="auto"/>
              </w:rPr>
            </w:pPr>
          </w:p>
        </w:tc>
        <w:tc>
          <w:tcPr>
            <w:tcW w:w="200" w:type="dxa"/>
            <w:vAlign w:val="bottom"/>
          </w:tcPr>
          <w:p>
            <w:pPr>
              <w:spacing w:after="0"/>
              <w:rPr>
                <w:sz w:val="9"/>
                <w:szCs w:val="9"/>
                <w:color w:val="auto"/>
              </w:rPr>
            </w:pPr>
          </w:p>
        </w:tc>
        <w:tc>
          <w:tcPr>
            <w:tcW w:w="1380" w:type="dxa"/>
            <w:vAlign w:val="bottom"/>
            <w:gridSpan w:val="3"/>
            <w:vMerge w:val="restart"/>
          </w:tcPr>
          <w:p>
            <w:pPr>
              <w:jc w:val="center"/>
              <w:ind w:right="400"/>
              <w:spacing w:after="0"/>
              <w:rPr>
                <w:sz w:val="20"/>
                <w:szCs w:val="20"/>
                <w:color w:val="auto"/>
              </w:rPr>
            </w:pPr>
            <w:r>
              <w:rPr>
                <w:rFonts w:ascii="Arial" w:cs="Arial" w:eastAsia="Arial" w:hAnsi="Arial"/>
                <w:sz w:val="14"/>
                <w:szCs w:val="14"/>
                <w:b w:val="1"/>
                <w:bCs w:val="1"/>
                <w:color w:val="auto"/>
                <w:w w:val="90"/>
              </w:rPr>
              <w:t>investments</w:t>
            </w:r>
          </w:p>
        </w:tc>
        <w:tc>
          <w:tcPr>
            <w:tcW w:w="80" w:type="dxa"/>
            <w:vAlign w:val="bottom"/>
          </w:tcPr>
          <w:p>
            <w:pPr>
              <w:spacing w:after="0"/>
              <w:rPr>
                <w:sz w:val="9"/>
                <w:szCs w:val="9"/>
                <w:color w:val="auto"/>
              </w:rPr>
            </w:pPr>
          </w:p>
        </w:tc>
        <w:tc>
          <w:tcPr>
            <w:tcW w:w="280" w:type="dxa"/>
            <w:vAlign w:val="bottom"/>
          </w:tcPr>
          <w:p>
            <w:pPr>
              <w:spacing w:after="0"/>
              <w:rPr>
                <w:sz w:val="9"/>
                <w:szCs w:val="9"/>
                <w:color w:val="auto"/>
              </w:rPr>
            </w:pPr>
          </w:p>
        </w:tc>
        <w:tc>
          <w:tcPr>
            <w:tcW w:w="1240" w:type="dxa"/>
            <w:vAlign w:val="bottom"/>
            <w:gridSpan w:val="3"/>
            <w:vMerge w:val="continue"/>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66"/>
        </w:trPr>
        <w:tc>
          <w:tcPr>
            <w:tcW w:w="4260" w:type="dxa"/>
            <w:vAlign w:val="bottom"/>
            <w:vMerge w:val="continue"/>
          </w:tcPr>
          <w:p>
            <w:pPr>
              <w:spacing w:after="0"/>
              <w:rPr>
                <w:sz w:val="5"/>
                <w:szCs w:val="5"/>
                <w:color w:val="auto"/>
              </w:rPr>
            </w:pPr>
          </w:p>
        </w:tc>
        <w:tc>
          <w:tcPr>
            <w:tcW w:w="160" w:type="dxa"/>
            <w:vAlign w:val="bottom"/>
          </w:tcPr>
          <w:p>
            <w:pPr>
              <w:spacing w:after="0"/>
              <w:rPr>
                <w:sz w:val="5"/>
                <w:szCs w:val="5"/>
                <w:color w:val="auto"/>
              </w:rPr>
            </w:pPr>
          </w:p>
        </w:tc>
        <w:tc>
          <w:tcPr>
            <w:tcW w:w="300" w:type="dxa"/>
            <w:vAlign w:val="bottom"/>
          </w:tcPr>
          <w:p>
            <w:pPr>
              <w:spacing w:after="0"/>
              <w:rPr>
                <w:sz w:val="5"/>
                <w:szCs w:val="5"/>
                <w:color w:val="auto"/>
              </w:rPr>
            </w:pPr>
          </w:p>
        </w:tc>
        <w:tc>
          <w:tcPr>
            <w:tcW w:w="1180" w:type="dxa"/>
            <w:vAlign w:val="bottom"/>
          </w:tcPr>
          <w:p>
            <w:pPr>
              <w:spacing w:after="0"/>
              <w:rPr>
                <w:sz w:val="5"/>
                <w:szCs w:val="5"/>
                <w:color w:val="auto"/>
              </w:rPr>
            </w:pPr>
          </w:p>
        </w:tc>
        <w:tc>
          <w:tcPr>
            <w:tcW w:w="260" w:type="dxa"/>
            <w:vAlign w:val="bottom"/>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160" w:type="dxa"/>
            <w:vAlign w:val="bottom"/>
          </w:tcPr>
          <w:p>
            <w:pPr>
              <w:spacing w:after="0"/>
              <w:rPr>
                <w:sz w:val="5"/>
                <w:szCs w:val="5"/>
                <w:color w:val="auto"/>
              </w:rPr>
            </w:pPr>
          </w:p>
        </w:tc>
        <w:tc>
          <w:tcPr>
            <w:tcW w:w="1300" w:type="dxa"/>
            <w:vAlign w:val="bottom"/>
            <w:gridSpan w:val="3"/>
            <w:vMerge w:val="continue"/>
          </w:tcPr>
          <w:p>
            <w:pPr>
              <w:spacing w:after="0"/>
              <w:rPr>
                <w:sz w:val="5"/>
                <w:szCs w:val="5"/>
                <w:color w:val="auto"/>
              </w:rPr>
            </w:pPr>
          </w:p>
        </w:tc>
        <w:tc>
          <w:tcPr>
            <w:tcW w:w="40" w:type="dxa"/>
            <w:vAlign w:val="bottom"/>
          </w:tcPr>
          <w:p>
            <w:pPr>
              <w:spacing w:after="0"/>
              <w:rPr>
                <w:sz w:val="5"/>
                <w:szCs w:val="5"/>
                <w:color w:val="auto"/>
              </w:rPr>
            </w:pPr>
          </w:p>
        </w:tc>
        <w:tc>
          <w:tcPr>
            <w:tcW w:w="160" w:type="dxa"/>
            <w:vAlign w:val="bottom"/>
          </w:tcPr>
          <w:p>
            <w:pPr>
              <w:spacing w:after="0"/>
              <w:rPr>
                <w:sz w:val="5"/>
                <w:szCs w:val="5"/>
                <w:color w:val="auto"/>
              </w:rPr>
            </w:pPr>
          </w:p>
        </w:tc>
        <w:tc>
          <w:tcPr>
            <w:tcW w:w="200" w:type="dxa"/>
            <w:vAlign w:val="bottom"/>
          </w:tcPr>
          <w:p>
            <w:pPr>
              <w:spacing w:after="0"/>
              <w:rPr>
                <w:sz w:val="5"/>
                <w:szCs w:val="5"/>
                <w:color w:val="auto"/>
              </w:rPr>
            </w:pPr>
          </w:p>
        </w:tc>
        <w:tc>
          <w:tcPr>
            <w:tcW w:w="1380" w:type="dxa"/>
            <w:vAlign w:val="bottom"/>
            <w:gridSpan w:val="3"/>
            <w:vMerge w:val="continue"/>
          </w:tcPr>
          <w:p>
            <w:pPr>
              <w:spacing w:after="0"/>
              <w:rPr>
                <w:sz w:val="5"/>
                <w:szCs w:val="5"/>
                <w:color w:val="auto"/>
              </w:rPr>
            </w:pPr>
          </w:p>
        </w:tc>
        <w:tc>
          <w:tcPr>
            <w:tcW w:w="80" w:type="dxa"/>
            <w:vAlign w:val="bottom"/>
          </w:tcPr>
          <w:p>
            <w:pPr>
              <w:spacing w:after="0"/>
              <w:rPr>
                <w:sz w:val="5"/>
                <w:szCs w:val="5"/>
                <w:color w:val="auto"/>
              </w:rPr>
            </w:pPr>
          </w:p>
        </w:tc>
        <w:tc>
          <w:tcPr>
            <w:tcW w:w="280" w:type="dxa"/>
            <w:vAlign w:val="bottom"/>
          </w:tcPr>
          <w:p>
            <w:pPr>
              <w:spacing w:after="0"/>
              <w:rPr>
                <w:sz w:val="5"/>
                <w:szCs w:val="5"/>
                <w:color w:val="auto"/>
              </w:rPr>
            </w:pPr>
          </w:p>
        </w:tc>
        <w:tc>
          <w:tcPr>
            <w:tcW w:w="112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56"/>
        </w:trPr>
        <w:tc>
          <w:tcPr>
            <w:tcW w:w="4260" w:type="dxa"/>
            <w:vAlign w:val="bottom"/>
            <w:tcBorders>
              <w:top w:val="single" w:sz="8" w:color="auto"/>
            </w:tcBorders>
            <w:shd w:val="clear" w:color="auto" w:fill="CCECFF"/>
          </w:tcPr>
          <w:p>
            <w:pPr>
              <w:spacing w:after="0" w:line="155" w:lineRule="exact"/>
              <w:rPr>
                <w:sz w:val="20"/>
                <w:szCs w:val="20"/>
                <w:color w:val="auto"/>
              </w:rPr>
            </w:pPr>
            <w:r>
              <w:rPr>
                <w:rFonts w:ascii="Arial" w:cs="Arial" w:eastAsia="Arial" w:hAnsi="Arial"/>
                <w:sz w:val="14"/>
                <w:szCs w:val="14"/>
                <w:color w:val="auto"/>
              </w:rPr>
              <w:t>Beginning Balance</w:t>
            </w:r>
          </w:p>
        </w:tc>
        <w:tc>
          <w:tcPr>
            <w:tcW w:w="160" w:type="dxa"/>
            <w:vAlign w:val="bottom"/>
            <w:tcBorders>
              <w:top w:val="single" w:sz="8" w:color="auto"/>
            </w:tcBorders>
            <w:shd w:val="clear" w:color="auto" w:fill="CCECFF"/>
          </w:tcPr>
          <w:p>
            <w:pPr>
              <w:spacing w:after="0"/>
              <w:rPr>
                <w:sz w:val="13"/>
                <w:szCs w:val="13"/>
                <w:color w:val="auto"/>
              </w:rPr>
            </w:pPr>
          </w:p>
        </w:tc>
        <w:tc>
          <w:tcPr>
            <w:tcW w:w="300" w:type="dxa"/>
            <w:vAlign w:val="bottom"/>
            <w:tcBorders>
              <w:top w:val="single" w:sz="8" w:color="auto"/>
            </w:tcBorders>
            <w:shd w:val="clear" w:color="auto" w:fill="CCECFF"/>
          </w:tcPr>
          <w:p>
            <w:pPr>
              <w:spacing w:after="0"/>
              <w:rPr>
                <w:sz w:val="13"/>
                <w:szCs w:val="13"/>
                <w:color w:val="auto"/>
              </w:rPr>
            </w:pPr>
          </w:p>
        </w:tc>
        <w:tc>
          <w:tcPr>
            <w:tcW w:w="1180" w:type="dxa"/>
            <w:vAlign w:val="bottom"/>
            <w:tcBorders>
              <w:top w:val="single" w:sz="8" w:color="auto"/>
            </w:tcBorders>
            <w:shd w:val="clear" w:color="auto" w:fill="CCECFF"/>
          </w:tcPr>
          <w:p>
            <w:pPr>
              <w:spacing w:after="0"/>
              <w:rPr>
                <w:sz w:val="13"/>
                <w:szCs w:val="13"/>
                <w:color w:val="auto"/>
              </w:rPr>
            </w:pPr>
          </w:p>
        </w:tc>
        <w:tc>
          <w:tcPr>
            <w:tcW w:w="260" w:type="dxa"/>
            <w:vAlign w:val="bottom"/>
            <w:tcBorders>
              <w:top w:val="single" w:sz="8" w:color="auto"/>
            </w:tcBorders>
            <w:shd w:val="clear" w:color="auto" w:fill="CCECFF"/>
          </w:tcPr>
          <w:p>
            <w:pPr>
              <w:spacing w:after="0"/>
              <w:rPr>
                <w:sz w:val="13"/>
                <w:szCs w:val="13"/>
                <w:color w:val="auto"/>
              </w:rPr>
            </w:pPr>
          </w:p>
        </w:tc>
        <w:tc>
          <w:tcPr>
            <w:tcW w:w="80" w:type="dxa"/>
            <w:vAlign w:val="bottom"/>
            <w:tcBorders>
              <w:top w:val="single" w:sz="8" w:color="auto"/>
            </w:tcBorders>
            <w:shd w:val="clear" w:color="auto" w:fill="CCECFF"/>
          </w:tcPr>
          <w:p>
            <w:pPr>
              <w:spacing w:after="0"/>
              <w:rPr>
                <w:sz w:val="13"/>
                <w:szCs w:val="13"/>
                <w:color w:val="auto"/>
              </w:rPr>
            </w:pPr>
          </w:p>
        </w:tc>
        <w:tc>
          <w:tcPr>
            <w:tcW w:w="80" w:type="dxa"/>
            <w:vAlign w:val="bottom"/>
            <w:tcBorders>
              <w:top w:val="single" w:sz="8" w:color="CCECFF"/>
            </w:tcBorders>
            <w:shd w:val="clear" w:color="auto" w:fill="CCECFF"/>
          </w:tcPr>
          <w:p>
            <w:pPr>
              <w:spacing w:after="0"/>
              <w:rPr>
                <w:sz w:val="13"/>
                <w:szCs w:val="13"/>
                <w:color w:val="auto"/>
              </w:rPr>
            </w:pPr>
          </w:p>
        </w:tc>
        <w:tc>
          <w:tcPr>
            <w:tcW w:w="80" w:type="dxa"/>
            <w:vAlign w:val="bottom"/>
            <w:tcBorders>
              <w:top w:val="single" w:sz="8" w:color="CCECFF"/>
            </w:tcBorders>
            <w:shd w:val="clear" w:color="auto" w:fill="CCECFF"/>
          </w:tcPr>
          <w:p>
            <w:pPr>
              <w:spacing w:after="0"/>
              <w:rPr>
                <w:sz w:val="13"/>
                <w:szCs w:val="13"/>
                <w:color w:val="auto"/>
              </w:rPr>
            </w:pPr>
          </w:p>
        </w:tc>
        <w:tc>
          <w:tcPr>
            <w:tcW w:w="160" w:type="dxa"/>
            <w:vAlign w:val="bottom"/>
            <w:tcBorders>
              <w:top w:val="single" w:sz="8" w:color="auto"/>
            </w:tcBorders>
            <w:shd w:val="clear" w:color="auto" w:fill="CCECFF"/>
          </w:tcPr>
          <w:p>
            <w:pPr>
              <w:jc w:val="right"/>
              <w:ind w:right="49"/>
              <w:spacing w:after="0"/>
              <w:rPr>
                <w:sz w:val="20"/>
                <w:szCs w:val="20"/>
                <w:color w:val="auto"/>
              </w:rPr>
            </w:pPr>
            <w:r>
              <w:rPr>
                <w:rFonts w:ascii="Arial" w:cs="Arial" w:eastAsia="Arial" w:hAnsi="Arial"/>
                <w:sz w:val="10"/>
                <w:szCs w:val="10"/>
                <w:color w:val="auto"/>
                <w:w w:val="71"/>
              </w:rPr>
              <w:t>$</w:t>
            </w:r>
          </w:p>
        </w:tc>
        <w:tc>
          <w:tcPr>
            <w:tcW w:w="1220" w:type="dxa"/>
            <w:vAlign w:val="bottom"/>
            <w:tcBorders>
              <w:top w:val="single" w:sz="8" w:color="auto"/>
            </w:tcBorders>
            <w:gridSpan w:val="2"/>
            <w:shd w:val="clear" w:color="auto" w:fill="CCECFF"/>
          </w:tcPr>
          <w:p>
            <w:pPr>
              <w:jc w:val="right"/>
              <w:spacing w:after="0" w:line="155" w:lineRule="exact"/>
              <w:rPr>
                <w:sz w:val="20"/>
                <w:szCs w:val="20"/>
                <w:color w:val="auto"/>
              </w:rPr>
            </w:pPr>
            <w:r>
              <w:rPr>
                <w:rFonts w:ascii="Arial" w:cs="Arial" w:eastAsia="Arial" w:hAnsi="Arial"/>
                <w:sz w:val="14"/>
                <w:szCs w:val="14"/>
                <w:color w:val="auto"/>
              </w:rPr>
              <w:t>1,194,257,869</w:t>
            </w:r>
          </w:p>
        </w:tc>
        <w:tc>
          <w:tcPr>
            <w:tcW w:w="80" w:type="dxa"/>
            <w:vAlign w:val="bottom"/>
            <w:tcBorders>
              <w:top w:val="single" w:sz="8" w:color="CCECFF"/>
            </w:tcBorders>
            <w:shd w:val="clear" w:color="auto" w:fill="CCECFF"/>
          </w:tcPr>
          <w:p>
            <w:pPr>
              <w:spacing w:after="0"/>
              <w:rPr>
                <w:sz w:val="13"/>
                <w:szCs w:val="13"/>
                <w:color w:val="auto"/>
              </w:rPr>
            </w:pPr>
          </w:p>
        </w:tc>
        <w:tc>
          <w:tcPr>
            <w:tcW w:w="200" w:type="dxa"/>
            <w:vAlign w:val="bottom"/>
            <w:tcBorders>
              <w:top w:val="single" w:sz="8" w:color="CCECFF"/>
            </w:tcBorders>
            <w:gridSpan w:val="2"/>
            <w:shd w:val="clear" w:color="auto" w:fill="CCECFF"/>
          </w:tcPr>
          <w:p>
            <w:pPr>
              <w:spacing w:after="0"/>
              <w:rPr>
                <w:sz w:val="13"/>
                <w:szCs w:val="13"/>
                <w:color w:val="auto"/>
              </w:rPr>
            </w:pPr>
          </w:p>
        </w:tc>
        <w:tc>
          <w:tcPr>
            <w:tcW w:w="200" w:type="dxa"/>
            <w:vAlign w:val="bottom"/>
            <w:tcBorders>
              <w:top w:val="single" w:sz="8" w:color="auto"/>
            </w:tcBorders>
            <w:shd w:val="clear" w:color="auto" w:fill="CCECFF"/>
          </w:tcPr>
          <w:p>
            <w:pPr>
              <w:jc w:val="right"/>
              <w:ind w:right="89"/>
              <w:spacing w:after="0"/>
              <w:rPr>
                <w:sz w:val="20"/>
                <w:szCs w:val="20"/>
                <w:color w:val="auto"/>
              </w:rPr>
            </w:pPr>
            <w:r>
              <w:rPr>
                <w:rFonts w:ascii="Arial" w:cs="Arial" w:eastAsia="Arial" w:hAnsi="Arial"/>
                <w:sz w:val="10"/>
                <w:szCs w:val="10"/>
                <w:color w:val="auto"/>
                <w:w w:val="71"/>
              </w:rPr>
              <w:t>$</w:t>
            </w:r>
          </w:p>
        </w:tc>
        <w:tc>
          <w:tcPr>
            <w:tcW w:w="1200" w:type="dxa"/>
            <w:vAlign w:val="bottom"/>
            <w:tcBorders>
              <w:top w:val="single" w:sz="8" w:color="auto"/>
            </w:tcBorders>
            <w:gridSpan w:val="2"/>
            <w:shd w:val="clear" w:color="auto" w:fill="CCECFF"/>
          </w:tcPr>
          <w:p>
            <w:pPr>
              <w:jc w:val="right"/>
              <w:ind w:right="20"/>
              <w:spacing w:after="0" w:line="155" w:lineRule="exact"/>
              <w:rPr>
                <w:sz w:val="20"/>
                <w:szCs w:val="20"/>
                <w:color w:val="auto"/>
              </w:rPr>
            </w:pPr>
            <w:r>
              <w:rPr>
                <w:rFonts w:ascii="Arial" w:cs="Arial" w:eastAsia="Arial" w:hAnsi="Arial"/>
                <w:sz w:val="14"/>
                <w:szCs w:val="14"/>
                <w:color w:val="auto"/>
              </w:rPr>
              <w:t>103,169,586</w:t>
            </w:r>
          </w:p>
        </w:tc>
        <w:tc>
          <w:tcPr>
            <w:tcW w:w="180" w:type="dxa"/>
            <w:vAlign w:val="bottom"/>
            <w:tcBorders>
              <w:top w:val="single" w:sz="8" w:color="CCECFF"/>
            </w:tcBorders>
            <w:shd w:val="clear" w:color="auto" w:fill="CCECFF"/>
          </w:tcPr>
          <w:p>
            <w:pPr>
              <w:spacing w:after="0"/>
              <w:rPr>
                <w:sz w:val="13"/>
                <w:szCs w:val="13"/>
                <w:color w:val="auto"/>
              </w:rPr>
            </w:pPr>
          </w:p>
        </w:tc>
        <w:tc>
          <w:tcPr>
            <w:tcW w:w="80" w:type="dxa"/>
            <w:vAlign w:val="bottom"/>
            <w:tcBorders>
              <w:top w:val="single" w:sz="8" w:color="CCECFF"/>
            </w:tcBorders>
            <w:shd w:val="clear" w:color="auto" w:fill="CCECFF"/>
          </w:tcPr>
          <w:p>
            <w:pPr>
              <w:spacing w:after="0"/>
              <w:rPr>
                <w:sz w:val="13"/>
                <w:szCs w:val="13"/>
                <w:color w:val="auto"/>
              </w:rPr>
            </w:pPr>
          </w:p>
        </w:tc>
        <w:tc>
          <w:tcPr>
            <w:tcW w:w="280" w:type="dxa"/>
            <w:vAlign w:val="bottom"/>
            <w:tcBorders>
              <w:top w:val="single" w:sz="8" w:color="auto"/>
            </w:tcBorders>
            <w:shd w:val="clear" w:color="auto" w:fill="CCECFF"/>
          </w:tcPr>
          <w:p>
            <w:pPr>
              <w:jc w:val="right"/>
              <w:ind w:right="128"/>
              <w:spacing w:after="0" w:line="155" w:lineRule="exact"/>
              <w:rPr>
                <w:sz w:val="20"/>
                <w:szCs w:val="20"/>
                <w:color w:val="auto"/>
              </w:rPr>
            </w:pPr>
            <w:r>
              <w:rPr>
                <w:rFonts w:ascii="Arial" w:cs="Arial" w:eastAsia="Arial" w:hAnsi="Arial"/>
                <w:sz w:val="14"/>
                <w:szCs w:val="14"/>
                <w:color w:val="auto"/>
                <w:w w:val="76"/>
              </w:rPr>
              <w:t>$</w:t>
            </w:r>
          </w:p>
        </w:tc>
        <w:tc>
          <w:tcPr>
            <w:tcW w:w="1140" w:type="dxa"/>
            <w:vAlign w:val="bottom"/>
            <w:tcBorders>
              <w:top w:val="single" w:sz="8" w:color="auto"/>
            </w:tcBorders>
            <w:gridSpan w:val="2"/>
            <w:shd w:val="clear" w:color="auto" w:fill="CCECFF"/>
          </w:tcPr>
          <w:p>
            <w:pPr>
              <w:jc w:val="right"/>
              <w:ind w:right="20"/>
              <w:spacing w:after="0" w:line="155" w:lineRule="exact"/>
              <w:rPr>
                <w:sz w:val="20"/>
                <w:szCs w:val="20"/>
                <w:color w:val="auto"/>
              </w:rPr>
            </w:pPr>
            <w:r>
              <w:rPr>
                <w:rFonts w:ascii="Arial" w:cs="Arial" w:eastAsia="Arial" w:hAnsi="Arial"/>
                <w:sz w:val="14"/>
                <w:szCs w:val="14"/>
                <w:color w:val="auto"/>
              </w:rPr>
              <w:t>1,297,427,455</w:t>
            </w:r>
          </w:p>
        </w:tc>
        <w:tc>
          <w:tcPr>
            <w:tcW w:w="100" w:type="dxa"/>
            <w:vAlign w:val="bottom"/>
            <w:tcBorders>
              <w:top w:val="single" w:sz="8" w:color="CCECFF"/>
            </w:tcBorders>
            <w:shd w:val="clear" w:color="auto" w:fill="CCECFF"/>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2"/>
        </w:trPr>
        <w:tc>
          <w:tcPr>
            <w:tcW w:w="4260" w:type="dxa"/>
            <w:vAlign w:val="bottom"/>
          </w:tcPr>
          <w:p>
            <w:pPr>
              <w:ind w:left="500"/>
              <w:spacing w:after="0"/>
              <w:rPr>
                <w:sz w:val="20"/>
                <w:szCs w:val="20"/>
                <w:color w:val="auto"/>
              </w:rPr>
            </w:pPr>
            <w:r>
              <w:rPr>
                <w:rFonts w:ascii="Arial" w:cs="Arial" w:eastAsia="Arial" w:hAnsi="Arial"/>
                <w:sz w:val="14"/>
                <w:szCs w:val="14"/>
                <w:color w:val="auto"/>
              </w:rPr>
              <w:t>Net realized (losses) gains</w:t>
            </w:r>
          </w:p>
        </w:tc>
        <w:tc>
          <w:tcPr>
            <w:tcW w:w="1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300" w:type="dxa"/>
            <w:vAlign w:val="bottom"/>
            <w:gridSpan w:val="3"/>
          </w:tcPr>
          <w:p>
            <w:pPr>
              <w:jc w:val="right"/>
              <w:ind w:right="20"/>
              <w:spacing w:after="0"/>
              <w:rPr>
                <w:sz w:val="20"/>
                <w:szCs w:val="20"/>
                <w:color w:val="auto"/>
              </w:rPr>
            </w:pPr>
            <w:r>
              <w:rPr>
                <w:rFonts w:ascii="Arial" w:cs="Arial" w:eastAsia="Arial" w:hAnsi="Arial"/>
                <w:sz w:val="14"/>
                <w:szCs w:val="14"/>
                <w:color w:val="auto"/>
              </w:rPr>
              <w:t>(88,191,975)</w:t>
            </w:r>
          </w:p>
        </w:tc>
        <w:tc>
          <w:tcPr>
            <w:tcW w:w="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200" w:type="dxa"/>
            <w:vAlign w:val="bottom"/>
            <w:gridSpan w:val="2"/>
          </w:tcPr>
          <w:p>
            <w:pPr>
              <w:jc w:val="right"/>
              <w:ind w:right="20"/>
              <w:spacing w:after="0"/>
              <w:rPr>
                <w:sz w:val="20"/>
                <w:szCs w:val="20"/>
                <w:color w:val="auto"/>
              </w:rPr>
            </w:pPr>
            <w:r>
              <w:rPr>
                <w:rFonts w:ascii="Arial" w:cs="Arial" w:eastAsia="Arial" w:hAnsi="Arial"/>
                <w:sz w:val="14"/>
                <w:szCs w:val="14"/>
                <w:color w:val="auto"/>
              </w:rPr>
              <w:t>6,055,002</w:t>
            </w:r>
          </w:p>
        </w:tc>
        <w:tc>
          <w:tcPr>
            <w:tcW w:w="1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240" w:type="dxa"/>
            <w:vAlign w:val="bottom"/>
            <w:gridSpan w:val="3"/>
          </w:tcPr>
          <w:p>
            <w:pPr>
              <w:jc w:val="right"/>
              <w:ind w:right="60"/>
              <w:spacing w:after="0"/>
              <w:rPr>
                <w:sz w:val="20"/>
                <w:szCs w:val="20"/>
                <w:color w:val="auto"/>
              </w:rPr>
            </w:pPr>
            <w:r>
              <w:rPr>
                <w:rFonts w:ascii="Arial" w:cs="Arial" w:eastAsia="Arial" w:hAnsi="Arial"/>
                <w:sz w:val="14"/>
                <w:szCs w:val="14"/>
                <w:color w:val="auto"/>
              </w:rPr>
              <w:t>(82,136,973)</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4260" w:type="dxa"/>
            <w:vAlign w:val="bottom"/>
            <w:shd w:val="clear" w:color="auto" w:fill="CCECFF"/>
          </w:tcPr>
          <w:p>
            <w:pPr>
              <w:ind w:left="500"/>
              <w:spacing w:after="0"/>
              <w:rPr>
                <w:sz w:val="20"/>
                <w:szCs w:val="20"/>
                <w:color w:val="auto"/>
              </w:rPr>
            </w:pPr>
            <w:r>
              <w:rPr>
                <w:rFonts w:ascii="Arial" w:cs="Arial" w:eastAsia="Arial" w:hAnsi="Arial"/>
                <w:sz w:val="14"/>
                <w:szCs w:val="14"/>
                <w:color w:val="auto"/>
              </w:rPr>
              <w:t>Net unrealized appreciation (depreciation)</w:t>
            </w:r>
          </w:p>
        </w:tc>
        <w:tc>
          <w:tcPr>
            <w:tcW w:w="160" w:type="dxa"/>
            <w:vAlign w:val="bottom"/>
            <w:shd w:val="clear" w:color="auto" w:fill="CCECFF"/>
          </w:tcPr>
          <w:p>
            <w:pPr>
              <w:spacing w:after="0"/>
              <w:rPr>
                <w:sz w:val="14"/>
                <w:szCs w:val="14"/>
                <w:color w:val="auto"/>
              </w:rPr>
            </w:pPr>
          </w:p>
        </w:tc>
        <w:tc>
          <w:tcPr>
            <w:tcW w:w="300" w:type="dxa"/>
            <w:vAlign w:val="bottom"/>
            <w:shd w:val="clear" w:color="auto" w:fill="CCECFF"/>
          </w:tcPr>
          <w:p>
            <w:pPr>
              <w:spacing w:after="0"/>
              <w:rPr>
                <w:sz w:val="14"/>
                <w:szCs w:val="14"/>
                <w:color w:val="auto"/>
              </w:rPr>
            </w:pPr>
          </w:p>
        </w:tc>
        <w:tc>
          <w:tcPr>
            <w:tcW w:w="1180" w:type="dxa"/>
            <w:vAlign w:val="bottom"/>
            <w:shd w:val="clear" w:color="auto" w:fill="CCECFF"/>
          </w:tcPr>
          <w:p>
            <w:pPr>
              <w:spacing w:after="0"/>
              <w:rPr>
                <w:sz w:val="14"/>
                <w:szCs w:val="14"/>
                <w:color w:val="auto"/>
              </w:rPr>
            </w:pPr>
          </w:p>
        </w:tc>
        <w:tc>
          <w:tcPr>
            <w:tcW w:w="260" w:type="dxa"/>
            <w:vAlign w:val="bottom"/>
            <w:shd w:val="clear" w:color="auto" w:fill="CCECFF"/>
          </w:tcPr>
          <w:p>
            <w:pPr>
              <w:spacing w:after="0"/>
              <w:rPr>
                <w:sz w:val="14"/>
                <w:szCs w:val="14"/>
                <w:color w:val="auto"/>
              </w:rPr>
            </w:pPr>
          </w:p>
        </w:tc>
        <w:tc>
          <w:tcPr>
            <w:tcW w:w="80" w:type="dxa"/>
            <w:vAlign w:val="bottom"/>
            <w:shd w:val="clear" w:color="auto" w:fill="CCECFF"/>
          </w:tcPr>
          <w:p>
            <w:pPr>
              <w:spacing w:after="0"/>
              <w:rPr>
                <w:sz w:val="14"/>
                <w:szCs w:val="14"/>
                <w:color w:val="auto"/>
              </w:rPr>
            </w:pPr>
          </w:p>
        </w:tc>
        <w:tc>
          <w:tcPr>
            <w:tcW w:w="80" w:type="dxa"/>
            <w:vAlign w:val="bottom"/>
            <w:shd w:val="clear" w:color="auto" w:fill="CCECFF"/>
          </w:tcPr>
          <w:p>
            <w:pPr>
              <w:spacing w:after="0"/>
              <w:rPr>
                <w:sz w:val="14"/>
                <w:szCs w:val="14"/>
                <w:color w:val="auto"/>
              </w:rPr>
            </w:pPr>
          </w:p>
        </w:tc>
        <w:tc>
          <w:tcPr>
            <w:tcW w:w="80" w:type="dxa"/>
            <w:vAlign w:val="bottom"/>
            <w:shd w:val="clear" w:color="auto" w:fill="CCECFF"/>
          </w:tcPr>
          <w:p>
            <w:pPr>
              <w:spacing w:after="0"/>
              <w:rPr>
                <w:sz w:val="14"/>
                <w:szCs w:val="14"/>
                <w:color w:val="auto"/>
              </w:rPr>
            </w:pPr>
          </w:p>
        </w:tc>
        <w:tc>
          <w:tcPr>
            <w:tcW w:w="160" w:type="dxa"/>
            <w:vAlign w:val="bottom"/>
            <w:shd w:val="clear" w:color="auto" w:fill="CCECFF"/>
          </w:tcPr>
          <w:p>
            <w:pPr>
              <w:spacing w:after="0"/>
              <w:rPr>
                <w:sz w:val="14"/>
                <w:szCs w:val="14"/>
                <w:color w:val="auto"/>
              </w:rPr>
            </w:pPr>
          </w:p>
        </w:tc>
        <w:tc>
          <w:tcPr>
            <w:tcW w:w="1220" w:type="dxa"/>
            <w:vAlign w:val="bottom"/>
            <w:gridSpan w:val="2"/>
            <w:shd w:val="clear" w:color="auto" w:fill="CCECFF"/>
          </w:tcPr>
          <w:p>
            <w:pPr>
              <w:jc w:val="right"/>
              <w:spacing w:after="0"/>
              <w:rPr>
                <w:sz w:val="20"/>
                <w:szCs w:val="20"/>
                <w:color w:val="auto"/>
              </w:rPr>
            </w:pPr>
            <w:r>
              <w:rPr>
                <w:rFonts w:ascii="Arial" w:cs="Arial" w:eastAsia="Arial" w:hAnsi="Arial"/>
                <w:sz w:val="14"/>
                <w:szCs w:val="14"/>
                <w:color w:val="auto"/>
              </w:rPr>
              <w:t>8,391,489</w:t>
            </w:r>
          </w:p>
        </w:tc>
        <w:tc>
          <w:tcPr>
            <w:tcW w:w="80" w:type="dxa"/>
            <w:vAlign w:val="bottom"/>
            <w:shd w:val="clear" w:color="auto" w:fill="CCECFF"/>
          </w:tcPr>
          <w:p>
            <w:pPr>
              <w:spacing w:after="0"/>
              <w:rPr>
                <w:sz w:val="14"/>
                <w:szCs w:val="14"/>
                <w:color w:val="auto"/>
              </w:rPr>
            </w:pPr>
          </w:p>
        </w:tc>
        <w:tc>
          <w:tcPr>
            <w:tcW w:w="40" w:type="dxa"/>
            <w:vAlign w:val="bottom"/>
            <w:shd w:val="clear" w:color="auto" w:fill="CCECFF"/>
          </w:tcPr>
          <w:p>
            <w:pPr>
              <w:spacing w:after="0"/>
              <w:rPr>
                <w:sz w:val="14"/>
                <w:szCs w:val="14"/>
                <w:color w:val="auto"/>
              </w:rPr>
            </w:pPr>
          </w:p>
        </w:tc>
        <w:tc>
          <w:tcPr>
            <w:tcW w:w="160" w:type="dxa"/>
            <w:vAlign w:val="bottom"/>
            <w:shd w:val="clear" w:color="auto" w:fill="CCECFF"/>
          </w:tcPr>
          <w:p>
            <w:pPr>
              <w:spacing w:after="0"/>
              <w:rPr>
                <w:sz w:val="14"/>
                <w:szCs w:val="14"/>
                <w:color w:val="auto"/>
              </w:rPr>
            </w:pPr>
          </w:p>
        </w:tc>
        <w:tc>
          <w:tcPr>
            <w:tcW w:w="200" w:type="dxa"/>
            <w:vAlign w:val="bottom"/>
            <w:shd w:val="clear" w:color="auto" w:fill="CCECFF"/>
          </w:tcPr>
          <w:p>
            <w:pPr>
              <w:spacing w:after="0"/>
              <w:rPr>
                <w:sz w:val="14"/>
                <w:szCs w:val="14"/>
                <w:color w:val="auto"/>
              </w:rPr>
            </w:pPr>
          </w:p>
        </w:tc>
        <w:tc>
          <w:tcPr>
            <w:tcW w:w="1380" w:type="dxa"/>
            <w:vAlign w:val="bottom"/>
            <w:gridSpan w:val="3"/>
            <w:shd w:val="clear" w:color="auto" w:fill="CCECFF"/>
          </w:tcPr>
          <w:p>
            <w:pPr>
              <w:jc w:val="right"/>
              <w:ind w:right="140"/>
              <w:spacing w:after="0"/>
              <w:rPr>
                <w:sz w:val="20"/>
                <w:szCs w:val="20"/>
                <w:color w:val="auto"/>
              </w:rPr>
            </w:pPr>
            <w:r>
              <w:rPr>
                <w:rFonts w:ascii="Arial" w:cs="Arial" w:eastAsia="Arial" w:hAnsi="Arial"/>
                <w:sz w:val="14"/>
                <w:szCs w:val="14"/>
                <w:color w:val="auto"/>
              </w:rPr>
              <w:t>(5,471,142)</w:t>
            </w:r>
          </w:p>
        </w:tc>
        <w:tc>
          <w:tcPr>
            <w:tcW w:w="80" w:type="dxa"/>
            <w:vAlign w:val="bottom"/>
            <w:shd w:val="clear" w:color="auto" w:fill="CCECFF"/>
          </w:tcPr>
          <w:p>
            <w:pPr>
              <w:spacing w:after="0"/>
              <w:rPr>
                <w:sz w:val="14"/>
                <w:szCs w:val="14"/>
                <w:color w:val="auto"/>
              </w:rPr>
            </w:pPr>
          </w:p>
        </w:tc>
        <w:tc>
          <w:tcPr>
            <w:tcW w:w="280" w:type="dxa"/>
            <w:vAlign w:val="bottom"/>
            <w:shd w:val="clear" w:color="auto" w:fill="CCECFF"/>
          </w:tcPr>
          <w:p>
            <w:pPr>
              <w:spacing w:after="0"/>
              <w:rPr>
                <w:sz w:val="14"/>
                <w:szCs w:val="14"/>
                <w:color w:val="auto"/>
              </w:rPr>
            </w:pPr>
          </w:p>
        </w:tc>
        <w:tc>
          <w:tcPr>
            <w:tcW w:w="1140" w:type="dxa"/>
            <w:vAlign w:val="bottom"/>
            <w:gridSpan w:val="2"/>
            <w:shd w:val="clear" w:color="auto" w:fill="CCECFF"/>
          </w:tcPr>
          <w:p>
            <w:pPr>
              <w:jc w:val="right"/>
              <w:ind w:right="20"/>
              <w:spacing w:after="0"/>
              <w:rPr>
                <w:sz w:val="20"/>
                <w:szCs w:val="20"/>
                <w:color w:val="auto"/>
              </w:rPr>
            </w:pPr>
            <w:r>
              <w:rPr>
                <w:rFonts w:ascii="Arial" w:cs="Arial" w:eastAsia="Arial" w:hAnsi="Arial"/>
                <w:sz w:val="14"/>
                <w:szCs w:val="14"/>
                <w:color w:val="auto"/>
              </w:rPr>
              <w:t>2,920,347</w:t>
            </w:r>
          </w:p>
        </w:tc>
        <w:tc>
          <w:tcPr>
            <w:tcW w:w="100" w:type="dxa"/>
            <w:vAlign w:val="bottom"/>
            <w:shd w:val="clear" w:color="auto" w:fill="CCECFF"/>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4720" w:type="dxa"/>
            <w:vAlign w:val="bottom"/>
            <w:gridSpan w:val="3"/>
          </w:tcPr>
          <w:p>
            <w:pPr>
              <w:ind w:left="500"/>
              <w:spacing w:after="0"/>
              <w:rPr>
                <w:sz w:val="20"/>
                <w:szCs w:val="20"/>
                <w:color w:val="auto"/>
              </w:rPr>
            </w:pPr>
            <w:r>
              <w:rPr>
                <w:rFonts w:ascii="Arial" w:cs="Arial" w:eastAsia="Arial" w:hAnsi="Arial"/>
                <w:sz w:val="14"/>
                <w:szCs w:val="14"/>
                <w:color w:val="auto"/>
                <w:w w:val="93"/>
              </w:rPr>
              <w:t>Purchases, PIK interest, net discount accretion and non-cash exchanges</w:t>
            </w:r>
          </w:p>
        </w:tc>
        <w:tc>
          <w:tcPr>
            <w:tcW w:w="11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220" w:type="dxa"/>
            <w:vAlign w:val="bottom"/>
            <w:gridSpan w:val="2"/>
          </w:tcPr>
          <w:p>
            <w:pPr>
              <w:jc w:val="right"/>
              <w:spacing w:after="0"/>
              <w:rPr>
                <w:sz w:val="20"/>
                <w:szCs w:val="20"/>
                <w:color w:val="auto"/>
              </w:rPr>
            </w:pPr>
            <w:r>
              <w:rPr>
                <w:rFonts w:ascii="Arial" w:cs="Arial" w:eastAsia="Arial" w:hAnsi="Arial"/>
                <w:sz w:val="14"/>
                <w:szCs w:val="14"/>
                <w:color w:val="auto"/>
              </w:rPr>
              <w:t>275,592,605</w:t>
            </w:r>
          </w:p>
        </w:tc>
        <w:tc>
          <w:tcPr>
            <w:tcW w:w="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200" w:type="dxa"/>
            <w:vAlign w:val="bottom"/>
            <w:gridSpan w:val="2"/>
          </w:tcPr>
          <w:p>
            <w:pPr>
              <w:jc w:val="right"/>
              <w:ind w:right="20"/>
              <w:spacing w:after="0"/>
              <w:rPr>
                <w:sz w:val="20"/>
                <w:szCs w:val="20"/>
                <w:color w:val="auto"/>
              </w:rPr>
            </w:pPr>
            <w:r>
              <w:rPr>
                <w:rFonts w:ascii="Arial" w:cs="Arial" w:eastAsia="Arial" w:hAnsi="Arial"/>
                <w:sz w:val="14"/>
                <w:szCs w:val="14"/>
                <w:color w:val="auto"/>
              </w:rPr>
              <w:t>46,056,651</w:t>
            </w:r>
          </w:p>
        </w:tc>
        <w:tc>
          <w:tcPr>
            <w:tcW w:w="1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140" w:type="dxa"/>
            <w:vAlign w:val="bottom"/>
            <w:gridSpan w:val="2"/>
          </w:tcPr>
          <w:p>
            <w:pPr>
              <w:jc w:val="right"/>
              <w:ind w:right="20"/>
              <w:spacing w:after="0"/>
              <w:rPr>
                <w:sz w:val="20"/>
                <w:szCs w:val="20"/>
                <w:color w:val="auto"/>
              </w:rPr>
            </w:pPr>
            <w:r>
              <w:rPr>
                <w:rFonts w:ascii="Arial" w:cs="Arial" w:eastAsia="Arial" w:hAnsi="Arial"/>
                <w:sz w:val="14"/>
                <w:szCs w:val="14"/>
                <w:color w:val="auto"/>
              </w:rPr>
              <w:t>321,649,256</w:t>
            </w: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4260" w:type="dxa"/>
            <w:vAlign w:val="bottom"/>
            <w:shd w:val="clear" w:color="auto" w:fill="CCECFF"/>
          </w:tcPr>
          <w:p>
            <w:pPr>
              <w:ind w:left="500"/>
              <w:spacing w:after="0"/>
              <w:rPr>
                <w:sz w:val="20"/>
                <w:szCs w:val="20"/>
                <w:color w:val="auto"/>
              </w:rPr>
            </w:pPr>
            <w:r>
              <w:rPr>
                <w:rFonts w:ascii="Arial" w:cs="Arial" w:eastAsia="Arial" w:hAnsi="Arial"/>
                <w:sz w:val="14"/>
                <w:szCs w:val="14"/>
                <w:color w:val="auto"/>
              </w:rPr>
              <w:t>Sales, repayments and non-cash exchanges</w:t>
            </w:r>
          </w:p>
        </w:tc>
        <w:tc>
          <w:tcPr>
            <w:tcW w:w="160" w:type="dxa"/>
            <w:vAlign w:val="bottom"/>
            <w:shd w:val="clear" w:color="auto" w:fill="CCECFF"/>
          </w:tcPr>
          <w:p>
            <w:pPr>
              <w:spacing w:after="0"/>
              <w:rPr>
                <w:sz w:val="14"/>
                <w:szCs w:val="14"/>
                <w:color w:val="auto"/>
              </w:rPr>
            </w:pPr>
          </w:p>
        </w:tc>
        <w:tc>
          <w:tcPr>
            <w:tcW w:w="300" w:type="dxa"/>
            <w:vAlign w:val="bottom"/>
            <w:shd w:val="clear" w:color="auto" w:fill="CCECFF"/>
          </w:tcPr>
          <w:p>
            <w:pPr>
              <w:spacing w:after="0"/>
              <w:rPr>
                <w:sz w:val="14"/>
                <w:szCs w:val="14"/>
                <w:color w:val="auto"/>
              </w:rPr>
            </w:pPr>
          </w:p>
        </w:tc>
        <w:tc>
          <w:tcPr>
            <w:tcW w:w="1180" w:type="dxa"/>
            <w:vAlign w:val="bottom"/>
            <w:shd w:val="clear" w:color="auto" w:fill="CCECFF"/>
          </w:tcPr>
          <w:p>
            <w:pPr>
              <w:spacing w:after="0"/>
              <w:rPr>
                <w:sz w:val="14"/>
                <w:szCs w:val="14"/>
                <w:color w:val="auto"/>
              </w:rPr>
            </w:pPr>
          </w:p>
        </w:tc>
        <w:tc>
          <w:tcPr>
            <w:tcW w:w="260" w:type="dxa"/>
            <w:vAlign w:val="bottom"/>
            <w:shd w:val="clear" w:color="auto" w:fill="CCECFF"/>
          </w:tcPr>
          <w:p>
            <w:pPr>
              <w:spacing w:after="0"/>
              <w:rPr>
                <w:sz w:val="14"/>
                <w:szCs w:val="14"/>
                <w:color w:val="auto"/>
              </w:rPr>
            </w:pPr>
          </w:p>
        </w:tc>
        <w:tc>
          <w:tcPr>
            <w:tcW w:w="80" w:type="dxa"/>
            <w:vAlign w:val="bottom"/>
            <w:shd w:val="clear" w:color="auto" w:fill="CCECFF"/>
          </w:tcPr>
          <w:p>
            <w:pPr>
              <w:spacing w:after="0"/>
              <w:rPr>
                <w:sz w:val="14"/>
                <w:szCs w:val="14"/>
                <w:color w:val="auto"/>
              </w:rPr>
            </w:pPr>
          </w:p>
        </w:tc>
        <w:tc>
          <w:tcPr>
            <w:tcW w:w="80" w:type="dxa"/>
            <w:vAlign w:val="bottom"/>
            <w:shd w:val="clear" w:color="auto" w:fill="CCECFF"/>
          </w:tcPr>
          <w:p>
            <w:pPr>
              <w:spacing w:after="0"/>
              <w:rPr>
                <w:sz w:val="14"/>
                <w:szCs w:val="14"/>
                <w:color w:val="auto"/>
              </w:rPr>
            </w:pPr>
          </w:p>
        </w:tc>
        <w:tc>
          <w:tcPr>
            <w:tcW w:w="80" w:type="dxa"/>
            <w:vAlign w:val="bottom"/>
            <w:shd w:val="clear" w:color="auto" w:fill="CCECFF"/>
          </w:tcPr>
          <w:p>
            <w:pPr>
              <w:spacing w:after="0"/>
              <w:rPr>
                <w:sz w:val="14"/>
                <w:szCs w:val="14"/>
                <w:color w:val="auto"/>
              </w:rPr>
            </w:pPr>
          </w:p>
        </w:tc>
        <w:tc>
          <w:tcPr>
            <w:tcW w:w="160" w:type="dxa"/>
            <w:vAlign w:val="bottom"/>
            <w:shd w:val="clear" w:color="auto" w:fill="CCECFF"/>
          </w:tcPr>
          <w:p>
            <w:pPr>
              <w:spacing w:after="0"/>
              <w:rPr>
                <w:sz w:val="14"/>
                <w:szCs w:val="14"/>
                <w:color w:val="auto"/>
              </w:rPr>
            </w:pPr>
          </w:p>
        </w:tc>
        <w:tc>
          <w:tcPr>
            <w:tcW w:w="1300" w:type="dxa"/>
            <w:vAlign w:val="bottom"/>
            <w:gridSpan w:val="3"/>
            <w:shd w:val="clear" w:color="auto" w:fill="CCECFF"/>
          </w:tcPr>
          <w:p>
            <w:pPr>
              <w:jc w:val="right"/>
              <w:ind w:right="20"/>
              <w:spacing w:after="0"/>
              <w:rPr>
                <w:sz w:val="20"/>
                <w:szCs w:val="20"/>
                <w:color w:val="auto"/>
              </w:rPr>
            </w:pPr>
            <w:r>
              <w:rPr>
                <w:rFonts w:ascii="Arial" w:cs="Arial" w:eastAsia="Arial" w:hAnsi="Arial"/>
                <w:sz w:val="14"/>
                <w:szCs w:val="14"/>
                <w:color w:val="auto"/>
              </w:rPr>
              <w:t>(284,057,941)</w:t>
            </w:r>
          </w:p>
        </w:tc>
        <w:tc>
          <w:tcPr>
            <w:tcW w:w="40" w:type="dxa"/>
            <w:vAlign w:val="bottom"/>
            <w:shd w:val="clear" w:color="auto" w:fill="CCECFF"/>
          </w:tcPr>
          <w:p>
            <w:pPr>
              <w:spacing w:after="0"/>
              <w:rPr>
                <w:sz w:val="14"/>
                <w:szCs w:val="14"/>
                <w:color w:val="auto"/>
              </w:rPr>
            </w:pPr>
          </w:p>
        </w:tc>
        <w:tc>
          <w:tcPr>
            <w:tcW w:w="160" w:type="dxa"/>
            <w:vAlign w:val="bottom"/>
            <w:shd w:val="clear" w:color="auto" w:fill="CCECFF"/>
          </w:tcPr>
          <w:p>
            <w:pPr>
              <w:spacing w:after="0"/>
              <w:rPr>
                <w:sz w:val="14"/>
                <w:szCs w:val="14"/>
                <w:color w:val="auto"/>
              </w:rPr>
            </w:pPr>
          </w:p>
        </w:tc>
        <w:tc>
          <w:tcPr>
            <w:tcW w:w="200" w:type="dxa"/>
            <w:vAlign w:val="bottom"/>
            <w:shd w:val="clear" w:color="auto" w:fill="CCECFF"/>
          </w:tcPr>
          <w:p>
            <w:pPr>
              <w:spacing w:after="0"/>
              <w:rPr>
                <w:sz w:val="14"/>
                <w:szCs w:val="14"/>
                <w:color w:val="auto"/>
              </w:rPr>
            </w:pPr>
          </w:p>
        </w:tc>
        <w:tc>
          <w:tcPr>
            <w:tcW w:w="1380" w:type="dxa"/>
            <w:vAlign w:val="bottom"/>
            <w:gridSpan w:val="3"/>
            <w:shd w:val="clear" w:color="auto" w:fill="CCECFF"/>
          </w:tcPr>
          <w:p>
            <w:pPr>
              <w:jc w:val="right"/>
              <w:ind w:right="140"/>
              <w:spacing w:after="0"/>
              <w:rPr>
                <w:sz w:val="20"/>
                <w:szCs w:val="20"/>
                <w:color w:val="auto"/>
              </w:rPr>
            </w:pPr>
            <w:r>
              <w:rPr>
                <w:rFonts w:ascii="Arial" w:cs="Arial" w:eastAsia="Arial" w:hAnsi="Arial"/>
                <w:sz w:val="14"/>
                <w:szCs w:val="14"/>
                <w:color w:val="auto"/>
              </w:rPr>
              <w:t>(20,046,292)</w:t>
            </w:r>
          </w:p>
        </w:tc>
        <w:tc>
          <w:tcPr>
            <w:tcW w:w="80" w:type="dxa"/>
            <w:vAlign w:val="bottom"/>
            <w:shd w:val="clear" w:color="auto" w:fill="CCECFF"/>
          </w:tcPr>
          <w:p>
            <w:pPr>
              <w:spacing w:after="0"/>
              <w:rPr>
                <w:sz w:val="14"/>
                <w:szCs w:val="14"/>
                <w:color w:val="auto"/>
              </w:rPr>
            </w:pPr>
          </w:p>
        </w:tc>
        <w:tc>
          <w:tcPr>
            <w:tcW w:w="280" w:type="dxa"/>
            <w:vAlign w:val="bottom"/>
            <w:shd w:val="clear" w:color="auto" w:fill="CCECFF"/>
          </w:tcPr>
          <w:p>
            <w:pPr>
              <w:spacing w:after="0"/>
              <w:rPr>
                <w:sz w:val="14"/>
                <w:szCs w:val="14"/>
                <w:color w:val="auto"/>
              </w:rPr>
            </w:pPr>
          </w:p>
        </w:tc>
        <w:tc>
          <w:tcPr>
            <w:tcW w:w="1240" w:type="dxa"/>
            <w:vAlign w:val="bottom"/>
            <w:gridSpan w:val="3"/>
            <w:shd w:val="clear" w:color="auto" w:fill="CCECFF"/>
          </w:tcPr>
          <w:p>
            <w:pPr>
              <w:jc w:val="right"/>
              <w:ind w:right="60"/>
              <w:spacing w:after="0"/>
              <w:rPr>
                <w:sz w:val="20"/>
                <w:szCs w:val="20"/>
                <w:color w:val="auto"/>
              </w:rPr>
            </w:pPr>
            <w:r>
              <w:rPr>
                <w:rFonts w:ascii="Arial" w:cs="Arial" w:eastAsia="Arial" w:hAnsi="Arial"/>
                <w:sz w:val="14"/>
                <w:szCs w:val="14"/>
                <w:color w:val="auto"/>
              </w:rPr>
              <w:t>(304,104,233)</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4260" w:type="dxa"/>
            <w:vAlign w:val="bottom"/>
          </w:tcPr>
          <w:p>
            <w:pPr>
              <w:ind w:left="500"/>
              <w:spacing w:after="0"/>
              <w:rPr>
                <w:sz w:val="20"/>
                <w:szCs w:val="20"/>
                <w:color w:val="auto"/>
              </w:rPr>
            </w:pPr>
            <w:r>
              <w:rPr>
                <w:rFonts w:ascii="Arial" w:cs="Arial" w:eastAsia="Arial" w:hAnsi="Arial"/>
                <w:sz w:val="14"/>
                <w:szCs w:val="14"/>
                <w:color w:val="auto"/>
              </w:rPr>
              <w:t>Transfers in/out of Level 3</w:t>
            </w:r>
          </w:p>
        </w:tc>
        <w:tc>
          <w:tcPr>
            <w:tcW w:w="1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300" w:type="dxa"/>
            <w:vAlign w:val="bottom"/>
            <w:gridSpan w:val="3"/>
          </w:tcPr>
          <w:p>
            <w:pPr>
              <w:jc w:val="right"/>
              <w:ind w:right="80"/>
              <w:spacing w:after="0"/>
              <w:rPr>
                <w:sz w:val="20"/>
                <w:szCs w:val="20"/>
                <w:color w:val="auto"/>
              </w:rPr>
            </w:pPr>
            <w:r>
              <w:rPr>
                <w:rFonts w:ascii="Arial" w:cs="Arial" w:eastAsia="Arial" w:hAnsi="Arial"/>
                <w:sz w:val="14"/>
                <w:szCs w:val="14"/>
                <w:color w:val="auto"/>
              </w:rPr>
              <w:t>—</w:t>
            </w:r>
          </w:p>
        </w:tc>
        <w:tc>
          <w:tcPr>
            <w:tcW w:w="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380" w:type="dxa"/>
            <w:vAlign w:val="bottom"/>
            <w:gridSpan w:val="3"/>
          </w:tcPr>
          <w:p>
            <w:pPr>
              <w:jc w:val="right"/>
              <w:ind w:right="200"/>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240" w:type="dxa"/>
            <w:vAlign w:val="bottom"/>
            <w:gridSpan w:val="3"/>
          </w:tcPr>
          <w:p>
            <w:pPr>
              <w:jc w:val="right"/>
              <w:ind w:right="120"/>
              <w:spacing w:after="0"/>
              <w:rPr>
                <w:sz w:val="20"/>
                <w:szCs w:val="20"/>
                <w:color w:val="auto"/>
              </w:rPr>
            </w:pPr>
            <w:r>
              <w:rPr>
                <w:rFonts w:ascii="Arial" w:cs="Arial" w:eastAsia="Arial" w:hAnsi="Arial"/>
                <w:sz w:val="14"/>
                <w:szCs w:val="14"/>
                <w:color w:val="auto"/>
              </w:rPr>
              <w:t>—</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6"/>
        </w:trPr>
        <w:tc>
          <w:tcPr>
            <w:tcW w:w="4260" w:type="dxa"/>
            <w:vAlign w:val="bottom"/>
            <w:tcBorders>
              <w:top w:val="single" w:sz="8" w:color="CCECFF"/>
              <w:bottom w:val="single" w:sz="8" w:color="CCECFF"/>
            </w:tcBorders>
            <w:shd w:val="clear" w:color="auto" w:fill="CCECFF"/>
          </w:tcPr>
          <w:p>
            <w:pPr>
              <w:spacing w:after="0" w:line="155" w:lineRule="exact"/>
              <w:rPr>
                <w:sz w:val="20"/>
                <w:szCs w:val="20"/>
                <w:color w:val="auto"/>
              </w:rPr>
            </w:pPr>
            <w:r>
              <w:rPr>
                <w:rFonts w:ascii="Arial" w:cs="Arial" w:eastAsia="Arial" w:hAnsi="Arial"/>
                <w:sz w:val="14"/>
                <w:szCs w:val="14"/>
                <w:color w:val="auto"/>
              </w:rPr>
              <w:t>Ending Balance</w:t>
            </w:r>
          </w:p>
        </w:tc>
        <w:tc>
          <w:tcPr>
            <w:tcW w:w="160" w:type="dxa"/>
            <w:vAlign w:val="bottom"/>
            <w:tcBorders>
              <w:top w:val="single" w:sz="8" w:color="CCECFF"/>
              <w:bottom w:val="single" w:sz="8" w:color="CCECFF"/>
            </w:tcBorders>
            <w:shd w:val="clear" w:color="auto" w:fill="CCECFF"/>
          </w:tcPr>
          <w:p>
            <w:pPr>
              <w:spacing w:after="0"/>
              <w:rPr>
                <w:sz w:val="13"/>
                <w:szCs w:val="13"/>
                <w:color w:val="auto"/>
              </w:rPr>
            </w:pPr>
          </w:p>
        </w:tc>
        <w:tc>
          <w:tcPr>
            <w:tcW w:w="300" w:type="dxa"/>
            <w:vAlign w:val="bottom"/>
            <w:tcBorders>
              <w:top w:val="single" w:sz="8" w:color="CCECFF"/>
              <w:bottom w:val="single" w:sz="8" w:color="CCECFF"/>
            </w:tcBorders>
            <w:shd w:val="clear" w:color="auto" w:fill="CCECFF"/>
          </w:tcPr>
          <w:p>
            <w:pPr>
              <w:spacing w:after="0"/>
              <w:rPr>
                <w:sz w:val="13"/>
                <w:szCs w:val="13"/>
                <w:color w:val="auto"/>
              </w:rPr>
            </w:pPr>
          </w:p>
        </w:tc>
        <w:tc>
          <w:tcPr>
            <w:tcW w:w="1180" w:type="dxa"/>
            <w:vAlign w:val="bottom"/>
            <w:tcBorders>
              <w:top w:val="single" w:sz="8" w:color="CCECFF"/>
              <w:bottom w:val="single" w:sz="8" w:color="CCECFF"/>
            </w:tcBorders>
            <w:shd w:val="clear" w:color="auto" w:fill="CCECFF"/>
          </w:tcPr>
          <w:p>
            <w:pPr>
              <w:spacing w:after="0"/>
              <w:rPr>
                <w:sz w:val="13"/>
                <w:szCs w:val="13"/>
                <w:color w:val="auto"/>
              </w:rPr>
            </w:pPr>
          </w:p>
        </w:tc>
        <w:tc>
          <w:tcPr>
            <w:tcW w:w="260" w:type="dxa"/>
            <w:vAlign w:val="bottom"/>
            <w:tcBorders>
              <w:top w:val="single" w:sz="8" w:color="CCECFF"/>
              <w:bottom w:val="single" w:sz="8" w:color="CCECFF"/>
            </w:tcBorders>
            <w:shd w:val="clear" w:color="auto" w:fill="CCECFF"/>
          </w:tcPr>
          <w:p>
            <w:pPr>
              <w:spacing w:after="0"/>
              <w:rPr>
                <w:sz w:val="13"/>
                <w:szCs w:val="13"/>
                <w:color w:val="auto"/>
              </w:rPr>
            </w:pPr>
          </w:p>
        </w:tc>
        <w:tc>
          <w:tcPr>
            <w:tcW w:w="80" w:type="dxa"/>
            <w:vAlign w:val="bottom"/>
            <w:tcBorders>
              <w:top w:val="single" w:sz="8" w:color="CCECFF"/>
              <w:bottom w:val="single" w:sz="8" w:color="CCECFF"/>
            </w:tcBorders>
            <w:shd w:val="clear" w:color="auto" w:fill="CCECFF"/>
          </w:tcPr>
          <w:p>
            <w:pPr>
              <w:spacing w:after="0"/>
              <w:rPr>
                <w:sz w:val="13"/>
                <w:szCs w:val="13"/>
                <w:color w:val="auto"/>
              </w:rPr>
            </w:pPr>
          </w:p>
        </w:tc>
        <w:tc>
          <w:tcPr>
            <w:tcW w:w="80" w:type="dxa"/>
            <w:vAlign w:val="bottom"/>
            <w:tcBorders>
              <w:top w:val="single" w:sz="8" w:color="CCECFF"/>
              <w:bottom w:val="single" w:sz="8" w:color="CCECFF"/>
            </w:tcBorders>
            <w:shd w:val="clear" w:color="auto" w:fill="CCECFF"/>
          </w:tcPr>
          <w:p>
            <w:pPr>
              <w:spacing w:after="0"/>
              <w:rPr>
                <w:sz w:val="13"/>
                <w:szCs w:val="13"/>
                <w:color w:val="auto"/>
              </w:rPr>
            </w:pPr>
          </w:p>
        </w:tc>
        <w:tc>
          <w:tcPr>
            <w:tcW w:w="80" w:type="dxa"/>
            <w:vAlign w:val="bottom"/>
            <w:tcBorders>
              <w:top w:val="single" w:sz="8" w:color="CCECFF"/>
              <w:bottom w:val="single" w:sz="8" w:color="CCECFF"/>
            </w:tcBorders>
            <w:shd w:val="clear" w:color="auto" w:fill="CCECFF"/>
          </w:tcPr>
          <w:p>
            <w:pPr>
              <w:spacing w:after="0"/>
              <w:rPr>
                <w:sz w:val="13"/>
                <w:szCs w:val="13"/>
                <w:color w:val="auto"/>
              </w:rPr>
            </w:pPr>
          </w:p>
        </w:tc>
        <w:tc>
          <w:tcPr>
            <w:tcW w:w="160" w:type="dxa"/>
            <w:vAlign w:val="bottom"/>
            <w:tcBorders>
              <w:top w:val="single" w:sz="8" w:color="auto"/>
              <w:bottom w:val="single" w:sz="8" w:color="auto"/>
            </w:tcBorders>
            <w:shd w:val="clear" w:color="auto" w:fill="CCECFF"/>
          </w:tcPr>
          <w:p>
            <w:pPr>
              <w:jc w:val="right"/>
              <w:ind w:right="49"/>
              <w:spacing w:after="0"/>
              <w:rPr>
                <w:sz w:val="20"/>
                <w:szCs w:val="20"/>
                <w:color w:val="auto"/>
              </w:rPr>
            </w:pPr>
            <w:r>
              <w:rPr>
                <w:rFonts w:ascii="Arial" w:cs="Arial" w:eastAsia="Arial" w:hAnsi="Arial"/>
                <w:sz w:val="10"/>
                <w:szCs w:val="10"/>
                <w:color w:val="auto"/>
                <w:w w:val="71"/>
              </w:rPr>
              <w:t>$</w:t>
            </w:r>
          </w:p>
        </w:tc>
        <w:tc>
          <w:tcPr>
            <w:tcW w:w="1220" w:type="dxa"/>
            <w:vAlign w:val="bottom"/>
            <w:tcBorders>
              <w:top w:val="single" w:sz="8" w:color="auto"/>
              <w:bottom w:val="single" w:sz="8" w:color="auto"/>
            </w:tcBorders>
            <w:gridSpan w:val="2"/>
            <w:shd w:val="clear" w:color="auto" w:fill="CCECFF"/>
          </w:tcPr>
          <w:p>
            <w:pPr>
              <w:jc w:val="right"/>
              <w:spacing w:after="0" w:line="155" w:lineRule="exact"/>
              <w:rPr>
                <w:sz w:val="20"/>
                <w:szCs w:val="20"/>
                <w:color w:val="auto"/>
              </w:rPr>
            </w:pPr>
            <w:r>
              <w:rPr>
                <w:rFonts w:ascii="Arial" w:cs="Arial" w:eastAsia="Arial" w:hAnsi="Arial"/>
                <w:sz w:val="14"/>
                <w:szCs w:val="14"/>
                <w:color w:val="auto"/>
              </w:rPr>
              <w:t>1,105,992,047</w:t>
            </w:r>
          </w:p>
        </w:tc>
        <w:tc>
          <w:tcPr>
            <w:tcW w:w="80" w:type="dxa"/>
            <w:vAlign w:val="bottom"/>
            <w:tcBorders>
              <w:top w:val="single" w:sz="8" w:color="CCECFF"/>
              <w:bottom w:val="single" w:sz="8" w:color="CCECFF"/>
            </w:tcBorders>
            <w:shd w:val="clear" w:color="auto" w:fill="CCECFF"/>
          </w:tcPr>
          <w:p>
            <w:pPr>
              <w:spacing w:after="0"/>
              <w:rPr>
                <w:sz w:val="13"/>
                <w:szCs w:val="13"/>
                <w:color w:val="auto"/>
              </w:rPr>
            </w:pPr>
          </w:p>
        </w:tc>
        <w:tc>
          <w:tcPr>
            <w:tcW w:w="200" w:type="dxa"/>
            <w:vAlign w:val="bottom"/>
            <w:tcBorders>
              <w:top w:val="single" w:sz="8" w:color="CCECFF"/>
              <w:bottom w:val="single" w:sz="8" w:color="CCECFF"/>
            </w:tcBorders>
            <w:gridSpan w:val="2"/>
            <w:shd w:val="clear" w:color="auto" w:fill="CCECFF"/>
          </w:tcPr>
          <w:p>
            <w:pPr>
              <w:spacing w:after="0"/>
              <w:rPr>
                <w:sz w:val="13"/>
                <w:szCs w:val="13"/>
                <w:color w:val="auto"/>
              </w:rPr>
            </w:pPr>
          </w:p>
        </w:tc>
        <w:tc>
          <w:tcPr>
            <w:tcW w:w="200" w:type="dxa"/>
            <w:vAlign w:val="bottom"/>
            <w:tcBorders>
              <w:top w:val="single" w:sz="8" w:color="auto"/>
              <w:bottom w:val="single" w:sz="8" w:color="auto"/>
            </w:tcBorders>
            <w:shd w:val="clear" w:color="auto" w:fill="CCECFF"/>
          </w:tcPr>
          <w:p>
            <w:pPr>
              <w:jc w:val="right"/>
              <w:ind w:right="89"/>
              <w:spacing w:after="0"/>
              <w:rPr>
                <w:sz w:val="20"/>
                <w:szCs w:val="20"/>
                <w:color w:val="auto"/>
              </w:rPr>
            </w:pPr>
            <w:r>
              <w:rPr>
                <w:rFonts w:ascii="Arial" w:cs="Arial" w:eastAsia="Arial" w:hAnsi="Arial"/>
                <w:sz w:val="10"/>
                <w:szCs w:val="10"/>
                <w:color w:val="auto"/>
                <w:w w:val="71"/>
              </w:rPr>
              <w:t>$</w:t>
            </w:r>
          </w:p>
        </w:tc>
        <w:tc>
          <w:tcPr>
            <w:tcW w:w="1200" w:type="dxa"/>
            <w:vAlign w:val="bottom"/>
            <w:tcBorders>
              <w:top w:val="single" w:sz="8" w:color="auto"/>
              <w:bottom w:val="single" w:sz="8" w:color="auto"/>
            </w:tcBorders>
            <w:gridSpan w:val="2"/>
            <w:shd w:val="clear" w:color="auto" w:fill="CCECFF"/>
          </w:tcPr>
          <w:p>
            <w:pPr>
              <w:jc w:val="right"/>
              <w:ind w:right="20"/>
              <w:spacing w:after="0" w:line="155" w:lineRule="exact"/>
              <w:rPr>
                <w:sz w:val="20"/>
                <w:szCs w:val="20"/>
                <w:color w:val="auto"/>
              </w:rPr>
            </w:pPr>
            <w:r>
              <w:rPr>
                <w:rFonts w:ascii="Arial" w:cs="Arial" w:eastAsia="Arial" w:hAnsi="Arial"/>
                <w:sz w:val="14"/>
                <w:szCs w:val="14"/>
                <w:color w:val="auto"/>
              </w:rPr>
              <w:t>129,763,805</w:t>
            </w:r>
          </w:p>
        </w:tc>
        <w:tc>
          <w:tcPr>
            <w:tcW w:w="180" w:type="dxa"/>
            <w:vAlign w:val="bottom"/>
            <w:tcBorders>
              <w:top w:val="single" w:sz="8" w:color="CCECFF"/>
              <w:bottom w:val="single" w:sz="8" w:color="CCECFF"/>
            </w:tcBorders>
            <w:shd w:val="clear" w:color="auto" w:fill="CCECFF"/>
          </w:tcPr>
          <w:p>
            <w:pPr>
              <w:spacing w:after="0"/>
              <w:rPr>
                <w:sz w:val="13"/>
                <w:szCs w:val="13"/>
                <w:color w:val="auto"/>
              </w:rPr>
            </w:pPr>
          </w:p>
        </w:tc>
        <w:tc>
          <w:tcPr>
            <w:tcW w:w="80" w:type="dxa"/>
            <w:vAlign w:val="bottom"/>
            <w:tcBorders>
              <w:top w:val="single" w:sz="8" w:color="CCECFF"/>
              <w:bottom w:val="single" w:sz="8" w:color="CCECFF"/>
            </w:tcBorders>
            <w:shd w:val="clear" w:color="auto" w:fill="CCECFF"/>
          </w:tcPr>
          <w:p>
            <w:pPr>
              <w:spacing w:after="0"/>
              <w:rPr>
                <w:sz w:val="13"/>
                <w:szCs w:val="13"/>
                <w:color w:val="auto"/>
              </w:rPr>
            </w:pPr>
          </w:p>
        </w:tc>
        <w:tc>
          <w:tcPr>
            <w:tcW w:w="280" w:type="dxa"/>
            <w:vAlign w:val="bottom"/>
            <w:tcBorders>
              <w:top w:val="single" w:sz="8" w:color="auto"/>
              <w:bottom w:val="single" w:sz="8" w:color="auto"/>
            </w:tcBorders>
            <w:shd w:val="clear" w:color="auto" w:fill="CCECFF"/>
          </w:tcPr>
          <w:p>
            <w:pPr>
              <w:jc w:val="right"/>
              <w:ind w:right="128"/>
              <w:spacing w:after="0" w:line="155" w:lineRule="exact"/>
              <w:rPr>
                <w:sz w:val="20"/>
                <w:szCs w:val="20"/>
                <w:color w:val="auto"/>
              </w:rPr>
            </w:pPr>
            <w:r>
              <w:rPr>
                <w:rFonts w:ascii="Arial" w:cs="Arial" w:eastAsia="Arial" w:hAnsi="Arial"/>
                <w:sz w:val="14"/>
                <w:szCs w:val="14"/>
                <w:color w:val="auto"/>
                <w:w w:val="76"/>
              </w:rPr>
              <w:t>$</w:t>
            </w:r>
          </w:p>
        </w:tc>
        <w:tc>
          <w:tcPr>
            <w:tcW w:w="1140" w:type="dxa"/>
            <w:vAlign w:val="bottom"/>
            <w:tcBorders>
              <w:top w:val="single" w:sz="8" w:color="auto"/>
              <w:bottom w:val="single" w:sz="8" w:color="auto"/>
            </w:tcBorders>
            <w:gridSpan w:val="2"/>
            <w:shd w:val="clear" w:color="auto" w:fill="CCECFF"/>
          </w:tcPr>
          <w:p>
            <w:pPr>
              <w:jc w:val="right"/>
              <w:ind w:right="20"/>
              <w:spacing w:after="0" w:line="155" w:lineRule="exact"/>
              <w:rPr>
                <w:sz w:val="20"/>
                <w:szCs w:val="20"/>
                <w:color w:val="auto"/>
              </w:rPr>
            </w:pPr>
            <w:r>
              <w:rPr>
                <w:rFonts w:ascii="Arial" w:cs="Arial" w:eastAsia="Arial" w:hAnsi="Arial"/>
                <w:sz w:val="14"/>
                <w:szCs w:val="14"/>
                <w:color w:val="auto"/>
              </w:rPr>
              <w:t>1,235,755,852</w:t>
            </w:r>
          </w:p>
        </w:tc>
        <w:tc>
          <w:tcPr>
            <w:tcW w:w="100" w:type="dxa"/>
            <w:vAlign w:val="bottom"/>
            <w:tcBorders>
              <w:top w:val="single" w:sz="8" w:color="CCECFF"/>
              <w:bottom w:val="single" w:sz="8" w:color="CCECFF"/>
            </w:tcBorders>
            <w:shd w:val="clear" w:color="auto" w:fill="CCECFF"/>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6160" w:type="dxa"/>
            <w:vAlign w:val="bottom"/>
            <w:gridSpan w:val="5"/>
            <w:vMerge w:val="restart"/>
          </w:tcPr>
          <w:p>
            <w:pPr>
              <w:spacing w:after="0"/>
              <w:rPr>
                <w:sz w:val="20"/>
                <w:szCs w:val="20"/>
                <w:color w:val="auto"/>
              </w:rPr>
            </w:pPr>
            <w:r>
              <w:rPr>
                <w:rFonts w:ascii="Arial" w:cs="Arial" w:eastAsia="Arial" w:hAnsi="Arial"/>
                <w:sz w:val="14"/>
                <w:szCs w:val="14"/>
                <w:color w:val="auto"/>
              </w:rPr>
              <w:t>Net change in unrealized depreciation reported within the net change in unrealized (depreciation)</w:t>
            </w: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4"/>
        </w:trPr>
        <w:tc>
          <w:tcPr>
            <w:tcW w:w="6160" w:type="dxa"/>
            <w:vAlign w:val="bottom"/>
            <w:gridSpan w:val="5"/>
            <w:vMerge w:val="continue"/>
          </w:tcPr>
          <w:p>
            <w:pPr>
              <w:spacing w:after="0"/>
              <w:rPr>
                <w:sz w:val="10"/>
                <w:szCs w:val="10"/>
                <w:color w:val="auto"/>
              </w:rPr>
            </w:pPr>
          </w:p>
        </w:tc>
        <w:tc>
          <w:tcPr>
            <w:tcW w:w="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08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11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11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9"/>
        </w:trPr>
        <w:tc>
          <w:tcPr>
            <w:tcW w:w="6320" w:type="dxa"/>
            <w:vAlign w:val="bottom"/>
            <w:gridSpan w:val="7"/>
          </w:tcPr>
          <w:p>
            <w:pPr>
              <w:spacing w:after="0" w:line="149" w:lineRule="exact"/>
              <w:rPr>
                <w:sz w:val="20"/>
                <w:szCs w:val="20"/>
                <w:color w:val="auto"/>
              </w:rPr>
            </w:pPr>
            <w:r>
              <w:rPr>
                <w:rFonts w:ascii="Arial" w:cs="Arial" w:eastAsia="Arial" w:hAnsi="Arial"/>
                <w:sz w:val="14"/>
                <w:szCs w:val="14"/>
                <w:color w:val="auto"/>
                <w:w w:val="94"/>
              </w:rPr>
              <w:t>appreciation on investments in our Consolidated Statements of Operations attributable to our Level 3 assets</w:t>
            </w:r>
          </w:p>
        </w:tc>
        <w:tc>
          <w:tcPr>
            <w:tcW w:w="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7"/>
        </w:trPr>
        <w:tc>
          <w:tcPr>
            <w:tcW w:w="4260" w:type="dxa"/>
            <w:vAlign w:val="bottom"/>
          </w:tcPr>
          <w:p>
            <w:pPr>
              <w:spacing w:after="0"/>
              <w:rPr>
                <w:sz w:val="20"/>
                <w:szCs w:val="20"/>
                <w:color w:val="auto"/>
              </w:rPr>
            </w:pPr>
            <w:r>
              <w:rPr>
                <w:rFonts w:ascii="Arial" w:cs="Arial" w:eastAsia="Arial" w:hAnsi="Arial"/>
                <w:sz w:val="14"/>
                <w:szCs w:val="14"/>
                <w:color w:val="auto"/>
              </w:rPr>
              <w:t>still held at the reporting date.</w:t>
            </w:r>
          </w:p>
        </w:tc>
        <w:tc>
          <w:tcPr>
            <w:tcW w:w="1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40" w:type="dxa"/>
            <w:vAlign w:val="bottom"/>
            <w:gridSpan w:val="2"/>
          </w:tcPr>
          <w:p>
            <w:pPr>
              <w:jc w:val="right"/>
              <w:ind w:right="49"/>
              <w:spacing w:after="0"/>
              <w:rPr>
                <w:sz w:val="20"/>
                <w:szCs w:val="20"/>
                <w:color w:val="auto"/>
              </w:rPr>
            </w:pPr>
            <w:r>
              <w:rPr>
                <w:rFonts w:ascii="Arial" w:cs="Arial" w:eastAsia="Arial" w:hAnsi="Arial"/>
                <w:sz w:val="14"/>
                <w:szCs w:val="14"/>
                <w:color w:val="auto"/>
              </w:rPr>
              <w:t>$</w:t>
            </w:r>
          </w:p>
        </w:tc>
        <w:tc>
          <w:tcPr>
            <w:tcW w:w="1300" w:type="dxa"/>
            <w:vAlign w:val="bottom"/>
            <w:gridSpan w:val="3"/>
          </w:tcPr>
          <w:p>
            <w:pPr>
              <w:jc w:val="right"/>
              <w:ind w:right="20"/>
              <w:spacing w:after="0"/>
              <w:rPr>
                <w:sz w:val="20"/>
                <w:szCs w:val="20"/>
                <w:color w:val="auto"/>
              </w:rPr>
            </w:pPr>
            <w:r>
              <w:rPr>
                <w:rFonts w:ascii="Arial" w:cs="Arial" w:eastAsia="Arial" w:hAnsi="Arial"/>
                <w:sz w:val="14"/>
                <w:szCs w:val="14"/>
                <w:color w:val="auto"/>
              </w:rPr>
              <w:t>(41,585,936)</w:t>
            </w:r>
          </w:p>
        </w:tc>
        <w:tc>
          <w:tcPr>
            <w:tcW w:w="400" w:type="dxa"/>
            <w:vAlign w:val="bottom"/>
            <w:gridSpan w:val="3"/>
          </w:tcPr>
          <w:p>
            <w:pPr>
              <w:jc w:val="right"/>
              <w:ind w:right="89"/>
              <w:spacing w:after="0"/>
              <w:rPr>
                <w:sz w:val="20"/>
                <w:szCs w:val="20"/>
                <w:color w:val="auto"/>
              </w:rPr>
            </w:pPr>
            <w:r>
              <w:rPr>
                <w:rFonts w:ascii="Arial" w:cs="Arial" w:eastAsia="Arial" w:hAnsi="Arial"/>
                <w:sz w:val="14"/>
                <w:szCs w:val="14"/>
                <w:color w:val="auto"/>
              </w:rPr>
              <w:t>$</w:t>
            </w:r>
          </w:p>
        </w:tc>
        <w:tc>
          <w:tcPr>
            <w:tcW w:w="1380" w:type="dxa"/>
            <w:vAlign w:val="bottom"/>
            <w:gridSpan w:val="3"/>
          </w:tcPr>
          <w:p>
            <w:pPr>
              <w:jc w:val="right"/>
              <w:ind w:right="140"/>
              <w:spacing w:after="0"/>
              <w:rPr>
                <w:sz w:val="20"/>
                <w:szCs w:val="20"/>
                <w:color w:val="auto"/>
              </w:rPr>
            </w:pPr>
            <w:r>
              <w:rPr>
                <w:rFonts w:ascii="Arial" w:cs="Arial" w:eastAsia="Arial" w:hAnsi="Arial"/>
                <w:sz w:val="14"/>
                <w:szCs w:val="14"/>
                <w:color w:val="auto"/>
              </w:rPr>
              <w:t>(3,480,364)</w:t>
            </w:r>
          </w:p>
        </w:tc>
        <w:tc>
          <w:tcPr>
            <w:tcW w:w="360" w:type="dxa"/>
            <w:vAlign w:val="bottom"/>
            <w:gridSpan w:val="2"/>
          </w:tcPr>
          <w:p>
            <w:pPr>
              <w:jc w:val="right"/>
              <w:ind w:right="128"/>
              <w:spacing w:after="0"/>
              <w:rPr>
                <w:sz w:val="20"/>
                <w:szCs w:val="20"/>
                <w:color w:val="auto"/>
              </w:rPr>
            </w:pPr>
            <w:r>
              <w:rPr>
                <w:rFonts w:ascii="Arial" w:cs="Arial" w:eastAsia="Arial" w:hAnsi="Arial"/>
                <w:sz w:val="14"/>
                <w:szCs w:val="14"/>
                <w:color w:val="auto"/>
              </w:rPr>
              <w:t>$</w:t>
            </w:r>
          </w:p>
        </w:tc>
        <w:tc>
          <w:tcPr>
            <w:tcW w:w="1240" w:type="dxa"/>
            <w:vAlign w:val="bottom"/>
            <w:gridSpan w:val="3"/>
          </w:tcPr>
          <w:p>
            <w:pPr>
              <w:jc w:val="right"/>
              <w:ind w:right="60"/>
              <w:spacing w:after="0"/>
              <w:rPr>
                <w:sz w:val="20"/>
                <w:szCs w:val="20"/>
                <w:color w:val="auto"/>
              </w:rPr>
            </w:pPr>
            <w:r>
              <w:rPr>
                <w:rFonts w:ascii="Arial" w:cs="Arial" w:eastAsia="Arial" w:hAnsi="Arial"/>
                <w:sz w:val="14"/>
                <w:szCs w:val="14"/>
                <w:color w:val="auto"/>
              </w:rPr>
              <w:t>(45,066,300)</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42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180" w:type="dxa"/>
            <w:vAlign w:val="bottom"/>
            <w:vMerge w:val="restart"/>
          </w:tcPr>
          <w:p>
            <w:pPr>
              <w:jc w:val="right"/>
              <w:ind w:right="128"/>
              <w:spacing w:after="0"/>
              <w:rPr>
                <w:sz w:val="20"/>
                <w:szCs w:val="20"/>
                <w:color w:val="auto"/>
              </w:rPr>
            </w:pPr>
            <w:r>
              <w:rPr>
                <w:rFonts w:ascii="Arial" w:cs="Arial" w:eastAsia="Arial" w:hAnsi="Arial"/>
                <w:sz w:val="14"/>
                <w:szCs w:val="14"/>
                <w:color w:val="auto"/>
              </w:rPr>
              <w:t>19</w:t>
            </w:r>
          </w:p>
        </w:tc>
        <w:tc>
          <w:tcPr>
            <w:tcW w:w="2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98"/>
        </w:trPr>
        <w:tc>
          <w:tcPr>
            <w:tcW w:w="42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180" w:type="dxa"/>
            <w:vAlign w:val="bottom"/>
            <w:vMerge w:val="continue"/>
          </w:tcPr>
          <w:p>
            <w:pPr>
              <w:spacing w:after="0"/>
              <w:rPr>
                <w:sz w:val="24"/>
                <w:szCs w:val="24"/>
                <w:color w:val="auto"/>
              </w:rPr>
            </w:pPr>
          </w:p>
        </w:tc>
        <w:tc>
          <w:tcPr>
            <w:tcW w:w="2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00"/>
        </w:trPr>
        <w:tc>
          <w:tcPr>
            <w:tcW w:w="4260" w:type="dxa"/>
            <w:vAlign w:val="bottom"/>
            <w:tcBorders>
              <w:bottom w:val="single" w:sz="8" w:color="9A9A9A"/>
            </w:tcBorders>
          </w:tcPr>
          <w:p>
            <w:pPr>
              <w:spacing w:after="0"/>
              <w:rPr>
                <w:sz w:val="8"/>
                <w:szCs w:val="8"/>
                <w:color w:val="auto"/>
              </w:rPr>
            </w:pPr>
          </w:p>
        </w:tc>
        <w:tc>
          <w:tcPr>
            <w:tcW w:w="160" w:type="dxa"/>
            <w:vAlign w:val="bottom"/>
            <w:tcBorders>
              <w:bottom w:val="single" w:sz="8" w:color="9A9A9A"/>
            </w:tcBorders>
          </w:tcPr>
          <w:p>
            <w:pPr>
              <w:spacing w:after="0"/>
              <w:rPr>
                <w:sz w:val="8"/>
                <w:szCs w:val="8"/>
                <w:color w:val="auto"/>
              </w:rPr>
            </w:pPr>
          </w:p>
        </w:tc>
        <w:tc>
          <w:tcPr>
            <w:tcW w:w="300" w:type="dxa"/>
            <w:vAlign w:val="bottom"/>
            <w:tcBorders>
              <w:bottom w:val="single" w:sz="8" w:color="9A9A9A"/>
            </w:tcBorders>
          </w:tcPr>
          <w:p>
            <w:pPr>
              <w:spacing w:after="0"/>
              <w:rPr>
                <w:sz w:val="8"/>
                <w:szCs w:val="8"/>
                <w:color w:val="auto"/>
              </w:rPr>
            </w:pPr>
          </w:p>
        </w:tc>
        <w:tc>
          <w:tcPr>
            <w:tcW w:w="1180" w:type="dxa"/>
            <w:vAlign w:val="bottom"/>
            <w:tcBorders>
              <w:bottom w:val="single" w:sz="8" w:color="9A9A9A"/>
            </w:tcBorders>
          </w:tcPr>
          <w:p>
            <w:pPr>
              <w:spacing w:after="0"/>
              <w:rPr>
                <w:sz w:val="8"/>
                <w:szCs w:val="8"/>
                <w:color w:val="auto"/>
              </w:rPr>
            </w:pPr>
          </w:p>
        </w:tc>
        <w:tc>
          <w:tcPr>
            <w:tcW w:w="260" w:type="dxa"/>
            <w:vAlign w:val="bottom"/>
            <w:tcBorders>
              <w:bottom w:val="single" w:sz="8" w:color="9A9A9A"/>
            </w:tcBorders>
          </w:tcPr>
          <w:p>
            <w:pPr>
              <w:spacing w:after="0"/>
              <w:rPr>
                <w:sz w:val="8"/>
                <w:szCs w:val="8"/>
                <w:color w:val="auto"/>
              </w:rPr>
            </w:pPr>
          </w:p>
        </w:tc>
        <w:tc>
          <w:tcPr>
            <w:tcW w:w="80" w:type="dxa"/>
            <w:vAlign w:val="bottom"/>
            <w:tcBorders>
              <w:bottom w:val="single" w:sz="8" w:color="9A9A9A"/>
            </w:tcBorders>
          </w:tcPr>
          <w:p>
            <w:pPr>
              <w:spacing w:after="0"/>
              <w:rPr>
                <w:sz w:val="8"/>
                <w:szCs w:val="8"/>
                <w:color w:val="auto"/>
              </w:rPr>
            </w:pPr>
          </w:p>
        </w:tc>
        <w:tc>
          <w:tcPr>
            <w:tcW w:w="80" w:type="dxa"/>
            <w:vAlign w:val="bottom"/>
            <w:tcBorders>
              <w:bottom w:val="single" w:sz="8" w:color="9A9A9A"/>
            </w:tcBorders>
          </w:tcPr>
          <w:p>
            <w:pPr>
              <w:spacing w:after="0"/>
              <w:rPr>
                <w:sz w:val="8"/>
                <w:szCs w:val="8"/>
                <w:color w:val="auto"/>
              </w:rPr>
            </w:pPr>
          </w:p>
        </w:tc>
        <w:tc>
          <w:tcPr>
            <w:tcW w:w="80" w:type="dxa"/>
            <w:vAlign w:val="bottom"/>
            <w:tcBorders>
              <w:bottom w:val="single" w:sz="8" w:color="9A9A9A"/>
            </w:tcBorders>
          </w:tcPr>
          <w:p>
            <w:pPr>
              <w:spacing w:after="0"/>
              <w:rPr>
                <w:sz w:val="8"/>
                <w:szCs w:val="8"/>
                <w:color w:val="auto"/>
              </w:rPr>
            </w:pPr>
          </w:p>
        </w:tc>
        <w:tc>
          <w:tcPr>
            <w:tcW w:w="160" w:type="dxa"/>
            <w:vAlign w:val="bottom"/>
            <w:tcBorders>
              <w:bottom w:val="single" w:sz="8" w:color="9A9A9A"/>
            </w:tcBorders>
          </w:tcPr>
          <w:p>
            <w:pPr>
              <w:spacing w:after="0"/>
              <w:rPr>
                <w:sz w:val="8"/>
                <w:szCs w:val="8"/>
                <w:color w:val="auto"/>
              </w:rPr>
            </w:pPr>
          </w:p>
        </w:tc>
        <w:tc>
          <w:tcPr>
            <w:tcW w:w="1080" w:type="dxa"/>
            <w:vAlign w:val="bottom"/>
            <w:tcBorders>
              <w:bottom w:val="single" w:sz="8" w:color="9A9A9A"/>
            </w:tcBorders>
          </w:tcPr>
          <w:p>
            <w:pPr>
              <w:spacing w:after="0"/>
              <w:rPr>
                <w:sz w:val="8"/>
                <w:szCs w:val="8"/>
                <w:color w:val="auto"/>
              </w:rPr>
            </w:pPr>
          </w:p>
        </w:tc>
        <w:tc>
          <w:tcPr>
            <w:tcW w:w="140" w:type="dxa"/>
            <w:vAlign w:val="bottom"/>
            <w:tcBorders>
              <w:bottom w:val="single" w:sz="8" w:color="9A9A9A"/>
            </w:tcBorders>
          </w:tcPr>
          <w:p>
            <w:pPr>
              <w:spacing w:after="0"/>
              <w:rPr>
                <w:sz w:val="8"/>
                <w:szCs w:val="8"/>
                <w:color w:val="auto"/>
              </w:rPr>
            </w:pPr>
          </w:p>
        </w:tc>
        <w:tc>
          <w:tcPr>
            <w:tcW w:w="80" w:type="dxa"/>
            <w:vAlign w:val="bottom"/>
            <w:tcBorders>
              <w:bottom w:val="single" w:sz="8" w:color="9A9A9A"/>
            </w:tcBorders>
          </w:tcPr>
          <w:p>
            <w:pPr>
              <w:spacing w:after="0"/>
              <w:rPr>
                <w:sz w:val="8"/>
                <w:szCs w:val="8"/>
                <w:color w:val="auto"/>
              </w:rPr>
            </w:pPr>
          </w:p>
        </w:tc>
        <w:tc>
          <w:tcPr>
            <w:tcW w:w="40" w:type="dxa"/>
            <w:vAlign w:val="bottom"/>
            <w:tcBorders>
              <w:bottom w:val="single" w:sz="8" w:color="9A9A9A"/>
            </w:tcBorders>
          </w:tcPr>
          <w:p>
            <w:pPr>
              <w:spacing w:after="0"/>
              <w:rPr>
                <w:sz w:val="8"/>
                <w:szCs w:val="8"/>
                <w:color w:val="auto"/>
              </w:rPr>
            </w:pPr>
          </w:p>
        </w:tc>
        <w:tc>
          <w:tcPr>
            <w:tcW w:w="160" w:type="dxa"/>
            <w:vAlign w:val="bottom"/>
            <w:tcBorders>
              <w:bottom w:val="single" w:sz="8" w:color="9A9A9A"/>
            </w:tcBorders>
          </w:tcPr>
          <w:p>
            <w:pPr>
              <w:spacing w:after="0"/>
              <w:rPr>
                <w:sz w:val="8"/>
                <w:szCs w:val="8"/>
                <w:color w:val="auto"/>
              </w:rPr>
            </w:pPr>
          </w:p>
        </w:tc>
        <w:tc>
          <w:tcPr>
            <w:tcW w:w="200" w:type="dxa"/>
            <w:vAlign w:val="bottom"/>
            <w:tcBorders>
              <w:bottom w:val="single" w:sz="8" w:color="9A9A9A"/>
            </w:tcBorders>
          </w:tcPr>
          <w:p>
            <w:pPr>
              <w:spacing w:after="0"/>
              <w:rPr>
                <w:sz w:val="8"/>
                <w:szCs w:val="8"/>
                <w:color w:val="auto"/>
              </w:rPr>
            </w:pPr>
          </w:p>
        </w:tc>
        <w:tc>
          <w:tcPr>
            <w:tcW w:w="1120" w:type="dxa"/>
            <w:vAlign w:val="bottom"/>
            <w:tcBorders>
              <w:bottom w:val="single" w:sz="8" w:color="9A9A9A"/>
            </w:tcBorders>
          </w:tcPr>
          <w:p>
            <w:pPr>
              <w:spacing w:after="0"/>
              <w:rPr>
                <w:sz w:val="8"/>
                <w:szCs w:val="8"/>
                <w:color w:val="auto"/>
              </w:rPr>
            </w:pPr>
          </w:p>
        </w:tc>
        <w:tc>
          <w:tcPr>
            <w:tcW w:w="80" w:type="dxa"/>
            <w:vAlign w:val="bottom"/>
            <w:tcBorders>
              <w:bottom w:val="single" w:sz="8" w:color="9A9A9A"/>
            </w:tcBorders>
          </w:tcPr>
          <w:p>
            <w:pPr>
              <w:spacing w:after="0"/>
              <w:rPr>
                <w:sz w:val="8"/>
                <w:szCs w:val="8"/>
                <w:color w:val="auto"/>
              </w:rPr>
            </w:pPr>
          </w:p>
        </w:tc>
        <w:tc>
          <w:tcPr>
            <w:tcW w:w="180" w:type="dxa"/>
            <w:vAlign w:val="bottom"/>
            <w:tcBorders>
              <w:bottom w:val="single" w:sz="8" w:color="9A9A9A"/>
            </w:tcBorders>
          </w:tcPr>
          <w:p>
            <w:pPr>
              <w:spacing w:after="0"/>
              <w:rPr>
                <w:sz w:val="8"/>
                <w:szCs w:val="8"/>
                <w:color w:val="auto"/>
              </w:rPr>
            </w:pPr>
          </w:p>
        </w:tc>
        <w:tc>
          <w:tcPr>
            <w:tcW w:w="80" w:type="dxa"/>
            <w:vAlign w:val="bottom"/>
            <w:tcBorders>
              <w:bottom w:val="single" w:sz="8" w:color="9A9A9A"/>
            </w:tcBorders>
          </w:tcPr>
          <w:p>
            <w:pPr>
              <w:spacing w:after="0"/>
              <w:rPr>
                <w:sz w:val="8"/>
                <w:szCs w:val="8"/>
                <w:color w:val="auto"/>
              </w:rPr>
            </w:pPr>
          </w:p>
        </w:tc>
        <w:tc>
          <w:tcPr>
            <w:tcW w:w="280" w:type="dxa"/>
            <w:vAlign w:val="bottom"/>
            <w:tcBorders>
              <w:bottom w:val="single" w:sz="8" w:color="9A9A9A"/>
            </w:tcBorders>
          </w:tcPr>
          <w:p>
            <w:pPr>
              <w:spacing w:after="0"/>
              <w:rPr>
                <w:sz w:val="8"/>
                <w:szCs w:val="8"/>
                <w:color w:val="auto"/>
              </w:rPr>
            </w:pPr>
          </w:p>
        </w:tc>
        <w:tc>
          <w:tcPr>
            <w:tcW w:w="1120" w:type="dxa"/>
            <w:vAlign w:val="bottom"/>
            <w:tcBorders>
              <w:bottom w:val="single" w:sz="8" w:color="9A9A9A"/>
            </w:tcBorders>
          </w:tcPr>
          <w:p>
            <w:pPr>
              <w:spacing w:after="0"/>
              <w:rPr>
                <w:sz w:val="8"/>
                <w:szCs w:val="8"/>
                <w:color w:val="auto"/>
              </w:rPr>
            </w:pPr>
          </w:p>
        </w:tc>
        <w:tc>
          <w:tcPr>
            <w:tcW w:w="20" w:type="dxa"/>
            <w:vAlign w:val="bottom"/>
            <w:tcBorders>
              <w:bottom w:val="single" w:sz="8" w:color="9A9A9A"/>
            </w:tcBorders>
          </w:tcPr>
          <w:p>
            <w:pPr>
              <w:spacing w:after="0"/>
              <w:rPr>
                <w:sz w:val="8"/>
                <w:szCs w:val="8"/>
                <w:color w:val="auto"/>
              </w:rPr>
            </w:pPr>
          </w:p>
        </w:tc>
        <w:tc>
          <w:tcPr>
            <w:tcW w:w="100" w:type="dxa"/>
            <w:vAlign w:val="bottom"/>
            <w:tcBorders>
              <w:bottom w:val="single" w:sz="8" w:color="9A9A9A"/>
            </w:tcBorders>
          </w:tcPr>
          <w:p>
            <w:pPr>
              <w:spacing w:after="0"/>
              <w:rPr>
                <w:sz w:val="8"/>
                <w:szCs w:val="8"/>
                <w:color w:val="auto"/>
              </w:rPr>
            </w:pPr>
          </w:p>
        </w:tc>
        <w:tc>
          <w:tcPr>
            <w:tcW w:w="20" w:type="dxa"/>
            <w:vAlign w:val="bottom"/>
            <w:tcBorders>
              <w:bottom w:val="single" w:sz="8" w:color="9A9A9A"/>
            </w:tcBorders>
          </w:tcPr>
          <w:p>
            <w:pPr>
              <w:spacing w:after="0"/>
              <w:rPr>
                <w:sz w:val="8"/>
                <w:szCs w:val="8"/>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7145655</wp:posOffset>
            </wp:positionH>
            <wp:positionV relativeFrom="paragraph">
              <wp:posOffset>-7620</wp:posOffset>
            </wp:positionV>
            <wp:extent cx="8255" cy="825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-16510</wp:posOffset>
            </wp:positionV>
            <wp:extent cx="8890" cy="171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8890" cy="17145"/>
                    </a:xfrm>
                    <a:prstGeom prst="rect">
                      <a:avLst/>
                    </a:prstGeom>
                    <a:noFill/>
                  </pic:spPr>
                </pic:pic>
              </a:graphicData>
            </a:graphic>
          </wp:anchor>
        </w:drawing>
      </w:r>
    </w:p>
    <w:p>
      <w:pPr>
        <w:sectPr>
          <w:pgSz w:w="11900" w:h="16838" w:orient="portrait"/>
          <w:cols w:equalWidth="0" w:num="1">
            <w:col w:w="11260"/>
          </w:cols>
          <w:pgMar w:left="320" w:top="118" w:right="319" w:bottom="1440" w:gutter="0" w:footer="0" w:header="0"/>
        </w:sectPr>
      </w:pPr>
    </w:p>
    <w:bookmarkStart w:id="19" w:name="page20"/>
    <w:bookmarkEnd w:id="19"/>
    <w:p>
      <w:pPr>
        <w:ind w:left="3220"/>
        <w:spacing w:after="0"/>
        <w:rPr>
          <w:sz w:val="20"/>
          <w:szCs w:val="20"/>
          <w:color w:val="auto"/>
        </w:rPr>
      </w:pPr>
      <w:r>
        <w:rPr>
          <w:rFonts w:ascii="Arial" w:cs="Arial" w:eastAsia="Arial" w:hAnsi="Arial"/>
          <w:sz w:val="14"/>
          <w:szCs w:val="14"/>
          <w:b w:val="1"/>
          <w:bCs w:val="1"/>
          <w:color w:val="auto"/>
        </w:rPr>
        <w:t>PENNANTPARK INVESTMENT CORPORATION AND SUBSIDIARIES</w:t>
      </w:r>
    </w:p>
    <w:p>
      <w:pPr>
        <w:ind w:left="3200"/>
        <w:spacing w:after="0" w:line="225" w:lineRule="auto"/>
        <w:rPr>
          <w:sz w:val="20"/>
          <w:szCs w:val="20"/>
          <w:color w:val="auto"/>
        </w:rPr>
      </w:pPr>
      <w:r>
        <w:rPr>
          <w:rFonts w:ascii="Arial" w:cs="Arial" w:eastAsia="Arial" w:hAnsi="Arial"/>
          <w:sz w:val="14"/>
          <w:szCs w:val="14"/>
          <w:b w:val="1"/>
          <w:bCs w:val="1"/>
          <w:color w:val="auto"/>
        </w:rPr>
        <w:t>NOTES TO CONSOLIDATED FINANCIAL STATEMENTS—(Continued)</w:t>
      </w:r>
    </w:p>
    <w:p>
      <w:pPr>
        <w:jc w:val="center"/>
        <w:ind w:right="60"/>
        <w:spacing w:after="0" w:line="221" w:lineRule="auto"/>
        <w:rPr>
          <w:sz w:val="20"/>
          <w:szCs w:val="20"/>
          <w:color w:val="auto"/>
        </w:rPr>
      </w:pPr>
      <w:r>
        <w:rPr>
          <w:rFonts w:ascii="Arial" w:cs="Arial" w:eastAsia="Arial" w:hAnsi="Arial"/>
          <w:sz w:val="14"/>
          <w:szCs w:val="14"/>
          <w:b w:val="1"/>
          <w:bCs w:val="1"/>
          <w:color w:val="auto"/>
        </w:rPr>
        <w:t>JUNE 30, 2017</w:t>
      </w:r>
    </w:p>
    <w:p>
      <w:pPr>
        <w:spacing w:after="0" w:line="1" w:lineRule="exact"/>
        <w:rPr>
          <w:sz w:val="20"/>
          <w:szCs w:val="20"/>
          <w:color w:val="auto"/>
        </w:rPr>
      </w:pPr>
    </w:p>
    <w:p>
      <w:pPr>
        <w:jc w:val="center"/>
        <w:ind w:right="60"/>
        <w:spacing w:after="0"/>
        <w:rPr>
          <w:sz w:val="20"/>
          <w:szCs w:val="20"/>
          <w:color w:val="auto"/>
        </w:rPr>
      </w:pPr>
      <w:r>
        <w:rPr>
          <w:rFonts w:ascii="Arial" w:cs="Arial" w:eastAsia="Arial" w:hAnsi="Arial"/>
          <w:sz w:val="14"/>
          <w:szCs w:val="14"/>
          <w:b w:val="1"/>
          <w:bCs w:val="1"/>
          <w:color w:val="auto"/>
        </w:rPr>
        <w:t>(Unaudited)</w:t>
      </w:r>
    </w:p>
    <w:p>
      <w:pPr>
        <w:spacing w:after="0" w:line="192" w:lineRule="exact"/>
        <w:rPr>
          <w:sz w:val="20"/>
          <w:szCs w:val="20"/>
          <w:color w:val="auto"/>
        </w:rPr>
      </w:pPr>
    </w:p>
    <w:tbl>
      <w:tblPr>
        <w:tblLayout w:type="fixed"/>
        <w:tblInd w:w="0" w:type="dxa"/>
        <w:tblCellMar>
          <w:top w:w="0" w:type="dxa"/>
          <w:left w:w="0" w:type="dxa"/>
          <w:bottom w:w="0" w:type="dxa"/>
          <w:right w:w="0" w:type="dxa"/>
        </w:tblCellMar>
      </w:tblPr>
      <w:tr>
        <w:trPr>
          <w:trHeight w:val="182"/>
        </w:trPr>
        <w:tc>
          <w:tcPr>
            <w:tcW w:w="9940" w:type="dxa"/>
            <w:vAlign w:val="bottom"/>
            <w:gridSpan w:val="6"/>
          </w:tcPr>
          <w:p>
            <w:pPr>
              <w:ind w:left="460"/>
              <w:spacing w:after="0"/>
              <w:rPr>
                <w:sz w:val="20"/>
                <w:szCs w:val="20"/>
                <w:color w:val="auto"/>
              </w:rPr>
            </w:pPr>
            <w:r>
              <w:rPr>
                <w:rFonts w:ascii="Arial" w:cs="Arial" w:eastAsia="Arial" w:hAnsi="Arial"/>
                <w:sz w:val="14"/>
                <w:szCs w:val="14"/>
                <w:color w:val="auto"/>
                <w:w w:val="96"/>
              </w:rPr>
              <w:t>The table below shows a reconciliation of the beginning and ending balances for fair valued liabilities measured using significant unobservable inputs (Level 3):</w:t>
            </w:r>
          </w:p>
        </w:tc>
        <w:tc>
          <w:tcPr>
            <w:tcW w:w="11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351"/>
        </w:trPr>
        <w:tc>
          <w:tcPr>
            <w:tcW w:w="75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3160" w:type="dxa"/>
            <w:vAlign w:val="bottom"/>
            <w:gridSpan w:val="5"/>
          </w:tcPr>
          <w:p>
            <w:pPr>
              <w:jc w:val="right"/>
              <w:ind w:right="940"/>
              <w:spacing w:after="0"/>
              <w:rPr>
                <w:sz w:val="20"/>
                <w:szCs w:val="20"/>
                <w:color w:val="auto"/>
              </w:rPr>
            </w:pPr>
            <w:r>
              <w:rPr>
                <w:rFonts w:ascii="Arial" w:cs="Arial" w:eastAsia="Arial" w:hAnsi="Arial"/>
                <w:sz w:val="14"/>
                <w:szCs w:val="14"/>
                <w:b w:val="1"/>
                <w:bCs w:val="1"/>
                <w:color w:val="auto"/>
              </w:rPr>
              <w:t>Nine Months Ended June 30,</w:t>
            </w:r>
          </w:p>
        </w:tc>
        <w:tc>
          <w:tcPr>
            <w:tcW w:w="0" w:type="dxa"/>
            <w:vAlign w:val="bottom"/>
          </w:tcPr>
          <w:p>
            <w:pPr>
              <w:spacing w:after="0"/>
              <w:rPr>
                <w:sz w:val="1"/>
                <w:szCs w:val="1"/>
                <w:color w:val="auto"/>
              </w:rPr>
            </w:pPr>
          </w:p>
        </w:tc>
      </w:tr>
      <w:tr>
        <w:trPr>
          <w:trHeight w:val="26"/>
        </w:trPr>
        <w:tc>
          <w:tcPr>
            <w:tcW w:w="772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Long-Term Credit Facility</w:t>
            </w:r>
          </w:p>
        </w:tc>
        <w:tc>
          <w:tcPr>
            <w:tcW w:w="3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55"/>
        </w:trPr>
        <w:tc>
          <w:tcPr>
            <w:tcW w:w="7720" w:type="dxa"/>
            <w:vAlign w:val="bottom"/>
            <w:gridSpan w:val="2"/>
            <w:vMerge w:val="continue"/>
          </w:tcPr>
          <w:p>
            <w:pPr>
              <w:spacing w:after="0"/>
              <w:rPr>
                <w:sz w:val="13"/>
                <w:szCs w:val="13"/>
                <w:color w:val="auto"/>
              </w:rPr>
            </w:pPr>
          </w:p>
        </w:tc>
        <w:tc>
          <w:tcPr>
            <w:tcW w:w="360" w:type="dxa"/>
            <w:vAlign w:val="bottom"/>
          </w:tcPr>
          <w:p>
            <w:pPr>
              <w:spacing w:after="0"/>
              <w:rPr>
                <w:sz w:val="13"/>
                <w:szCs w:val="13"/>
                <w:color w:val="auto"/>
              </w:rPr>
            </w:pPr>
          </w:p>
        </w:tc>
        <w:tc>
          <w:tcPr>
            <w:tcW w:w="1200" w:type="dxa"/>
            <w:vAlign w:val="bottom"/>
          </w:tcPr>
          <w:p>
            <w:pPr>
              <w:jc w:val="right"/>
              <w:ind w:right="568"/>
              <w:spacing w:after="0" w:line="155" w:lineRule="exact"/>
              <w:rPr>
                <w:sz w:val="20"/>
                <w:szCs w:val="20"/>
                <w:color w:val="auto"/>
              </w:rPr>
            </w:pPr>
            <w:r>
              <w:rPr>
                <w:rFonts w:ascii="Arial" w:cs="Arial" w:eastAsia="Arial" w:hAnsi="Arial"/>
                <w:sz w:val="14"/>
                <w:szCs w:val="14"/>
                <w:b w:val="1"/>
                <w:bCs w:val="1"/>
                <w:color w:val="auto"/>
              </w:rPr>
              <w:t>2017</w:t>
            </w:r>
          </w:p>
        </w:tc>
        <w:tc>
          <w:tcPr>
            <w:tcW w:w="28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1180" w:type="dxa"/>
            <w:vAlign w:val="bottom"/>
          </w:tcPr>
          <w:p>
            <w:pPr>
              <w:jc w:val="right"/>
              <w:ind w:right="568"/>
              <w:spacing w:after="0" w:line="155" w:lineRule="exact"/>
              <w:rPr>
                <w:sz w:val="20"/>
                <w:szCs w:val="20"/>
                <w:color w:val="auto"/>
              </w:rPr>
            </w:pPr>
            <w:r>
              <w:rPr>
                <w:rFonts w:ascii="Arial" w:cs="Arial" w:eastAsia="Arial" w:hAnsi="Arial"/>
                <w:sz w:val="14"/>
                <w:szCs w:val="14"/>
                <w:b w:val="1"/>
                <w:bCs w:val="1"/>
                <w:color w:val="auto"/>
              </w:rPr>
              <w:t>2016</w:t>
            </w:r>
          </w:p>
        </w:tc>
        <w:tc>
          <w:tcPr>
            <w:tcW w:w="1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6"/>
        </w:trPr>
        <w:tc>
          <w:tcPr>
            <w:tcW w:w="7560" w:type="dxa"/>
            <w:vAlign w:val="bottom"/>
            <w:tcBorders>
              <w:top w:val="single" w:sz="8" w:color="auto"/>
            </w:tcBorders>
            <w:shd w:val="clear" w:color="auto" w:fill="CCECFF"/>
          </w:tcPr>
          <w:p>
            <w:pPr>
              <w:spacing w:after="0" w:line="155" w:lineRule="exact"/>
              <w:rPr>
                <w:sz w:val="20"/>
                <w:szCs w:val="20"/>
                <w:color w:val="auto"/>
              </w:rPr>
            </w:pPr>
            <w:r>
              <w:rPr>
                <w:rFonts w:ascii="Arial" w:cs="Arial" w:eastAsia="Arial" w:hAnsi="Arial"/>
                <w:sz w:val="14"/>
                <w:szCs w:val="14"/>
                <w:color w:val="auto"/>
              </w:rPr>
              <w:t>Beginning Balance (cost – $50,339,700 and $106,864,300, respectively)</w:t>
            </w:r>
          </w:p>
        </w:tc>
        <w:tc>
          <w:tcPr>
            <w:tcW w:w="160" w:type="dxa"/>
            <w:vAlign w:val="bottom"/>
            <w:tcBorders>
              <w:top w:val="single" w:sz="8" w:color="CCECFF"/>
            </w:tcBorders>
            <w:shd w:val="clear" w:color="auto" w:fill="CCECFF"/>
          </w:tcPr>
          <w:p>
            <w:pPr>
              <w:spacing w:after="0"/>
              <w:rPr>
                <w:sz w:val="13"/>
                <w:szCs w:val="13"/>
                <w:color w:val="auto"/>
              </w:rPr>
            </w:pPr>
          </w:p>
        </w:tc>
        <w:tc>
          <w:tcPr>
            <w:tcW w:w="360" w:type="dxa"/>
            <w:vAlign w:val="bottom"/>
            <w:tcBorders>
              <w:top w:val="single" w:sz="8" w:color="auto"/>
            </w:tcBorders>
            <w:shd w:val="clear" w:color="auto" w:fill="CCECFF"/>
          </w:tcPr>
          <w:p>
            <w:pPr>
              <w:jc w:val="right"/>
              <w:ind w:right="208"/>
              <w:spacing w:after="0" w:line="155" w:lineRule="exact"/>
              <w:rPr>
                <w:sz w:val="20"/>
                <w:szCs w:val="20"/>
                <w:color w:val="auto"/>
              </w:rPr>
            </w:pPr>
            <w:r>
              <w:rPr>
                <w:rFonts w:ascii="Arial" w:cs="Arial" w:eastAsia="Arial" w:hAnsi="Arial"/>
                <w:sz w:val="14"/>
                <w:szCs w:val="14"/>
                <w:color w:val="auto"/>
                <w:w w:val="76"/>
              </w:rPr>
              <w:t>$</w:t>
            </w:r>
          </w:p>
        </w:tc>
        <w:tc>
          <w:tcPr>
            <w:tcW w:w="1200" w:type="dxa"/>
            <w:vAlign w:val="bottom"/>
            <w:tcBorders>
              <w:top w:val="single" w:sz="8" w:color="auto"/>
            </w:tcBorders>
            <w:shd w:val="clear" w:color="auto" w:fill="CCECFF"/>
          </w:tcPr>
          <w:p>
            <w:pPr>
              <w:jc w:val="right"/>
              <w:spacing w:after="0" w:line="155" w:lineRule="exact"/>
              <w:rPr>
                <w:sz w:val="20"/>
                <w:szCs w:val="20"/>
                <w:color w:val="auto"/>
              </w:rPr>
            </w:pPr>
            <w:r>
              <w:rPr>
                <w:rFonts w:ascii="Arial" w:cs="Arial" w:eastAsia="Arial" w:hAnsi="Arial"/>
                <w:sz w:val="14"/>
                <w:szCs w:val="14"/>
                <w:color w:val="auto"/>
              </w:rPr>
              <w:t>39,551,187</w:t>
            </w:r>
          </w:p>
        </w:tc>
        <w:tc>
          <w:tcPr>
            <w:tcW w:w="280" w:type="dxa"/>
            <w:vAlign w:val="bottom"/>
            <w:tcBorders>
              <w:top w:val="single" w:sz="8" w:color="CCECFF"/>
            </w:tcBorders>
            <w:shd w:val="clear" w:color="auto" w:fill="CCECFF"/>
          </w:tcPr>
          <w:p>
            <w:pPr>
              <w:spacing w:after="0"/>
              <w:rPr>
                <w:sz w:val="13"/>
                <w:szCs w:val="13"/>
                <w:color w:val="auto"/>
              </w:rPr>
            </w:pPr>
          </w:p>
        </w:tc>
        <w:tc>
          <w:tcPr>
            <w:tcW w:w="380" w:type="dxa"/>
            <w:vAlign w:val="bottom"/>
            <w:tcBorders>
              <w:top w:val="single" w:sz="8" w:color="auto"/>
            </w:tcBorders>
            <w:shd w:val="clear" w:color="auto" w:fill="CCECFF"/>
          </w:tcPr>
          <w:p>
            <w:pPr>
              <w:jc w:val="right"/>
              <w:ind w:right="228"/>
              <w:spacing w:after="0" w:line="155" w:lineRule="exact"/>
              <w:rPr>
                <w:sz w:val="20"/>
                <w:szCs w:val="20"/>
                <w:color w:val="auto"/>
              </w:rPr>
            </w:pPr>
            <w:r>
              <w:rPr>
                <w:rFonts w:ascii="Arial" w:cs="Arial" w:eastAsia="Arial" w:hAnsi="Arial"/>
                <w:sz w:val="14"/>
                <w:szCs w:val="14"/>
                <w:color w:val="auto"/>
                <w:w w:val="76"/>
              </w:rPr>
              <w:t>$</w:t>
            </w:r>
          </w:p>
        </w:tc>
        <w:tc>
          <w:tcPr>
            <w:tcW w:w="1180" w:type="dxa"/>
            <w:vAlign w:val="bottom"/>
            <w:tcBorders>
              <w:top w:val="single" w:sz="8" w:color="auto"/>
            </w:tcBorders>
            <w:shd w:val="clear" w:color="auto" w:fill="CCECFF"/>
          </w:tcPr>
          <w:p>
            <w:pPr>
              <w:jc w:val="right"/>
              <w:spacing w:after="0" w:line="155" w:lineRule="exact"/>
              <w:rPr>
                <w:sz w:val="20"/>
                <w:szCs w:val="20"/>
                <w:color w:val="auto"/>
              </w:rPr>
            </w:pPr>
            <w:r>
              <w:rPr>
                <w:rFonts w:ascii="Arial" w:cs="Arial" w:eastAsia="Arial" w:hAnsi="Arial"/>
                <w:sz w:val="14"/>
                <w:szCs w:val="14"/>
                <w:color w:val="auto"/>
              </w:rPr>
              <w:t>102,356,860</w:t>
            </w:r>
          </w:p>
        </w:tc>
        <w:tc>
          <w:tcPr>
            <w:tcW w:w="120" w:type="dxa"/>
            <w:vAlign w:val="bottom"/>
            <w:tcBorders>
              <w:top w:val="single" w:sz="8" w:color="CCECFF"/>
            </w:tcBorders>
            <w:shd w:val="clear" w:color="auto" w:fill="CCECFF"/>
          </w:tcPr>
          <w:p>
            <w:pPr>
              <w:spacing w:after="0"/>
              <w:rPr>
                <w:sz w:val="13"/>
                <w:szCs w:val="13"/>
                <w:color w:val="auto"/>
              </w:rPr>
            </w:pPr>
          </w:p>
        </w:tc>
        <w:tc>
          <w:tcPr>
            <w:tcW w:w="0" w:type="dxa"/>
            <w:vAlign w:val="bottom"/>
          </w:tcPr>
          <w:p>
            <w:pPr>
              <w:spacing w:after="0"/>
              <w:rPr>
                <w:sz w:val="1"/>
                <w:szCs w:val="1"/>
                <w:color w:val="auto"/>
              </w:rPr>
            </w:pPr>
          </w:p>
        </w:tc>
      </w:tr>
      <w:tr>
        <w:trPr>
          <w:trHeight w:val="162"/>
        </w:trPr>
        <w:tc>
          <w:tcPr>
            <w:tcW w:w="7720" w:type="dxa"/>
            <w:vAlign w:val="bottom"/>
            <w:gridSpan w:val="2"/>
          </w:tcPr>
          <w:p>
            <w:pPr>
              <w:ind w:left="500"/>
              <w:spacing w:after="0"/>
              <w:rPr>
                <w:sz w:val="20"/>
                <w:szCs w:val="20"/>
                <w:color w:val="auto"/>
              </w:rPr>
            </w:pPr>
            <w:r>
              <w:rPr>
                <w:rFonts w:ascii="Arial" w:cs="Arial" w:eastAsia="Arial" w:hAnsi="Arial"/>
                <w:sz w:val="14"/>
                <w:szCs w:val="14"/>
                <w:color w:val="auto"/>
              </w:rPr>
              <w:t>Net change in unrealized appreciation (depreciation) included in earnings</w:t>
            </w:r>
          </w:p>
        </w:tc>
        <w:tc>
          <w:tcPr>
            <w:tcW w:w="360" w:type="dxa"/>
            <w:vAlign w:val="bottom"/>
          </w:tcPr>
          <w:p>
            <w:pPr>
              <w:spacing w:after="0"/>
              <w:rPr>
                <w:sz w:val="14"/>
                <w:szCs w:val="14"/>
                <w:color w:val="auto"/>
              </w:rPr>
            </w:pPr>
          </w:p>
        </w:tc>
        <w:tc>
          <w:tcPr>
            <w:tcW w:w="1200" w:type="dxa"/>
            <w:vAlign w:val="bottom"/>
          </w:tcPr>
          <w:p>
            <w:pPr>
              <w:jc w:val="right"/>
              <w:spacing w:after="0"/>
              <w:rPr>
                <w:sz w:val="20"/>
                <w:szCs w:val="20"/>
                <w:color w:val="auto"/>
              </w:rPr>
            </w:pPr>
            <w:r>
              <w:rPr>
                <w:rFonts w:ascii="Arial" w:cs="Arial" w:eastAsia="Arial" w:hAnsi="Arial"/>
                <w:sz w:val="14"/>
                <w:szCs w:val="14"/>
                <w:color w:val="auto"/>
              </w:rPr>
              <w:t>4,591,726</w:t>
            </w:r>
          </w:p>
        </w:tc>
        <w:tc>
          <w:tcPr>
            <w:tcW w:w="28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300" w:type="dxa"/>
            <w:vAlign w:val="bottom"/>
            <w:gridSpan w:val="2"/>
          </w:tcPr>
          <w:p>
            <w:pPr>
              <w:jc w:val="right"/>
              <w:ind w:right="80"/>
              <w:spacing w:after="0"/>
              <w:rPr>
                <w:sz w:val="20"/>
                <w:szCs w:val="20"/>
                <w:color w:val="auto"/>
              </w:rPr>
            </w:pPr>
            <w:r>
              <w:rPr>
                <w:rFonts w:ascii="Arial" w:cs="Arial" w:eastAsia="Arial" w:hAnsi="Arial"/>
                <w:sz w:val="14"/>
                <w:szCs w:val="14"/>
                <w:color w:val="auto"/>
              </w:rPr>
              <w:t>(11,569,171)</w:t>
            </w:r>
          </w:p>
        </w:tc>
        <w:tc>
          <w:tcPr>
            <w:tcW w:w="0" w:type="dxa"/>
            <w:vAlign w:val="bottom"/>
          </w:tcPr>
          <w:p>
            <w:pPr>
              <w:spacing w:after="0"/>
              <w:rPr>
                <w:sz w:val="1"/>
                <w:szCs w:val="1"/>
                <w:color w:val="auto"/>
              </w:rPr>
            </w:pPr>
          </w:p>
        </w:tc>
      </w:tr>
      <w:tr>
        <w:trPr>
          <w:trHeight w:val="162"/>
        </w:trPr>
        <w:tc>
          <w:tcPr>
            <w:tcW w:w="7720" w:type="dxa"/>
            <w:vAlign w:val="bottom"/>
            <w:gridSpan w:val="2"/>
            <w:shd w:val="clear" w:color="auto" w:fill="CCECFF"/>
          </w:tcPr>
          <w:p>
            <w:pPr>
              <w:ind w:left="500"/>
              <w:spacing w:after="0"/>
              <w:rPr>
                <w:sz w:val="20"/>
                <w:szCs w:val="20"/>
                <w:color w:val="auto"/>
              </w:rPr>
            </w:pPr>
            <w:r>
              <w:rPr>
                <w:rFonts w:ascii="Arial" w:cs="Arial" w:eastAsia="Arial" w:hAnsi="Arial"/>
                <w:sz w:val="14"/>
                <w:szCs w:val="14"/>
                <w:color w:val="auto"/>
              </w:rPr>
              <w:t xml:space="preserve">Borrowings </w:t>
            </w:r>
            <w:r>
              <w:rPr>
                <w:rFonts w:ascii="Arial" w:cs="Arial" w:eastAsia="Arial" w:hAnsi="Arial"/>
                <w:sz w:val="12"/>
                <w:szCs w:val="12"/>
                <w:color w:val="auto"/>
              </w:rPr>
              <w:t>(1)</w:t>
            </w:r>
          </w:p>
        </w:tc>
        <w:tc>
          <w:tcPr>
            <w:tcW w:w="360" w:type="dxa"/>
            <w:vAlign w:val="bottom"/>
            <w:shd w:val="clear" w:color="auto" w:fill="CCECFF"/>
          </w:tcPr>
          <w:p>
            <w:pPr>
              <w:spacing w:after="0"/>
              <w:rPr>
                <w:sz w:val="14"/>
                <w:szCs w:val="14"/>
                <w:color w:val="auto"/>
              </w:rPr>
            </w:pPr>
          </w:p>
        </w:tc>
        <w:tc>
          <w:tcPr>
            <w:tcW w:w="1200" w:type="dxa"/>
            <w:vAlign w:val="bottom"/>
            <w:shd w:val="clear" w:color="auto" w:fill="CCECFF"/>
          </w:tcPr>
          <w:p>
            <w:pPr>
              <w:jc w:val="right"/>
              <w:spacing w:after="0"/>
              <w:rPr>
                <w:sz w:val="20"/>
                <w:szCs w:val="20"/>
                <w:color w:val="auto"/>
              </w:rPr>
            </w:pPr>
            <w:r>
              <w:rPr>
                <w:rFonts w:ascii="Arial" w:cs="Arial" w:eastAsia="Arial" w:hAnsi="Arial"/>
                <w:sz w:val="14"/>
                <w:szCs w:val="14"/>
                <w:color w:val="auto"/>
              </w:rPr>
              <w:t>237,760,000</w:t>
            </w:r>
          </w:p>
        </w:tc>
        <w:tc>
          <w:tcPr>
            <w:tcW w:w="280" w:type="dxa"/>
            <w:vAlign w:val="bottom"/>
            <w:shd w:val="clear" w:color="auto" w:fill="CCECFF"/>
          </w:tcPr>
          <w:p>
            <w:pPr>
              <w:spacing w:after="0"/>
              <w:rPr>
                <w:sz w:val="14"/>
                <w:szCs w:val="14"/>
                <w:color w:val="auto"/>
              </w:rPr>
            </w:pPr>
          </w:p>
        </w:tc>
        <w:tc>
          <w:tcPr>
            <w:tcW w:w="380" w:type="dxa"/>
            <w:vAlign w:val="bottom"/>
            <w:shd w:val="clear" w:color="auto" w:fill="CCECFF"/>
          </w:tcPr>
          <w:p>
            <w:pPr>
              <w:spacing w:after="0"/>
              <w:rPr>
                <w:sz w:val="14"/>
                <w:szCs w:val="14"/>
                <w:color w:val="auto"/>
              </w:rPr>
            </w:pPr>
          </w:p>
        </w:tc>
        <w:tc>
          <w:tcPr>
            <w:tcW w:w="1180" w:type="dxa"/>
            <w:vAlign w:val="bottom"/>
            <w:shd w:val="clear" w:color="auto" w:fill="CCECFF"/>
          </w:tcPr>
          <w:p>
            <w:pPr>
              <w:jc w:val="right"/>
              <w:spacing w:after="0"/>
              <w:rPr>
                <w:sz w:val="20"/>
                <w:szCs w:val="20"/>
                <w:color w:val="auto"/>
              </w:rPr>
            </w:pPr>
            <w:r>
              <w:rPr>
                <w:rFonts w:ascii="Arial" w:cs="Arial" w:eastAsia="Arial" w:hAnsi="Arial"/>
                <w:sz w:val="14"/>
                <w:szCs w:val="14"/>
                <w:color w:val="auto"/>
              </w:rPr>
              <w:t>242,664,923</w:t>
            </w:r>
          </w:p>
        </w:tc>
        <w:tc>
          <w:tcPr>
            <w:tcW w:w="120" w:type="dxa"/>
            <w:vAlign w:val="bottom"/>
            <w:shd w:val="clear" w:color="auto" w:fill="CCECFF"/>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7720" w:type="dxa"/>
            <w:vAlign w:val="bottom"/>
            <w:gridSpan w:val="2"/>
          </w:tcPr>
          <w:p>
            <w:pPr>
              <w:ind w:left="500"/>
              <w:spacing w:after="0"/>
              <w:rPr>
                <w:sz w:val="20"/>
                <w:szCs w:val="20"/>
                <w:color w:val="auto"/>
              </w:rPr>
            </w:pPr>
            <w:r>
              <w:rPr>
                <w:rFonts w:ascii="Arial" w:cs="Arial" w:eastAsia="Arial" w:hAnsi="Arial"/>
                <w:sz w:val="14"/>
                <w:szCs w:val="14"/>
                <w:color w:val="auto"/>
              </w:rPr>
              <w:t xml:space="preserve">Repayments </w:t>
            </w:r>
            <w:r>
              <w:rPr>
                <w:rFonts w:ascii="Arial" w:cs="Arial" w:eastAsia="Arial" w:hAnsi="Arial"/>
                <w:sz w:val="12"/>
                <w:szCs w:val="12"/>
                <w:color w:val="auto"/>
              </w:rPr>
              <w:t>(1)</w:t>
            </w:r>
          </w:p>
        </w:tc>
        <w:tc>
          <w:tcPr>
            <w:tcW w:w="360" w:type="dxa"/>
            <w:vAlign w:val="bottom"/>
          </w:tcPr>
          <w:p>
            <w:pPr>
              <w:spacing w:after="0"/>
              <w:rPr>
                <w:sz w:val="14"/>
                <w:szCs w:val="14"/>
                <w:color w:val="auto"/>
              </w:rPr>
            </w:pPr>
          </w:p>
        </w:tc>
        <w:tc>
          <w:tcPr>
            <w:tcW w:w="1480" w:type="dxa"/>
            <w:vAlign w:val="bottom"/>
            <w:gridSpan w:val="2"/>
          </w:tcPr>
          <w:p>
            <w:pPr>
              <w:jc w:val="right"/>
              <w:ind w:right="220"/>
              <w:spacing w:after="0"/>
              <w:rPr>
                <w:sz w:val="20"/>
                <w:szCs w:val="20"/>
                <w:color w:val="auto"/>
              </w:rPr>
            </w:pPr>
            <w:r>
              <w:rPr>
                <w:rFonts w:ascii="Arial" w:cs="Arial" w:eastAsia="Arial" w:hAnsi="Arial"/>
                <w:sz w:val="14"/>
                <w:szCs w:val="14"/>
                <w:color w:val="auto"/>
              </w:rPr>
              <w:t>(205,994,400)</w:t>
            </w:r>
          </w:p>
        </w:tc>
        <w:tc>
          <w:tcPr>
            <w:tcW w:w="380" w:type="dxa"/>
            <w:vAlign w:val="bottom"/>
          </w:tcPr>
          <w:p>
            <w:pPr>
              <w:spacing w:after="0"/>
              <w:rPr>
                <w:sz w:val="14"/>
                <w:szCs w:val="14"/>
                <w:color w:val="auto"/>
              </w:rPr>
            </w:pPr>
          </w:p>
        </w:tc>
        <w:tc>
          <w:tcPr>
            <w:tcW w:w="1300" w:type="dxa"/>
            <w:vAlign w:val="bottom"/>
            <w:gridSpan w:val="2"/>
          </w:tcPr>
          <w:p>
            <w:pPr>
              <w:jc w:val="right"/>
              <w:ind w:right="80"/>
              <w:spacing w:after="0"/>
              <w:rPr>
                <w:sz w:val="20"/>
                <w:szCs w:val="20"/>
                <w:color w:val="auto"/>
              </w:rPr>
            </w:pPr>
            <w:r>
              <w:rPr>
                <w:rFonts w:ascii="Arial" w:cs="Arial" w:eastAsia="Arial" w:hAnsi="Arial"/>
                <w:sz w:val="14"/>
                <w:szCs w:val="14"/>
                <w:color w:val="auto"/>
              </w:rPr>
              <w:t>(232,385,300)</w:t>
            </w:r>
          </w:p>
        </w:tc>
        <w:tc>
          <w:tcPr>
            <w:tcW w:w="0" w:type="dxa"/>
            <w:vAlign w:val="bottom"/>
          </w:tcPr>
          <w:p>
            <w:pPr>
              <w:spacing w:after="0"/>
              <w:rPr>
                <w:sz w:val="1"/>
                <w:szCs w:val="1"/>
                <w:color w:val="auto"/>
              </w:rPr>
            </w:pPr>
          </w:p>
        </w:tc>
      </w:tr>
      <w:tr>
        <w:trPr>
          <w:trHeight w:val="162"/>
        </w:trPr>
        <w:tc>
          <w:tcPr>
            <w:tcW w:w="7720" w:type="dxa"/>
            <w:vAlign w:val="bottom"/>
            <w:gridSpan w:val="2"/>
            <w:shd w:val="clear" w:color="auto" w:fill="CCECFF"/>
          </w:tcPr>
          <w:p>
            <w:pPr>
              <w:ind w:left="500"/>
              <w:spacing w:after="0"/>
              <w:rPr>
                <w:sz w:val="20"/>
                <w:szCs w:val="20"/>
                <w:color w:val="auto"/>
              </w:rPr>
            </w:pPr>
            <w:r>
              <w:rPr>
                <w:rFonts w:ascii="Arial" w:cs="Arial" w:eastAsia="Arial" w:hAnsi="Arial"/>
                <w:sz w:val="14"/>
                <w:szCs w:val="14"/>
                <w:color w:val="auto"/>
              </w:rPr>
              <w:t>Transfers in and/or out of Level 3</w:t>
            </w:r>
          </w:p>
        </w:tc>
        <w:tc>
          <w:tcPr>
            <w:tcW w:w="360" w:type="dxa"/>
            <w:vAlign w:val="bottom"/>
            <w:shd w:val="clear" w:color="auto" w:fill="CCECFF"/>
          </w:tcPr>
          <w:p>
            <w:pPr>
              <w:spacing w:after="0"/>
              <w:rPr>
                <w:sz w:val="14"/>
                <w:szCs w:val="14"/>
                <w:color w:val="auto"/>
              </w:rPr>
            </w:pPr>
          </w:p>
        </w:tc>
        <w:tc>
          <w:tcPr>
            <w:tcW w:w="1480" w:type="dxa"/>
            <w:vAlign w:val="bottom"/>
            <w:gridSpan w:val="2"/>
            <w:shd w:val="clear" w:color="auto" w:fill="CCECFF"/>
          </w:tcPr>
          <w:p>
            <w:pPr>
              <w:jc w:val="right"/>
              <w:ind w:right="300"/>
              <w:spacing w:after="0"/>
              <w:rPr>
                <w:sz w:val="20"/>
                <w:szCs w:val="20"/>
                <w:color w:val="auto"/>
              </w:rPr>
            </w:pPr>
            <w:r>
              <w:rPr>
                <w:rFonts w:ascii="Arial" w:cs="Arial" w:eastAsia="Arial" w:hAnsi="Arial"/>
                <w:sz w:val="14"/>
                <w:szCs w:val="14"/>
                <w:color w:val="auto"/>
              </w:rPr>
              <w:t>—</w:t>
            </w:r>
          </w:p>
        </w:tc>
        <w:tc>
          <w:tcPr>
            <w:tcW w:w="380" w:type="dxa"/>
            <w:vAlign w:val="bottom"/>
            <w:shd w:val="clear" w:color="auto" w:fill="CCECFF"/>
          </w:tcPr>
          <w:p>
            <w:pPr>
              <w:spacing w:after="0"/>
              <w:rPr>
                <w:sz w:val="14"/>
                <w:szCs w:val="14"/>
                <w:color w:val="auto"/>
              </w:rPr>
            </w:pPr>
          </w:p>
        </w:tc>
        <w:tc>
          <w:tcPr>
            <w:tcW w:w="1300" w:type="dxa"/>
            <w:vAlign w:val="bottom"/>
            <w:gridSpan w:val="2"/>
            <w:shd w:val="clear" w:color="auto" w:fill="CCECFF"/>
          </w:tcPr>
          <w:p>
            <w:pPr>
              <w:jc w:val="right"/>
              <w:ind w:right="140"/>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56"/>
        </w:trPr>
        <w:tc>
          <w:tcPr>
            <w:tcW w:w="7720" w:type="dxa"/>
            <w:vAlign w:val="bottom"/>
            <w:gridSpan w:val="2"/>
          </w:tcPr>
          <w:p>
            <w:pPr>
              <w:spacing w:after="0" w:line="155" w:lineRule="exact"/>
              <w:rPr>
                <w:sz w:val="20"/>
                <w:szCs w:val="20"/>
                <w:color w:val="auto"/>
              </w:rPr>
            </w:pPr>
            <w:r>
              <w:rPr>
                <w:rFonts w:ascii="Arial" w:cs="Arial" w:eastAsia="Arial" w:hAnsi="Arial"/>
                <w:sz w:val="14"/>
                <w:szCs w:val="14"/>
                <w:color w:val="auto"/>
              </w:rPr>
              <w:t>Ending Balance (cost – $82,105,300 and $117,143,923, respectively)</w:t>
            </w:r>
          </w:p>
        </w:tc>
        <w:tc>
          <w:tcPr>
            <w:tcW w:w="360" w:type="dxa"/>
            <w:vAlign w:val="bottom"/>
            <w:tcBorders>
              <w:top w:val="single" w:sz="8" w:color="auto"/>
            </w:tcBorders>
          </w:tcPr>
          <w:p>
            <w:pPr>
              <w:jc w:val="right"/>
              <w:ind w:right="208"/>
              <w:spacing w:after="0" w:line="155" w:lineRule="exact"/>
              <w:rPr>
                <w:sz w:val="20"/>
                <w:szCs w:val="20"/>
                <w:color w:val="auto"/>
              </w:rPr>
            </w:pPr>
            <w:r>
              <w:rPr>
                <w:rFonts w:ascii="Arial" w:cs="Arial" w:eastAsia="Arial" w:hAnsi="Arial"/>
                <w:sz w:val="14"/>
                <w:szCs w:val="14"/>
                <w:color w:val="auto"/>
                <w:w w:val="76"/>
              </w:rPr>
              <w:t>$</w:t>
            </w:r>
          </w:p>
        </w:tc>
        <w:tc>
          <w:tcPr>
            <w:tcW w:w="1200" w:type="dxa"/>
            <w:vAlign w:val="bottom"/>
            <w:tcBorders>
              <w:top w:val="single" w:sz="8" w:color="auto"/>
            </w:tcBorders>
          </w:tcPr>
          <w:p>
            <w:pPr>
              <w:jc w:val="right"/>
              <w:spacing w:after="0" w:line="155" w:lineRule="exact"/>
              <w:rPr>
                <w:sz w:val="20"/>
                <w:szCs w:val="20"/>
                <w:color w:val="auto"/>
              </w:rPr>
            </w:pPr>
            <w:r>
              <w:rPr>
                <w:rFonts w:ascii="Arial" w:cs="Arial" w:eastAsia="Arial" w:hAnsi="Arial"/>
                <w:sz w:val="14"/>
                <w:szCs w:val="14"/>
                <w:color w:val="auto"/>
              </w:rPr>
              <w:t>75,908,513</w:t>
            </w:r>
          </w:p>
        </w:tc>
        <w:tc>
          <w:tcPr>
            <w:tcW w:w="280" w:type="dxa"/>
            <w:vAlign w:val="bottom"/>
          </w:tcPr>
          <w:p>
            <w:pPr>
              <w:spacing w:after="0"/>
              <w:rPr>
                <w:sz w:val="13"/>
                <w:szCs w:val="13"/>
                <w:color w:val="auto"/>
              </w:rPr>
            </w:pPr>
          </w:p>
        </w:tc>
        <w:tc>
          <w:tcPr>
            <w:tcW w:w="380" w:type="dxa"/>
            <w:vAlign w:val="bottom"/>
            <w:tcBorders>
              <w:top w:val="single" w:sz="8" w:color="auto"/>
            </w:tcBorders>
          </w:tcPr>
          <w:p>
            <w:pPr>
              <w:jc w:val="right"/>
              <w:ind w:right="228"/>
              <w:spacing w:after="0" w:line="155" w:lineRule="exact"/>
              <w:rPr>
                <w:sz w:val="20"/>
                <w:szCs w:val="20"/>
                <w:color w:val="auto"/>
              </w:rPr>
            </w:pPr>
            <w:r>
              <w:rPr>
                <w:rFonts w:ascii="Arial" w:cs="Arial" w:eastAsia="Arial" w:hAnsi="Arial"/>
                <w:sz w:val="14"/>
                <w:szCs w:val="14"/>
                <w:color w:val="auto"/>
                <w:w w:val="76"/>
              </w:rPr>
              <w:t>$</w:t>
            </w:r>
          </w:p>
        </w:tc>
        <w:tc>
          <w:tcPr>
            <w:tcW w:w="1180" w:type="dxa"/>
            <w:vAlign w:val="bottom"/>
            <w:tcBorders>
              <w:top w:val="single" w:sz="8" w:color="auto"/>
            </w:tcBorders>
          </w:tcPr>
          <w:p>
            <w:pPr>
              <w:jc w:val="right"/>
              <w:spacing w:after="0" w:line="155" w:lineRule="exact"/>
              <w:rPr>
                <w:sz w:val="20"/>
                <w:szCs w:val="20"/>
                <w:color w:val="auto"/>
              </w:rPr>
            </w:pPr>
            <w:r>
              <w:rPr>
                <w:rFonts w:ascii="Arial" w:cs="Arial" w:eastAsia="Arial" w:hAnsi="Arial"/>
                <w:sz w:val="14"/>
                <w:szCs w:val="14"/>
                <w:color w:val="auto"/>
              </w:rPr>
              <w:t>101,067,312</w:t>
            </w:r>
          </w:p>
        </w:tc>
        <w:tc>
          <w:tcPr>
            <w:tcW w:w="1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2"/>
        </w:trPr>
        <w:tc>
          <w:tcPr>
            <w:tcW w:w="7720" w:type="dxa"/>
            <w:vAlign w:val="bottom"/>
            <w:gridSpan w:val="2"/>
            <w:shd w:val="clear" w:color="auto" w:fill="CCECFF"/>
          </w:tcPr>
          <w:p>
            <w:pPr>
              <w:ind w:left="500"/>
              <w:spacing w:after="0"/>
              <w:rPr>
                <w:sz w:val="20"/>
                <w:szCs w:val="20"/>
                <w:color w:val="auto"/>
              </w:rPr>
            </w:pPr>
            <w:r>
              <w:rPr>
                <w:rFonts w:ascii="Arial" w:cs="Arial" w:eastAsia="Arial" w:hAnsi="Arial"/>
                <w:sz w:val="14"/>
                <w:szCs w:val="14"/>
                <w:color w:val="auto"/>
              </w:rPr>
              <w:t>Temporary draws outstanding, at cost</w:t>
            </w:r>
          </w:p>
        </w:tc>
        <w:tc>
          <w:tcPr>
            <w:tcW w:w="360" w:type="dxa"/>
            <w:vAlign w:val="bottom"/>
            <w:shd w:val="clear" w:color="auto" w:fill="CCECFF"/>
          </w:tcPr>
          <w:p>
            <w:pPr>
              <w:spacing w:after="0"/>
              <w:rPr>
                <w:sz w:val="14"/>
                <w:szCs w:val="14"/>
                <w:color w:val="auto"/>
              </w:rPr>
            </w:pPr>
          </w:p>
        </w:tc>
        <w:tc>
          <w:tcPr>
            <w:tcW w:w="1480" w:type="dxa"/>
            <w:vAlign w:val="bottom"/>
            <w:gridSpan w:val="2"/>
            <w:shd w:val="clear" w:color="auto" w:fill="CCECFF"/>
          </w:tcPr>
          <w:p>
            <w:pPr>
              <w:jc w:val="right"/>
              <w:ind w:right="300"/>
              <w:spacing w:after="0"/>
              <w:rPr>
                <w:sz w:val="20"/>
                <w:szCs w:val="20"/>
                <w:color w:val="auto"/>
              </w:rPr>
            </w:pPr>
            <w:r>
              <w:rPr>
                <w:rFonts w:ascii="Arial" w:cs="Arial" w:eastAsia="Arial" w:hAnsi="Arial"/>
                <w:sz w:val="14"/>
                <w:szCs w:val="14"/>
                <w:color w:val="auto"/>
              </w:rPr>
              <w:t>—</w:t>
            </w:r>
          </w:p>
        </w:tc>
        <w:tc>
          <w:tcPr>
            <w:tcW w:w="380" w:type="dxa"/>
            <w:vAlign w:val="bottom"/>
            <w:shd w:val="clear" w:color="auto" w:fill="CCECFF"/>
          </w:tcPr>
          <w:p>
            <w:pPr>
              <w:spacing w:after="0"/>
              <w:rPr>
                <w:sz w:val="14"/>
                <w:szCs w:val="14"/>
                <w:color w:val="auto"/>
              </w:rPr>
            </w:pPr>
          </w:p>
        </w:tc>
        <w:tc>
          <w:tcPr>
            <w:tcW w:w="1300" w:type="dxa"/>
            <w:vAlign w:val="bottom"/>
            <w:gridSpan w:val="2"/>
            <w:shd w:val="clear" w:color="auto" w:fill="CCECFF"/>
          </w:tcPr>
          <w:p>
            <w:pPr>
              <w:jc w:val="right"/>
              <w:ind w:right="140"/>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56"/>
        </w:trPr>
        <w:tc>
          <w:tcPr>
            <w:tcW w:w="7720" w:type="dxa"/>
            <w:vAlign w:val="bottom"/>
            <w:gridSpan w:val="2"/>
          </w:tcPr>
          <w:p>
            <w:pPr>
              <w:spacing w:after="0" w:line="155" w:lineRule="exact"/>
              <w:rPr>
                <w:sz w:val="20"/>
                <w:szCs w:val="20"/>
                <w:color w:val="auto"/>
              </w:rPr>
            </w:pPr>
            <w:r>
              <w:rPr>
                <w:rFonts w:ascii="Arial" w:cs="Arial" w:eastAsia="Arial" w:hAnsi="Arial"/>
                <w:sz w:val="14"/>
                <w:szCs w:val="14"/>
                <w:color w:val="auto"/>
              </w:rPr>
              <w:t>Ending Balance (cost – $82,105,300 and $117,143,923, respectively)</w:t>
            </w:r>
          </w:p>
        </w:tc>
        <w:tc>
          <w:tcPr>
            <w:tcW w:w="360" w:type="dxa"/>
            <w:vAlign w:val="bottom"/>
            <w:tcBorders>
              <w:top w:val="single" w:sz="8" w:color="auto"/>
              <w:bottom w:val="single" w:sz="8" w:color="auto"/>
            </w:tcBorders>
          </w:tcPr>
          <w:p>
            <w:pPr>
              <w:jc w:val="right"/>
              <w:ind w:right="208"/>
              <w:spacing w:after="0" w:line="155" w:lineRule="exact"/>
              <w:rPr>
                <w:sz w:val="20"/>
                <w:szCs w:val="20"/>
                <w:color w:val="auto"/>
              </w:rPr>
            </w:pPr>
            <w:r>
              <w:rPr>
                <w:rFonts w:ascii="Arial" w:cs="Arial" w:eastAsia="Arial" w:hAnsi="Arial"/>
                <w:sz w:val="14"/>
                <w:szCs w:val="14"/>
                <w:color w:val="auto"/>
                <w:w w:val="76"/>
              </w:rPr>
              <w:t>$</w:t>
            </w:r>
          </w:p>
        </w:tc>
        <w:tc>
          <w:tcPr>
            <w:tcW w:w="120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75,908,513</w:t>
            </w:r>
          </w:p>
        </w:tc>
        <w:tc>
          <w:tcPr>
            <w:tcW w:w="280" w:type="dxa"/>
            <w:vAlign w:val="bottom"/>
          </w:tcPr>
          <w:p>
            <w:pPr>
              <w:spacing w:after="0"/>
              <w:rPr>
                <w:sz w:val="13"/>
                <w:szCs w:val="13"/>
                <w:color w:val="auto"/>
              </w:rPr>
            </w:pPr>
          </w:p>
        </w:tc>
        <w:tc>
          <w:tcPr>
            <w:tcW w:w="380" w:type="dxa"/>
            <w:vAlign w:val="bottom"/>
            <w:tcBorders>
              <w:top w:val="single" w:sz="8" w:color="auto"/>
              <w:bottom w:val="single" w:sz="8" w:color="auto"/>
            </w:tcBorders>
          </w:tcPr>
          <w:p>
            <w:pPr>
              <w:jc w:val="right"/>
              <w:ind w:right="228"/>
              <w:spacing w:after="0" w:line="155" w:lineRule="exact"/>
              <w:rPr>
                <w:sz w:val="20"/>
                <w:szCs w:val="20"/>
                <w:color w:val="auto"/>
              </w:rPr>
            </w:pPr>
            <w:r>
              <w:rPr>
                <w:rFonts w:ascii="Arial" w:cs="Arial" w:eastAsia="Arial" w:hAnsi="Arial"/>
                <w:sz w:val="14"/>
                <w:szCs w:val="14"/>
                <w:color w:val="auto"/>
                <w:w w:val="76"/>
              </w:rPr>
              <w:t>$</w:t>
            </w:r>
          </w:p>
        </w:tc>
        <w:tc>
          <w:tcPr>
            <w:tcW w:w="118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101,067,312</w:t>
            </w:r>
          </w:p>
        </w:tc>
        <w:tc>
          <w:tcPr>
            <w:tcW w:w="1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75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111760</wp:posOffset>
            </wp:positionV>
            <wp:extent cx="1345565" cy="825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1345565" cy="8255"/>
                    </a:xfrm>
                    <a:prstGeom prst="rect">
                      <a:avLst/>
                    </a:prstGeom>
                    <a:noFill/>
                  </pic:spPr>
                </pic:pic>
              </a:graphicData>
            </a:graphic>
          </wp:anchor>
        </w:drawing>
      </w:r>
    </w:p>
    <w:p>
      <w:pPr>
        <w:spacing w:after="0" w:line="204" w:lineRule="exact"/>
        <w:rPr>
          <w:sz w:val="20"/>
          <w:szCs w:val="20"/>
          <w:color w:val="auto"/>
        </w:rPr>
      </w:pPr>
    </w:p>
    <w:p>
      <w:pPr>
        <w:ind w:left="380" w:hanging="372"/>
        <w:spacing w:after="0"/>
        <w:tabs>
          <w:tab w:leader="none" w:pos="380" w:val="left"/>
        </w:tabs>
        <w:numPr>
          <w:ilvl w:val="0"/>
          <w:numId w:val="14"/>
        </w:numPr>
        <w:rPr>
          <w:rFonts w:ascii="Arial" w:cs="Arial" w:eastAsia="Arial" w:hAnsi="Arial"/>
          <w:sz w:val="12"/>
          <w:szCs w:val="12"/>
          <w:color w:val="auto"/>
        </w:rPr>
      </w:pPr>
      <w:r>
        <w:rPr>
          <w:rFonts w:ascii="Arial" w:cs="Arial" w:eastAsia="Arial" w:hAnsi="Arial"/>
          <w:sz w:val="14"/>
          <w:szCs w:val="14"/>
          <w:color w:val="auto"/>
        </w:rPr>
        <w:t>Excludes temporary draws.</w:t>
      </w:r>
    </w:p>
    <w:p>
      <w:pPr>
        <w:spacing w:after="0" w:line="136" w:lineRule="exact"/>
        <w:rPr>
          <w:sz w:val="20"/>
          <w:szCs w:val="20"/>
          <w:color w:val="auto"/>
        </w:rPr>
      </w:pPr>
    </w:p>
    <w:p>
      <w:pPr>
        <w:ind w:right="440" w:firstLine="443"/>
        <w:spacing w:after="0" w:line="253" w:lineRule="auto"/>
        <w:rPr>
          <w:sz w:val="20"/>
          <w:szCs w:val="20"/>
          <w:color w:val="auto"/>
        </w:rPr>
      </w:pPr>
      <w:r>
        <w:rPr>
          <w:rFonts w:ascii="Arial" w:cs="Arial" w:eastAsia="Arial" w:hAnsi="Arial"/>
          <w:sz w:val="14"/>
          <w:szCs w:val="14"/>
          <w:color w:val="auto"/>
        </w:rPr>
        <w:t>As of June 30, 2017, we had outstanding non-U.S. dollar borrowings on our Credit Facility. Net change in fair value from foreign currency translation on outstanding borrowings is listed below:</w:t>
      </w:r>
    </w:p>
    <w:p>
      <w:pPr>
        <w:spacing w:after="0" w:line="116"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1920" w:type="dxa"/>
            <w:vAlign w:val="bottom"/>
          </w:tcPr>
          <w:p>
            <w:pPr>
              <w:spacing w:after="0"/>
              <w:rPr>
                <w:sz w:val="20"/>
                <w:szCs w:val="20"/>
                <w:color w:val="auto"/>
              </w:rPr>
            </w:pPr>
            <w:r>
              <w:rPr>
                <w:rFonts w:ascii="Arial" w:cs="Arial" w:eastAsia="Arial" w:hAnsi="Arial"/>
                <w:sz w:val="14"/>
                <w:szCs w:val="14"/>
                <w:b w:val="1"/>
                <w:bCs w:val="1"/>
                <w:color w:val="auto"/>
              </w:rPr>
              <w:t>Foreign Currency</w:t>
            </w:r>
          </w:p>
        </w:tc>
        <w:tc>
          <w:tcPr>
            <w:tcW w:w="1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700" w:type="dxa"/>
            <w:vAlign w:val="bottom"/>
            <w:gridSpan w:val="2"/>
          </w:tcPr>
          <w:p>
            <w:pPr>
              <w:ind w:left="60"/>
              <w:spacing w:after="0"/>
              <w:rPr>
                <w:sz w:val="20"/>
                <w:szCs w:val="20"/>
                <w:color w:val="auto"/>
              </w:rPr>
            </w:pPr>
            <w:r>
              <w:rPr>
                <w:rFonts w:ascii="Arial" w:cs="Arial" w:eastAsia="Arial" w:hAnsi="Arial"/>
                <w:sz w:val="14"/>
                <w:szCs w:val="14"/>
                <w:b w:val="1"/>
                <w:bCs w:val="1"/>
                <w:color w:val="auto"/>
              </w:rPr>
              <w:t>Amount Borrowed</w:t>
            </w:r>
          </w:p>
        </w:tc>
        <w:tc>
          <w:tcPr>
            <w:tcW w:w="200" w:type="dxa"/>
            <w:vAlign w:val="bottom"/>
          </w:tcPr>
          <w:p>
            <w:pPr>
              <w:spacing w:after="0"/>
              <w:rPr>
                <w:sz w:val="14"/>
                <w:szCs w:val="14"/>
                <w:color w:val="auto"/>
              </w:rPr>
            </w:pPr>
          </w:p>
        </w:tc>
        <w:tc>
          <w:tcPr>
            <w:tcW w:w="1380" w:type="dxa"/>
            <w:vAlign w:val="bottom"/>
          </w:tcPr>
          <w:p>
            <w:pPr>
              <w:jc w:val="right"/>
              <w:ind w:right="228"/>
              <w:spacing w:after="0"/>
              <w:rPr>
                <w:sz w:val="20"/>
                <w:szCs w:val="20"/>
                <w:color w:val="auto"/>
              </w:rPr>
            </w:pPr>
            <w:r>
              <w:rPr>
                <w:rFonts w:ascii="Arial" w:cs="Arial" w:eastAsia="Arial" w:hAnsi="Arial"/>
                <w:sz w:val="14"/>
                <w:szCs w:val="14"/>
                <w:b w:val="1"/>
                <w:bCs w:val="1"/>
                <w:color w:val="auto"/>
              </w:rPr>
              <w:t>Borrowing Cost</w:t>
            </w:r>
          </w:p>
        </w:tc>
        <w:tc>
          <w:tcPr>
            <w:tcW w:w="2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380" w:type="dxa"/>
            <w:vAlign w:val="bottom"/>
          </w:tcPr>
          <w:p>
            <w:pPr>
              <w:jc w:val="right"/>
              <w:ind w:right="288"/>
              <w:spacing w:after="0"/>
              <w:rPr>
                <w:sz w:val="20"/>
                <w:szCs w:val="20"/>
                <w:color w:val="auto"/>
              </w:rPr>
            </w:pPr>
            <w:r>
              <w:rPr>
                <w:rFonts w:ascii="Arial" w:cs="Arial" w:eastAsia="Arial" w:hAnsi="Arial"/>
                <w:sz w:val="14"/>
                <w:szCs w:val="14"/>
                <w:b w:val="1"/>
                <w:bCs w:val="1"/>
                <w:color w:val="auto"/>
              </w:rPr>
              <w:t>Current Value</w:t>
            </w:r>
          </w:p>
        </w:tc>
        <w:tc>
          <w:tcPr>
            <w:tcW w:w="280" w:type="dxa"/>
            <w:vAlign w:val="bottom"/>
          </w:tcPr>
          <w:p>
            <w:pPr>
              <w:spacing w:after="0"/>
              <w:rPr>
                <w:sz w:val="14"/>
                <w:szCs w:val="14"/>
                <w:color w:val="auto"/>
              </w:rPr>
            </w:pPr>
          </w:p>
        </w:tc>
        <w:tc>
          <w:tcPr>
            <w:tcW w:w="1880" w:type="dxa"/>
            <w:vAlign w:val="bottom"/>
            <w:gridSpan w:val="2"/>
          </w:tcPr>
          <w:p>
            <w:pPr>
              <w:jc w:val="center"/>
              <w:ind w:right="180"/>
              <w:spacing w:after="0"/>
              <w:rPr>
                <w:sz w:val="20"/>
                <w:szCs w:val="20"/>
                <w:color w:val="auto"/>
              </w:rPr>
            </w:pPr>
            <w:r>
              <w:rPr>
                <w:rFonts w:ascii="Arial" w:cs="Arial" w:eastAsia="Arial" w:hAnsi="Arial"/>
                <w:sz w:val="14"/>
                <w:szCs w:val="14"/>
                <w:b w:val="1"/>
                <w:bCs w:val="1"/>
                <w:color w:val="auto"/>
                <w:w w:val="91"/>
              </w:rPr>
              <w:t>Reset Date</w:t>
            </w:r>
          </w:p>
        </w:tc>
        <w:tc>
          <w:tcPr>
            <w:tcW w:w="100" w:type="dxa"/>
            <w:vAlign w:val="bottom"/>
          </w:tcPr>
          <w:p>
            <w:pPr>
              <w:spacing w:after="0"/>
              <w:rPr>
                <w:sz w:val="14"/>
                <w:szCs w:val="14"/>
                <w:color w:val="auto"/>
              </w:rPr>
            </w:pPr>
          </w:p>
        </w:tc>
        <w:tc>
          <w:tcPr>
            <w:tcW w:w="1600" w:type="dxa"/>
            <w:vAlign w:val="bottom"/>
            <w:gridSpan w:val="2"/>
          </w:tcPr>
          <w:p>
            <w:pPr>
              <w:ind w:left="40"/>
              <w:spacing w:after="0"/>
              <w:rPr>
                <w:sz w:val="20"/>
                <w:szCs w:val="20"/>
                <w:color w:val="auto"/>
              </w:rPr>
            </w:pPr>
            <w:r>
              <w:rPr>
                <w:rFonts w:ascii="Arial" w:cs="Arial" w:eastAsia="Arial" w:hAnsi="Arial"/>
                <w:sz w:val="14"/>
                <w:szCs w:val="14"/>
                <w:b w:val="1"/>
                <w:bCs w:val="1"/>
                <w:color w:val="auto"/>
              </w:rPr>
              <w:t>Change in Fair Value</w:t>
            </w:r>
          </w:p>
        </w:tc>
      </w:tr>
      <w:tr>
        <w:trPr>
          <w:trHeight w:val="156"/>
        </w:trPr>
        <w:tc>
          <w:tcPr>
            <w:tcW w:w="1920" w:type="dxa"/>
            <w:vAlign w:val="bottom"/>
            <w:tcBorders>
              <w:top w:val="single" w:sz="8" w:color="auto"/>
            </w:tcBorders>
            <w:shd w:val="clear" w:color="auto" w:fill="CCECFF"/>
          </w:tcPr>
          <w:p>
            <w:pPr>
              <w:spacing w:after="0" w:line="155" w:lineRule="exact"/>
              <w:rPr>
                <w:sz w:val="20"/>
                <w:szCs w:val="20"/>
                <w:color w:val="auto"/>
              </w:rPr>
            </w:pPr>
            <w:r>
              <w:rPr>
                <w:rFonts w:ascii="Arial" w:cs="Arial" w:eastAsia="Arial" w:hAnsi="Arial"/>
                <w:sz w:val="14"/>
                <w:szCs w:val="14"/>
                <w:color w:val="auto"/>
              </w:rPr>
              <w:t>British Pound</w:t>
            </w:r>
          </w:p>
        </w:tc>
        <w:tc>
          <w:tcPr>
            <w:tcW w:w="180" w:type="dxa"/>
            <w:vAlign w:val="bottom"/>
            <w:tcBorders>
              <w:top w:val="single" w:sz="8" w:color="CCECFF"/>
            </w:tcBorders>
            <w:shd w:val="clear" w:color="auto" w:fill="CCECFF"/>
          </w:tcPr>
          <w:p>
            <w:pPr>
              <w:spacing w:after="0"/>
              <w:rPr>
                <w:sz w:val="13"/>
                <w:szCs w:val="13"/>
                <w:color w:val="auto"/>
              </w:rPr>
            </w:pPr>
          </w:p>
        </w:tc>
        <w:tc>
          <w:tcPr>
            <w:tcW w:w="140" w:type="dxa"/>
            <w:vAlign w:val="bottom"/>
            <w:tcBorders>
              <w:top w:val="single" w:sz="8" w:color="auto"/>
            </w:tcBorders>
            <w:shd w:val="clear" w:color="auto" w:fill="CCECFF"/>
          </w:tcPr>
          <w:p>
            <w:pPr>
              <w:spacing w:after="0" w:line="155" w:lineRule="exact"/>
              <w:rPr>
                <w:sz w:val="20"/>
                <w:szCs w:val="20"/>
                <w:color w:val="auto"/>
              </w:rPr>
            </w:pPr>
            <w:r>
              <w:rPr>
                <w:rFonts w:ascii="Arial" w:cs="Arial" w:eastAsia="Arial" w:hAnsi="Arial"/>
                <w:sz w:val="14"/>
                <w:szCs w:val="14"/>
                <w:color w:val="auto"/>
              </w:rPr>
              <w:t>£</w:t>
            </w:r>
          </w:p>
        </w:tc>
        <w:tc>
          <w:tcPr>
            <w:tcW w:w="1420" w:type="dxa"/>
            <w:vAlign w:val="bottom"/>
            <w:tcBorders>
              <w:top w:val="single" w:sz="8" w:color="auto"/>
            </w:tcBorders>
            <w:shd w:val="clear" w:color="auto" w:fill="CCECFF"/>
          </w:tcPr>
          <w:p>
            <w:pPr>
              <w:jc w:val="right"/>
              <w:spacing w:after="0" w:line="155" w:lineRule="exact"/>
              <w:rPr>
                <w:sz w:val="20"/>
                <w:szCs w:val="20"/>
                <w:color w:val="auto"/>
              </w:rPr>
            </w:pPr>
            <w:r>
              <w:rPr>
                <w:rFonts w:ascii="Arial" w:cs="Arial" w:eastAsia="Arial" w:hAnsi="Arial"/>
                <w:sz w:val="14"/>
                <w:szCs w:val="14"/>
                <w:color w:val="auto"/>
              </w:rPr>
              <w:t>28,000,000</w:t>
            </w:r>
          </w:p>
        </w:tc>
        <w:tc>
          <w:tcPr>
            <w:tcW w:w="280" w:type="dxa"/>
            <w:vAlign w:val="bottom"/>
            <w:tcBorders>
              <w:top w:val="single" w:sz="8" w:color="CCECFF"/>
            </w:tcBorders>
            <w:shd w:val="clear" w:color="auto" w:fill="CCECFF"/>
          </w:tcPr>
          <w:p>
            <w:pPr>
              <w:spacing w:after="0"/>
              <w:rPr>
                <w:sz w:val="13"/>
                <w:szCs w:val="13"/>
                <w:color w:val="auto"/>
              </w:rPr>
            </w:pPr>
          </w:p>
        </w:tc>
        <w:tc>
          <w:tcPr>
            <w:tcW w:w="200" w:type="dxa"/>
            <w:vAlign w:val="bottom"/>
            <w:tcBorders>
              <w:top w:val="single" w:sz="8" w:color="auto"/>
            </w:tcBorders>
            <w:shd w:val="clear" w:color="auto" w:fill="CCECFF"/>
          </w:tcPr>
          <w:p>
            <w:pPr>
              <w:jc w:val="right"/>
              <w:ind w:right="48"/>
              <w:spacing w:after="0" w:line="155" w:lineRule="exact"/>
              <w:rPr>
                <w:sz w:val="20"/>
                <w:szCs w:val="20"/>
                <w:color w:val="auto"/>
              </w:rPr>
            </w:pPr>
            <w:r>
              <w:rPr>
                <w:rFonts w:ascii="Arial" w:cs="Arial" w:eastAsia="Arial" w:hAnsi="Arial"/>
                <w:sz w:val="14"/>
                <w:szCs w:val="14"/>
                <w:color w:val="auto"/>
                <w:w w:val="76"/>
              </w:rPr>
              <w:t>$</w:t>
            </w:r>
          </w:p>
        </w:tc>
        <w:tc>
          <w:tcPr>
            <w:tcW w:w="1380" w:type="dxa"/>
            <w:vAlign w:val="bottom"/>
            <w:tcBorders>
              <w:top w:val="single" w:sz="8" w:color="auto"/>
            </w:tcBorders>
            <w:shd w:val="clear" w:color="auto" w:fill="CCECFF"/>
          </w:tcPr>
          <w:p>
            <w:pPr>
              <w:jc w:val="right"/>
              <w:spacing w:after="0" w:line="155" w:lineRule="exact"/>
              <w:rPr>
                <w:sz w:val="20"/>
                <w:szCs w:val="20"/>
                <w:color w:val="auto"/>
              </w:rPr>
            </w:pPr>
            <w:r>
              <w:rPr>
                <w:rFonts w:ascii="Arial" w:cs="Arial" w:eastAsia="Arial" w:hAnsi="Arial"/>
                <w:sz w:val="14"/>
                <w:szCs w:val="14"/>
                <w:color w:val="auto"/>
              </w:rPr>
              <w:t>45,705,300</w:t>
            </w:r>
          </w:p>
        </w:tc>
        <w:tc>
          <w:tcPr>
            <w:tcW w:w="280" w:type="dxa"/>
            <w:vAlign w:val="bottom"/>
            <w:tcBorders>
              <w:top w:val="single" w:sz="8" w:color="CCECFF"/>
            </w:tcBorders>
            <w:shd w:val="clear" w:color="auto" w:fill="CCECFF"/>
          </w:tcPr>
          <w:p>
            <w:pPr>
              <w:spacing w:after="0"/>
              <w:rPr>
                <w:sz w:val="13"/>
                <w:szCs w:val="13"/>
                <w:color w:val="auto"/>
              </w:rPr>
            </w:pPr>
          </w:p>
        </w:tc>
        <w:tc>
          <w:tcPr>
            <w:tcW w:w="200" w:type="dxa"/>
            <w:vAlign w:val="bottom"/>
            <w:tcBorders>
              <w:top w:val="single" w:sz="8" w:color="auto"/>
            </w:tcBorders>
            <w:shd w:val="clear" w:color="auto" w:fill="CCECFF"/>
          </w:tcPr>
          <w:p>
            <w:pPr>
              <w:jc w:val="right"/>
              <w:ind w:right="48"/>
              <w:spacing w:after="0" w:line="155" w:lineRule="exact"/>
              <w:rPr>
                <w:sz w:val="20"/>
                <w:szCs w:val="20"/>
                <w:color w:val="auto"/>
              </w:rPr>
            </w:pPr>
            <w:r>
              <w:rPr>
                <w:rFonts w:ascii="Arial" w:cs="Arial" w:eastAsia="Arial" w:hAnsi="Arial"/>
                <w:sz w:val="14"/>
                <w:szCs w:val="14"/>
                <w:color w:val="auto"/>
                <w:w w:val="76"/>
              </w:rPr>
              <w:t>$</w:t>
            </w:r>
          </w:p>
        </w:tc>
        <w:tc>
          <w:tcPr>
            <w:tcW w:w="1380" w:type="dxa"/>
            <w:vAlign w:val="bottom"/>
            <w:tcBorders>
              <w:top w:val="single" w:sz="8" w:color="auto"/>
            </w:tcBorders>
            <w:shd w:val="clear" w:color="auto" w:fill="CCECFF"/>
          </w:tcPr>
          <w:p>
            <w:pPr>
              <w:jc w:val="right"/>
              <w:spacing w:after="0" w:line="155" w:lineRule="exact"/>
              <w:rPr>
                <w:sz w:val="20"/>
                <w:szCs w:val="20"/>
                <w:color w:val="auto"/>
              </w:rPr>
            </w:pPr>
            <w:r>
              <w:rPr>
                <w:rFonts w:ascii="Arial" w:cs="Arial" w:eastAsia="Arial" w:hAnsi="Arial"/>
                <w:sz w:val="14"/>
                <w:szCs w:val="14"/>
                <w:color w:val="auto"/>
              </w:rPr>
              <w:t>36,370,712</w:t>
            </w:r>
          </w:p>
        </w:tc>
        <w:tc>
          <w:tcPr>
            <w:tcW w:w="280" w:type="dxa"/>
            <w:vAlign w:val="bottom"/>
            <w:tcBorders>
              <w:top w:val="single" w:sz="8" w:color="CCECFF"/>
            </w:tcBorders>
            <w:shd w:val="clear" w:color="auto" w:fill="CCECFF"/>
          </w:tcPr>
          <w:p>
            <w:pPr>
              <w:spacing w:after="0"/>
              <w:rPr>
                <w:sz w:val="13"/>
                <w:szCs w:val="13"/>
                <w:color w:val="auto"/>
              </w:rPr>
            </w:pPr>
          </w:p>
        </w:tc>
        <w:tc>
          <w:tcPr>
            <w:tcW w:w="1700" w:type="dxa"/>
            <w:vAlign w:val="bottom"/>
            <w:tcBorders>
              <w:top w:val="single" w:sz="8" w:color="auto"/>
            </w:tcBorders>
            <w:shd w:val="clear" w:color="auto" w:fill="CCECFF"/>
          </w:tcPr>
          <w:p>
            <w:pPr>
              <w:jc w:val="center"/>
              <w:spacing w:after="0" w:line="155" w:lineRule="exact"/>
              <w:rPr>
                <w:sz w:val="20"/>
                <w:szCs w:val="20"/>
                <w:color w:val="auto"/>
              </w:rPr>
            </w:pPr>
            <w:r>
              <w:rPr>
                <w:rFonts w:ascii="Arial" w:cs="Arial" w:eastAsia="Arial" w:hAnsi="Arial"/>
                <w:sz w:val="14"/>
                <w:szCs w:val="14"/>
                <w:color w:val="auto"/>
                <w:w w:val="92"/>
              </w:rPr>
              <w:t>July 5, 2017</w:t>
            </w:r>
          </w:p>
        </w:tc>
        <w:tc>
          <w:tcPr>
            <w:tcW w:w="180" w:type="dxa"/>
            <w:vAlign w:val="bottom"/>
            <w:tcBorders>
              <w:top w:val="single" w:sz="8" w:color="CCECFF"/>
            </w:tcBorders>
            <w:shd w:val="clear" w:color="auto" w:fill="CCECFF"/>
          </w:tcPr>
          <w:p>
            <w:pPr>
              <w:spacing w:after="0"/>
              <w:rPr>
                <w:sz w:val="13"/>
                <w:szCs w:val="13"/>
                <w:color w:val="auto"/>
              </w:rPr>
            </w:pPr>
          </w:p>
        </w:tc>
        <w:tc>
          <w:tcPr>
            <w:tcW w:w="100" w:type="dxa"/>
            <w:vAlign w:val="bottom"/>
            <w:tcBorders>
              <w:top w:val="single" w:sz="8" w:color="auto"/>
            </w:tcBorders>
            <w:shd w:val="clear" w:color="auto" w:fill="CCECFF"/>
          </w:tcPr>
          <w:p>
            <w:pPr>
              <w:jc w:val="right"/>
              <w:spacing w:after="0" w:line="155" w:lineRule="exact"/>
              <w:rPr>
                <w:sz w:val="20"/>
                <w:szCs w:val="20"/>
                <w:color w:val="auto"/>
              </w:rPr>
            </w:pPr>
            <w:r>
              <w:rPr>
                <w:rFonts w:ascii="Arial" w:cs="Arial" w:eastAsia="Arial" w:hAnsi="Arial"/>
                <w:sz w:val="14"/>
                <w:szCs w:val="14"/>
                <w:color w:val="auto"/>
                <w:w w:val="76"/>
              </w:rPr>
              <w:t>$</w:t>
            </w:r>
          </w:p>
        </w:tc>
        <w:tc>
          <w:tcPr>
            <w:tcW w:w="1500" w:type="dxa"/>
            <w:vAlign w:val="bottom"/>
            <w:tcBorders>
              <w:top w:val="single" w:sz="8" w:color="auto"/>
            </w:tcBorders>
            <w:shd w:val="clear" w:color="auto" w:fill="CCECFF"/>
          </w:tcPr>
          <w:p>
            <w:pPr>
              <w:jc w:val="right"/>
              <w:spacing w:after="0" w:line="155" w:lineRule="exact"/>
              <w:rPr>
                <w:sz w:val="20"/>
                <w:szCs w:val="20"/>
                <w:color w:val="auto"/>
              </w:rPr>
            </w:pPr>
            <w:r>
              <w:rPr>
                <w:rFonts w:ascii="Arial" w:cs="Arial" w:eastAsia="Arial" w:hAnsi="Arial"/>
                <w:sz w:val="14"/>
                <w:szCs w:val="14"/>
                <w:color w:val="auto"/>
              </w:rPr>
              <w:t>(9,334,588)</w:t>
            </w:r>
          </w:p>
        </w:tc>
        <w:tc>
          <w:tcPr>
            <w:tcW w:w="100" w:type="dxa"/>
            <w:vAlign w:val="bottom"/>
            <w:tcBorders>
              <w:top w:val="single" w:sz="8" w:color="CCECFF"/>
            </w:tcBorders>
            <w:shd w:val="clear" w:color="auto" w:fill="CCECFF"/>
          </w:tcPr>
          <w:p>
            <w:pPr>
              <w:spacing w:after="0"/>
              <w:rPr>
                <w:sz w:val="13"/>
                <w:szCs w:val="13"/>
                <w:color w:val="auto"/>
              </w:rPr>
            </w:pPr>
          </w:p>
        </w:tc>
      </w:tr>
      <w:tr>
        <w:trPr>
          <w:trHeight w:val="162"/>
        </w:trPr>
        <w:tc>
          <w:tcPr>
            <w:tcW w:w="1920" w:type="dxa"/>
            <w:vAlign w:val="bottom"/>
            <w:tcBorders>
              <w:bottom w:val="single" w:sz="8" w:color="CCECFF"/>
            </w:tcBorders>
          </w:tcPr>
          <w:p>
            <w:pPr>
              <w:spacing w:after="0"/>
              <w:rPr>
                <w:sz w:val="20"/>
                <w:szCs w:val="20"/>
                <w:color w:val="auto"/>
              </w:rPr>
            </w:pPr>
            <w:r>
              <w:rPr>
                <w:rFonts w:ascii="Arial" w:cs="Arial" w:eastAsia="Arial" w:hAnsi="Arial"/>
                <w:sz w:val="14"/>
                <w:szCs w:val="14"/>
                <w:color w:val="auto"/>
              </w:rPr>
              <w:t>Euro</w:t>
            </w:r>
          </w:p>
        </w:tc>
        <w:tc>
          <w:tcPr>
            <w:tcW w:w="320" w:type="dxa"/>
            <w:vAlign w:val="bottom"/>
            <w:tcBorders>
              <w:bottom w:val="single" w:sz="8" w:color="CCECFF"/>
            </w:tcBorders>
            <w:gridSpan w:val="2"/>
          </w:tcPr>
          <w:p>
            <w:pPr>
              <w:ind w:left="180"/>
              <w:spacing w:after="0"/>
              <w:rPr>
                <w:sz w:val="20"/>
                <w:szCs w:val="20"/>
                <w:color w:val="auto"/>
              </w:rPr>
            </w:pPr>
            <w:r>
              <w:rPr>
                <w:rFonts w:ascii="Arial" w:cs="Arial" w:eastAsia="Arial" w:hAnsi="Arial"/>
                <w:sz w:val="14"/>
                <w:szCs w:val="14"/>
                <w:color w:val="auto"/>
              </w:rPr>
              <w:t>€</w:t>
            </w:r>
          </w:p>
        </w:tc>
        <w:tc>
          <w:tcPr>
            <w:tcW w:w="1420" w:type="dxa"/>
            <w:vAlign w:val="bottom"/>
            <w:tcBorders>
              <w:bottom w:val="single" w:sz="8" w:color="CCECFF"/>
            </w:tcBorders>
          </w:tcPr>
          <w:p>
            <w:pPr>
              <w:jc w:val="right"/>
              <w:spacing w:after="0"/>
              <w:rPr>
                <w:sz w:val="20"/>
                <w:szCs w:val="20"/>
                <w:color w:val="auto"/>
              </w:rPr>
            </w:pPr>
            <w:r>
              <w:rPr>
                <w:rFonts w:ascii="Arial" w:cs="Arial" w:eastAsia="Arial" w:hAnsi="Arial"/>
                <w:sz w:val="14"/>
                <w:szCs w:val="14"/>
                <w:color w:val="auto"/>
              </w:rPr>
              <w:t>35,000,000</w:t>
            </w:r>
          </w:p>
        </w:tc>
        <w:tc>
          <w:tcPr>
            <w:tcW w:w="280" w:type="dxa"/>
            <w:vAlign w:val="bottom"/>
            <w:tcBorders>
              <w:bottom w:val="single" w:sz="8" w:color="CCECFF"/>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13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36,400,000</w:t>
            </w:r>
          </w:p>
        </w:tc>
        <w:tc>
          <w:tcPr>
            <w:tcW w:w="280" w:type="dxa"/>
            <w:vAlign w:val="bottom"/>
            <w:tcBorders>
              <w:bottom w:val="single" w:sz="8" w:color="CCECFF"/>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13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39,919,250</w:t>
            </w:r>
          </w:p>
        </w:tc>
        <w:tc>
          <w:tcPr>
            <w:tcW w:w="280" w:type="dxa"/>
            <w:vAlign w:val="bottom"/>
            <w:tcBorders>
              <w:bottom w:val="single" w:sz="8" w:color="CCECFF"/>
            </w:tcBorders>
          </w:tcPr>
          <w:p>
            <w:pPr>
              <w:spacing w:after="0"/>
              <w:rPr>
                <w:sz w:val="14"/>
                <w:szCs w:val="14"/>
                <w:color w:val="auto"/>
              </w:rPr>
            </w:pPr>
          </w:p>
        </w:tc>
        <w:tc>
          <w:tcPr>
            <w:tcW w:w="1880" w:type="dxa"/>
            <w:vAlign w:val="bottom"/>
            <w:tcBorders>
              <w:bottom w:val="single" w:sz="8" w:color="CCECFF"/>
            </w:tcBorders>
            <w:gridSpan w:val="2"/>
          </w:tcPr>
          <w:p>
            <w:pPr>
              <w:jc w:val="center"/>
              <w:ind w:right="180"/>
              <w:spacing w:after="0"/>
              <w:rPr>
                <w:sz w:val="20"/>
                <w:szCs w:val="20"/>
                <w:color w:val="auto"/>
              </w:rPr>
            </w:pPr>
            <w:r>
              <w:rPr>
                <w:rFonts w:ascii="Arial" w:cs="Arial" w:eastAsia="Arial" w:hAnsi="Arial"/>
                <w:sz w:val="14"/>
                <w:szCs w:val="14"/>
                <w:color w:val="auto"/>
                <w:w w:val="92"/>
              </w:rPr>
              <w:t>July 3, 2017</w:t>
            </w:r>
          </w:p>
        </w:tc>
        <w:tc>
          <w:tcPr>
            <w:tcW w:w="100" w:type="dxa"/>
            <w:vAlign w:val="bottom"/>
            <w:tcBorders>
              <w:bottom w:val="single" w:sz="8" w:color="auto"/>
            </w:tcBorders>
          </w:tcPr>
          <w:p>
            <w:pPr>
              <w:spacing w:after="0"/>
              <w:rPr>
                <w:sz w:val="14"/>
                <w:szCs w:val="14"/>
                <w:color w:val="auto"/>
              </w:rPr>
            </w:pPr>
          </w:p>
        </w:tc>
        <w:tc>
          <w:tcPr>
            <w:tcW w:w="15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3,519,250</w:t>
            </w:r>
          </w:p>
        </w:tc>
        <w:tc>
          <w:tcPr>
            <w:tcW w:w="100" w:type="dxa"/>
            <w:vAlign w:val="bottom"/>
            <w:tcBorders>
              <w:bottom w:val="single" w:sz="8" w:color="CCECFF"/>
            </w:tcBorders>
          </w:tcPr>
          <w:p>
            <w:pPr>
              <w:spacing w:after="0"/>
              <w:rPr>
                <w:sz w:val="14"/>
                <w:szCs w:val="14"/>
                <w:color w:val="auto"/>
              </w:rPr>
            </w:pPr>
          </w:p>
        </w:tc>
      </w:tr>
      <w:tr>
        <w:trPr>
          <w:trHeight w:val="156"/>
        </w:trPr>
        <w:tc>
          <w:tcPr>
            <w:tcW w:w="1920" w:type="dxa"/>
            <w:vAlign w:val="bottom"/>
            <w:tcBorders>
              <w:bottom w:val="single" w:sz="8" w:color="CCECFF"/>
            </w:tcBorders>
            <w:shd w:val="clear" w:color="auto" w:fill="CCECFF"/>
          </w:tcPr>
          <w:p>
            <w:pPr>
              <w:spacing w:after="0"/>
              <w:rPr>
                <w:sz w:val="13"/>
                <w:szCs w:val="13"/>
                <w:color w:val="auto"/>
              </w:rPr>
            </w:pPr>
          </w:p>
        </w:tc>
        <w:tc>
          <w:tcPr>
            <w:tcW w:w="180" w:type="dxa"/>
            <w:vAlign w:val="bottom"/>
            <w:tcBorders>
              <w:bottom w:val="single" w:sz="8" w:color="CCECFF"/>
            </w:tcBorders>
            <w:shd w:val="clear" w:color="auto" w:fill="CCECFF"/>
          </w:tcPr>
          <w:p>
            <w:pPr>
              <w:spacing w:after="0"/>
              <w:rPr>
                <w:sz w:val="13"/>
                <w:szCs w:val="13"/>
                <w:color w:val="auto"/>
              </w:rPr>
            </w:pPr>
          </w:p>
        </w:tc>
        <w:tc>
          <w:tcPr>
            <w:tcW w:w="140" w:type="dxa"/>
            <w:vAlign w:val="bottom"/>
            <w:tcBorders>
              <w:bottom w:val="single" w:sz="8" w:color="CCECFF"/>
            </w:tcBorders>
            <w:shd w:val="clear" w:color="auto" w:fill="CCECFF"/>
          </w:tcPr>
          <w:p>
            <w:pPr>
              <w:spacing w:after="0"/>
              <w:rPr>
                <w:sz w:val="13"/>
                <w:szCs w:val="13"/>
                <w:color w:val="auto"/>
              </w:rPr>
            </w:pPr>
          </w:p>
        </w:tc>
        <w:tc>
          <w:tcPr>
            <w:tcW w:w="1420" w:type="dxa"/>
            <w:vAlign w:val="bottom"/>
            <w:tcBorders>
              <w:bottom w:val="single" w:sz="8" w:color="CCECFF"/>
            </w:tcBorders>
            <w:shd w:val="clear" w:color="auto" w:fill="CCECFF"/>
          </w:tcPr>
          <w:p>
            <w:pPr>
              <w:spacing w:after="0"/>
              <w:rPr>
                <w:sz w:val="13"/>
                <w:szCs w:val="13"/>
                <w:color w:val="auto"/>
              </w:rPr>
            </w:pPr>
          </w:p>
        </w:tc>
        <w:tc>
          <w:tcPr>
            <w:tcW w:w="280" w:type="dxa"/>
            <w:vAlign w:val="bottom"/>
            <w:tcBorders>
              <w:bottom w:val="single" w:sz="8" w:color="CCECFF"/>
            </w:tcBorders>
            <w:shd w:val="clear" w:color="auto" w:fill="CCECFF"/>
          </w:tcPr>
          <w:p>
            <w:pPr>
              <w:spacing w:after="0"/>
              <w:rPr>
                <w:sz w:val="13"/>
                <w:szCs w:val="13"/>
                <w:color w:val="auto"/>
              </w:rPr>
            </w:pPr>
          </w:p>
        </w:tc>
        <w:tc>
          <w:tcPr>
            <w:tcW w:w="200" w:type="dxa"/>
            <w:vAlign w:val="bottom"/>
            <w:tcBorders>
              <w:bottom w:val="single" w:sz="8" w:color="auto"/>
            </w:tcBorders>
            <w:shd w:val="clear" w:color="auto" w:fill="CCECFF"/>
          </w:tcPr>
          <w:p>
            <w:pPr>
              <w:jc w:val="right"/>
              <w:ind w:right="48"/>
              <w:spacing w:after="0" w:line="155" w:lineRule="exact"/>
              <w:rPr>
                <w:sz w:val="20"/>
                <w:szCs w:val="20"/>
                <w:color w:val="auto"/>
              </w:rPr>
            </w:pPr>
            <w:r>
              <w:rPr>
                <w:rFonts w:ascii="Arial" w:cs="Arial" w:eastAsia="Arial" w:hAnsi="Arial"/>
                <w:sz w:val="14"/>
                <w:szCs w:val="14"/>
                <w:color w:val="auto"/>
                <w:w w:val="76"/>
              </w:rPr>
              <w:t>$</w:t>
            </w:r>
          </w:p>
        </w:tc>
        <w:tc>
          <w:tcPr>
            <w:tcW w:w="1380" w:type="dxa"/>
            <w:vAlign w:val="bottom"/>
            <w:tcBorders>
              <w:bottom w:val="single" w:sz="8" w:color="auto"/>
            </w:tcBorders>
            <w:shd w:val="clear" w:color="auto" w:fill="CCECFF"/>
          </w:tcPr>
          <w:p>
            <w:pPr>
              <w:jc w:val="right"/>
              <w:spacing w:after="0" w:line="155" w:lineRule="exact"/>
              <w:rPr>
                <w:sz w:val="20"/>
                <w:szCs w:val="20"/>
                <w:color w:val="auto"/>
              </w:rPr>
            </w:pPr>
            <w:r>
              <w:rPr>
                <w:rFonts w:ascii="Arial" w:cs="Arial" w:eastAsia="Arial" w:hAnsi="Arial"/>
                <w:sz w:val="14"/>
                <w:szCs w:val="14"/>
                <w:color w:val="auto"/>
              </w:rPr>
              <w:t>82,105,300</w:t>
            </w:r>
          </w:p>
        </w:tc>
        <w:tc>
          <w:tcPr>
            <w:tcW w:w="280" w:type="dxa"/>
            <w:vAlign w:val="bottom"/>
            <w:tcBorders>
              <w:bottom w:val="single" w:sz="8" w:color="CCECFF"/>
            </w:tcBorders>
            <w:shd w:val="clear" w:color="auto" w:fill="CCECFF"/>
          </w:tcPr>
          <w:p>
            <w:pPr>
              <w:spacing w:after="0"/>
              <w:rPr>
                <w:sz w:val="13"/>
                <w:szCs w:val="13"/>
                <w:color w:val="auto"/>
              </w:rPr>
            </w:pPr>
          </w:p>
        </w:tc>
        <w:tc>
          <w:tcPr>
            <w:tcW w:w="200" w:type="dxa"/>
            <w:vAlign w:val="bottom"/>
            <w:tcBorders>
              <w:bottom w:val="single" w:sz="8" w:color="auto"/>
            </w:tcBorders>
            <w:shd w:val="clear" w:color="auto" w:fill="CCECFF"/>
          </w:tcPr>
          <w:p>
            <w:pPr>
              <w:jc w:val="right"/>
              <w:ind w:right="48"/>
              <w:spacing w:after="0" w:line="155" w:lineRule="exact"/>
              <w:rPr>
                <w:sz w:val="20"/>
                <w:szCs w:val="20"/>
                <w:color w:val="auto"/>
              </w:rPr>
            </w:pPr>
            <w:r>
              <w:rPr>
                <w:rFonts w:ascii="Arial" w:cs="Arial" w:eastAsia="Arial" w:hAnsi="Arial"/>
                <w:sz w:val="14"/>
                <w:szCs w:val="14"/>
                <w:color w:val="auto"/>
                <w:w w:val="76"/>
              </w:rPr>
              <w:t>$</w:t>
            </w:r>
          </w:p>
        </w:tc>
        <w:tc>
          <w:tcPr>
            <w:tcW w:w="1380" w:type="dxa"/>
            <w:vAlign w:val="bottom"/>
            <w:tcBorders>
              <w:bottom w:val="single" w:sz="8" w:color="auto"/>
            </w:tcBorders>
            <w:shd w:val="clear" w:color="auto" w:fill="CCECFF"/>
          </w:tcPr>
          <w:p>
            <w:pPr>
              <w:jc w:val="right"/>
              <w:spacing w:after="0" w:line="155" w:lineRule="exact"/>
              <w:rPr>
                <w:sz w:val="20"/>
                <w:szCs w:val="20"/>
                <w:color w:val="auto"/>
              </w:rPr>
            </w:pPr>
            <w:r>
              <w:rPr>
                <w:rFonts w:ascii="Arial" w:cs="Arial" w:eastAsia="Arial" w:hAnsi="Arial"/>
                <w:sz w:val="14"/>
                <w:szCs w:val="14"/>
                <w:color w:val="auto"/>
              </w:rPr>
              <w:t>76,289,962</w:t>
            </w:r>
          </w:p>
        </w:tc>
        <w:tc>
          <w:tcPr>
            <w:tcW w:w="280" w:type="dxa"/>
            <w:vAlign w:val="bottom"/>
            <w:tcBorders>
              <w:bottom w:val="single" w:sz="8" w:color="CCECFF"/>
            </w:tcBorders>
            <w:shd w:val="clear" w:color="auto" w:fill="CCECFF"/>
          </w:tcPr>
          <w:p>
            <w:pPr>
              <w:spacing w:after="0"/>
              <w:rPr>
                <w:sz w:val="13"/>
                <w:szCs w:val="13"/>
                <w:color w:val="auto"/>
              </w:rPr>
            </w:pPr>
          </w:p>
        </w:tc>
        <w:tc>
          <w:tcPr>
            <w:tcW w:w="1700" w:type="dxa"/>
            <w:vAlign w:val="bottom"/>
            <w:tcBorders>
              <w:bottom w:val="single" w:sz="8" w:color="CCECFF"/>
            </w:tcBorders>
            <w:shd w:val="clear" w:color="auto" w:fill="CCECFF"/>
          </w:tcPr>
          <w:p>
            <w:pPr>
              <w:spacing w:after="0"/>
              <w:rPr>
                <w:sz w:val="13"/>
                <w:szCs w:val="13"/>
                <w:color w:val="auto"/>
              </w:rPr>
            </w:pPr>
          </w:p>
        </w:tc>
        <w:tc>
          <w:tcPr>
            <w:tcW w:w="180" w:type="dxa"/>
            <w:vAlign w:val="bottom"/>
            <w:tcBorders>
              <w:bottom w:val="single" w:sz="8" w:color="CCECFF"/>
            </w:tcBorders>
            <w:shd w:val="clear" w:color="auto" w:fill="CCECFF"/>
          </w:tcPr>
          <w:p>
            <w:pPr>
              <w:spacing w:after="0"/>
              <w:rPr>
                <w:sz w:val="13"/>
                <w:szCs w:val="13"/>
                <w:color w:val="auto"/>
              </w:rPr>
            </w:pPr>
          </w:p>
        </w:tc>
        <w:tc>
          <w:tcPr>
            <w:tcW w:w="100" w:type="dxa"/>
            <w:vAlign w:val="bottom"/>
            <w:tcBorders>
              <w:bottom w:val="single" w:sz="8" w:color="auto"/>
            </w:tcBorders>
            <w:shd w:val="clear" w:color="auto" w:fill="CCECFF"/>
          </w:tcPr>
          <w:p>
            <w:pPr>
              <w:jc w:val="right"/>
              <w:spacing w:after="0" w:line="155" w:lineRule="exact"/>
              <w:rPr>
                <w:sz w:val="20"/>
                <w:szCs w:val="20"/>
                <w:color w:val="auto"/>
              </w:rPr>
            </w:pPr>
            <w:r>
              <w:rPr>
                <w:rFonts w:ascii="Arial" w:cs="Arial" w:eastAsia="Arial" w:hAnsi="Arial"/>
                <w:sz w:val="14"/>
                <w:szCs w:val="14"/>
                <w:color w:val="auto"/>
                <w:w w:val="76"/>
              </w:rPr>
              <w:t>$</w:t>
            </w:r>
          </w:p>
        </w:tc>
        <w:tc>
          <w:tcPr>
            <w:tcW w:w="1500" w:type="dxa"/>
            <w:vAlign w:val="bottom"/>
            <w:tcBorders>
              <w:bottom w:val="single" w:sz="8" w:color="auto"/>
            </w:tcBorders>
            <w:shd w:val="clear" w:color="auto" w:fill="CCECFF"/>
          </w:tcPr>
          <w:p>
            <w:pPr>
              <w:jc w:val="right"/>
              <w:spacing w:after="0" w:line="155" w:lineRule="exact"/>
              <w:rPr>
                <w:sz w:val="20"/>
                <w:szCs w:val="20"/>
                <w:color w:val="auto"/>
              </w:rPr>
            </w:pPr>
            <w:r>
              <w:rPr>
                <w:rFonts w:ascii="Arial" w:cs="Arial" w:eastAsia="Arial" w:hAnsi="Arial"/>
                <w:sz w:val="14"/>
                <w:szCs w:val="14"/>
                <w:color w:val="auto"/>
              </w:rPr>
              <w:t>(5,815,338)</w:t>
            </w:r>
          </w:p>
        </w:tc>
        <w:tc>
          <w:tcPr>
            <w:tcW w:w="100" w:type="dxa"/>
            <w:vAlign w:val="bottom"/>
            <w:tcBorders>
              <w:bottom w:val="single" w:sz="8" w:color="CCECFF"/>
            </w:tcBorders>
            <w:shd w:val="clear" w:color="auto" w:fill="CCECFF"/>
          </w:tcPr>
          <w:p>
            <w:pPr>
              <w:spacing w:after="0"/>
              <w:rPr>
                <w:sz w:val="13"/>
                <w:szCs w:val="13"/>
                <w:color w:val="auto"/>
              </w:rPr>
            </w:pPr>
          </w:p>
        </w:tc>
      </w:tr>
      <w:tr>
        <w:trPr>
          <w:trHeight w:val="20"/>
        </w:trPr>
        <w:tc>
          <w:tcPr>
            <w:tcW w:w="19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7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5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130" w:lineRule="exact"/>
        <w:rPr>
          <w:sz w:val="20"/>
          <w:szCs w:val="20"/>
          <w:color w:val="auto"/>
        </w:rPr>
      </w:pPr>
    </w:p>
    <w:p>
      <w:pPr>
        <w:ind w:right="920" w:firstLine="443"/>
        <w:spacing w:after="0" w:line="253" w:lineRule="auto"/>
        <w:rPr>
          <w:sz w:val="20"/>
          <w:szCs w:val="20"/>
          <w:color w:val="auto"/>
        </w:rPr>
      </w:pPr>
      <w:r>
        <w:rPr>
          <w:rFonts w:ascii="Arial" w:cs="Arial" w:eastAsia="Arial" w:hAnsi="Arial"/>
          <w:sz w:val="14"/>
          <w:szCs w:val="14"/>
          <w:color w:val="auto"/>
        </w:rPr>
        <w:t>As of September 30, 2016, we had outstanding non-U.S. dollar borrowings on our Credit Facility. Net change in fair value from foreign currency translation on outstanding borrowings is listed below:</w:t>
      </w:r>
    </w:p>
    <w:p>
      <w:pPr>
        <w:spacing w:after="0" w:line="116"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1920" w:type="dxa"/>
            <w:vAlign w:val="bottom"/>
          </w:tcPr>
          <w:p>
            <w:pPr>
              <w:spacing w:after="0"/>
              <w:rPr>
                <w:sz w:val="20"/>
                <w:szCs w:val="20"/>
                <w:color w:val="auto"/>
              </w:rPr>
            </w:pPr>
            <w:r>
              <w:rPr>
                <w:rFonts w:ascii="Arial" w:cs="Arial" w:eastAsia="Arial" w:hAnsi="Arial"/>
                <w:sz w:val="14"/>
                <w:szCs w:val="14"/>
                <w:b w:val="1"/>
                <w:bCs w:val="1"/>
                <w:color w:val="auto"/>
              </w:rPr>
              <w:t>Foreign Currency</w:t>
            </w:r>
          </w:p>
        </w:tc>
        <w:tc>
          <w:tcPr>
            <w:tcW w:w="1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700" w:type="dxa"/>
            <w:vAlign w:val="bottom"/>
            <w:gridSpan w:val="2"/>
          </w:tcPr>
          <w:p>
            <w:pPr>
              <w:ind w:left="60"/>
              <w:spacing w:after="0"/>
              <w:rPr>
                <w:sz w:val="20"/>
                <w:szCs w:val="20"/>
                <w:color w:val="auto"/>
              </w:rPr>
            </w:pPr>
            <w:r>
              <w:rPr>
                <w:rFonts w:ascii="Arial" w:cs="Arial" w:eastAsia="Arial" w:hAnsi="Arial"/>
                <w:sz w:val="14"/>
                <w:szCs w:val="14"/>
                <w:b w:val="1"/>
                <w:bCs w:val="1"/>
                <w:color w:val="auto"/>
              </w:rPr>
              <w:t>Amount Borrowed</w:t>
            </w:r>
          </w:p>
        </w:tc>
        <w:tc>
          <w:tcPr>
            <w:tcW w:w="200" w:type="dxa"/>
            <w:vAlign w:val="bottom"/>
          </w:tcPr>
          <w:p>
            <w:pPr>
              <w:spacing w:after="0"/>
              <w:rPr>
                <w:sz w:val="14"/>
                <w:szCs w:val="14"/>
                <w:color w:val="auto"/>
              </w:rPr>
            </w:pPr>
          </w:p>
        </w:tc>
        <w:tc>
          <w:tcPr>
            <w:tcW w:w="1380" w:type="dxa"/>
            <w:vAlign w:val="bottom"/>
          </w:tcPr>
          <w:p>
            <w:pPr>
              <w:jc w:val="right"/>
              <w:ind w:right="228"/>
              <w:spacing w:after="0"/>
              <w:rPr>
                <w:sz w:val="20"/>
                <w:szCs w:val="20"/>
                <w:color w:val="auto"/>
              </w:rPr>
            </w:pPr>
            <w:r>
              <w:rPr>
                <w:rFonts w:ascii="Arial" w:cs="Arial" w:eastAsia="Arial" w:hAnsi="Arial"/>
                <w:sz w:val="14"/>
                <w:szCs w:val="14"/>
                <w:b w:val="1"/>
                <w:bCs w:val="1"/>
                <w:color w:val="auto"/>
              </w:rPr>
              <w:t>Borrowing Cost</w:t>
            </w:r>
          </w:p>
        </w:tc>
        <w:tc>
          <w:tcPr>
            <w:tcW w:w="2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660" w:type="dxa"/>
            <w:vAlign w:val="bottom"/>
            <w:gridSpan w:val="2"/>
          </w:tcPr>
          <w:p>
            <w:pPr>
              <w:ind w:left="140"/>
              <w:spacing w:after="0"/>
              <w:rPr>
                <w:sz w:val="20"/>
                <w:szCs w:val="20"/>
                <w:color w:val="auto"/>
              </w:rPr>
            </w:pPr>
            <w:r>
              <w:rPr>
                <w:rFonts w:ascii="Arial" w:cs="Arial" w:eastAsia="Arial" w:hAnsi="Arial"/>
                <w:sz w:val="14"/>
                <w:szCs w:val="14"/>
                <w:b w:val="1"/>
                <w:bCs w:val="1"/>
                <w:color w:val="auto"/>
              </w:rPr>
              <w:t>Current Value</w:t>
            </w:r>
          </w:p>
        </w:tc>
        <w:tc>
          <w:tcPr>
            <w:tcW w:w="1880" w:type="dxa"/>
            <w:vAlign w:val="bottom"/>
            <w:gridSpan w:val="2"/>
          </w:tcPr>
          <w:p>
            <w:pPr>
              <w:jc w:val="center"/>
              <w:ind w:right="180"/>
              <w:spacing w:after="0"/>
              <w:rPr>
                <w:sz w:val="20"/>
                <w:szCs w:val="20"/>
                <w:color w:val="auto"/>
              </w:rPr>
            </w:pPr>
            <w:r>
              <w:rPr>
                <w:rFonts w:ascii="Arial" w:cs="Arial" w:eastAsia="Arial" w:hAnsi="Arial"/>
                <w:sz w:val="14"/>
                <w:szCs w:val="14"/>
                <w:b w:val="1"/>
                <w:bCs w:val="1"/>
                <w:color w:val="auto"/>
                <w:w w:val="91"/>
              </w:rPr>
              <w:t>Reset Date</w:t>
            </w:r>
          </w:p>
        </w:tc>
        <w:tc>
          <w:tcPr>
            <w:tcW w:w="100" w:type="dxa"/>
            <w:vAlign w:val="bottom"/>
          </w:tcPr>
          <w:p>
            <w:pPr>
              <w:spacing w:after="0"/>
              <w:rPr>
                <w:sz w:val="14"/>
                <w:szCs w:val="14"/>
                <w:color w:val="auto"/>
              </w:rPr>
            </w:pPr>
          </w:p>
        </w:tc>
        <w:tc>
          <w:tcPr>
            <w:tcW w:w="1600" w:type="dxa"/>
            <w:vAlign w:val="bottom"/>
            <w:gridSpan w:val="2"/>
          </w:tcPr>
          <w:p>
            <w:pPr>
              <w:ind w:left="40"/>
              <w:spacing w:after="0"/>
              <w:rPr>
                <w:sz w:val="20"/>
                <w:szCs w:val="20"/>
                <w:color w:val="auto"/>
              </w:rPr>
            </w:pPr>
            <w:r>
              <w:rPr>
                <w:rFonts w:ascii="Arial" w:cs="Arial" w:eastAsia="Arial" w:hAnsi="Arial"/>
                <w:sz w:val="14"/>
                <w:szCs w:val="14"/>
                <w:b w:val="1"/>
                <w:bCs w:val="1"/>
                <w:color w:val="auto"/>
              </w:rPr>
              <w:t>Change in Fair Value</w:t>
            </w:r>
          </w:p>
        </w:tc>
      </w:tr>
      <w:tr>
        <w:trPr>
          <w:trHeight w:val="155"/>
        </w:trPr>
        <w:tc>
          <w:tcPr>
            <w:tcW w:w="1920" w:type="dxa"/>
            <w:vAlign w:val="bottom"/>
            <w:tcBorders>
              <w:top w:val="single" w:sz="8" w:color="auto"/>
            </w:tcBorders>
            <w:shd w:val="clear" w:color="auto" w:fill="CCECFF"/>
          </w:tcPr>
          <w:p>
            <w:pPr>
              <w:spacing w:after="0" w:line="155" w:lineRule="exact"/>
              <w:rPr>
                <w:sz w:val="20"/>
                <w:szCs w:val="20"/>
                <w:color w:val="auto"/>
              </w:rPr>
            </w:pPr>
            <w:r>
              <w:rPr>
                <w:rFonts w:ascii="Arial" w:cs="Arial" w:eastAsia="Arial" w:hAnsi="Arial"/>
                <w:sz w:val="14"/>
                <w:szCs w:val="14"/>
                <w:color w:val="auto"/>
              </w:rPr>
              <w:t>British Pound</w:t>
            </w:r>
          </w:p>
        </w:tc>
        <w:tc>
          <w:tcPr>
            <w:tcW w:w="180" w:type="dxa"/>
            <w:vAlign w:val="bottom"/>
            <w:tcBorders>
              <w:top w:val="single" w:sz="8" w:color="CCECFF"/>
            </w:tcBorders>
            <w:shd w:val="clear" w:color="auto" w:fill="CCECFF"/>
          </w:tcPr>
          <w:p>
            <w:pPr>
              <w:spacing w:after="0"/>
              <w:rPr>
                <w:sz w:val="13"/>
                <w:szCs w:val="13"/>
                <w:color w:val="auto"/>
              </w:rPr>
            </w:pPr>
          </w:p>
        </w:tc>
        <w:tc>
          <w:tcPr>
            <w:tcW w:w="140" w:type="dxa"/>
            <w:vAlign w:val="bottom"/>
            <w:tcBorders>
              <w:top w:val="single" w:sz="8" w:color="auto"/>
            </w:tcBorders>
            <w:shd w:val="clear" w:color="auto" w:fill="CCECFF"/>
          </w:tcPr>
          <w:p>
            <w:pPr>
              <w:jc w:val="right"/>
              <w:spacing w:after="0" w:line="155" w:lineRule="exact"/>
              <w:rPr>
                <w:sz w:val="20"/>
                <w:szCs w:val="20"/>
                <w:color w:val="auto"/>
              </w:rPr>
            </w:pPr>
            <w:r>
              <w:rPr>
                <w:rFonts w:ascii="Arial" w:cs="Arial" w:eastAsia="Arial" w:hAnsi="Arial"/>
                <w:sz w:val="14"/>
                <w:szCs w:val="14"/>
                <w:color w:val="auto"/>
                <w:w w:val="76"/>
              </w:rPr>
              <w:t>£</w:t>
            </w:r>
          </w:p>
        </w:tc>
        <w:tc>
          <w:tcPr>
            <w:tcW w:w="1420" w:type="dxa"/>
            <w:vAlign w:val="bottom"/>
            <w:tcBorders>
              <w:top w:val="single" w:sz="8" w:color="auto"/>
            </w:tcBorders>
            <w:shd w:val="clear" w:color="auto" w:fill="CCECFF"/>
          </w:tcPr>
          <w:p>
            <w:pPr>
              <w:jc w:val="right"/>
              <w:spacing w:after="0" w:line="155" w:lineRule="exact"/>
              <w:rPr>
                <w:sz w:val="20"/>
                <w:szCs w:val="20"/>
                <w:color w:val="auto"/>
              </w:rPr>
            </w:pPr>
            <w:r>
              <w:rPr>
                <w:rFonts w:ascii="Arial" w:cs="Arial" w:eastAsia="Arial" w:hAnsi="Arial"/>
                <w:sz w:val="14"/>
                <w:szCs w:val="14"/>
                <w:color w:val="auto"/>
              </w:rPr>
              <w:t>31,000,000</w:t>
            </w:r>
          </w:p>
        </w:tc>
        <w:tc>
          <w:tcPr>
            <w:tcW w:w="280" w:type="dxa"/>
            <w:vAlign w:val="bottom"/>
            <w:tcBorders>
              <w:top w:val="single" w:sz="8" w:color="CCECFF"/>
            </w:tcBorders>
            <w:shd w:val="clear" w:color="auto" w:fill="CCECFF"/>
          </w:tcPr>
          <w:p>
            <w:pPr>
              <w:spacing w:after="0"/>
              <w:rPr>
                <w:sz w:val="13"/>
                <w:szCs w:val="13"/>
                <w:color w:val="auto"/>
              </w:rPr>
            </w:pPr>
          </w:p>
        </w:tc>
        <w:tc>
          <w:tcPr>
            <w:tcW w:w="200" w:type="dxa"/>
            <w:vAlign w:val="bottom"/>
            <w:tcBorders>
              <w:top w:val="single" w:sz="8" w:color="auto"/>
            </w:tcBorders>
            <w:shd w:val="clear" w:color="auto" w:fill="CCECFF"/>
          </w:tcPr>
          <w:p>
            <w:pPr>
              <w:jc w:val="right"/>
              <w:ind w:right="48"/>
              <w:spacing w:after="0" w:line="155" w:lineRule="exact"/>
              <w:rPr>
                <w:sz w:val="20"/>
                <w:szCs w:val="20"/>
                <w:color w:val="auto"/>
              </w:rPr>
            </w:pPr>
            <w:r>
              <w:rPr>
                <w:rFonts w:ascii="Arial" w:cs="Arial" w:eastAsia="Arial" w:hAnsi="Arial"/>
                <w:sz w:val="14"/>
                <w:szCs w:val="14"/>
                <w:color w:val="auto"/>
                <w:w w:val="76"/>
              </w:rPr>
              <w:t>$</w:t>
            </w:r>
          </w:p>
        </w:tc>
        <w:tc>
          <w:tcPr>
            <w:tcW w:w="1380" w:type="dxa"/>
            <w:vAlign w:val="bottom"/>
            <w:tcBorders>
              <w:top w:val="single" w:sz="8" w:color="auto"/>
            </w:tcBorders>
            <w:shd w:val="clear" w:color="auto" w:fill="CCECFF"/>
          </w:tcPr>
          <w:p>
            <w:pPr>
              <w:jc w:val="right"/>
              <w:spacing w:after="0" w:line="155" w:lineRule="exact"/>
              <w:rPr>
                <w:sz w:val="20"/>
                <w:szCs w:val="20"/>
                <w:color w:val="auto"/>
              </w:rPr>
            </w:pPr>
            <w:r>
              <w:rPr>
                <w:rFonts w:ascii="Arial" w:cs="Arial" w:eastAsia="Arial" w:hAnsi="Arial"/>
                <w:sz w:val="14"/>
                <w:szCs w:val="14"/>
                <w:color w:val="auto"/>
              </w:rPr>
              <w:t>50,339,700</w:t>
            </w:r>
          </w:p>
        </w:tc>
        <w:tc>
          <w:tcPr>
            <w:tcW w:w="280" w:type="dxa"/>
            <w:vAlign w:val="bottom"/>
            <w:tcBorders>
              <w:top w:val="single" w:sz="8" w:color="CCECFF"/>
            </w:tcBorders>
            <w:shd w:val="clear" w:color="auto" w:fill="CCECFF"/>
          </w:tcPr>
          <w:p>
            <w:pPr>
              <w:spacing w:after="0"/>
              <w:rPr>
                <w:sz w:val="13"/>
                <w:szCs w:val="13"/>
                <w:color w:val="auto"/>
              </w:rPr>
            </w:pPr>
          </w:p>
        </w:tc>
        <w:tc>
          <w:tcPr>
            <w:tcW w:w="200" w:type="dxa"/>
            <w:vAlign w:val="bottom"/>
            <w:tcBorders>
              <w:top w:val="single" w:sz="8" w:color="auto"/>
            </w:tcBorders>
            <w:shd w:val="clear" w:color="auto" w:fill="CCECFF"/>
          </w:tcPr>
          <w:p>
            <w:pPr>
              <w:jc w:val="right"/>
              <w:ind w:right="48"/>
              <w:spacing w:after="0" w:line="155" w:lineRule="exact"/>
              <w:rPr>
                <w:sz w:val="20"/>
                <w:szCs w:val="20"/>
                <w:color w:val="auto"/>
              </w:rPr>
            </w:pPr>
            <w:r>
              <w:rPr>
                <w:rFonts w:ascii="Arial" w:cs="Arial" w:eastAsia="Arial" w:hAnsi="Arial"/>
                <w:sz w:val="14"/>
                <w:szCs w:val="14"/>
                <w:color w:val="auto"/>
                <w:w w:val="76"/>
              </w:rPr>
              <w:t>$</w:t>
            </w:r>
          </w:p>
        </w:tc>
        <w:tc>
          <w:tcPr>
            <w:tcW w:w="1380" w:type="dxa"/>
            <w:vAlign w:val="bottom"/>
            <w:tcBorders>
              <w:top w:val="single" w:sz="8" w:color="auto"/>
            </w:tcBorders>
            <w:shd w:val="clear" w:color="auto" w:fill="CCECFF"/>
          </w:tcPr>
          <w:p>
            <w:pPr>
              <w:jc w:val="right"/>
              <w:spacing w:after="0" w:line="155" w:lineRule="exact"/>
              <w:rPr>
                <w:sz w:val="20"/>
                <w:szCs w:val="20"/>
                <w:color w:val="auto"/>
              </w:rPr>
            </w:pPr>
            <w:r>
              <w:rPr>
                <w:rFonts w:ascii="Arial" w:cs="Arial" w:eastAsia="Arial" w:hAnsi="Arial"/>
                <w:sz w:val="14"/>
                <w:szCs w:val="14"/>
                <w:color w:val="auto"/>
              </w:rPr>
              <w:t>40,180,433</w:t>
            </w:r>
          </w:p>
        </w:tc>
        <w:tc>
          <w:tcPr>
            <w:tcW w:w="280" w:type="dxa"/>
            <w:vAlign w:val="bottom"/>
            <w:tcBorders>
              <w:top w:val="single" w:sz="8" w:color="CCECFF"/>
            </w:tcBorders>
            <w:shd w:val="clear" w:color="auto" w:fill="CCECFF"/>
          </w:tcPr>
          <w:p>
            <w:pPr>
              <w:spacing w:after="0"/>
              <w:rPr>
                <w:sz w:val="13"/>
                <w:szCs w:val="13"/>
                <w:color w:val="auto"/>
              </w:rPr>
            </w:pPr>
          </w:p>
        </w:tc>
        <w:tc>
          <w:tcPr>
            <w:tcW w:w="1700" w:type="dxa"/>
            <w:vAlign w:val="bottom"/>
            <w:tcBorders>
              <w:top w:val="single" w:sz="8" w:color="auto"/>
            </w:tcBorders>
            <w:shd w:val="clear" w:color="auto" w:fill="CCECFF"/>
          </w:tcPr>
          <w:p>
            <w:pPr>
              <w:jc w:val="center"/>
              <w:spacing w:after="0" w:line="155" w:lineRule="exact"/>
              <w:rPr>
                <w:sz w:val="20"/>
                <w:szCs w:val="20"/>
                <w:color w:val="auto"/>
              </w:rPr>
            </w:pPr>
            <w:r>
              <w:rPr>
                <w:rFonts w:ascii="Arial" w:cs="Arial" w:eastAsia="Arial" w:hAnsi="Arial"/>
                <w:sz w:val="14"/>
                <w:szCs w:val="14"/>
                <w:color w:val="auto"/>
                <w:w w:val="93"/>
              </w:rPr>
              <w:t>October 3, 2016</w:t>
            </w:r>
          </w:p>
        </w:tc>
        <w:tc>
          <w:tcPr>
            <w:tcW w:w="180" w:type="dxa"/>
            <w:vAlign w:val="bottom"/>
            <w:tcBorders>
              <w:top w:val="single" w:sz="8" w:color="CCECFF"/>
            </w:tcBorders>
            <w:shd w:val="clear" w:color="auto" w:fill="CCECFF"/>
          </w:tcPr>
          <w:p>
            <w:pPr>
              <w:spacing w:after="0"/>
              <w:rPr>
                <w:sz w:val="13"/>
                <w:szCs w:val="13"/>
                <w:color w:val="auto"/>
              </w:rPr>
            </w:pPr>
          </w:p>
        </w:tc>
        <w:tc>
          <w:tcPr>
            <w:tcW w:w="100" w:type="dxa"/>
            <w:vAlign w:val="bottom"/>
            <w:tcBorders>
              <w:top w:val="single" w:sz="8" w:color="auto"/>
            </w:tcBorders>
            <w:shd w:val="clear" w:color="auto" w:fill="CCECFF"/>
          </w:tcPr>
          <w:p>
            <w:pPr>
              <w:jc w:val="right"/>
              <w:spacing w:after="0" w:line="155" w:lineRule="exact"/>
              <w:rPr>
                <w:sz w:val="20"/>
                <w:szCs w:val="20"/>
                <w:color w:val="auto"/>
              </w:rPr>
            </w:pPr>
            <w:r>
              <w:rPr>
                <w:rFonts w:ascii="Arial" w:cs="Arial" w:eastAsia="Arial" w:hAnsi="Arial"/>
                <w:sz w:val="14"/>
                <w:szCs w:val="14"/>
                <w:color w:val="auto"/>
                <w:w w:val="76"/>
              </w:rPr>
              <w:t>$</w:t>
            </w:r>
          </w:p>
        </w:tc>
        <w:tc>
          <w:tcPr>
            <w:tcW w:w="1500" w:type="dxa"/>
            <w:vAlign w:val="bottom"/>
            <w:tcBorders>
              <w:top w:val="single" w:sz="8" w:color="auto"/>
            </w:tcBorders>
            <w:shd w:val="clear" w:color="auto" w:fill="CCECFF"/>
          </w:tcPr>
          <w:p>
            <w:pPr>
              <w:jc w:val="right"/>
              <w:spacing w:after="0" w:line="155" w:lineRule="exact"/>
              <w:rPr>
                <w:sz w:val="20"/>
                <w:szCs w:val="20"/>
                <w:color w:val="auto"/>
              </w:rPr>
            </w:pPr>
            <w:r>
              <w:rPr>
                <w:rFonts w:ascii="Arial" w:cs="Arial" w:eastAsia="Arial" w:hAnsi="Arial"/>
                <w:sz w:val="14"/>
                <w:szCs w:val="14"/>
                <w:color w:val="auto"/>
              </w:rPr>
              <w:t>(10,159,267)</w:t>
            </w:r>
          </w:p>
        </w:tc>
        <w:tc>
          <w:tcPr>
            <w:tcW w:w="100" w:type="dxa"/>
            <w:vAlign w:val="bottom"/>
            <w:tcBorders>
              <w:top w:val="single" w:sz="8" w:color="CCECFF"/>
            </w:tcBorders>
            <w:shd w:val="clear" w:color="auto" w:fill="CCECFF"/>
          </w:tcPr>
          <w:p>
            <w:pPr>
              <w:spacing w:after="0"/>
              <w:rPr>
                <w:sz w:val="13"/>
                <w:szCs w:val="13"/>
                <w:color w:val="auto"/>
              </w:rPr>
            </w:pPr>
          </w:p>
        </w:tc>
      </w:tr>
    </w:tbl>
    <w:p>
      <w:pPr>
        <w:spacing w:after="0" w:line="130" w:lineRule="exact"/>
        <w:rPr>
          <w:sz w:val="20"/>
          <w:szCs w:val="20"/>
          <w:color w:val="auto"/>
        </w:rPr>
      </w:pPr>
    </w:p>
    <w:p>
      <w:pPr>
        <w:ind w:right="340" w:firstLine="443"/>
        <w:spacing w:after="0" w:line="242" w:lineRule="auto"/>
        <w:rPr>
          <w:sz w:val="20"/>
          <w:szCs w:val="20"/>
          <w:color w:val="auto"/>
        </w:rPr>
      </w:pPr>
      <w:r>
        <w:rPr>
          <w:rFonts w:ascii="Arial" w:cs="Arial" w:eastAsia="Arial" w:hAnsi="Arial"/>
          <w:sz w:val="13"/>
          <w:szCs w:val="13"/>
          <w:color w:val="auto"/>
        </w:rPr>
        <w:t>The carrying value of our consolidated financial liabilities approximates fair value. We adopted ASC 825-10, which provides companies with an option to report selected financial assets and liabilities at fair value, and made an irrevocable election to apply ASC 825-10 to our Credit Facility and our Notes. We elected to use the fair value option for the Credit Facility and our Notes to align the measurement attributes of both our assets and liabilities while mitigating volatility in earnings from using different measurement attributes. Due to that election and in accordance with GAAP, we had $3.9 million in expenses relating to amendment costs on the Credit Facility during both the three and nine months ended June 30, 2017, respectively. For the same periods in the prior year, we did not incur any expenses relating to amendment costs on the Credit Facility. ASC 825-10 establishes presentation and disclosure requirements designed to facilitate comparisons between companies that choose different measurement attributes for similar types of assets and liabilities and to more easily understand the effect on earnings of a company’s choice to use fair value. ASC 825-10 also requires entities to display the fair value of the selected assets and liabilities on the face of the Consolidated Statements of Assets and Liabilities and changes in fair value of the Credit Facility and our Notes are reported in our Consolidated Statements of Operations. We elected not to apply ASC 825-10 to any other financial assets or liabilities, including the SBA debentures. For the three and nine months ended June 30, 2017, our Credit Facility and our Notes had a net change in unrealized appreciation of $2.1 million and $2.4 million, respectively. For the three and nine months ended June 30, 2016, our Credit Facility and our Notes had a net change in unrealized (appreciation) depreciation of $(2.4) million and $15.6 million, respectively. As of June 30, 2017 and September 30, 2016, net unrealized depreciation on our Credit Facility and our Notes totaled $2.8 million and $5.2 million, respectively. We use a nationally recognized independent valuation service to fair value of our Credit Facility and our 2019 Notes in a manner consistent with the valuation process that the board of directors uses to value investments.</w:t>
      </w:r>
    </w:p>
    <w:p>
      <w:pPr>
        <w:spacing w:after="0" w:line="200" w:lineRule="exact"/>
        <w:rPr>
          <w:sz w:val="20"/>
          <w:szCs w:val="20"/>
          <w:color w:val="auto"/>
        </w:rPr>
      </w:pPr>
    </w:p>
    <w:p>
      <w:pPr>
        <w:spacing w:after="0" w:line="284"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72390</wp:posOffset>
            </wp:positionV>
            <wp:extent cx="7149465" cy="171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20" w:name="page21"/>
    <w:bookmarkEnd w:id="20"/>
    <w:p>
      <w:pPr>
        <w:ind w:left="3220"/>
        <w:spacing w:after="0"/>
        <w:rPr>
          <w:sz w:val="20"/>
          <w:szCs w:val="20"/>
          <w:color w:val="auto"/>
        </w:rPr>
      </w:pPr>
      <w:r>
        <w:rPr>
          <w:rFonts w:ascii="Arial" w:cs="Arial" w:eastAsia="Arial" w:hAnsi="Arial"/>
          <w:sz w:val="14"/>
          <w:szCs w:val="14"/>
          <w:b w:val="1"/>
          <w:bCs w:val="1"/>
          <w:color w:val="auto"/>
        </w:rPr>
        <w:t>PENNANTPARK INVESTMENT CORPORATION AND SUBSIDIARIES</w:t>
      </w:r>
    </w:p>
    <w:p>
      <w:pPr>
        <w:ind w:left="3200"/>
        <w:spacing w:after="0" w:line="225" w:lineRule="auto"/>
        <w:rPr>
          <w:sz w:val="20"/>
          <w:szCs w:val="20"/>
          <w:color w:val="auto"/>
        </w:rPr>
      </w:pPr>
      <w:r>
        <w:rPr>
          <w:rFonts w:ascii="Arial" w:cs="Arial" w:eastAsia="Arial" w:hAnsi="Arial"/>
          <w:sz w:val="14"/>
          <w:szCs w:val="14"/>
          <w:b w:val="1"/>
          <w:bCs w:val="1"/>
          <w:color w:val="auto"/>
        </w:rPr>
        <w:t>NOTES TO CONSOLIDATED FINANCIAL STATEMENTS—(Continued)</w:t>
      </w:r>
    </w:p>
    <w:p>
      <w:pPr>
        <w:jc w:val="center"/>
        <w:ind w:right="60"/>
        <w:spacing w:after="0" w:line="221" w:lineRule="auto"/>
        <w:rPr>
          <w:sz w:val="20"/>
          <w:szCs w:val="20"/>
          <w:color w:val="auto"/>
        </w:rPr>
      </w:pPr>
      <w:r>
        <w:rPr>
          <w:rFonts w:ascii="Arial" w:cs="Arial" w:eastAsia="Arial" w:hAnsi="Arial"/>
          <w:sz w:val="14"/>
          <w:szCs w:val="14"/>
          <w:b w:val="1"/>
          <w:bCs w:val="1"/>
          <w:color w:val="auto"/>
        </w:rPr>
        <w:t>JUNE 30, 2017</w:t>
      </w:r>
    </w:p>
    <w:p>
      <w:pPr>
        <w:spacing w:after="0" w:line="1" w:lineRule="exact"/>
        <w:rPr>
          <w:sz w:val="20"/>
          <w:szCs w:val="20"/>
          <w:color w:val="auto"/>
        </w:rPr>
      </w:pPr>
    </w:p>
    <w:p>
      <w:pPr>
        <w:jc w:val="center"/>
        <w:ind w:right="60"/>
        <w:spacing w:after="0"/>
        <w:rPr>
          <w:sz w:val="20"/>
          <w:szCs w:val="20"/>
          <w:color w:val="auto"/>
        </w:rPr>
      </w:pPr>
      <w:r>
        <w:rPr>
          <w:rFonts w:ascii="Arial" w:cs="Arial" w:eastAsia="Arial" w:hAnsi="Arial"/>
          <w:sz w:val="14"/>
          <w:szCs w:val="14"/>
          <w:b w:val="1"/>
          <w:bCs w:val="1"/>
          <w:color w:val="auto"/>
        </w:rPr>
        <w:t>(Unaudited)</w:t>
      </w:r>
    </w:p>
    <w:p>
      <w:pPr>
        <w:spacing w:after="0" w:line="188"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6. TRANSACTIONS WITH AFFILIATED COMPANIES</w:t>
      </w:r>
    </w:p>
    <w:p>
      <w:pPr>
        <w:spacing w:after="0" w:line="140" w:lineRule="exact"/>
        <w:rPr>
          <w:sz w:val="20"/>
          <w:szCs w:val="20"/>
          <w:color w:val="auto"/>
        </w:rPr>
      </w:pPr>
    </w:p>
    <w:p>
      <w:pPr>
        <w:ind w:right="420" w:firstLine="435"/>
        <w:spacing w:after="0" w:line="238" w:lineRule="auto"/>
        <w:rPr>
          <w:sz w:val="20"/>
          <w:szCs w:val="20"/>
          <w:color w:val="auto"/>
        </w:rPr>
      </w:pPr>
      <w:r>
        <w:rPr>
          <w:rFonts w:ascii="Arial" w:cs="Arial" w:eastAsia="Arial" w:hAnsi="Arial"/>
          <w:sz w:val="14"/>
          <w:szCs w:val="14"/>
          <w:color w:val="auto"/>
        </w:rPr>
        <w:t>An affiliated portfolio company is a company in which we have ownership of 5% or more of its voting securities. A portfolio company is generally presumed to be a non-controlled affiliate when we own at least 5% but 25% or less of its voting securities and a controlled affiliate when we own more than 25% of its voting securities. Transactions related to our funded investments with both controlled and non-controlled affiliates for the nine months ended June 30, 2017 were as follows:</w:t>
      </w:r>
    </w:p>
    <w:p>
      <w:pPr>
        <w:spacing w:after="0" w:line="11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3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220" w:type="dxa"/>
            <w:vAlign w:val="bottom"/>
            <w:vMerge w:val="restart"/>
          </w:tcPr>
          <w:p>
            <w:pPr>
              <w:jc w:val="right"/>
              <w:ind w:right="228"/>
              <w:spacing w:after="0"/>
              <w:rPr>
                <w:sz w:val="20"/>
                <w:szCs w:val="20"/>
                <w:color w:val="auto"/>
              </w:rPr>
            </w:pPr>
            <w:r>
              <w:rPr>
                <w:rFonts w:ascii="Arial" w:cs="Arial" w:eastAsia="Arial" w:hAnsi="Arial"/>
                <w:sz w:val="14"/>
                <w:szCs w:val="14"/>
                <w:b w:val="1"/>
                <w:bCs w:val="1"/>
                <w:color w:val="auto"/>
              </w:rPr>
              <w:t>Fair Value at</w:t>
            </w:r>
          </w:p>
        </w:tc>
        <w:tc>
          <w:tcPr>
            <w:tcW w:w="2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120" w:type="dxa"/>
            <w:vAlign w:val="bottom"/>
          </w:tcPr>
          <w:p>
            <w:pPr>
              <w:jc w:val="center"/>
              <w:ind w:right="68"/>
              <w:spacing w:after="0"/>
              <w:rPr>
                <w:sz w:val="20"/>
                <w:szCs w:val="20"/>
                <w:color w:val="auto"/>
              </w:rPr>
            </w:pPr>
            <w:r>
              <w:rPr>
                <w:rFonts w:ascii="Arial" w:cs="Arial" w:eastAsia="Arial" w:hAnsi="Arial"/>
                <w:sz w:val="14"/>
                <w:szCs w:val="14"/>
                <w:b w:val="1"/>
                <w:bCs w:val="1"/>
                <w:color w:val="auto"/>
                <w:w w:val="89"/>
              </w:rPr>
              <w:t>Purchases of /</w:t>
            </w:r>
          </w:p>
        </w:tc>
        <w:tc>
          <w:tcPr>
            <w:tcW w:w="2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8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93"/>
              </w:rPr>
              <w:t>Sale of /</w:t>
            </w:r>
          </w:p>
        </w:tc>
        <w:tc>
          <w:tcPr>
            <w:tcW w:w="1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00" w:type="dxa"/>
            <w:vAlign w:val="bottom"/>
            <w:vMerge w:val="restart"/>
          </w:tcPr>
          <w:p>
            <w:pPr>
              <w:jc w:val="right"/>
              <w:ind w:right="308"/>
              <w:spacing w:after="0"/>
              <w:rPr>
                <w:sz w:val="20"/>
                <w:szCs w:val="20"/>
                <w:color w:val="auto"/>
              </w:rPr>
            </w:pPr>
            <w:r>
              <w:rPr>
                <w:rFonts w:ascii="Arial" w:cs="Arial" w:eastAsia="Arial" w:hAnsi="Arial"/>
                <w:sz w:val="14"/>
                <w:szCs w:val="14"/>
                <w:b w:val="1"/>
                <w:bCs w:val="1"/>
                <w:color w:val="auto"/>
              </w:rPr>
              <w:t>Income</w:t>
            </w:r>
          </w:p>
        </w:tc>
        <w:tc>
          <w:tcPr>
            <w:tcW w:w="2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140" w:type="dxa"/>
            <w:vAlign w:val="bottom"/>
            <w:vMerge w:val="restart"/>
          </w:tcPr>
          <w:p>
            <w:pPr>
              <w:jc w:val="right"/>
              <w:ind w:right="148"/>
              <w:spacing w:after="0"/>
              <w:rPr>
                <w:sz w:val="20"/>
                <w:szCs w:val="20"/>
                <w:color w:val="auto"/>
              </w:rPr>
            </w:pPr>
            <w:r>
              <w:rPr>
                <w:rFonts w:ascii="Arial" w:cs="Arial" w:eastAsia="Arial" w:hAnsi="Arial"/>
                <w:sz w:val="14"/>
                <w:szCs w:val="14"/>
                <w:b w:val="1"/>
                <w:bCs w:val="1"/>
                <w:color w:val="auto"/>
              </w:rPr>
              <w:t>Fair Value at</w:t>
            </w:r>
          </w:p>
        </w:tc>
        <w:tc>
          <w:tcPr>
            <w:tcW w:w="240" w:type="dxa"/>
            <w:vAlign w:val="bottom"/>
          </w:tcPr>
          <w:p>
            <w:pPr>
              <w:spacing w:after="0"/>
              <w:rPr>
                <w:sz w:val="14"/>
                <w:szCs w:val="14"/>
                <w:color w:val="auto"/>
              </w:rPr>
            </w:pPr>
          </w:p>
        </w:tc>
        <w:tc>
          <w:tcPr>
            <w:tcW w:w="1360" w:type="dxa"/>
            <w:vAlign w:val="bottom"/>
            <w:gridSpan w:val="3"/>
            <w:vMerge w:val="restart"/>
          </w:tcPr>
          <w:p>
            <w:pPr>
              <w:jc w:val="right"/>
              <w:ind w:right="160"/>
              <w:spacing w:after="0"/>
              <w:rPr>
                <w:sz w:val="20"/>
                <w:szCs w:val="20"/>
                <w:color w:val="auto"/>
              </w:rPr>
            </w:pPr>
            <w:r>
              <w:rPr>
                <w:rFonts w:ascii="Arial" w:cs="Arial" w:eastAsia="Arial" w:hAnsi="Arial"/>
                <w:sz w:val="14"/>
                <w:szCs w:val="14"/>
                <w:b w:val="1"/>
                <w:bCs w:val="1"/>
                <w:color w:val="auto"/>
                <w:w w:val="93"/>
              </w:rPr>
              <w:t>Net Realized Gains</w:t>
            </w:r>
          </w:p>
        </w:tc>
        <w:tc>
          <w:tcPr>
            <w:tcW w:w="0" w:type="dxa"/>
            <w:vAlign w:val="bottom"/>
          </w:tcPr>
          <w:p>
            <w:pPr>
              <w:spacing w:after="0"/>
              <w:rPr>
                <w:sz w:val="1"/>
                <w:szCs w:val="1"/>
                <w:color w:val="auto"/>
              </w:rPr>
            </w:pPr>
          </w:p>
        </w:tc>
      </w:tr>
      <w:tr>
        <w:trPr>
          <w:trHeight w:val="148"/>
        </w:trPr>
        <w:tc>
          <w:tcPr>
            <w:tcW w:w="2300" w:type="dxa"/>
            <w:vAlign w:val="bottom"/>
            <w:vMerge w:val="restart"/>
          </w:tcPr>
          <w:p>
            <w:pPr>
              <w:spacing w:after="0"/>
              <w:rPr>
                <w:sz w:val="20"/>
                <w:szCs w:val="20"/>
                <w:color w:val="auto"/>
              </w:rPr>
            </w:pPr>
            <w:r>
              <w:rPr>
                <w:rFonts w:ascii="Arial" w:cs="Arial" w:eastAsia="Arial" w:hAnsi="Arial"/>
                <w:sz w:val="14"/>
                <w:szCs w:val="14"/>
                <w:b w:val="1"/>
                <w:bCs w:val="1"/>
                <w:color w:val="auto"/>
              </w:rPr>
              <w:t>Name of Investment</w:t>
            </w:r>
          </w:p>
        </w:tc>
        <w:tc>
          <w:tcPr>
            <w:tcW w:w="1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220" w:type="dxa"/>
            <w:vAlign w:val="bottom"/>
            <w:vMerge w:val="continue"/>
          </w:tcPr>
          <w:p>
            <w:pPr>
              <w:spacing w:after="0"/>
              <w:rPr>
                <w:sz w:val="12"/>
                <w:szCs w:val="12"/>
                <w:color w:val="auto"/>
              </w:rPr>
            </w:pPr>
          </w:p>
        </w:tc>
        <w:tc>
          <w:tcPr>
            <w:tcW w:w="2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120" w:type="dxa"/>
            <w:vAlign w:val="bottom"/>
          </w:tcPr>
          <w:p>
            <w:pPr>
              <w:jc w:val="center"/>
              <w:ind w:right="68"/>
              <w:spacing w:after="0" w:line="149" w:lineRule="exact"/>
              <w:rPr>
                <w:sz w:val="20"/>
                <w:szCs w:val="20"/>
                <w:color w:val="auto"/>
              </w:rPr>
            </w:pPr>
            <w:r>
              <w:rPr>
                <w:rFonts w:ascii="Arial" w:cs="Arial" w:eastAsia="Arial" w:hAnsi="Arial"/>
                <w:sz w:val="14"/>
                <w:szCs w:val="14"/>
                <w:b w:val="1"/>
                <w:bCs w:val="1"/>
                <w:color w:val="auto"/>
                <w:w w:val="88"/>
              </w:rPr>
              <w:t>Advances to</w:t>
            </w:r>
          </w:p>
        </w:tc>
        <w:tc>
          <w:tcPr>
            <w:tcW w:w="2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80" w:type="dxa"/>
            <w:vAlign w:val="bottom"/>
            <w:gridSpan w:val="2"/>
          </w:tcPr>
          <w:p>
            <w:pPr>
              <w:jc w:val="center"/>
              <w:ind w:right="220"/>
              <w:spacing w:after="0" w:line="149" w:lineRule="exact"/>
              <w:rPr>
                <w:sz w:val="20"/>
                <w:szCs w:val="20"/>
                <w:color w:val="auto"/>
              </w:rPr>
            </w:pPr>
            <w:r>
              <w:rPr>
                <w:rFonts w:ascii="Arial" w:cs="Arial" w:eastAsia="Arial" w:hAnsi="Arial"/>
                <w:sz w:val="14"/>
                <w:szCs w:val="14"/>
                <w:b w:val="1"/>
                <w:bCs w:val="1"/>
                <w:color w:val="auto"/>
                <w:w w:val="94"/>
              </w:rPr>
              <w:t>Distributions</w:t>
            </w:r>
          </w:p>
        </w:tc>
        <w:tc>
          <w:tcPr>
            <w:tcW w:w="1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00" w:type="dxa"/>
            <w:vAlign w:val="bottom"/>
            <w:vMerge w:val="continue"/>
          </w:tcPr>
          <w:p>
            <w:pPr>
              <w:spacing w:after="0"/>
              <w:rPr>
                <w:sz w:val="12"/>
                <w:szCs w:val="12"/>
                <w:color w:val="auto"/>
              </w:rPr>
            </w:pPr>
          </w:p>
        </w:tc>
        <w:tc>
          <w:tcPr>
            <w:tcW w:w="2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140" w:type="dxa"/>
            <w:vAlign w:val="bottom"/>
            <w:vMerge w:val="continue"/>
          </w:tcPr>
          <w:p>
            <w:pPr>
              <w:spacing w:after="0"/>
              <w:rPr>
                <w:sz w:val="12"/>
                <w:szCs w:val="12"/>
                <w:color w:val="auto"/>
              </w:rPr>
            </w:pPr>
          </w:p>
        </w:tc>
        <w:tc>
          <w:tcPr>
            <w:tcW w:w="240" w:type="dxa"/>
            <w:vAlign w:val="bottom"/>
          </w:tcPr>
          <w:p>
            <w:pPr>
              <w:spacing w:after="0"/>
              <w:rPr>
                <w:sz w:val="12"/>
                <w:szCs w:val="12"/>
                <w:color w:val="auto"/>
              </w:rPr>
            </w:pPr>
          </w:p>
        </w:tc>
        <w:tc>
          <w:tcPr>
            <w:tcW w:w="1360" w:type="dxa"/>
            <w:vAlign w:val="bottom"/>
            <w:gridSpan w:val="3"/>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71"/>
        </w:trPr>
        <w:tc>
          <w:tcPr>
            <w:tcW w:w="2300" w:type="dxa"/>
            <w:vAlign w:val="bottom"/>
            <w:vMerge w:val="continue"/>
          </w:tcPr>
          <w:p>
            <w:pPr>
              <w:spacing w:after="0"/>
              <w:rPr>
                <w:sz w:val="14"/>
                <w:szCs w:val="14"/>
                <w:color w:val="auto"/>
              </w:rPr>
            </w:pPr>
          </w:p>
        </w:tc>
        <w:tc>
          <w:tcPr>
            <w:tcW w:w="1520" w:type="dxa"/>
            <w:vAlign w:val="bottom"/>
            <w:gridSpan w:val="3"/>
          </w:tcPr>
          <w:p>
            <w:pPr>
              <w:ind w:left="120"/>
              <w:spacing w:after="0"/>
              <w:rPr>
                <w:sz w:val="20"/>
                <w:szCs w:val="20"/>
                <w:color w:val="auto"/>
              </w:rPr>
            </w:pPr>
            <w:r>
              <w:rPr>
                <w:rFonts w:ascii="Arial" w:cs="Arial" w:eastAsia="Arial" w:hAnsi="Arial"/>
                <w:sz w:val="14"/>
                <w:szCs w:val="14"/>
                <w:b w:val="1"/>
                <w:bCs w:val="1"/>
                <w:color w:val="auto"/>
                <w:w w:val="92"/>
              </w:rPr>
              <w:t xml:space="preserve">September 30, 2016 </w:t>
            </w:r>
            <w:r>
              <w:rPr>
                <w:rFonts w:ascii="Arial" w:cs="Arial" w:eastAsia="Arial" w:hAnsi="Arial"/>
                <w:sz w:val="12"/>
                <w:szCs w:val="12"/>
                <w:b w:val="1"/>
                <w:bCs w:val="1"/>
                <w:color w:val="auto"/>
                <w:w w:val="92"/>
              </w:rPr>
              <w:t>(1)</w:t>
            </w:r>
          </w:p>
        </w:tc>
        <w:tc>
          <w:tcPr>
            <w:tcW w:w="2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120" w:type="dxa"/>
            <w:vAlign w:val="bottom"/>
          </w:tcPr>
          <w:p>
            <w:pPr>
              <w:jc w:val="center"/>
              <w:ind w:right="68"/>
              <w:spacing w:after="0"/>
              <w:rPr>
                <w:sz w:val="20"/>
                <w:szCs w:val="20"/>
                <w:color w:val="auto"/>
              </w:rPr>
            </w:pPr>
            <w:r>
              <w:rPr>
                <w:rFonts w:ascii="Arial" w:cs="Arial" w:eastAsia="Arial" w:hAnsi="Arial"/>
                <w:sz w:val="14"/>
                <w:szCs w:val="14"/>
                <w:b w:val="1"/>
                <w:bCs w:val="1"/>
                <w:color w:val="auto"/>
                <w:w w:val="94"/>
              </w:rPr>
              <w:t xml:space="preserve">Affiliates </w:t>
            </w:r>
            <w:r>
              <w:rPr>
                <w:rFonts w:ascii="Arial" w:cs="Arial" w:eastAsia="Arial" w:hAnsi="Arial"/>
                <w:sz w:val="12"/>
                <w:szCs w:val="12"/>
                <w:b w:val="1"/>
                <w:bCs w:val="1"/>
                <w:color w:val="auto"/>
                <w:w w:val="94"/>
              </w:rPr>
              <w:t>(1), (2)</w:t>
            </w:r>
          </w:p>
        </w:tc>
        <w:tc>
          <w:tcPr>
            <w:tcW w:w="2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8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94"/>
              </w:rPr>
              <w:t xml:space="preserve">from Affiliates </w:t>
            </w:r>
            <w:r>
              <w:rPr>
                <w:rFonts w:ascii="Arial" w:cs="Arial" w:eastAsia="Arial" w:hAnsi="Arial"/>
                <w:sz w:val="12"/>
                <w:szCs w:val="12"/>
                <w:b w:val="1"/>
                <w:bCs w:val="1"/>
                <w:color w:val="auto"/>
                <w:w w:val="94"/>
              </w:rPr>
              <w:t>(1)</w:t>
            </w:r>
          </w:p>
        </w:tc>
        <w:tc>
          <w:tcPr>
            <w:tcW w:w="1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00" w:type="dxa"/>
            <w:vAlign w:val="bottom"/>
          </w:tcPr>
          <w:p>
            <w:pPr>
              <w:jc w:val="right"/>
              <w:ind w:right="288"/>
              <w:spacing w:after="0"/>
              <w:rPr>
                <w:sz w:val="20"/>
                <w:szCs w:val="20"/>
                <w:color w:val="auto"/>
              </w:rPr>
            </w:pPr>
            <w:r>
              <w:rPr>
                <w:rFonts w:ascii="Arial" w:cs="Arial" w:eastAsia="Arial" w:hAnsi="Arial"/>
                <w:sz w:val="14"/>
                <w:szCs w:val="14"/>
                <w:b w:val="1"/>
                <w:bCs w:val="1"/>
                <w:color w:val="auto"/>
              </w:rPr>
              <w:t>Accrued</w:t>
            </w:r>
          </w:p>
        </w:tc>
        <w:tc>
          <w:tcPr>
            <w:tcW w:w="2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140" w:type="dxa"/>
            <w:vAlign w:val="bottom"/>
          </w:tcPr>
          <w:p>
            <w:pPr>
              <w:jc w:val="right"/>
              <w:ind w:right="28"/>
              <w:spacing w:after="0"/>
              <w:rPr>
                <w:sz w:val="20"/>
                <w:szCs w:val="20"/>
                <w:color w:val="auto"/>
              </w:rPr>
            </w:pPr>
            <w:r>
              <w:rPr>
                <w:rFonts w:ascii="Arial" w:cs="Arial" w:eastAsia="Arial" w:hAnsi="Arial"/>
                <w:sz w:val="14"/>
                <w:szCs w:val="14"/>
                <w:b w:val="1"/>
                <w:bCs w:val="1"/>
                <w:color w:val="auto"/>
                <w:w w:val="93"/>
              </w:rPr>
              <w:t xml:space="preserve">June 30, 2017 </w:t>
            </w:r>
            <w:r>
              <w:rPr>
                <w:rFonts w:ascii="Arial" w:cs="Arial" w:eastAsia="Arial" w:hAnsi="Arial"/>
                <w:sz w:val="12"/>
                <w:szCs w:val="12"/>
                <w:b w:val="1"/>
                <w:bCs w:val="1"/>
                <w:color w:val="auto"/>
                <w:w w:val="93"/>
              </w:rPr>
              <w:t>(1)</w:t>
            </w:r>
          </w:p>
        </w:tc>
        <w:tc>
          <w:tcPr>
            <w:tcW w:w="2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140" w:type="dxa"/>
            <w:vAlign w:val="bottom"/>
            <w:gridSpan w:val="2"/>
          </w:tcPr>
          <w:p>
            <w:pPr>
              <w:jc w:val="right"/>
              <w:ind w:right="500"/>
              <w:spacing w:after="0"/>
              <w:rPr>
                <w:sz w:val="20"/>
                <w:szCs w:val="20"/>
                <w:color w:val="auto"/>
              </w:rPr>
            </w:pPr>
            <w:r>
              <w:rPr>
                <w:rFonts w:ascii="Arial" w:cs="Arial" w:eastAsia="Arial" w:hAnsi="Arial"/>
                <w:sz w:val="14"/>
                <w:szCs w:val="14"/>
                <w:b w:val="1"/>
                <w:bCs w:val="1"/>
                <w:color w:val="auto"/>
              </w:rPr>
              <w:t>(Losses)</w:t>
            </w:r>
          </w:p>
        </w:tc>
        <w:tc>
          <w:tcPr>
            <w:tcW w:w="0" w:type="dxa"/>
            <w:vAlign w:val="bottom"/>
          </w:tcPr>
          <w:p>
            <w:pPr>
              <w:spacing w:after="0"/>
              <w:rPr>
                <w:sz w:val="1"/>
                <w:szCs w:val="1"/>
                <w:color w:val="auto"/>
              </w:rPr>
            </w:pPr>
          </w:p>
        </w:tc>
      </w:tr>
      <w:tr>
        <w:trPr>
          <w:trHeight w:val="155"/>
        </w:trPr>
        <w:tc>
          <w:tcPr>
            <w:tcW w:w="2300" w:type="dxa"/>
            <w:vAlign w:val="bottom"/>
            <w:tcBorders>
              <w:top w:val="single" w:sz="8" w:color="auto"/>
            </w:tcBorders>
            <w:shd w:val="clear" w:color="auto" w:fill="CCECFF"/>
          </w:tcPr>
          <w:p>
            <w:pPr>
              <w:spacing w:after="0" w:line="155" w:lineRule="exact"/>
              <w:rPr>
                <w:sz w:val="20"/>
                <w:szCs w:val="20"/>
                <w:color w:val="auto"/>
              </w:rPr>
            </w:pPr>
            <w:r>
              <w:rPr>
                <w:rFonts w:ascii="Arial" w:cs="Arial" w:eastAsia="Arial" w:hAnsi="Arial"/>
                <w:sz w:val="14"/>
                <w:szCs w:val="14"/>
                <w:b w:val="1"/>
                <w:bCs w:val="1"/>
                <w:color w:val="auto"/>
              </w:rPr>
              <w:t>Controlled Affiliates</w:t>
            </w:r>
          </w:p>
        </w:tc>
        <w:tc>
          <w:tcPr>
            <w:tcW w:w="120" w:type="dxa"/>
            <w:vAlign w:val="bottom"/>
            <w:tcBorders>
              <w:top w:val="single" w:sz="8" w:color="CCECFF"/>
            </w:tcBorders>
            <w:shd w:val="clear" w:color="auto" w:fill="CCECFF"/>
          </w:tcPr>
          <w:p>
            <w:pPr>
              <w:spacing w:after="0"/>
              <w:rPr>
                <w:sz w:val="13"/>
                <w:szCs w:val="13"/>
                <w:color w:val="auto"/>
              </w:rPr>
            </w:pPr>
          </w:p>
        </w:tc>
        <w:tc>
          <w:tcPr>
            <w:tcW w:w="180" w:type="dxa"/>
            <w:vAlign w:val="bottom"/>
            <w:tcBorders>
              <w:top w:val="single" w:sz="8" w:color="auto"/>
            </w:tcBorders>
            <w:shd w:val="clear" w:color="auto" w:fill="CCECFF"/>
          </w:tcPr>
          <w:p>
            <w:pPr>
              <w:spacing w:after="0"/>
              <w:rPr>
                <w:sz w:val="13"/>
                <w:szCs w:val="13"/>
                <w:color w:val="auto"/>
              </w:rPr>
            </w:pPr>
          </w:p>
        </w:tc>
        <w:tc>
          <w:tcPr>
            <w:tcW w:w="1220" w:type="dxa"/>
            <w:vAlign w:val="bottom"/>
            <w:tcBorders>
              <w:top w:val="single" w:sz="8" w:color="auto"/>
            </w:tcBorders>
            <w:shd w:val="clear" w:color="auto" w:fill="CCECFF"/>
          </w:tcPr>
          <w:p>
            <w:pPr>
              <w:spacing w:after="0"/>
              <w:rPr>
                <w:sz w:val="13"/>
                <w:szCs w:val="13"/>
                <w:color w:val="auto"/>
              </w:rPr>
            </w:pPr>
          </w:p>
        </w:tc>
        <w:tc>
          <w:tcPr>
            <w:tcW w:w="220" w:type="dxa"/>
            <w:vAlign w:val="bottom"/>
            <w:tcBorders>
              <w:top w:val="single" w:sz="8" w:color="CCECFF"/>
            </w:tcBorders>
            <w:shd w:val="clear" w:color="auto" w:fill="CCECFF"/>
          </w:tcPr>
          <w:p>
            <w:pPr>
              <w:spacing w:after="0"/>
              <w:rPr>
                <w:sz w:val="13"/>
                <w:szCs w:val="13"/>
                <w:color w:val="auto"/>
              </w:rPr>
            </w:pPr>
          </w:p>
        </w:tc>
        <w:tc>
          <w:tcPr>
            <w:tcW w:w="120" w:type="dxa"/>
            <w:vAlign w:val="bottom"/>
            <w:tcBorders>
              <w:top w:val="single" w:sz="8" w:color="auto"/>
            </w:tcBorders>
            <w:shd w:val="clear" w:color="auto" w:fill="CCECFF"/>
          </w:tcPr>
          <w:p>
            <w:pPr>
              <w:spacing w:after="0"/>
              <w:rPr>
                <w:sz w:val="13"/>
                <w:szCs w:val="13"/>
                <w:color w:val="auto"/>
              </w:rPr>
            </w:pPr>
          </w:p>
        </w:tc>
        <w:tc>
          <w:tcPr>
            <w:tcW w:w="1120" w:type="dxa"/>
            <w:vAlign w:val="bottom"/>
            <w:tcBorders>
              <w:top w:val="single" w:sz="8" w:color="auto"/>
            </w:tcBorders>
            <w:shd w:val="clear" w:color="auto" w:fill="CCECFF"/>
          </w:tcPr>
          <w:p>
            <w:pPr>
              <w:spacing w:after="0"/>
              <w:rPr>
                <w:sz w:val="13"/>
                <w:szCs w:val="13"/>
                <w:color w:val="auto"/>
              </w:rPr>
            </w:pPr>
          </w:p>
        </w:tc>
        <w:tc>
          <w:tcPr>
            <w:tcW w:w="220" w:type="dxa"/>
            <w:vAlign w:val="bottom"/>
            <w:tcBorders>
              <w:top w:val="single" w:sz="8" w:color="CCECFF"/>
            </w:tcBorders>
            <w:shd w:val="clear" w:color="auto" w:fill="CCECFF"/>
          </w:tcPr>
          <w:p>
            <w:pPr>
              <w:spacing w:after="0"/>
              <w:rPr>
                <w:sz w:val="13"/>
                <w:szCs w:val="13"/>
                <w:color w:val="auto"/>
              </w:rPr>
            </w:pPr>
          </w:p>
        </w:tc>
        <w:tc>
          <w:tcPr>
            <w:tcW w:w="80" w:type="dxa"/>
            <w:vAlign w:val="bottom"/>
            <w:tcBorders>
              <w:top w:val="single" w:sz="8" w:color="auto"/>
            </w:tcBorders>
            <w:shd w:val="clear" w:color="auto" w:fill="CCECFF"/>
          </w:tcPr>
          <w:p>
            <w:pPr>
              <w:spacing w:after="0"/>
              <w:rPr>
                <w:sz w:val="13"/>
                <w:szCs w:val="13"/>
                <w:color w:val="auto"/>
              </w:rPr>
            </w:pPr>
          </w:p>
        </w:tc>
        <w:tc>
          <w:tcPr>
            <w:tcW w:w="1160" w:type="dxa"/>
            <w:vAlign w:val="bottom"/>
            <w:tcBorders>
              <w:top w:val="single" w:sz="8" w:color="auto"/>
            </w:tcBorders>
            <w:shd w:val="clear" w:color="auto" w:fill="CCECFF"/>
          </w:tcPr>
          <w:p>
            <w:pPr>
              <w:spacing w:after="0"/>
              <w:rPr>
                <w:sz w:val="13"/>
                <w:szCs w:val="13"/>
                <w:color w:val="auto"/>
              </w:rPr>
            </w:pPr>
          </w:p>
        </w:tc>
        <w:tc>
          <w:tcPr>
            <w:tcW w:w="120" w:type="dxa"/>
            <w:vAlign w:val="bottom"/>
            <w:tcBorders>
              <w:top w:val="single" w:sz="8" w:color="CCECFF"/>
            </w:tcBorders>
            <w:shd w:val="clear" w:color="auto" w:fill="CCECFF"/>
          </w:tcPr>
          <w:p>
            <w:pPr>
              <w:spacing w:after="0"/>
              <w:rPr>
                <w:sz w:val="13"/>
                <w:szCs w:val="13"/>
                <w:color w:val="auto"/>
              </w:rPr>
            </w:pPr>
          </w:p>
        </w:tc>
        <w:tc>
          <w:tcPr>
            <w:tcW w:w="100" w:type="dxa"/>
            <w:vAlign w:val="bottom"/>
            <w:tcBorders>
              <w:top w:val="single" w:sz="8" w:color="CCECFF"/>
            </w:tcBorders>
            <w:shd w:val="clear" w:color="auto" w:fill="CCECFF"/>
          </w:tcPr>
          <w:p>
            <w:pPr>
              <w:spacing w:after="0"/>
              <w:rPr>
                <w:sz w:val="13"/>
                <w:szCs w:val="13"/>
                <w:color w:val="auto"/>
              </w:rPr>
            </w:pPr>
          </w:p>
        </w:tc>
        <w:tc>
          <w:tcPr>
            <w:tcW w:w="220" w:type="dxa"/>
            <w:vAlign w:val="bottom"/>
            <w:tcBorders>
              <w:top w:val="single" w:sz="8" w:color="auto"/>
            </w:tcBorders>
            <w:shd w:val="clear" w:color="auto" w:fill="CCECFF"/>
          </w:tcPr>
          <w:p>
            <w:pPr>
              <w:spacing w:after="0"/>
              <w:rPr>
                <w:sz w:val="13"/>
                <w:szCs w:val="13"/>
                <w:color w:val="auto"/>
              </w:rPr>
            </w:pPr>
          </w:p>
        </w:tc>
        <w:tc>
          <w:tcPr>
            <w:tcW w:w="1000" w:type="dxa"/>
            <w:vAlign w:val="bottom"/>
            <w:tcBorders>
              <w:top w:val="single" w:sz="8" w:color="auto"/>
            </w:tcBorders>
            <w:shd w:val="clear" w:color="auto" w:fill="CCECFF"/>
          </w:tcPr>
          <w:p>
            <w:pPr>
              <w:spacing w:after="0"/>
              <w:rPr>
                <w:sz w:val="13"/>
                <w:szCs w:val="13"/>
                <w:color w:val="auto"/>
              </w:rPr>
            </w:pPr>
          </w:p>
        </w:tc>
        <w:tc>
          <w:tcPr>
            <w:tcW w:w="240" w:type="dxa"/>
            <w:vAlign w:val="bottom"/>
            <w:tcBorders>
              <w:top w:val="single" w:sz="8" w:color="CCECFF"/>
            </w:tcBorders>
            <w:shd w:val="clear" w:color="auto" w:fill="CCECFF"/>
          </w:tcPr>
          <w:p>
            <w:pPr>
              <w:spacing w:after="0"/>
              <w:rPr>
                <w:sz w:val="13"/>
                <w:szCs w:val="13"/>
                <w:color w:val="auto"/>
              </w:rPr>
            </w:pPr>
          </w:p>
        </w:tc>
        <w:tc>
          <w:tcPr>
            <w:tcW w:w="80" w:type="dxa"/>
            <w:vAlign w:val="bottom"/>
            <w:tcBorders>
              <w:top w:val="single" w:sz="8" w:color="auto"/>
            </w:tcBorders>
            <w:shd w:val="clear" w:color="auto" w:fill="CCECFF"/>
          </w:tcPr>
          <w:p>
            <w:pPr>
              <w:spacing w:after="0"/>
              <w:rPr>
                <w:sz w:val="13"/>
                <w:szCs w:val="13"/>
                <w:color w:val="auto"/>
              </w:rPr>
            </w:pPr>
          </w:p>
        </w:tc>
        <w:tc>
          <w:tcPr>
            <w:tcW w:w="1140" w:type="dxa"/>
            <w:vAlign w:val="bottom"/>
            <w:tcBorders>
              <w:top w:val="single" w:sz="8" w:color="auto"/>
            </w:tcBorders>
            <w:shd w:val="clear" w:color="auto" w:fill="CCECFF"/>
          </w:tcPr>
          <w:p>
            <w:pPr>
              <w:spacing w:after="0"/>
              <w:rPr>
                <w:sz w:val="13"/>
                <w:szCs w:val="13"/>
                <w:color w:val="auto"/>
              </w:rPr>
            </w:pPr>
          </w:p>
        </w:tc>
        <w:tc>
          <w:tcPr>
            <w:tcW w:w="240" w:type="dxa"/>
            <w:vAlign w:val="bottom"/>
            <w:tcBorders>
              <w:top w:val="single" w:sz="8" w:color="CCECFF"/>
            </w:tcBorders>
            <w:shd w:val="clear" w:color="auto" w:fill="CCECFF"/>
          </w:tcPr>
          <w:p>
            <w:pPr>
              <w:spacing w:after="0"/>
              <w:rPr>
                <w:sz w:val="13"/>
                <w:szCs w:val="13"/>
                <w:color w:val="auto"/>
              </w:rPr>
            </w:pPr>
          </w:p>
        </w:tc>
        <w:tc>
          <w:tcPr>
            <w:tcW w:w="220" w:type="dxa"/>
            <w:vAlign w:val="bottom"/>
            <w:tcBorders>
              <w:top w:val="single" w:sz="8" w:color="auto"/>
            </w:tcBorders>
            <w:shd w:val="clear" w:color="auto" w:fill="CCECFF"/>
          </w:tcPr>
          <w:p>
            <w:pPr>
              <w:spacing w:after="0"/>
              <w:rPr>
                <w:sz w:val="13"/>
                <w:szCs w:val="13"/>
                <w:color w:val="auto"/>
              </w:rPr>
            </w:pPr>
          </w:p>
        </w:tc>
        <w:tc>
          <w:tcPr>
            <w:tcW w:w="1020" w:type="dxa"/>
            <w:vAlign w:val="bottom"/>
            <w:tcBorders>
              <w:top w:val="single" w:sz="8" w:color="auto"/>
            </w:tcBorders>
            <w:shd w:val="clear" w:color="auto" w:fill="CCECFF"/>
          </w:tcPr>
          <w:p>
            <w:pPr>
              <w:spacing w:after="0"/>
              <w:rPr>
                <w:sz w:val="13"/>
                <w:szCs w:val="13"/>
                <w:color w:val="auto"/>
              </w:rPr>
            </w:pPr>
          </w:p>
        </w:tc>
        <w:tc>
          <w:tcPr>
            <w:tcW w:w="120" w:type="dxa"/>
            <w:vAlign w:val="bottom"/>
            <w:tcBorders>
              <w:top w:val="single" w:sz="8" w:color="CCECFF"/>
            </w:tcBorders>
            <w:shd w:val="clear" w:color="auto" w:fill="CCECFF"/>
          </w:tcPr>
          <w:p>
            <w:pPr>
              <w:spacing w:after="0"/>
              <w:rPr>
                <w:sz w:val="13"/>
                <w:szCs w:val="13"/>
                <w:color w:val="auto"/>
              </w:rPr>
            </w:pPr>
          </w:p>
        </w:tc>
        <w:tc>
          <w:tcPr>
            <w:tcW w:w="0" w:type="dxa"/>
            <w:vAlign w:val="bottom"/>
          </w:tcPr>
          <w:p>
            <w:pPr>
              <w:spacing w:after="0"/>
              <w:rPr>
                <w:sz w:val="1"/>
                <w:szCs w:val="1"/>
                <w:color w:val="auto"/>
              </w:rPr>
            </w:pPr>
          </w:p>
        </w:tc>
      </w:tr>
      <w:tr>
        <w:trPr>
          <w:trHeight w:val="143"/>
        </w:trPr>
        <w:tc>
          <w:tcPr>
            <w:tcW w:w="2300" w:type="dxa"/>
            <w:vAlign w:val="bottom"/>
          </w:tcPr>
          <w:p>
            <w:pPr>
              <w:spacing w:after="0" w:line="143" w:lineRule="exact"/>
              <w:rPr>
                <w:sz w:val="20"/>
                <w:szCs w:val="20"/>
                <w:color w:val="auto"/>
              </w:rPr>
            </w:pPr>
            <w:r>
              <w:rPr>
                <w:rFonts w:ascii="Arial" w:cs="Arial" w:eastAsia="Arial" w:hAnsi="Arial"/>
                <w:sz w:val="14"/>
                <w:szCs w:val="14"/>
                <w:color w:val="auto"/>
              </w:rPr>
              <w:t>MidOcean JF Holdings Corp.</w:t>
            </w:r>
          </w:p>
        </w:tc>
        <w:tc>
          <w:tcPr>
            <w:tcW w:w="1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2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7"/>
        </w:trPr>
        <w:tc>
          <w:tcPr>
            <w:tcW w:w="2300" w:type="dxa"/>
            <w:vAlign w:val="bottom"/>
          </w:tcPr>
          <w:p>
            <w:pPr>
              <w:ind w:left="120"/>
              <w:spacing w:after="0"/>
              <w:rPr>
                <w:sz w:val="20"/>
                <w:szCs w:val="20"/>
                <w:color w:val="auto"/>
              </w:rPr>
            </w:pPr>
            <w:r>
              <w:rPr>
                <w:rFonts w:ascii="Arial" w:cs="Arial" w:eastAsia="Arial" w:hAnsi="Arial"/>
                <w:sz w:val="14"/>
                <w:szCs w:val="14"/>
                <w:color w:val="auto"/>
              </w:rPr>
              <w:t>(JF Acquisition, LLC)</w:t>
            </w:r>
          </w:p>
        </w:tc>
        <w:tc>
          <w:tcPr>
            <w:tcW w:w="300" w:type="dxa"/>
            <w:vAlign w:val="bottom"/>
            <w:gridSpan w:val="2"/>
          </w:tcPr>
          <w:p>
            <w:pPr>
              <w:ind w:left="120"/>
              <w:spacing w:after="0"/>
              <w:rPr>
                <w:sz w:val="20"/>
                <w:szCs w:val="20"/>
                <w:color w:val="auto"/>
              </w:rPr>
            </w:pPr>
            <w:r>
              <w:rPr>
                <w:rFonts w:ascii="Arial" w:cs="Arial" w:eastAsia="Arial" w:hAnsi="Arial"/>
                <w:sz w:val="14"/>
                <w:szCs w:val="14"/>
                <w:color w:val="auto"/>
              </w:rPr>
              <w:t>$</w:t>
            </w:r>
          </w:p>
        </w:tc>
        <w:tc>
          <w:tcPr>
            <w:tcW w:w="1220" w:type="dxa"/>
            <w:vAlign w:val="bottom"/>
          </w:tcPr>
          <w:p>
            <w:pPr>
              <w:jc w:val="right"/>
              <w:spacing w:after="0"/>
              <w:rPr>
                <w:sz w:val="20"/>
                <w:szCs w:val="20"/>
                <w:color w:val="auto"/>
              </w:rPr>
            </w:pPr>
            <w:r>
              <w:rPr>
                <w:rFonts w:ascii="Arial" w:cs="Arial" w:eastAsia="Arial" w:hAnsi="Arial"/>
                <w:sz w:val="14"/>
                <w:szCs w:val="14"/>
                <w:color w:val="auto"/>
              </w:rPr>
              <w:t>22,837,602</w:t>
            </w:r>
          </w:p>
        </w:tc>
        <w:tc>
          <w:tcPr>
            <w:tcW w:w="340" w:type="dxa"/>
            <w:vAlign w:val="bottom"/>
            <w:gridSpan w:val="2"/>
          </w:tcPr>
          <w:p>
            <w:pPr>
              <w:jc w:val="right"/>
              <w:ind w:right="40"/>
              <w:spacing w:after="0"/>
              <w:rPr>
                <w:sz w:val="20"/>
                <w:szCs w:val="20"/>
                <w:color w:val="auto"/>
              </w:rPr>
            </w:pPr>
            <w:r>
              <w:rPr>
                <w:rFonts w:ascii="Arial" w:cs="Arial" w:eastAsia="Arial" w:hAnsi="Arial"/>
                <w:sz w:val="14"/>
                <w:szCs w:val="14"/>
                <w:color w:val="auto"/>
              </w:rPr>
              <w:t>$</w:t>
            </w:r>
          </w:p>
        </w:tc>
        <w:tc>
          <w:tcPr>
            <w:tcW w:w="1120" w:type="dxa"/>
            <w:vAlign w:val="bottom"/>
          </w:tcPr>
          <w:p>
            <w:pPr>
              <w:jc w:val="right"/>
              <w:spacing w:after="0"/>
              <w:rPr>
                <w:sz w:val="20"/>
                <w:szCs w:val="20"/>
                <w:color w:val="auto"/>
              </w:rPr>
            </w:pPr>
            <w:r>
              <w:rPr>
                <w:rFonts w:ascii="Arial" w:cs="Arial" w:eastAsia="Arial" w:hAnsi="Arial"/>
                <w:sz w:val="14"/>
                <w:szCs w:val="14"/>
                <w:color w:val="auto"/>
              </w:rPr>
              <w:t>—</w:t>
            </w:r>
          </w:p>
        </w:tc>
        <w:tc>
          <w:tcPr>
            <w:tcW w:w="300" w:type="dxa"/>
            <w:vAlign w:val="bottom"/>
            <w:gridSpan w:val="2"/>
          </w:tcPr>
          <w:p>
            <w:pPr>
              <w:jc w:val="right"/>
              <w:spacing w:after="0"/>
              <w:rPr>
                <w:sz w:val="20"/>
                <w:szCs w:val="20"/>
                <w:color w:val="auto"/>
              </w:rPr>
            </w:pPr>
            <w:r>
              <w:rPr>
                <w:rFonts w:ascii="Arial" w:cs="Arial" w:eastAsia="Arial" w:hAnsi="Arial"/>
                <w:sz w:val="14"/>
                <w:szCs w:val="14"/>
                <w:color w:val="auto"/>
              </w:rPr>
              <w:t>$</w:t>
            </w:r>
          </w:p>
        </w:tc>
        <w:tc>
          <w:tcPr>
            <w:tcW w:w="128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32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1000" w:type="dxa"/>
            <w:vAlign w:val="bottom"/>
          </w:tcPr>
          <w:p>
            <w:pPr>
              <w:jc w:val="right"/>
              <w:spacing w:after="0"/>
              <w:rPr>
                <w:sz w:val="20"/>
                <w:szCs w:val="20"/>
                <w:color w:val="auto"/>
              </w:rPr>
            </w:pPr>
            <w:r>
              <w:rPr>
                <w:rFonts w:ascii="Arial" w:cs="Arial" w:eastAsia="Arial" w:hAnsi="Arial"/>
                <w:sz w:val="14"/>
                <w:szCs w:val="14"/>
                <w:color w:val="auto"/>
              </w:rPr>
              <w:t>—</w:t>
            </w:r>
          </w:p>
        </w:tc>
        <w:tc>
          <w:tcPr>
            <w:tcW w:w="320" w:type="dxa"/>
            <w:vAlign w:val="bottom"/>
            <w:gridSpan w:val="2"/>
          </w:tcPr>
          <w:p>
            <w:pPr>
              <w:jc w:val="right"/>
              <w:spacing w:after="0"/>
              <w:rPr>
                <w:sz w:val="20"/>
                <w:szCs w:val="20"/>
                <w:color w:val="auto"/>
              </w:rPr>
            </w:pPr>
            <w:r>
              <w:rPr>
                <w:rFonts w:ascii="Arial" w:cs="Arial" w:eastAsia="Arial" w:hAnsi="Arial"/>
                <w:sz w:val="14"/>
                <w:szCs w:val="14"/>
                <w:color w:val="auto"/>
              </w:rPr>
              <w:t>$</w:t>
            </w:r>
          </w:p>
        </w:tc>
        <w:tc>
          <w:tcPr>
            <w:tcW w:w="1140" w:type="dxa"/>
            <w:vAlign w:val="bottom"/>
          </w:tcPr>
          <w:p>
            <w:pPr>
              <w:jc w:val="right"/>
              <w:spacing w:after="0"/>
              <w:rPr>
                <w:sz w:val="20"/>
                <w:szCs w:val="20"/>
                <w:color w:val="auto"/>
              </w:rPr>
            </w:pPr>
            <w:r>
              <w:rPr>
                <w:rFonts w:ascii="Arial" w:cs="Arial" w:eastAsia="Arial" w:hAnsi="Arial"/>
                <w:sz w:val="14"/>
                <w:szCs w:val="14"/>
                <w:color w:val="auto"/>
              </w:rPr>
              <w:t>19,572,967</w:t>
            </w:r>
          </w:p>
        </w:tc>
        <w:tc>
          <w:tcPr>
            <w:tcW w:w="460" w:type="dxa"/>
            <w:vAlign w:val="bottom"/>
            <w:gridSpan w:val="2"/>
          </w:tcPr>
          <w:p>
            <w:pPr>
              <w:jc w:val="right"/>
              <w:ind w:right="88"/>
              <w:spacing w:after="0"/>
              <w:rPr>
                <w:sz w:val="20"/>
                <w:szCs w:val="20"/>
                <w:color w:val="auto"/>
              </w:rPr>
            </w:pPr>
            <w:r>
              <w:rPr>
                <w:rFonts w:ascii="Arial" w:cs="Arial" w:eastAsia="Arial" w:hAnsi="Arial"/>
                <w:sz w:val="14"/>
                <w:szCs w:val="14"/>
                <w:color w:val="auto"/>
              </w:rPr>
              <w:t>$</w:t>
            </w:r>
          </w:p>
        </w:tc>
        <w:tc>
          <w:tcPr>
            <w:tcW w:w="114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62"/>
        </w:trPr>
        <w:tc>
          <w:tcPr>
            <w:tcW w:w="2300" w:type="dxa"/>
            <w:vAlign w:val="bottom"/>
            <w:shd w:val="clear" w:color="auto" w:fill="CCECFF"/>
          </w:tcPr>
          <w:p>
            <w:pPr>
              <w:spacing w:after="0"/>
              <w:rPr>
                <w:sz w:val="20"/>
                <w:szCs w:val="20"/>
                <w:color w:val="auto"/>
              </w:rPr>
            </w:pPr>
            <w:r>
              <w:rPr>
                <w:rFonts w:ascii="Arial" w:cs="Arial" w:eastAsia="Arial" w:hAnsi="Arial"/>
                <w:sz w:val="14"/>
                <w:szCs w:val="14"/>
                <w:color w:val="auto"/>
              </w:rPr>
              <w:t>RAM Energy LLC</w:t>
            </w:r>
          </w:p>
        </w:tc>
        <w:tc>
          <w:tcPr>
            <w:tcW w:w="120" w:type="dxa"/>
            <w:vAlign w:val="bottom"/>
            <w:shd w:val="clear" w:color="auto" w:fill="CCECFF"/>
          </w:tcPr>
          <w:p>
            <w:pPr>
              <w:spacing w:after="0"/>
              <w:rPr>
                <w:sz w:val="14"/>
                <w:szCs w:val="14"/>
                <w:color w:val="auto"/>
              </w:rPr>
            </w:pPr>
          </w:p>
        </w:tc>
        <w:tc>
          <w:tcPr>
            <w:tcW w:w="180" w:type="dxa"/>
            <w:vAlign w:val="bottom"/>
            <w:shd w:val="clear" w:color="auto" w:fill="CCECFF"/>
          </w:tcPr>
          <w:p>
            <w:pPr>
              <w:spacing w:after="0"/>
              <w:rPr>
                <w:sz w:val="14"/>
                <w:szCs w:val="14"/>
                <w:color w:val="auto"/>
              </w:rPr>
            </w:pPr>
          </w:p>
        </w:tc>
        <w:tc>
          <w:tcPr>
            <w:tcW w:w="1220" w:type="dxa"/>
            <w:vAlign w:val="bottom"/>
            <w:shd w:val="clear" w:color="auto" w:fill="CCECFF"/>
          </w:tcPr>
          <w:p>
            <w:pPr>
              <w:jc w:val="right"/>
              <w:spacing w:after="0"/>
              <w:rPr>
                <w:sz w:val="20"/>
                <w:szCs w:val="20"/>
                <w:color w:val="auto"/>
              </w:rPr>
            </w:pPr>
            <w:r>
              <w:rPr>
                <w:rFonts w:ascii="Arial" w:cs="Arial" w:eastAsia="Arial" w:hAnsi="Arial"/>
                <w:sz w:val="14"/>
                <w:szCs w:val="14"/>
                <w:color w:val="auto"/>
              </w:rPr>
              <w:t>68,319,399</w:t>
            </w:r>
          </w:p>
        </w:tc>
        <w:tc>
          <w:tcPr>
            <w:tcW w:w="220" w:type="dxa"/>
            <w:vAlign w:val="bottom"/>
            <w:shd w:val="clear" w:color="auto" w:fill="CCECFF"/>
          </w:tcPr>
          <w:p>
            <w:pPr>
              <w:spacing w:after="0"/>
              <w:rPr>
                <w:sz w:val="14"/>
                <w:szCs w:val="14"/>
                <w:color w:val="auto"/>
              </w:rPr>
            </w:pPr>
          </w:p>
        </w:tc>
        <w:tc>
          <w:tcPr>
            <w:tcW w:w="120" w:type="dxa"/>
            <w:vAlign w:val="bottom"/>
            <w:shd w:val="clear" w:color="auto" w:fill="CCECFF"/>
          </w:tcPr>
          <w:p>
            <w:pPr>
              <w:spacing w:after="0"/>
              <w:rPr>
                <w:sz w:val="14"/>
                <w:szCs w:val="14"/>
                <w:color w:val="auto"/>
              </w:rPr>
            </w:pPr>
          </w:p>
        </w:tc>
        <w:tc>
          <w:tcPr>
            <w:tcW w:w="1120" w:type="dxa"/>
            <w:vAlign w:val="bottom"/>
            <w:shd w:val="clear" w:color="auto" w:fill="CCECFF"/>
          </w:tcPr>
          <w:p>
            <w:pPr>
              <w:jc w:val="right"/>
              <w:spacing w:after="0"/>
              <w:rPr>
                <w:sz w:val="20"/>
                <w:szCs w:val="20"/>
                <w:color w:val="auto"/>
              </w:rPr>
            </w:pPr>
            <w:r>
              <w:rPr>
                <w:rFonts w:ascii="Arial" w:cs="Arial" w:eastAsia="Arial" w:hAnsi="Arial"/>
                <w:sz w:val="14"/>
                <w:szCs w:val="14"/>
                <w:color w:val="auto"/>
              </w:rPr>
              <w:t>6,554,803</w:t>
            </w:r>
          </w:p>
        </w:tc>
        <w:tc>
          <w:tcPr>
            <w:tcW w:w="220" w:type="dxa"/>
            <w:vAlign w:val="bottom"/>
            <w:shd w:val="clear" w:color="auto" w:fill="CCECFF"/>
          </w:tcPr>
          <w:p>
            <w:pPr>
              <w:spacing w:after="0"/>
              <w:rPr>
                <w:sz w:val="14"/>
                <w:szCs w:val="14"/>
                <w:color w:val="auto"/>
              </w:rPr>
            </w:pPr>
          </w:p>
        </w:tc>
        <w:tc>
          <w:tcPr>
            <w:tcW w:w="80" w:type="dxa"/>
            <w:vAlign w:val="bottom"/>
            <w:shd w:val="clear" w:color="auto" w:fill="CCECFF"/>
          </w:tcPr>
          <w:p>
            <w:pPr>
              <w:spacing w:after="0"/>
              <w:rPr>
                <w:sz w:val="14"/>
                <w:szCs w:val="14"/>
                <w:color w:val="auto"/>
              </w:rPr>
            </w:pPr>
          </w:p>
        </w:tc>
        <w:tc>
          <w:tcPr>
            <w:tcW w:w="1280" w:type="dxa"/>
            <w:vAlign w:val="bottom"/>
            <w:gridSpan w:val="2"/>
            <w:shd w:val="clear" w:color="auto" w:fill="CCECFF"/>
          </w:tcPr>
          <w:p>
            <w:pPr>
              <w:jc w:val="right"/>
              <w:ind w:right="14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CFF"/>
          </w:tcPr>
          <w:p>
            <w:pPr>
              <w:spacing w:after="0"/>
              <w:rPr>
                <w:sz w:val="14"/>
                <w:szCs w:val="14"/>
                <w:color w:val="auto"/>
              </w:rPr>
            </w:pPr>
          </w:p>
        </w:tc>
        <w:tc>
          <w:tcPr>
            <w:tcW w:w="220" w:type="dxa"/>
            <w:vAlign w:val="bottom"/>
            <w:shd w:val="clear" w:color="auto" w:fill="CCECFF"/>
          </w:tcPr>
          <w:p>
            <w:pPr>
              <w:spacing w:after="0"/>
              <w:rPr>
                <w:sz w:val="14"/>
                <w:szCs w:val="14"/>
                <w:color w:val="auto"/>
              </w:rPr>
            </w:pPr>
          </w:p>
        </w:tc>
        <w:tc>
          <w:tcPr>
            <w:tcW w:w="1000" w:type="dxa"/>
            <w:vAlign w:val="bottom"/>
            <w:shd w:val="clear" w:color="auto" w:fill="CCECFF"/>
          </w:tcPr>
          <w:p>
            <w:pPr>
              <w:jc w:val="right"/>
              <w:spacing w:after="0"/>
              <w:rPr>
                <w:sz w:val="20"/>
                <w:szCs w:val="20"/>
                <w:color w:val="auto"/>
              </w:rPr>
            </w:pPr>
            <w:r>
              <w:rPr>
                <w:rFonts w:ascii="Arial" w:cs="Arial" w:eastAsia="Arial" w:hAnsi="Arial"/>
                <w:sz w:val="14"/>
                <w:szCs w:val="14"/>
                <w:color w:val="auto"/>
              </w:rPr>
              <w:t>6,868,427</w:t>
            </w:r>
          </w:p>
        </w:tc>
        <w:tc>
          <w:tcPr>
            <w:tcW w:w="240" w:type="dxa"/>
            <w:vAlign w:val="bottom"/>
            <w:shd w:val="clear" w:color="auto" w:fill="CCECFF"/>
          </w:tcPr>
          <w:p>
            <w:pPr>
              <w:spacing w:after="0"/>
              <w:rPr>
                <w:sz w:val="14"/>
                <w:szCs w:val="14"/>
                <w:color w:val="auto"/>
              </w:rPr>
            </w:pPr>
          </w:p>
        </w:tc>
        <w:tc>
          <w:tcPr>
            <w:tcW w:w="80" w:type="dxa"/>
            <w:vAlign w:val="bottom"/>
            <w:shd w:val="clear" w:color="auto" w:fill="CCECFF"/>
          </w:tcPr>
          <w:p>
            <w:pPr>
              <w:spacing w:after="0"/>
              <w:rPr>
                <w:sz w:val="14"/>
                <w:szCs w:val="14"/>
                <w:color w:val="auto"/>
              </w:rPr>
            </w:pPr>
          </w:p>
        </w:tc>
        <w:tc>
          <w:tcPr>
            <w:tcW w:w="1140" w:type="dxa"/>
            <w:vAlign w:val="bottom"/>
            <w:shd w:val="clear" w:color="auto" w:fill="CCECFF"/>
          </w:tcPr>
          <w:p>
            <w:pPr>
              <w:jc w:val="right"/>
              <w:spacing w:after="0"/>
              <w:rPr>
                <w:sz w:val="20"/>
                <w:szCs w:val="20"/>
                <w:color w:val="auto"/>
              </w:rPr>
            </w:pPr>
            <w:r>
              <w:rPr>
                <w:rFonts w:ascii="Arial" w:cs="Arial" w:eastAsia="Arial" w:hAnsi="Arial"/>
                <w:sz w:val="14"/>
                <w:szCs w:val="14"/>
                <w:color w:val="auto"/>
              </w:rPr>
              <w:t>73,156,598</w:t>
            </w:r>
          </w:p>
        </w:tc>
        <w:tc>
          <w:tcPr>
            <w:tcW w:w="240" w:type="dxa"/>
            <w:vAlign w:val="bottom"/>
            <w:shd w:val="clear" w:color="auto" w:fill="CCECFF"/>
          </w:tcPr>
          <w:p>
            <w:pPr>
              <w:spacing w:after="0"/>
              <w:rPr>
                <w:sz w:val="14"/>
                <w:szCs w:val="14"/>
                <w:color w:val="auto"/>
              </w:rPr>
            </w:pPr>
          </w:p>
        </w:tc>
        <w:tc>
          <w:tcPr>
            <w:tcW w:w="220" w:type="dxa"/>
            <w:vAlign w:val="bottom"/>
            <w:shd w:val="clear" w:color="auto" w:fill="CCECFF"/>
          </w:tcPr>
          <w:p>
            <w:pPr>
              <w:spacing w:after="0"/>
              <w:rPr>
                <w:sz w:val="14"/>
                <w:szCs w:val="14"/>
                <w:color w:val="auto"/>
              </w:rPr>
            </w:pPr>
          </w:p>
        </w:tc>
        <w:tc>
          <w:tcPr>
            <w:tcW w:w="1140" w:type="dxa"/>
            <w:vAlign w:val="bottom"/>
            <w:gridSpan w:val="2"/>
            <w:shd w:val="clear" w:color="auto" w:fill="CCECFF"/>
          </w:tcPr>
          <w:p>
            <w:pPr>
              <w:jc w:val="right"/>
              <w:ind w:right="140"/>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3"/>
        </w:trPr>
        <w:tc>
          <w:tcPr>
            <w:tcW w:w="2300" w:type="dxa"/>
            <w:vAlign w:val="bottom"/>
          </w:tcPr>
          <w:p>
            <w:pPr>
              <w:spacing w:after="0" w:line="143" w:lineRule="exact"/>
              <w:rPr>
                <w:sz w:val="20"/>
                <w:szCs w:val="20"/>
                <w:color w:val="auto"/>
              </w:rPr>
            </w:pPr>
            <w:r>
              <w:rPr>
                <w:rFonts w:ascii="Arial" w:cs="Arial" w:eastAsia="Arial" w:hAnsi="Arial"/>
                <w:sz w:val="14"/>
                <w:szCs w:val="14"/>
                <w:color w:val="auto"/>
              </w:rPr>
              <w:t>Superior Digital Displays</w:t>
            </w:r>
          </w:p>
        </w:tc>
        <w:tc>
          <w:tcPr>
            <w:tcW w:w="1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2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7"/>
        </w:trPr>
        <w:tc>
          <w:tcPr>
            <w:tcW w:w="2300" w:type="dxa"/>
            <w:vAlign w:val="bottom"/>
          </w:tcPr>
          <w:p>
            <w:pPr>
              <w:ind w:left="120"/>
              <w:spacing w:after="0"/>
              <w:rPr>
                <w:sz w:val="20"/>
                <w:szCs w:val="20"/>
                <w:color w:val="auto"/>
              </w:rPr>
            </w:pPr>
            <w:r>
              <w:rPr>
                <w:rFonts w:ascii="Arial" w:cs="Arial" w:eastAsia="Arial" w:hAnsi="Arial"/>
                <w:sz w:val="14"/>
                <w:szCs w:val="14"/>
                <w:color w:val="auto"/>
              </w:rPr>
              <w:t>Holdings, Inc.</w:t>
            </w:r>
          </w:p>
        </w:tc>
        <w:tc>
          <w:tcPr>
            <w:tcW w:w="1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220" w:type="dxa"/>
            <w:vAlign w:val="bottom"/>
          </w:tcPr>
          <w:p>
            <w:pPr>
              <w:jc w:val="right"/>
              <w:spacing w:after="0"/>
              <w:rPr>
                <w:sz w:val="20"/>
                <w:szCs w:val="20"/>
                <w:color w:val="auto"/>
              </w:rPr>
            </w:pPr>
            <w:r>
              <w:rPr>
                <w:rFonts w:ascii="Arial" w:cs="Arial" w:eastAsia="Arial" w:hAnsi="Arial"/>
                <w:sz w:val="14"/>
                <w:szCs w:val="14"/>
                <w:color w:val="auto"/>
              </w:rPr>
              <w:t>33,862,636</w:t>
            </w:r>
          </w:p>
        </w:tc>
        <w:tc>
          <w:tcPr>
            <w:tcW w:w="2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120" w:type="dxa"/>
            <w:vAlign w:val="bottom"/>
          </w:tcPr>
          <w:p>
            <w:pPr>
              <w:jc w:val="right"/>
              <w:spacing w:after="0"/>
              <w:rPr>
                <w:sz w:val="20"/>
                <w:szCs w:val="20"/>
                <w:color w:val="auto"/>
              </w:rPr>
            </w:pPr>
            <w:r>
              <w:rPr>
                <w:rFonts w:ascii="Arial" w:cs="Arial" w:eastAsia="Arial" w:hAnsi="Arial"/>
                <w:sz w:val="14"/>
                <w:szCs w:val="14"/>
                <w:color w:val="auto"/>
              </w:rPr>
              <w:t>15,796,049</w:t>
            </w:r>
          </w:p>
        </w:tc>
        <w:tc>
          <w:tcPr>
            <w:tcW w:w="2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80" w:type="dxa"/>
            <w:vAlign w:val="bottom"/>
            <w:gridSpan w:val="2"/>
          </w:tcPr>
          <w:p>
            <w:pPr>
              <w:jc w:val="right"/>
              <w:ind w:right="80"/>
              <w:spacing w:after="0"/>
              <w:rPr>
                <w:sz w:val="20"/>
                <w:szCs w:val="20"/>
                <w:color w:val="auto"/>
              </w:rPr>
            </w:pPr>
            <w:r>
              <w:rPr>
                <w:rFonts w:ascii="Arial" w:cs="Arial" w:eastAsia="Arial" w:hAnsi="Arial"/>
                <w:sz w:val="14"/>
                <w:szCs w:val="14"/>
                <w:color w:val="auto"/>
              </w:rPr>
              <w:t>(9,271,027)</w:t>
            </w:r>
          </w:p>
        </w:tc>
        <w:tc>
          <w:tcPr>
            <w:tcW w:w="1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00" w:type="dxa"/>
            <w:vAlign w:val="bottom"/>
          </w:tcPr>
          <w:p>
            <w:pPr>
              <w:jc w:val="right"/>
              <w:spacing w:after="0"/>
              <w:rPr>
                <w:sz w:val="20"/>
                <w:szCs w:val="20"/>
                <w:color w:val="auto"/>
              </w:rPr>
            </w:pPr>
            <w:r>
              <w:rPr>
                <w:rFonts w:ascii="Arial" w:cs="Arial" w:eastAsia="Arial" w:hAnsi="Arial"/>
                <w:sz w:val="14"/>
                <w:szCs w:val="14"/>
                <w:color w:val="auto"/>
              </w:rPr>
              <w:t>3,829,263</w:t>
            </w:r>
          </w:p>
        </w:tc>
        <w:tc>
          <w:tcPr>
            <w:tcW w:w="2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140" w:type="dxa"/>
            <w:vAlign w:val="bottom"/>
          </w:tcPr>
          <w:p>
            <w:pPr>
              <w:jc w:val="right"/>
              <w:spacing w:after="0"/>
              <w:rPr>
                <w:sz w:val="20"/>
                <w:szCs w:val="20"/>
                <w:color w:val="auto"/>
              </w:rPr>
            </w:pPr>
            <w:r>
              <w:rPr>
                <w:rFonts w:ascii="Arial" w:cs="Arial" w:eastAsia="Arial" w:hAnsi="Arial"/>
                <w:sz w:val="14"/>
                <w:szCs w:val="14"/>
                <w:color w:val="auto"/>
              </w:rPr>
              <w:t>32,436,483</w:t>
            </w:r>
          </w:p>
        </w:tc>
        <w:tc>
          <w:tcPr>
            <w:tcW w:w="2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14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62"/>
        </w:trPr>
        <w:tc>
          <w:tcPr>
            <w:tcW w:w="2300" w:type="dxa"/>
            <w:vAlign w:val="bottom"/>
            <w:shd w:val="clear" w:color="auto" w:fill="CCECFF"/>
          </w:tcPr>
          <w:p>
            <w:pPr>
              <w:spacing w:after="0"/>
              <w:rPr>
                <w:sz w:val="20"/>
                <w:szCs w:val="20"/>
                <w:color w:val="auto"/>
              </w:rPr>
            </w:pPr>
            <w:r>
              <w:rPr>
                <w:rFonts w:ascii="Arial" w:cs="Arial" w:eastAsia="Arial" w:hAnsi="Arial"/>
                <w:sz w:val="14"/>
                <w:szCs w:val="14"/>
                <w:b w:val="1"/>
                <w:bCs w:val="1"/>
                <w:color w:val="auto"/>
              </w:rPr>
              <w:t>Non-Controlled Affiliates</w:t>
            </w:r>
          </w:p>
        </w:tc>
        <w:tc>
          <w:tcPr>
            <w:tcW w:w="120" w:type="dxa"/>
            <w:vAlign w:val="bottom"/>
            <w:shd w:val="clear" w:color="auto" w:fill="CCECFF"/>
          </w:tcPr>
          <w:p>
            <w:pPr>
              <w:spacing w:after="0"/>
              <w:rPr>
                <w:sz w:val="14"/>
                <w:szCs w:val="14"/>
                <w:color w:val="auto"/>
              </w:rPr>
            </w:pPr>
          </w:p>
        </w:tc>
        <w:tc>
          <w:tcPr>
            <w:tcW w:w="180" w:type="dxa"/>
            <w:vAlign w:val="bottom"/>
            <w:shd w:val="clear" w:color="auto" w:fill="CCECFF"/>
          </w:tcPr>
          <w:p>
            <w:pPr>
              <w:spacing w:after="0"/>
              <w:rPr>
                <w:sz w:val="14"/>
                <w:szCs w:val="14"/>
                <w:color w:val="auto"/>
              </w:rPr>
            </w:pPr>
          </w:p>
        </w:tc>
        <w:tc>
          <w:tcPr>
            <w:tcW w:w="1220" w:type="dxa"/>
            <w:vAlign w:val="bottom"/>
            <w:shd w:val="clear" w:color="auto" w:fill="CCECFF"/>
          </w:tcPr>
          <w:p>
            <w:pPr>
              <w:spacing w:after="0"/>
              <w:rPr>
                <w:sz w:val="14"/>
                <w:szCs w:val="14"/>
                <w:color w:val="auto"/>
              </w:rPr>
            </w:pPr>
          </w:p>
        </w:tc>
        <w:tc>
          <w:tcPr>
            <w:tcW w:w="220" w:type="dxa"/>
            <w:vAlign w:val="bottom"/>
            <w:shd w:val="clear" w:color="auto" w:fill="CCECFF"/>
          </w:tcPr>
          <w:p>
            <w:pPr>
              <w:spacing w:after="0"/>
              <w:rPr>
                <w:sz w:val="14"/>
                <w:szCs w:val="14"/>
                <w:color w:val="auto"/>
              </w:rPr>
            </w:pPr>
          </w:p>
        </w:tc>
        <w:tc>
          <w:tcPr>
            <w:tcW w:w="120" w:type="dxa"/>
            <w:vAlign w:val="bottom"/>
            <w:shd w:val="clear" w:color="auto" w:fill="CCECFF"/>
          </w:tcPr>
          <w:p>
            <w:pPr>
              <w:spacing w:after="0"/>
              <w:rPr>
                <w:sz w:val="14"/>
                <w:szCs w:val="14"/>
                <w:color w:val="auto"/>
              </w:rPr>
            </w:pPr>
          </w:p>
        </w:tc>
        <w:tc>
          <w:tcPr>
            <w:tcW w:w="1120" w:type="dxa"/>
            <w:vAlign w:val="bottom"/>
            <w:shd w:val="clear" w:color="auto" w:fill="CCECFF"/>
          </w:tcPr>
          <w:p>
            <w:pPr>
              <w:spacing w:after="0"/>
              <w:rPr>
                <w:sz w:val="14"/>
                <w:szCs w:val="14"/>
                <w:color w:val="auto"/>
              </w:rPr>
            </w:pPr>
          </w:p>
        </w:tc>
        <w:tc>
          <w:tcPr>
            <w:tcW w:w="220" w:type="dxa"/>
            <w:vAlign w:val="bottom"/>
            <w:shd w:val="clear" w:color="auto" w:fill="CCECFF"/>
          </w:tcPr>
          <w:p>
            <w:pPr>
              <w:spacing w:after="0"/>
              <w:rPr>
                <w:sz w:val="14"/>
                <w:szCs w:val="14"/>
                <w:color w:val="auto"/>
              </w:rPr>
            </w:pPr>
          </w:p>
        </w:tc>
        <w:tc>
          <w:tcPr>
            <w:tcW w:w="80" w:type="dxa"/>
            <w:vAlign w:val="bottom"/>
            <w:shd w:val="clear" w:color="auto" w:fill="CCECFF"/>
          </w:tcPr>
          <w:p>
            <w:pPr>
              <w:spacing w:after="0"/>
              <w:rPr>
                <w:sz w:val="14"/>
                <w:szCs w:val="14"/>
                <w:color w:val="auto"/>
              </w:rPr>
            </w:pPr>
          </w:p>
        </w:tc>
        <w:tc>
          <w:tcPr>
            <w:tcW w:w="1160" w:type="dxa"/>
            <w:vAlign w:val="bottom"/>
            <w:shd w:val="clear" w:color="auto" w:fill="CCECFF"/>
          </w:tcPr>
          <w:p>
            <w:pPr>
              <w:spacing w:after="0"/>
              <w:rPr>
                <w:sz w:val="14"/>
                <w:szCs w:val="14"/>
                <w:color w:val="auto"/>
              </w:rPr>
            </w:pPr>
          </w:p>
        </w:tc>
        <w:tc>
          <w:tcPr>
            <w:tcW w:w="120" w:type="dxa"/>
            <w:vAlign w:val="bottom"/>
            <w:shd w:val="clear" w:color="auto" w:fill="CCECFF"/>
          </w:tcPr>
          <w:p>
            <w:pPr>
              <w:spacing w:after="0"/>
              <w:rPr>
                <w:sz w:val="14"/>
                <w:szCs w:val="14"/>
                <w:color w:val="auto"/>
              </w:rPr>
            </w:pPr>
          </w:p>
        </w:tc>
        <w:tc>
          <w:tcPr>
            <w:tcW w:w="100" w:type="dxa"/>
            <w:vAlign w:val="bottom"/>
            <w:shd w:val="clear" w:color="auto" w:fill="CCECFF"/>
          </w:tcPr>
          <w:p>
            <w:pPr>
              <w:spacing w:after="0"/>
              <w:rPr>
                <w:sz w:val="14"/>
                <w:szCs w:val="14"/>
                <w:color w:val="auto"/>
              </w:rPr>
            </w:pPr>
          </w:p>
        </w:tc>
        <w:tc>
          <w:tcPr>
            <w:tcW w:w="220" w:type="dxa"/>
            <w:vAlign w:val="bottom"/>
            <w:shd w:val="clear" w:color="auto" w:fill="CCECFF"/>
          </w:tcPr>
          <w:p>
            <w:pPr>
              <w:spacing w:after="0"/>
              <w:rPr>
                <w:sz w:val="14"/>
                <w:szCs w:val="14"/>
                <w:color w:val="auto"/>
              </w:rPr>
            </w:pPr>
          </w:p>
        </w:tc>
        <w:tc>
          <w:tcPr>
            <w:tcW w:w="1000" w:type="dxa"/>
            <w:vAlign w:val="bottom"/>
            <w:shd w:val="clear" w:color="auto" w:fill="CCECFF"/>
          </w:tcPr>
          <w:p>
            <w:pPr>
              <w:spacing w:after="0"/>
              <w:rPr>
                <w:sz w:val="14"/>
                <w:szCs w:val="14"/>
                <w:color w:val="auto"/>
              </w:rPr>
            </w:pPr>
          </w:p>
        </w:tc>
        <w:tc>
          <w:tcPr>
            <w:tcW w:w="240" w:type="dxa"/>
            <w:vAlign w:val="bottom"/>
            <w:shd w:val="clear" w:color="auto" w:fill="CCECFF"/>
          </w:tcPr>
          <w:p>
            <w:pPr>
              <w:spacing w:after="0"/>
              <w:rPr>
                <w:sz w:val="14"/>
                <w:szCs w:val="14"/>
                <w:color w:val="auto"/>
              </w:rPr>
            </w:pPr>
          </w:p>
        </w:tc>
        <w:tc>
          <w:tcPr>
            <w:tcW w:w="80" w:type="dxa"/>
            <w:vAlign w:val="bottom"/>
            <w:shd w:val="clear" w:color="auto" w:fill="CCECFF"/>
          </w:tcPr>
          <w:p>
            <w:pPr>
              <w:spacing w:after="0"/>
              <w:rPr>
                <w:sz w:val="14"/>
                <w:szCs w:val="14"/>
                <w:color w:val="auto"/>
              </w:rPr>
            </w:pPr>
          </w:p>
        </w:tc>
        <w:tc>
          <w:tcPr>
            <w:tcW w:w="1140" w:type="dxa"/>
            <w:vAlign w:val="bottom"/>
            <w:shd w:val="clear" w:color="auto" w:fill="CCECFF"/>
          </w:tcPr>
          <w:p>
            <w:pPr>
              <w:spacing w:after="0"/>
              <w:rPr>
                <w:sz w:val="14"/>
                <w:szCs w:val="14"/>
                <w:color w:val="auto"/>
              </w:rPr>
            </w:pPr>
          </w:p>
        </w:tc>
        <w:tc>
          <w:tcPr>
            <w:tcW w:w="240" w:type="dxa"/>
            <w:vAlign w:val="bottom"/>
            <w:shd w:val="clear" w:color="auto" w:fill="CCECFF"/>
          </w:tcPr>
          <w:p>
            <w:pPr>
              <w:spacing w:after="0"/>
              <w:rPr>
                <w:sz w:val="14"/>
                <w:szCs w:val="14"/>
                <w:color w:val="auto"/>
              </w:rPr>
            </w:pPr>
          </w:p>
        </w:tc>
        <w:tc>
          <w:tcPr>
            <w:tcW w:w="220" w:type="dxa"/>
            <w:vAlign w:val="bottom"/>
            <w:shd w:val="clear" w:color="auto" w:fill="CCECFF"/>
          </w:tcPr>
          <w:p>
            <w:pPr>
              <w:spacing w:after="0"/>
              <w:rPr>
                <w:sz w:val="14"/>
                <w:szCs w:val="14"/>
                <w:color w:val="auto"/>
              </w:rPr>
            </w:pPr>
          </w:p>
        </w:tc>
        <w:tc>
          <w:tcPr>
            <w:tcW w:w="1020" w:type="dxa"/>
            <w:vAlign w:val="bottom"/>
            <w:shd w:val="clear" w:color="auto" w:fill="CCECFF"/>
          </w:tcPr>
          <w:p>
            <w:pPr>
              <w:spacing w:after="0"/>
              <w:rPr>
                <w:sz w:val="14"/>
                <w:szCs w:val="14"/>
                <w:color w:val="auto"/>
              </w:rPr>
            </w:pPr>
          </w:p>
        </w:tc>
        <w:tc>
          <w:tcPr>
            <w:tcW w:w="120" w:type="dxa"/>
            <w:vAlign w:val="bottom"/>
            <w:shd w:val="clear" w:color="auto" w:fill="CCECFF"/>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300" w:type="dxa"/>
            <w:vAlign w:val="bottom"/>
          </w:tcPr>
          <w:p>
            <w:pPr>
              <w:spacing w:after="0"/>
              <w:rPr>
                <w:sz w:val="20"/>
                <w:szCs w:val="20"/>
                <w:color w:val="auto"/>
              </w:rPr>
            </w:pPr>
            <w:r>
              <w:rPr>
                <w:rFonts w:ascii="Arial" w:cs="Arial" w:eastAsia="Arial" w:hAnsi="Arial"/>
                <w:sz w:val="14"/>
                <w:szCs w:val="14"/>
                <w:color w:val="auto"/>
              </w:rPr>
              <w:t>Affinion Group Holdings, Inc.</w:t>
            </w:r>
          </w:p>
        </w:tc>
        <w:tc>
          <w:tcPr>
            <w:tcW w:w="1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220" w:type="dxa"/>
            <w:vAlign w:val="bottom"/>
          </w:tcPr>
          <w:p>
            <w:pPr>
              <w:jc w:val="right"/>
              <w:spacing w:after="0"/>
              <w:rPr>
                <w:sz w:val="20"/>
                <w:szCs w:val="20"/>
                <w:color w:val="auto"/>
              </w:rPr>
            </w:pPr>
            <w:r>
              <w:rPr>
                <w:rFonts w:ascii="Arial" w:cs="Arial" w:eastAsia="Arial" w:hAnsi="Arial"/>
                <w:sz w:val="14"/>
                <w:szCs w:val="14"/>
                <w:color w:val="auto"/>
              </w:rPr>
              <w:t>57,109,394</w:t>
            </w:r>
          </w:p>
        </w:tc>
        <w:tc>
          <w:tcPr>
            <w:tcW w:w="2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120" w:type="dxa"/>
            <w:vAlign w:val="bottom"/>
          </w:tcPr>
          <w:p>
            <w:pPr>
              <w:jc w:val="right"/>
              <w:spacing w:after="0"/>
              <w:rPr>
                <w:sz w:val="20"/>
                <w:szCs w:val="20"/>
                <w:color w:val="auto"/>
              </w:rPr>
            </w:pPr>
            <w:r>
              <w:rPr>
                <w:rFonts w:ascii="Arial" w:cs="Arial" w:eastAsia="Arial" w:hAnsi="Arial"/>
                <w:sz w:val="14"/>
                <w:szCs w:val="14"/>
                <w:color w:val="auto"/>
              </w:rPr>
              <w:t>398,263</w:t>
            </w:r>
          </w:p>
        </w:tc>
        <w:tc>
          <w:tcPr>
            <w:tcW w:w="2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80" w:type="dxa"/>
            <w:vAlign w:val="bottom"/>
            <w:gridSpan w:val="2"/>
          </w:tcPr>
          <w:p>
            <w:pPr>
              <w:jc w:val="right"/>
              <w:ind w:right="80"/>
              <w:spacing w:after="0"/>
              <w:rPr>
                <w:sz w:val="20"/>
                <w:szCs w:val="20"/>
                <w:color w:val="auto"/>
              </w:rPr>
            </w:pPr>
            <w:r>
              <w:rPr>
                <w:rFonts w:ascii="Arial" w:cs="Arial" w:eastAsia="Arial" w:hAnsi="Arial"/>
                <w:sz w:val="14"/>
                <w:szCs w:val="14"/>
                <w:color w:val="auto"/>
              </w:rPr>
              <w:t>(28,256,288)</w:t>
            </w:r>
          </w:p>
        </w:tc>
        <w:tc>
          <w:tcPr>
            <w:tcW w:w="1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00" w:type="dxa"/>
            <w:vAlign w:val="bottom"/>
          </w:tcPr>
          <w:p>
            <w:pPr>
              <w:jc w:val="right"/>
              <w:spacing w:after="0"/>
              <w:rPr>
                <w:sz w:val="20"/>
                <w:szCs w:val="20"/>
                <w:color w:val="auto"/>
              </w:rPr>
            </w:pPr>
            <w:r>
              <w:rPr>
                <w:rFonts w:ascii="Arial" w:cs="Arial" w:eastAsia="Arial" w:hAnsi="Arial"/>
                <w:sz w:val="14"/>
                <w:szCs w:val="14"/>
                <w:color w:val="auto"/>
              </w:rPr>
              <w:t>2,431,306</w:t>
            </w:r>
          </w:p>
        </w:tc>
        <w:tc>
          <w:tcPr>
            <w:tcW w:w="2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140" w:type="dxa"/>
            <w:vAlign w:val="bottom"/>
          </w:tcPr>
          <w:p>
            <w:pPr>
              <w:jc w:val="right"/>
              <w:spacing w:after="0"/>
              <w:rPr>
                <w:sz w:val="20"/>
                <w:szCs w:val="20"/>
                <w:color w:val="auto"/>
              </w:rPr>
            </w:pPr>
            <w:r>
              <w:rPr>
                <w:rFonts w:ascii="Arial" w:cs="Arial" w:eastAsia="Arial" w:hAnsi="Arial"/>
                <w:sz w:val="14"/>
                <w:szCs w:val="14"/>
                <w:color w:val="auto"/>
              </w:rPr>
              <w:t>20,392,508</w:t>
            </w:r>
          </w:p>
        </w:tc>
        <w:tc>
          <w:tcPr>
            <w:tcW w:w="2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20" w:type="dxa"/>
            <w:vAlign w:val="bottom"/>
          </w:tcPr>
          <w:p>
            <w:pPr>
              <w:jc w:val="right"/>
              <w:spacing w:after="0"/>
              <w:rPr>
                <w:sz w:val="20"/>
                <w:szCs w:val="20"/>
                <w:color w:val="auto"/>
              </w:rPr>
            </w:pPr>
            <w:r>
              <w:rPr>
                <w:rFonts w:ascii="Arial" w:cs="Arial" w:eastAsia="Arial" w:hAnsi="Arial"/>
                <w:sz w:val="14"/>
                <w:szCs w:val="14"/>
                <w:color w:val="auto"/>
              </w:rPr>
              <w:t>1,338,206</w:t>
            </w: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300" w:type="dxa"/>
            <w:vAlign w:val="bottom"/>
            <w:shd w:val="clear" w:color="auto" w:fill="CCECFF"/>
          </w:tcPr>
          <w:p>
            <w:pPr>
              <w:spacing w:after="0"/>
              <w:rPr>
                <w:sz w:val="20"/>
                <w:szCs w:val="20"/>
                <w:color w:val="auto"/>
              </w:rPr>
            </w:pPr>
            <w:r>
              <w:rPr>
                <w:rFonts w:ascii="Arial" w:cs="Arial" w:eastAsia="Arial" w:hAnsi="Arial"/>
                <w:sz w:val="14"/>
                <w:szCs w:val="14"/>
                <w:color w:val="auto"/>
              </w:rPr>
              <w:t xml:space="preserve">American Gilsonite Company </w:t>
            </w:r>
            <w:r>
              <w:rPr>
                <w:rFonts w:ascii="Arial" w:cs="Arial" w:eastAsia="Arial" w:hAnsi="Arial"/>
                <w:sz w:val="12"/>
                <w:szCs w:val="12"/>
                <w:color w:val="auto"/>
              </w:rPr>
              <w:t>(3)</w:t>
            </w:r>
          </w:p>
        </w:tc>
        <w:tc>
          <w:tcPr>
            <w:tcW w:w="120" w:type="dxa"/>
            <w:vAlign w:val="bottom"/>
            <w:shd w:val="clear" w:color="auto" w:fill="CCECFF"/>
          </w:tcPr>
          <w:p>
            <w:pPr>
              <w:spacing w:after="0"/>
              <w:rPr>
                <w:sz w:val="14"/>
                <w:szCs w:val="14"/>
                <w:color w:val="auto"/>
              </w:rPr>
            </w:pPr>
          </w:p>
        </w:tc>
        <w:tc>
          <w:tcPr>
            <w:tcW w:w="180" w:type="dxa"/>
            <w:vAlign w:val="bottom"/>
            <w:shd w:val="clear" w:color="auto" w:fill="CCECFF"/>
          </w:tcPr>
          <w:p>
            <w:pPr>
              <w:spacing w:after="0"/>
              <w:rPr>
                <w:sz w:val="14"/>
                <w:szCs w:val="14"/>
                <w:color w:val="auto"/>
              </w:rPr>
            </w:pPr>
          </w:p>
        </w:tc>
        <w:tc>
          <w:tcPr>
            <w:tcW w:w="1220" w:type="dxa"/>
            <w:vAlign w:val="bottom"/>
            <w:shd w:val="clear" w:color="auto" w:fill="CCECFF"/>
          </w:tcPr>
          <w:p>
            <w:pPr>
              <w:jc w:val="right"/>
              <w:spacing w:after="0"/>
              <w:rPr>
                <w:sz w:val="20"/>
                <w:szCs w:val="20"/>
                <w:color w:val="auto"/>
              </w:rPr>
            </w:pPr>
            <w:r>
              <w:rPr>
                <w:rFonts w:ascii="Arial" w:cs="Arial" w:eastAsia="Arial" w:hAnsi="Arial"/>
                <w:sz w:val="14"/>
                <w:szCs w:val="14"/>
                <w:color w:val="auto"/>
              </w:rPr>
              <w:t>—</w:t>
            </w:r>
          </w:p>
        </w:tc>
        <w:tc>
          <w:tcPr>
            <w:tcW w:w="220" w:type="dxa"/>
            <w:vAlign w:val="bottom"/>
            <w:shd w:val="clear" w:color="auto" w:fill="CCECFF"/>
          </w:tcPr>
          <w:p>
            <w:pPr>
              <w:spacing w:after="0"/>
              <w:rPr>
                <w:sz w:val="14"/>
                <w:szCs w:val="14"/>
                <w:color w:val="auto"/>
              </w:rPr>
            </w:pPr>
          </w:p>
        </w:tc>
        <w:tc>
          <w:tcPr>
            <w:tcW w:w="120" w:type="dxa"/>
            <w:vAlign w:val="bottom"/>
            <w:shd w:val="clear" w:color="auto" w:fill="CCECFF"/>
          </w:tcPr>
          <w:p>
            <w:pPr>
              <w:spacing w:after="0"/>
              <w:rPr>
                <w:sz w:val="14"/>
                <w:szCs w:val="14"/>
                <w:color w:val="auto"/>
              </w:rPr>
            </w:pPr>
          </w:p>
        </w:tc>
        <w:tc>
          <w:tcPr>
            <w:tcW w:w="1120" w:type="dxa"/>
            <w:vAlign w:val="bottom"/>
            <w:shd w:val="clear" w:color="auto" w:fill="CCECFF"/>
          </w:tcPr>
          <w:p>
            <w:pPr>
              <w:jc w:val="right"/>
              <w:spacing w:after="0"/>
              <w:rPr>
                <w:sz w:val="20"/>
                <w:szCs w:val="20"/>
                <w:color w:val="auto"/>
              </w:rPr>
            </w:pPr>
            <w:r>
              <w:rPr>
                <w:rFonts w:ascii="Arial" w:cs="Arial" w:eastAsia="Arial" w:hAnsi="Arial"/>
                <w:sz w:val="14"/>
                <w:szCs w:val="14"/>
                <w:color w:val="auto"/>
              </w:rPr>
              <w:t>81,890</w:t>
            </w:r>
          </w:p>
        </w:tc>
        <w:tc>
          <w:tcPr>
            <w:tcW w:w="220" w:type="dxa"/>
            <w:vAlign w:val="bottom"/>
            <w:shd w:val="clear" w:color="auto" w:fill="CCECFF"/>
          </w:tcPr>
          <w:p>
            <w:pPr>
              <w:spacing w:after="0"/>
              <w:rPr>
                <w:sz w:val="14"/>
                <w:szCs w:val="14"/>
                <w:color w:val="auto"/>
              </w:rPr>
            </w:pPr>
          </w:p>
        </w:tc>
        <w:tc>
          <w:tcPr>
            <w:tcW w:w="80" w:type="dxa"/>
            <w:vAlign w:val="bottom"/>
            <w:shd w:val="clear" w:color="auto" w:fill="CCECFF"/>
          </w:tcPr>
          <w:p>
            <w:pPr>
              <w:spacing w:after="0"/>
              <w:rPr>
                <w:sz w:val="14"/>
                <w:szCs w:val="14"/>
                <w:color w:val="auto"/>
              </w:rPr>
            </w:pPr>
          </w:p>
        </w:tc>
        <w:tc>
          <w:tcPr>
            <w:tcW w:w="1280" w:type="dxa"/>
            <w:vAlign w:val="bottom"/>
            <w:gridSpan w:val="2"/>
            <w:shd w:val="clear" w:color="auto" w:fill="CCECFF"/>
          </w:tcPr>
          <w:p>
            <w:pPr>
              <w:jc w:val="right"/>
              <w:ind w:right="14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CFF"/>
          </w:tcPr>
          <w:p>
            <w:pPr>
              <w:spacing w:after="0"/>
              <w:rPr>
                <w:sz w:val="14"/>
                <w:szCs w:val="14"/>
                <w:color w:val="auto"/>
              </w:rPr>
            </w:pPr>
          </w:p>
        </w:tc>
        <w:tc>
          <w:tcPr>
            <w:tcW w:w="220" w:type="dxa"/>
            <w:vAlign w:val="bottom"/>
            <w:shd w:val="clear" w:color="auto" w:fill="CCECFF"/>
          </w:tcPr>
          <w:p>
            <w:pPr>
              <w:spacing w:after="0"/>
              <w:rPr>
                <w:sz w:val="14"/>
                <w:szCs w:val="14"/>
                <w:color w:val="auto"/>
              </w:rPr>
            </w:pPr>
          </w:p>
        </w:tc>
        <w:tc>
          <w:tcPr>
            <w:tcW w:w="1000" w:type="dxa"/>
            <w:vAlign w:val="bottom"/>
            <w:shd w:val="clear" w:color="auto" w:fill="CCECFF"/>
          </w:tcPr>
          <w:p>
            <w:pPr>
              <w:jc w:val="right"/>
              <w:spacing w:after="0"/>
              <w:rPr>
                <w:sz w:val="20"/>
                <w:szCs w:val="20"/>
                <w:color w:val="auto"/>
              </w:rPr>
            </w:pPr>
            <w:r>
              <w:rPr>
                <w:rFonts w:ascii="Arial" w:cs="Arial" w:eastAsia="Arial" w:hAnsi="Arial"/>
                <w:sz w:val="14"/>
                <w:szCs w:val="14"/>
                <w:color w:val="auto"/>
              </w:rPr>
              <w:t>1,061,458</w:t>
            </w:r>
          </w:p>
        </w:tc>
        <w:tc>
          <w:tcPr>
            <w:tcW w:w="240" w:type="dxa"/>
            <w:vAlign w:val="bottom"/>
            <w:shd w:val="clear" w:color="auto" w:fill="CCECFF"/>
          </w:tcPr>
          <w:p>
            <w:pPr>
              <w:spacing w:after="0"/>
              <w:rPr>
                <w:sz w:val="14"/>
                <w:szCs w:val="14"/>
                <w:color w:val="auto"/>
              </w:rPr>
            </w:pPr>
          </w:p>
        </w:tc>
        <w:tc>
          <w:tcPr>
            <w:tcW w:w="80" w:type="dxa"/>
            <w:vAlign w:val="bottom"/>
            <w:shd w:val="clear" w:color="auto" w:fill="CCECFF"/>
          </w:tcPr>
          <w:p>
            <w:pPr>
              <w:spacing w:after="0"/>
              <w:rPr>
                <w:sz w:val="14"/>
                <w:szCs w:val="14"/>
                <w:color w:val="auto"/>
              </w:rPr>
            </w:pPr>
          </w:p>
        </w:tc>
        <w:tc>
          <w:tcPr>
            <w:tcW w:w="1140" w:type="dxa"/>
            <w:vAlign w:val="bottom"/>
            <w:shd w:val="clear" w:color="auto" w:fill="CCECFF"/>
          </w:tcPr>
          <w:p>
            <w:pPr>
              <w:jc w:val="right"/>
              <w:spacing w:after="0"/>
              <w:rPr>
                <w:sz w:val="20"/>
                <w:szCs w:val="20"/>
                <w:color w:val="auto"/>
              </w:rPr>
            </w:pPr>
            <w:r>
              <w:rPr>
                <w:rFonts w:ascii="Arial" w:cs="Arial" w:eastAsia="Arial" w:hAnsi="Arial"/>
                <w:sz w:val="14"/>
                <w:szCs w:val="14"/>
                <w:color w:val="auto"/>
              </w:rPr>
              <w:t>21,202,345</w:t>
            </w:r>
          </w:p>
        </w:tc>
        <w:tc>
          <w:tcPr>
            <w:tcW w:w="240" w:type="dxa"/>
            <w:vAlign w:val="bottom"/>
            <w:shd w:val="clear" w:color="auto" w:fill="CCECFF"/>
          </w:tcPr>
          <w:p>
            <w:pPr>
              <w:spacing w:after="0"/>
              <w:rPr>
                <w:sz w:val="14"/>
                <w:szCs w:val="14"/>
                <w:color w:val="auto"/>
              </w:rPr>
            </w:pPr>
          </w:p>
        </w:tc>
        <w:tc>
          <w:tcPr>
            <w:tcW w:w="220" w:type="dxa"/>
            <w:vAlign w:val="bottom"/>
            <w:shd w:val="clear" w:color="auto" w:fill="CCECFF"/>
          </w:tcPr>
          <w:p>
            <w:pPr>
              <w:spacing w:after="0"/>
              <w:rPr>
                <w:sz w:val="14"/>
                <w:szCs w:val="14"/>
                <w:color w:val="auto"/>
              </w:rPr>
            </w:pPr>
          </w:p>
        </w:tc>
        <w:tc>
          <w:tcPr>
            <w:tcW w:w="1140" w:type="dxa"/>
            <w:vAlign w:val="bottom"/>
            <w:gridSpan w:val="2"/>
            <w:shd w:val="clear" w:color="auto" w:fill="CCECFF"/>
          </w:tcPr>
          <w:p>
            <w:pPr>
              <w:jc w:val="right"/>
              <w:ind w:right="140"/>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62"/>
        </w:trPr>
        <w:tc>
          <w:tcPr>
            <w:tcW w:w="2300" w:type="dxa"/>
            <w:vAlign w:val="bottom"/>
          </w:tcPr>
          <w:p>
            <w:pPr>
              <w:spacing w:after="0"/>
              <w:rPr>
                <w:sz w:val="20"/>
                <w:szCs w:val="20"/>
                <w:color w:val="auto"/>
              </w:rPr>
            </w:pPr>
            <w:r>
              <w:rPr>
                <w:rFonts w:ascii="Arial" w:cs="Arial" w:eastAsia="Arial" w:hAnsi="Arial"/>
                <w:sz w:val="14"/>
                <w:szCs w:val="14"/>
                <w:color w:val="auto"/>
              </w:rPr>
              <w:t xml:space="preserve">Cano Health, LLC </w:t>
            </w:r>
            <w:r>
              <w:rPr>
                <w:rFonts w:ascii="Arial" w:cs="Arial" w:eastAsia="Arial" w:hAnsi="Arial"/>
                <w:sz w:val="12"/>
                <w:szCs w:val="12"/>
                <w:color w:val="auto"/>
              </w:rPr>
              <w:t>(3), (5)</w:t>
            </w:r>
          </w:p>
        </w:tc>
        <w:tc>
          <w:tcPr>
            <w:tcW w:w="1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220" w:type="dxa"/>
            <w:vAlign w:val="bottom"/>
          </w:tcPr>
          <w:p>
            <w:pPr>
              <w:jc w:val="right"/>
              <w:spacing w:after="0"/>
              <w:rPr>
                <w:sz w:val="20"/>
                <w:szCs w:val="20"/>
                <w:color w:val="auto"/>
              </w:rPr>
            </w:pPr>
            <w:r>
              <w:rPr>
                <w:rFonts w:ascii="Arial" w:cs="Arial" w:eastAsia="Arial" w:hAnsi="Arial"/>
                <w:sz w:val="14"/>
                <w:szCs w:val="14"/>
                <w:color w:val="auto"/>
              </w:rPr>
              <w:t>—</w:t>
            </w:r>
          </w:p>
        </w:tc>
        <w:tc>
          <w:tcPr>
            <w:tcW w:w="2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120" w:type="dxa"/>
            <w:vAlign w:val="bottom"/>
          </w:tcPr>
          <w:p>
            <w:pPr>
              <w:jc w:val="right"/>
              <w:spacing w:after="0"/>
              <w:rPr>
                <w:sz w:val="20"/>
                <w:szCs w:val="20"/>
                <w:color w:val="auto"/>
              </w:rPr>
            </w:pPr>
            <w:r>
              <w:rPr>
                <w:rFonts w:ascii="Arial" w:cs="Arial" w:eastAsia="Arial" w:hAnsi="Arial"/>
                <w:sz w:val="14"/>
                <w:szCs w:val="14"/>
                <w:color w:val="auto"/>
              </w:rPr>
              <w:t>21,917,250</w:t>
            </w:r>
          </w:p>
        </w:tc>
        <w:tc>
          <w:tcPr>
            <w:tcW w:w="2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80" w:type="dxa"/>
            <w:vAlign w:val="bottom"/>
            <w:gridSpan w:val="2"/>
          </w:tcPr>
          <w:p>
            <w:pPr>
              <w:jc w:val="right"/>
              <w:ind w:right="80"/>
              <w:spacing w:after="0"/>
              <w:rPr>
                <w:sz w:val="20"/>
                <w:szCs w:val="20"/>
                <w:color w:val="auto"/>
              </w:rPr>
            </w:pPr>
            <w:r>
              <w:rPr>
                <w:rFonts w:ascii="Arial" w:cs="Arial" w:eastAsia="Arial" w:hAnsi="Arial"/>
                <w:sz w:val="14"/>
                <w:szCs w:val="14"/>
                <w:color w:val="auto"/>
              </w:rPr>
              <w:t>(1,087,313)</w:t>
            </w:r>
          </w:p>
        </w:tc>
        <w:tc>
          <w:tcPr>
            <w:tcW w:w="1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00" w:type="dxa"/>
            <w:vAlign w:val="bottom"/>
          </w:tcPr>
          <w:p>
            <w:pPr>
              <w:jc w:val="right"/>
              <w:spacing w:after="0"/>
              <w:rPr>
                <w:sz w:val="20"/>
                <w:szCs w:val="20"/>
                <w:color w:val="auto"/>
              </w:rPr>
            </w:pPr>
            <w:r>
              <w:rPr>
                <w:rFonts w:ascii="Arial" w:cs="Arial" w:eastAsia="Arial" w:hAnsi="Arial"/>
                <w:sz w:val="14"/>
                <w:szCs w:val="14"/>
                <w:color w:val="auto"/>
              </w:rPr>
              <w:t>788,341</w:t>
            </w:r>
          </w:p>
        </w:tc>
        <w:tc>
          <w:tcPr>
            <w:tcW w:w="2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140" w:type="dxa"/>
            <w:vAlign w:val="bottom"/>
          </w:tcPr>
          <w:p>
            <w:pPr>
              <w:jc w:val="right"/>
              <w:spacing w:after="0"/>
              <w:rPr>
                <w:sz w:val="20"/>
                <w:szCs w:val="20"/>
                <w:color w:val="auto"/>
              </w:rPr>
            </w:pPr>
            <w:r>
              <w:rPr>
                <w:rFonts w:ascii="Arial" w:cs="Arial" w:eastAsia="Arial" w:hAnsi="Arial"/>
                <w:sz w:val="14"/>
                <w:szCs w:val="14"/>
                <w:color w:val="auto"/>
              </w:rPr>
              <w:t>—</w:t>
            </w:r>
          </w:p>
        </w:tc>
        <w:tc>
          <w:tcPr>
            <w:tcW w:w="2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14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62"/>
        </w:trPr>
        <w:tc>
          <w:tcPr>
            <w:tcW w:w="2300" w:type="dxa"/>
            <w:vAlign w:val="bottom"/>
            <w:shd w:val="clear" w:color="auto" w:fill="CCECFF"/>
          </w:tcPr>
          <w:p>
            <w:pPr>
              <w:spacing w:after="0"/>
              <w:rPr>
                <w:sz w:val="20"/>
                <w:szCs w:val="20"/>
                <w:color w:val="auto"/>
              </w:rPr>
            </w:pPr>
            <w:r>
              <w:rPr>
                <w:rFonts w:ascii="Arial" w:cs="Arial" w:eastAsia="Arial" w:hAnsi="Arial"/>
                <w:sz w:val="14"/>
                <w:szCs w:val="14"/>
                <w:color w:val="auto"/>
              </w:rPr>
              <w:t>Corfin Industries LLC</w:t>
            </w:r>
          </w:p>
        </w:tc>
        <w:tc>
          <w:tcPr>
            <w:tcW w:w="120" w:type="dxa"/>
            <w:vAlign w:val="bottom"/>
            <w:shd w:val="clear" w:color="auto" w:fill="CCECFF"/>
          </w:tcPr>
          <w:p>
            <w:pPr>
              <w:spacing w:after="0"/>
              <w:rPr>
                <w:sz w:val="14"/>
                <w:szCs w:val="14"/>
                <w:color w:val="auto"/>
              </w:rPr>
            </w:pPr>
          </w:p>
        </w:tc>
        <w:tc>
          <w:tcPr>
            <w:tcW w:w="180" w:type="dxa"/>
            <w:vAlign w:val="bottom"/>
            <w:shd w:val="clear" w:color="auto" w:fill="CCECFF"/>
          </w:tcPr>
          <w:p>
            <w:pPr>
              <w:spacing w:after="0"/>
              <w:rPr>
                <w:sz w:val="14"/>
                <w:szCs w:val="14"/>
                <w:color w:val="auto"/>
              </w:rPr>
            </w:pPr>
          </w:p>
        </w:tc>
        <w:tc>
          <w:tcPr>
            <w:tcW w:w="1220" w:type="dxa"/>
            <w:vAlign w:val="bottom"/>
            <w:shd w:val="clear" w:color="auto" w:fill="CCECFF"/>
          </w:tcPr>
          <w:p>
            <w:pPr>
              <w:jc w:val="right"/>
              <w:spacing w:after="0"/>
              <w:rPr>
                <w:sz w:val="20"/>
                <w:szCs w:val="20"/>
                <w:color w:val="auto"/>
              </w:rPr>
            </w:pPr>
            <w:r>
              <w:rPr>
                <w:rFonts w:ascii="Arial" w:cs="Arial" w:eastAsia="Arial" w:hAnsi="Arial"/>
                <w:sz w:val="14"/>
                <w:szCs w:val="14"/>
                <w:color w:val="auto"/>
              </w:rPr>
              <w:t>25,853,063</w:t>
            </w:r>
          </w:p>
        </w:tc>
        <w:tc>
          <w:tcPr>
            <w:tcW w:w="220" w:type="dxa"/>
            <w:vAlign w:val="bottom"/>
            <w:shd w:val="clear" w:color="auto" w:fill="CCECFF"/>
          </w:tcPr>
          <w:p>
            <w:pPr>
              <w:spacing w:after="0"/>
              <w:rPr>
                <w:sz w:val="14"/>
                <w:szCs w:val="14"/>
                <w:color w:val="auto"/>
              </w:rPr>
            </w:pPr>
          </w:p>
        </w:tc>
        <w:tc>
          <w:tcPr>
            <w:tcW w:w="120" w:type="dxa"/>
            <w:vAlign w:val="bottom"/>
            <w:shd w:val="clear" w:color="auto" w:fill="CCECFF"/>
          </w:tcPr>
          <w:p>
            <w:pPr>
              <w:spacing w:after="0"/>
              <w:rPr>
                <w:sz w:val="14"/>
                <w:szCs w:val="14"/>
                <w:color w:val="auto"/>
              </w:rPr>
            </w:pPr>
          </w:p>
        </w:tc>
        <w:tc>
          <w:tcPr>
            <w:tcW w:w="1120" w:type="dxa"/>
            <w:vAlign w:val="bottom"/>
            <w:shd w:val="clear" w:color="auto" w:fill="CCECFF"/>
          </w:tcPr>
          <w:p>
            <w:pPr>
              <w:jc w:val="right"/>
              <w:spacing w:after="0"/>
              <w:rPr>
                <w:sz w:val="20"/>
                <w:szCs w:val="20"/>
                <w:color w:val="auto"/>
              </w:rPr>
            </w:pPr>
            <w:r>
              <w:rPr>
                <w:rFonts w:ascii="Arial" w:cs="Arial" w:eastAsia="Arial" w:hAnsi="Arial"/>
                <w:sz w:val="14"/>
                <w:szCs w:val="14"/>
                <w:color w:val="auto"/>
              </w:rPr>
              <w:t>—</w:t>
            </w:r>
          </w:p>
        </w:tc>
        <w:tc>
          <w:tcPr>
            <w:tcW w:w="220" w:type="dxa"/>
            <w:vAlign w:val="bottom"/>
            <w:shd w:val="clear" w:color="auto" w:fill="CCECFF"/>
          </w:tcPr>
          <w:p>
            <w:pPr>
              <w:spacing w:after="0"/>
              <w:rPr>
                <w:sz w:val="14"/>
                <w:szCs w:val="14"/>
                <w:color w:val="auto"/>
              </w:rPr>
            </w:pPr>
          </w:p>
        </w:tc>
        <w:tc>
          <w:tcPr>
            <w:tcW w:w="80" w:type="dxa"/>
            <w:vAlign w:val="bottom"/>
            <w:shd w:val="clear" w:color="auto" w:fill="CCECFF"/>
          </w:tcPr>
          <w:p>
            <w:pPr>
              <w:spacing w:after="0"/>
              <w:rPr>
                <w:sz w:val="14"/>
                <w:szCs w:val="14"/>
                <w:color w:val="auto"/>
              </w:rPr>
            </w:pPr>
          </w:p>
        </w:tc>
        <w:tc>
          <w:tcPr>
            <w:tcW w:w="1280" w:type="dxa"/>
            <w:vAlign w:val="bottom"/>
            <w:gridSpan w:val="2"/>
            <w:shd w:val="clear" w:color="auto" w:fill="CCECFF"/>
          </w:tcPr>
          <w:p>
            <w:pPr>
              <w:jc w:val="right"/>
              <w:ind w:right="80"/>
              <w:spacing w:after="0"/>
              <w:rPr>
                <w:sz w:val="20"/>
                <w:szCs w:val="20"/>
                <w:color w:val="auto"/>
              </w:rPr>
            </w:pPr>
            <w:r>
              <w:rPr>
                <w:rFonts w:ascii="Arial" w:cs="Arial" w:eastAsia="Arial" w:hAnsi="Arial"/>
                <w:sz w:val="14"/>
                <w:szCs w:val="14"/>
                <w:color w:val="auto"/>
              </w:rPr>
              <w:t>(928,898)</w:t>
            </w:r>
          </w:p>
        </w:tc>
        <w:tc>
          <w:tcPr>
            <w:tcW w:w="100" w:type="dxa"/>
            <w:vAlign w:val="bottom"/>
            <w:shd w:val="clear" w:color="auto" w:fill="CCECFF"/>
          </w:tcPr>
          <w:p>
            <w:pPr>
              <w:spacing w:after="0"/>
              <w:rPr>
                <w:sz w:val="14"/>
                <w:szCs w:val="14"/>
                <w:color w:val="auto"/>
              </w:rPr>
            </w:pPr>
          </w:p>
        </w:tc>
        <w:tc>
          <w:tcPr>
            <w:tcW w:w="220" w:type="dxa"/>
            <w:vAlign w:val="bottom"/>
            <w:shd w:val="clear" w:color="auto" w:fill="CCECFF"/>
          </w:tcPr>
          <w:p>
            <w:pPr>
              <w:spacing w:after="0"/>
              <w:rPr>
                <w:sz w:val="14"/>
                <w:szCs w:val="14"/>
                <w:color w:val="auto"/>
              </w:rPr>
            </w:pPr>
          </w:p>
        </w:tc>
        <w:tc>
          <w:tcPr>
            <w:tcW w:w="1000" w:type="dxa"/>
            <w:vAlign w:val="bottom"/>
            <w:shd w:val="clear" w:color="auto" w:fill="CCECFF"/>
          </w:tcPr>
          <w:p>
            <w:pPr>
              <w:jc w:val="right"/>
              <w:spacing w:after="0"/>
              <w:rPr>
                <w:sz w:val="20"/>
                <w:szCs w:val="20"/>
                <w:color w:val="auto"/>
              </w:rPr>
            </w:pPr>
            <w:r>
              <w:rPr>
                <w:rFonts w:ascii="Arial" w:cs="Arial" w:eastAsia="Arial" w:hAnsi="Arial"/>
                <w:sz w:val="14"/>
                <w:szCs w:val="14"/>
                <w:color w:val="auto"/>
              </w:rPr>
              <w:t>1,998,027</w:t>
            </w:r>
          </w:p>
        </w:tc>
        <w:tc>
          <w:tcPr>
            <w:tcW w:w="240" w:type="dxa"/>
            <w:vAlign w:val="bottom"/>
            <w:shd w:val="clear" w:color="auto" w:fill="CCECFF"/>
          </w:tcPr>
          <w:p>
            <w:pPr>
              <w:spacing w:after="0"/>
              <w:rPr>
                <w:sz w:val="14"/>
                <w:szCs w:val="14"/>
                <w:color w:val="auto"/>
              </w:rPr>
            </w:pPr>
          </w:p>
        </w:tc>
        <w:tc>
          <w:tcPr>
            <w:tcW w:w="80" w:type="dxa"/>
            <w:vAlign w:val="bottom"/>
            <w:shd w:val="clear" w:color="auto" w:fill="CCECFF"/>
          </w:tcPr>
          <w:p>
            <w:pPr>
              <w:spacing w:after="0"/>
              <w:rPr>
                <w:sz w:val="14"/>
                <w:szCs w:val="14"/>
                <w:color w:val="auto"/>
              </w:rPr>
            </w:pPr>
          </w:p>
        </w:tc>
        <w:tc>
          <w:tcPr>
            <w:tcW w:w="1140" w:type="dxa"/>
            <w:vAlign w:val="bottom"/>
            <w:shd w:val="clear" w:color="auto" w:fill="CCECFF"/>
          </w:tcPr>
          <w:p>
            <w:pPr>
              <w:jc w:val="right"/>
              <w:spacing w:after="0"/>
              <w:rPr>
                <w:sz w:val="20"/>
                <w:szCs w:val="20"/>
                <w:color w:val="auto"/>
              </w:rPr>
            </w:pPr>
            <w:r>
              <w:rPr>
                <w:rFonts w:ascii="Arial" w:cs="Arial" w:eastAsia="Arial" w:hAnsi="Arial"/>
                <w:sz w:val="14"/>
                <w:szCs w:val="14"/>
                <w:color w:val="auto"/>
              </w:rPr>
              <w:t>23,505,929</w:t>
            </w:r>
          </w:p>
        </w:tc>
        <w:tc>
          <w:tcPr>
            <w:tcW w:w="240" w:type="dxa"/>
            <w:vAlign w:val="bottom"/>
            <w:shd w:val="clear" w:color="auto" w:fill="CCECFF"/>
          </w:tcPr>
          <w:p>
            <w:pPr>
              <w:spacing w:after="0"/>
              <w:rPr>
                <w:sz w:val="14"/>
                <w:szCs w:val="14"/>
                <w:color w:val="auto"/>
              </w:rPr>
            </w:pPr>
          </w:p>
        </w:tc>
        <w:tc>
          <w:tcPr>
            <w:tcW w:w="220" w:type="dxa"/>
            <w:vAlign w:val="bottom"/>
            <w:shd w:val="clear" w:color="auto" w:fill="CCECFF"/>
          </w:tcPr>
          <w:p>
            <w:pPr>
              <w:spacing w:after="0"/>
              <w:rPr>
                <w:sz w:val="14"/>
                <w:szCs w:val="14"/>
                <w:color w:val="auto"/>
              </w:rPr>
            </w:pPr>
          </w:p>
        </w:tc>
        <w:tc>
          <w:tcPr>
            <w:tcW w:w="1140" w:type="dxa"/>
            <w:vAlign w:val="bottom"/>
            <w:gridSpan w:val="2"/>
            <w:shd w:val="clear" w:color="auto" w:fill="CCECFF"/>
          </w:tcPr>
          <w:p>
            <w:pPr>
              <w:jc w:val="right"/>
              <w:ind w:right="140"/>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62"/>
        </w:trPr>
        <w:tc>
          <w:tcPr>
            <w:tcW w:w="2300" w:type="dxa"/>
            <w:vAlign w:val="bottom"/>
          </w:tcPr>
          <w:p>
            <w:pPr>
              <w:spacing w:after="0"/>
              <w:rPr>
                <w:sz w:val="20"/>
                <w:szCs w:val="20"/>
                <w:color w:val="auto"/>
              </w:rPr>
            </w:pPr>
            <w:r>
              <w:rPr>
                <w:rFonts w:ascii="Arial" w:cs="Arial" w:eastAsia="Arial" w:hAnsi="Arial"/>
                <w:sz w:val="14"/>
                <w:szCs w:val="14"/>
                <w:color w:val="auto"/>
              </w:rPr>
              <w:t>DirectBuy Holdings, Inc.</w:t>
            </w:r>
          </w:p>
        </w:tc>
        <w:tc>
          <w:tcPr>
            <w:tcW w:w="1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220" w:type="dxa"/>
            <w:vAlign w:val="bottom"/>
          </w:tcPr>
          <w:p>
            <w:pPr>
              <w:jc w:val="right"/>
              <w:spacing w:after="0"/>
              <w:rPr>
                <w:sz w:val="20"/>
                <w:szCs w:val="20"/>
                <w:color w:val="auto"/>
              </w:rPr>
            </w:pPr>
            <w:r>
              <w:rPr>
                <w:rFonts w:ascii="Arial" w:cs="Arial" w:eastAsia="Arial" w:hAnsi="Arial"/>
                <w:sz w:val="14"/>
                <w:szCs w:val="14"/>
                <w:color w:val="auto"/>
              </w:rPr>
              <w:t>2,799,695</w:t>
            </w:r>
          </w:p>
        </w:tc>
        <w:tc>
          <w:tcPr>
            <w:tcW w:w="2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120" w:type="dxa"/>
            <w:vAlign w:val="bottom"/>
          </w:tcPr>
          <w:p>
            <w:pPr>
              <w:jc w:val="right"/>
              <w:spacing w:after="0"/>
              <w:rPr>
                <w:sz w:val="20"/>
                <w:szCs w:val="20"/>
                <w:color w:val="auto"/>
              </w:rPr>
            </w:pPr>
            <w:r>
              <w:rPr>
                <w:rFonts w:ascii="Arial" w:cs="Arial" w:eastAsia="Arial" w:hAnsi="Arial"/>
                <w:sz w:val="14"/>
                <w:szCs w:val="14"/>
                <w:color w:val="auto"/>
              </w:rPr>
              <w:t>—</w:t>
            </w:r>
          </w:p>
        </w:tc>
        <w:tc>
          <w:tcPr>
            <w:tcW w:w="2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8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00" w:type="dxa"/>
            <w:vAlign w:val="bottom"/>
          </w:tcPr>
          <w:p>
            <w:pPr>
              <w:jc w:val="right"/>
              <w:spacing w:after="0"/>
              <w:rPr>
                <w:sz w:val="20"/>
                <w:szCs w:val="20"/>
                <w:color w:val="auto"/>
              </w:rPr>
            </w:pPr>
            <w:r>
              <w:rPr>
                <w:rFonts w:ascii="Arial" w:cs="Arial" w:eastAsia="Arial" w:hAnsi="Arial"/>
                <w:sz w:val="14"/>
                <w:szCs w:val="14"/>
                <w:color w:val="auto"/>
              </w:rPr>
              <w:t>—</w:t>
            </w:r>
          </w:p>
        </w:tc>
        <w:tc>
          <w:tcPr>
            <w:tcW w:w="2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140" w:type="dxa"/>
            <w:vAlign w:val="bottom"/>
          </w:tcPr>
          <w:p>
            <w:pPr>
              <w:jc w:val="right"/>
              <w:spacing w:after="0"/>
              <w:rPr>
                <w:sz w:val="20"/>
                <w:szCs w:val="20"/>
                <w:color w:val="auto"/>
              </w:rPr>
            </w:pPr>
            <w:r>
              <w:rPr>
                <w:rFonts w:ascii="Arial" w:cs="Arial" w:eastAsia="Arial" w:hAnsi="Arial"/>
                <w:sz w:val="14"/>
                <w:szCs w:val="14"/>
                <w:color w:val="auto"/>
              </w:rPr>
              <w:t>—</w:t>
            </w:r>
          </w:p>
        </w:tc>
        <w:tc>
          <w:tcPr>
            <w:tcW w:w="2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140" w:type="dxa"/>
            <w:vAlign w:val="bottom"/>
            <w:gridSpan w:val="2"/>
          </w:tcPr>
          <w:p>
            <w:pPr>
              <w:jc w:val="right"/>
              <w:ind w:right="80"/>
              <w:spacing w:after="0"/>
              <w:rPr>
                <w:sz w:val="20"/>
                <w:szCs w:val="20"/>
                <w:color w:val="auto"/>
              </w:rPr>
            </w:pPr>
            <w:r>
              <w:rPr>
                <w:rFonts w:ascii="Arial" w:cs="Arial" w:eastAsia="Arial" w:hAnsi="Arial"/>
                <w:sz w:val="14"/>
                <w:szCs w:val="14"/>
                <w:color w:val="auto"/>
              </w:rPr>
              <w:t>(33,833,356)</w:t>
            </w:r>
          </w:p>
        </w:tc>
        <w:tc>
          <w:tcPr>
            <w:tcW w:w="0" w:type="dxa"/>
            <w:vAlign w:val="bottom"/>
          </w:tcPr>
          <w:p>
            <w:pPr>
              <w:spacing w:after="0"/>
              <w:rPr>
                <w:sz w:val="1"/>
                <w:szCs w:val="1"/>
                <w:color w:val="auto"/>
              </w:rPr>
            </w:pPr>
          </w:p>
        </w:tc>
      </w:tr>
      <w:tr>
        <w:trPr>
          <w:trHeight w:val="162"/>
        </w:trPr>
        <w:tc>
          <w:tcPr>
            <w:tcW w:w="2300" w:type="dxa"/>
            <w:vAlign w:val="bottom"/>
            <w:shd w:val="clear" w:color="auto" w:fill="CCECFF"/>
          </w:tcPr>
          <w:p>
            <w:pPr>
              <w:spacing w:after="0"/>
              <w:rPr>
                <w:sz w:val="20"/>
                <w:szCs w:val="20"/>
                <w:color w:val="auto"/>
              </w:rPr>
            </w:pPr>
            <w:r>
              <w:rPr>
                <w:rFonts w:ascii="Arial" w:cs="Arial" w:eastAsia="Arial" w:hAnsi="Arial"/>
                <w:sz w:val="14"/>
                <w:szCs w:val="14"/>
                <w:color w:val="auto"/>
              </w:rPr>
              <w:t>EnviroSolutions Holdings, Inc.</w:t>
            </w:r>
          </w:p>
        </w:tc>
        <w:tc>
          <w:tcPr>
            <w:tcW w:w="120" w:type="dxa"/>
            <w:vAlign w:val="bottom"/>
            <w:shd w:val="clear" w:color="auto" w:fill="CCECFF"/>
          </w:tcPr>
          <w:p>
            <w:pPr>
              <w:spacing w:after="0"/>
              <w:rPr>
                <w:sz w:val="14"/>
                <w:szCs w:val="14"/>
                <w:color w:val="auto"/>
              </w:rPr>
            </w:pPr>
          </w:p>
        </w:tc>
        <w:tc>
          <w:tcPr>
            <w:tcW w:w="180" w:type="dxa"/>
            <w:vAlign w:val="bottom"/>
            <w:shd w:val="clear" w:color="auto" w:fill="CCECFF"/>
          </w:tcPr>
          <w:p>
            <w:pPr>
              <w:spacing w:after="0"/>
              <w:rPr>
                <w:sz w:val="14"/>
                <w:szCs w:val="14"/>
                <w:color w:val="auto"/>
              </w:rPr>
            </w:pPr>
          </w:p>
        </w:tc>
        <w:tc>
          <w:tcPr>
            <w:tcW w:w="1220" w:type="dxa"/>
            <w:vAlign w:val="bottom"/>
            <w:shd w:val="clear" w:color="auto" w:fill="CCECFF"/>
          </w:tcPr>
          <w:p>
            <w:pPr>
              <w:jc w:val="right"/>
              <w:spacing w:after="0"/>
              <w:rPr>
                <w:sz w:val="20"/>
                <w:szCs w:val="20"/>
                <w:color w:val="auto"/>
              </w:rPr>
            </w:pPr>
            <w:r>
              <w:rPr>
                <w:rFonts w:ascii="Arial" w:cs="Arial" w:eastAsia="Arial" w:hAnsi="Arial"/>
                <w:sz w:val="14"/>
                <w:szCs w:val="14"/>
                <w:color w:val="auto"/>
              </w:rPr>
              <w:t>22,522,000</w:t>
            </w:r>
          </w:p>
        </w:tc>
        <w:tc>
          <w:tcPr>
            <w:tcW w:w="220" w:type="dxa"/>
            <w:vAlign w:val="bottom"/>
            <w:shd w:val="clear" w:color="auto" w:fill="CCECFF"/>
          </w:tcPr>
          <w:p>
            <w:pPr>
              <w:spacing w:after="0"/>
              <w:rPr>
                <w:sz w:val="14"/>
                <w:szCs w:val="14"/>
                <w:color w:val="auto"/>
              </w:rPr>
            </w:pPr>
          </w:p>
        </w:tc>
        <w:tc>
          <w:tcPr>
            <w:tcW w:w="120" w:type="dxa"/>
            <w:vAlign w:val="bottom"/>
            <w:shd w:val="clear" w:color="auto" w:fill="CCECFF"/>
          </w:tcPr>
          <w:p>
            <w:pPr>
              <w:spacing w:after="0"/>
              <w:rPr>
                <w:sz w:val="14"/>
                <w:szCs w:val="14"/>
                <w:color w:val="auto"/>
              </w:rPr>
            </w:pPr>
          </w:p>
        </w:tc>
        <w:tc>
          <w:tcPr>
            <w:tcW w:w="1120" w:type="dxa"/>
            <w:vAlign w:val="bottom"/>
            <w:shd w:val="clear" w:color="auto" w:fill="CCECFF"/>
          </w:tcPr>
          <w:p>
            <w:pPr>
              <w:jc w:val="right"/>
              <w:spacing w:after="0"/>
              <w:rPr>
                <w:sz w:val="20"/>
                <w:szCs w:val="20"/>
                <w:color w:val="auto"/>
              </w:rPr>
            </w:pPr>
            <w:r>
              <w:rPr>
                <w:rFonts w:ascii="Arial" w:cs="Arial" w:eastAsia="Arial" w:hAnsi="Arial"/>
                <w:sz w:val="14"/>
                <w:szCs w:val="14"/>
                <w:color w:val="auto"/>
              </w:rPr>
              <w:t>—</w:t>
            </w:r>
          </w:p>
        </w:tc>
        <w:tc>
          <w:tcPr>
            <w:tcW w:w="220" w:type="dxa"/>
            <w:vAlign w:val="bottom"/>
            <w:shd w:val="clear" w:color="auto" w:fill="CCECFF"/>
          </w:tcPr>
          <w:p>
            <w:pPr>
              <w:spacing w:after="0"/>
              <w:rPr>
                <w:sz w:val="14"/>
                <w:szCs w:val="14"/>
                <w:color w:val="auto"/>
              </w:rPr>
            </w:pPr>
          </w:p>
        </w:tc>
        <w:tc>
          <w:tcPr>
            <w:tcW w:w="80" w:type="dxa"/>
            <w:vAlign w:val="bottom"/>
            <w:shd w:val="clear" w:color="auto" w:fill="CCECFF"/>
          </w:tcPr>
          <w:p>
            <w:pPr>
              <w:spacing w:after="0"/>
              <w:rPr>
                <w:sz w:val="14"/>
                <w:szCs w:val="14"/>
                <w:color w:val="auto"/>
              </w:rPr>
            </w:pPr>
          </w:p>
        </w:tc>
        <w:tc>
          <w:tcPr>
            <w:tcW w:w="1280" w:type="dxa"/>
            <w:vAlign w:val="bottom"/>
            <w:gridSpan w:val="2"/>
            <w:shd w:val="clear" w:color="auto" w:fill="CCECFF"/>
          </w:tcPr>
          <w:p>
            <w:pPr>
              <w:jc w:val="right"/>
              <w:ind w:right="14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CFF"/>
          </w:tcPr>
          <w:p>
            <w:pPr>
              <w:spacing w:after="0"/>
              <w:rPr>
                <w:sz w:val="14"/>
                <w:szCs w:val="14"/>
                <w:color w:val="auto"/>
              </w:rPr>
            </w:pPr>
          </w:p>
        </w:tc>
        <w:tc>
          <w:tcPr>
            <w:tcW w:w="220" w:type="dxa"/>
            <w:vAlign w:val="bottom"/>
            <w:shd w:val="clear" w:color="auto" w:fill="CCECFF"/>
          </w:tcPr>
          <w:p>
            <w:pPr>
              <w:spacing w:after="0"/>
              <w:rPr>
                <w:sz w:val="14"/>
                <w:szCs w:val="14"/>
                <w:color w:val="auto"/>
              </w:rPr>
            </w:pPr>
          </w:p>
        </w:tc>
        <w:tc>
          <w:tcPr>
            <w:tcW w:w="1000" w:type="dxa"/>
            <w:vAlign w:val="bottom"/>
            <w:shd w:val="clear" w:color="auto" w:fill="CCECFF"/>
          </w:tcPr>
          <w:p>
            <w:pPr>
              <w:jc w:val="right"/>
              <w:spacing w:after="0"/>
              <w:rPr>
                <w:sz w:val="20"/>
                <w:szCs w:val="20"/>
                <w:color w:val="auto"/>
              </w:rPr>
            </w:pPr>
            <w:r>
              <w:rPr>
                <w:rFonts w:ascii="Arial" w:cs="Arial" w:eastAsia="Arial" w:hAnsi="Arial"/>
                <w:sz w:val="14"/>
                <w:szCs w:val="14"/>
                <w:color w:val="auto"/>
              </w:rPr>
              <w:t>701,698</w:t>
            </w:r>
          </w:p>
        </w:tc>
        <w:tc>
          <w:tcPr>
            <w:tcW w:w="240" w:type="dxa"/>
            <w:vAlign w:val="bottom"/>
            <w:shd w:val="clear" w:color="auto" w:fill="CCECFF"/>
          </w:tcPr>
          <w:p>
            <w:pPr>
              <w:spacing w:after="0"/>
              <w:rPr>
                <w:sz w:val="14"/>
                <w:szCs w:val="14"/>
                <w:color w:val="auto"/>
              </w:rPr>
            </w:pPr>
          </w:p>
        </w:tc>
        <w:tc>
          <w:tcPr>
            <w:tcW w:w="80" w:type="dxa"/>
            <w:vAlign w:val="bottom"/>
            <w:shd w:val="clear" w:color="auto" w:fill="CCECFF"/>
          </w:tcPr>
          <w:p>
            <w:pPr>
              <w:spacing w:after="0"/>
              <w:rPr>
                <w:sz w:val="14"/>
                <w:szCs w:val="14"/>
                <w:color w:val="auto"/>
              </w:rPr>
            </w:pPr>
          </w:p>
        </w:tc>
        <w:tc>
          <w:tcPr>
            <w:tcW w:w="1140" w:type="dxa"/>
            <w:vAlign w:val="bottom"/>
            <w:shd w:val="clear" w:color="auto" w:fill="CCECFF"/>
          </w:tcPr>
          <w:p>
            <w:pPr>
              <w:jc w:val="right"/>
              <w:spacing w:after="0"/>
              <w:rPr>
                <w:sz w:val="20"/>
                <w:szCs w:val="20"/>
                <w:color w:val="auto"/>
              </w:rPr>
            </w:pPr>
            <w:r>
              <w:rPr>
                <w:rFonts w:ascii="Arial" w:cs="Arial" w:eastAsia="Arial" w:hAnsi="Arial"/>
                <w:sz w:val="14"/>
                <w:szCs w:val="14"/>
                <w:color w:val="auto"/>
              </w:rPr>
              <w:t>24,176,193</w:t>
            </w:r>
          </w:p>
        </w:tc>
        <w:tc>
          <w:tcPr>
            <w:tcW w:w="240" w:type="dxa"/>
            <w:vAlign w:val="bottom"/>
            <w:shd w:val="clear" w:color="auto" w:fill="CCECFF"/>
          </w:tcPr>
          <w:p>
            <w:pPr>
              <w:spacing w:after="0"/>
              <w:rPr>
                <w:sz w:val="14"/>
                <w:szCs w:val="14"/>
                <w:color w:val="auto"/>
              </w:rPr>
            </w:pPr>
          </w:p>
        </w:tc>
        <w:tc>
          <w:tcPr>
            <w:tcW w:w="220" w:type="dxa"/>
            <w:vAlign w:val="bottom"/>
            <w:shd w:val="clear" w:color="auto" w:fill="CCECFF"/>
          </w:tcPr>
          <w:p>
            <w:pPr>
              <w:spacing w:after="0"/>
              <w:rPr>
                <w:sz w:val="14"/>
                <w:szCs w:val="14"/>
                <w:color w:val="auto"/>
              </w:rPr>
            </w:pPr>
          </w:p>
        </w:tc>
        <w:tc>
          <w:tcPr>
            <w:tcW w:w="1140" w:type="dxa"/>
            <w:vAlign w:val="bottom"/>
            <w:gridSpan w:val="2"/>
            <w:shd w:val="clear" w:color="auto" w:fill="CCECFF"/>
          </w:tcPr>
          <w:p>
            <w:pPr>
              <w:jc w:val="right"/>
              <w:ind w:right="140"/>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62"/>
        </w:trPr>
        <w:tc>
          <w:tcPr>
            <w:tcW w:w="2300" w:type="dxa"/>
            <w:vAlign w:val="bottom"/>
          </w:tcPr>
          <w:p>
            <w:pPr>
              <w:spacing w:after="0"/>
              <w:rPr>
                <w:sz w:val="20"/>
                <w:szCs w:val="20"/>
                <w:color w:val="auto"/>
              </w:rPr>
            </w:pPr>
            <w:r>
              <w:rPr>
                <w:rFonts w:ascii="Arial" w:cs="Arial" w:eastAsia="Arial" w:hAnsi="Arial"/>
                <w:sz w:val="14"/>
                <w:szCs w:val="14"/>
                <w:color w:val="auto"/>
              </w:rPr>
              <w:t>ETX Energy, LLC</w:t>
            </w:r>
          </w:p>
        </w:tc>
        <w:tc>
          <w:tcPr>
            <w:tcW w:w="1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220" w:type="dxa"/>
            <w:vAlign w:val="bottom"/>
          </w:tcPr>
          <w:p>
            <w:pPr>
              <w:jc w:val="right"/>
              <w:spacing w:after="0"/>
              <w:rPr>
                <w:sz w:val="20"/>
                <w:szCs w:val="20"/>
                <w:color w:val="auto"/>
              </w:rPr>
            </w:pPr>
            <w:r>
              <w:rPr>
                <w:rFonts w:ascii="Arial" w:cs="Arial" w:eastAsia="Arial" w:hAnsi="Arial"/>
                <w:sz w:val="14"/>
                <w:szCs w:val="14"/>
                <w:color w:val="auto"/>
              </w:rPr>
              <w:t>35,416,730</w:t>
            </w:r>
          </w:p>
        </w:tc>
        <w:tc>
          <w:tcPr>
            <w:tcW w:w="2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120" w:type="dxa"/>
            <w:vAlign w:val="bottom"/>
          </w:tcPr>
          <w:p>
            <w:pPr>
              <w:jc w:val="right"/>
              <w:spacing w:after="0"/>
              <w:rPr>
                <w:sz w:val="20"/>
                <w:szCs w:val="20"/>
                <w:color w:val="auto"/>
              </w:rPr>
            </w:pPr>
            <w:r>
              <w:rPr>
                <w:rFonts w:ascii="Arial" w:cs="Arial" w:eastAsia="Arial" w:hAnsi="Arial"/>
                <w:sz w:val="14"/>
                <w:szCs w:val="14"/>
                <w:color w:val="auto"/>
              </w:rPr>
              <w:t>2,446,543</w:t>
            </w:r>
          </w:p>
        </w:tc>
        <w:tc>
          <w:tcPr>
            <w:tcW w:w="2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8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00" w:type="dxa"/>
            <w:vAlign w:val="bottom"/>
          </w:tcPr>
          <w:p>
            <w:pPr>
              <w:jc w:val="right"/>
              <w:spacing w:after="0"/>
              <w:rPr>
                <w:sz w:val="20"/>
                <w:szCs w:val="20"/>
                <w:color w:val="auto"/>
              </w:rPr>
            </w:pPr>
            <w:r>
              <w:rPr>
                <w:rFonts w:ascii="Arial" w:cs="Arial" w:eastAsia="Arial" w:hAnsi="Arial"/>
                <w:sz w:val="14"/>
                <w:szCs w:val="14"/>
                <w:color w:val="auto"/>
              </w:rPr>
              <w:t>678,092</w:t>
            </w:r>
          </w:p>
        </w:tc>
        <w:tc>
          <w:tcPr>
            <w:tcW w:w="2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140" w:type="dxa"/>
            <w:vAlign w:val="bottom"/>
          </w:tcPr>
          <w:p>
            <w:pPr>
              <w:jc w:val="right"/>
              <w:spacing w:after="0"/>
              <w:rPr>
                <w:sz w:val="20"/>
                <w:szCs w:val="20"/>
                <w:color w:val="auto"/>
              </w:rPr>
            </w:pPr>
            <w:r>
              <w:rPr>
                <w:rFonts w:ascii="Arial" w:cs="Arial" w:eastAsia="Arial" w:hAnsi="Arial"/>
                <w:sz w:val="14"/>
                <w:szCs w:val="14"/>
                <w:color w:val="auto"/>
              </w:rPr>
              <w:t>46,095,073</w:t>
            </w:r>
          </w:p>
        </w:tc>
        <w:tc>
          <w:tcPr>
            <w:tcW w:w="2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14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62"/>
        </w:trPr>
        <w:tc>
          <w:tcPr>
            <w:tcW w:w="2300" w:type="dxa"/>
            <w:vAlign w:val="bottom"/>
            <w:shd w:val="clear" w:color="auto" w:fill="CCECFF"/>
          </w:tcPr>
          <w:p>
            <w:pPr>
              <w:spacing w:after="0"/>
              <w:rPr>
                <w:sz w:val="20"/>
                <w:szCs w:val="20"/>
                <w:color w:val="auto"/>
              </w:rPr>
            </w:pPr>
            <w:r>
              <w:rPr>
                <w:rFonts w:ascii="Arial" w:cs="Arial" w:eastAsia="Arial" w:hAnsi="Arial"/>
                <w:sz w:val="14"/>
                <w:szCs w:val="14"/>
                <w:color w:val="auto"/>
              </w:rPr>
              <w:t>PAS International Holdings, Inc.</w:t>
            </w:r>
          </w:p>
        </w:tc>
        <w:tc>
          <w:tcPr>
            <w:tcW w:w="120" w:type="dxa"/>
            <w:vAlign w:val="bottom"/>
            <w:shd w:val="clear" w:color="auto" w:fill="CCECFF"/>
          </w:tcPr>
          <w:p>
            <w:pPr>
              <w:spacing w:after="0"/>
              <w:rPr>
                <w:sz w:val="14"/>
                <w:szCs w:val="14"/>
                <w:color w:val="auto"/>
              </w:rPr>
            </w:pPr>
          </w:p>
        </w:tc>
        <w:tc>
          <w:tcPr>
            <w:tcW w:w="180" w:type="dxa"/>
            <w:vAlign w:val="bottom"/>
            <w:shd w:val="clear" w:color="auto" w:fill="CCECFF"/>
          </w:tcPr>
          <w:p>
            <w:pPr>
              <w:spacing w:after="0"/>
              <w:rPr>
                <w:sz w:val="14"/>
                <w:szCs w:val="14"/>
                <w:color w:val="auto"/>
              </w:rPr>
            </w:pPr>
          </w:p>
        </w:tc>
        <w:tc>
          <w:tcPr>
            <w:tcW w:w="1220" w:type="dxa"/>
            <w:vAlign w:val="bottom"/>
            <w:shd w:val="clear" w:color="auto" w:fill="CCECFF"/>
          </w:tcPr>
          <w:p>
            <w:pPr>
              <w:jc w:val="right"/>
              <w:spacing w:after="0"/>
              <w:rPr>
                <w:sz w:val="20"/>
                <w:szCs w:val="20"/>
                <w:color w:val="auto"/>
              </w:rPr>
            </w:pPr>
            <w:r>
              <w:rPr>
                <w:rFonts w:ascii="Arial" w:cs="Arial" w:eastAsia="Arial" w:hAnsi="Arial"/>
                <w:sz w:val="14"/>
                <w:szCs w:val="14"/>
                <w:color w:val="auto"/>
              </w:rPr>
              <w:t>8,233,630</w:t>
            </w:r>
          </w:p>
        </w:tc>
        <w:tc>
          <w:tcPr>
            <w:tcW w:w="220" w:type="dxa"/>
            <w:vAlign w:val="bottom"/>
            <w:shd w:val="clear" w:color="auto" w:fill="CCECFF"/>
          </w:tcPr>
          <w:p>
            <w:pPr>
              <w:spacing w:after="0"/>
              <w:rPr>
                <w:sz w:val="14"/>
                <w:szCs w:val="14"/>
                <w:color w:val="auto"/>
              </w:rPr>
            </w:pPr>
          </w:p>
        </w:tc>
        <w:tc>
          <w:tcPr>
            <w:tcW w:w="120" w:type="dxa"/>
            <w:vAlign w:val="bottom"/>
            <w:shd w:val="clear" w:color="auto" w:fill="CCECFF"/>
          </w:tcPr>
          <w:p>
            <w:pPr>
              <w:spacing w:after="0"/>
              <w:rPr>
                <w:sz w:val="14"/>
                <w:szCs w:val="14"/>
                <w:color w:val="auto"/>
              </w:rPr>
            </w:pPr>
          </w:p>
        </w:tc>
        <w:tc>
          <w:tcPr>
            <w:tcW w:w="1120" w:type="dxa"/>
            <w:vAlign w:val="bottom"/>
            <w:shd w:val="clear" w:color="auto" w:fill="CCECFF"/>
          </w:tcPr>
          <w:p>
            <w:pPr>
              <w:jc w:val="right"/>
              <w:spacing w:after="0"/>
              <w:rPr>
                <w:sz w:val="20"/>
                <w:szCs w:val="20"/>
                <w:color w:val="auto"/>
              </w:rPr>
            </w:pPr>
            <w:r>
              <w:rPr>
                <w:rFonts w:ascii="Arial" w:cs="Arial" w:eastAsia="Arial" w:hAnsi="Arial"/>
                <w:sz w:val="14"/>
                <w:szCs w:val="14"/>
                <w:color w:val="auto"/>
              </w:rPr>
              <w:t>36,540</w:t>
            </w:r>
          </w:p>
        </w:tc>
        <w:tc>
          <w:tcPr>
            <w:tcW w:w="220" w:type="dxa"/>
            <w:vAlign w:val="bottom"/>
            <w:shd w:val="clear" w:color="auto" w:fill="CCECFF"/>
          </w:tcPr>
          <w:p>
            <w:pPr>
              <w:spacing w:after="0"/>
              <w:rPr>
                <w:sz w:val="14"/>
                <w:szCs w:val="14"/>
                <w:color w:val="auto"/>
              </w:rPr>
            </w:pPr>
          </w:p>
        </w:tc>
        <w:tc>
          <w:tcPr>
            <w:tcW w:w="80" w:type="dxa"/>
            <w:vAlign w:val="bottom"/>
            <w:shd w:val="clear" w:color="auto" w:fill="CCECFF"/>
          </w:tcPr>
          <w:p>
            <w:pPr>
              <w:spacing w:after="0"/>
              <w:rPr>
                <w:sz w:val="14"/>
                <w:szCs w:val="14"/>
                <w:color w:val="auto"/>
              </w:rPr>
            </w:pPr>
          </w:p>
        </w:tc>
        <w:tc>
          <w:tcPr>
            <w:tcW w:w="1280" w:type="dxa"/>
            <w:vAlign w:val="bottom"/>
            <w:gridSpan w:val="2"/>
            <w:shd w:val="clear" w:color="auto" w:fill="CCECFF"/>
          </w:tcPr>
          <w:p>
            <w:pPr>
              <w:jc w:val="right"/>
              <w:ind w:right="80"/>
              <w:spacing w:after="0"/>
              <w:rPr>
                <w:sz w:val="20"/>
                <w:szCs w:val="20"/>
                <w:color w:val="auto"/>
              </w:rPr>
            </w:pPr>
            <w:r>
              <w:rPr>
                <w:rFonts w:ascii="Arial" w:cs="Arial" w:eastAsia="Arial" w:hAnsi="Arial"/>
                <w:sz w:val="14"/>
                <w:szCs w:val="14"/>
                <w:color w:val="auto"/>
              </w:rPr>
              <w:t>(21,604,940)</w:t>
            </w:r>
          </w:p>
        </w:tc>
        <w:tc>
          <w:tcPr>
            <w:tcW w:w="100" w:type="dxa"/>
            <w:vAlign w:val="bottom"/>
            <w:shd w:val="clear" w:color="auto" w:fill="CCECFF"/>
          </w:tcPr>
          <w:p>
            <w:pPr>
              <w:spacing w:after="0"/>
              <w:rPr>
                <w:sz w:val="14"/>
                <w:szCs w:val="14"/>
                <w:color w:val="auto"/>
              </w:rPr>
            </w:pPr>
          </w:p>
        </w:tc>
        <w:tc>
          <w:tcPr>
            <w:tcW w:w="220" w:type="dxa"/>
            <w:vAlign w:val="bottom"/>
            <w:shd w:val="clear" w:color="auto" w:fill="CCECFF"/>
          </w:tcPr>
          <w:p>
            <w:pPr>
              <w:spacing w:after="0"/>
              <w:rPr>
                <w:sz w:val="14"/>
                <w:szCs w:val="14"/>
                <w:color w:val="auto"/>
              </w:rPr>
            </w:pPr>
          </w:p>
        </w:tc>
        <w:tc>
          <w:tcPr>
            <w:tcW w:w="1000" w:type="dxa"/>
            <w:vAlign w:val="bottom"/>
            <w:shd w:val="clear" w:color="auto" w:fill="CCECFF"/>
          </w:tcPr>
          <w:p>
            <w:pPr>
              <w:jc w:val="right"/>
              <w:spacing w:after="0"/>
              <w:rPr>
                <w:sz w:val="20"/>
                <w:szCs w:val="20"/>
                <w:color w:val="auto"/>
              </w:rPr>
            </w:pPr>
            <w:r>
              <w:rPr>
                <w:rFonts w:ascii="Arial" w:cs="Arial" w:eastAsia="Arial" w:hAnsi="Arial"/>
                <w:sz w:val="14"/>
                <w:szCs w:val="14"/>
                <w:color w:val="auto"/>
              </w:rPr>
              <w:t>2,223,422</w:t>
            </w:r>
          </w:p>
        </w:tc>
        <w:tc>
          <w:tcPr>
            <w:tcW w:w="240" w:type="dxa"/>
            <w:vAlign w:val="bottom"/>
            <w:shd w:val="clear" w:color="auto" w:fill="CCECFF"/>
          </w:tcPr>
          <w:p>
            <w:pPr>
              <w:spacing w:after="0"/>
              <w:rPr>
                <w:sz w:val="14"/>
                <w:szCs w:val="14"/>
                <w:color w:val="auto"/>
              </w:rPr>
            </w:pPr>
          </w:p>
        </w:tc>
        <w:tc>
          <w:tcPr>
            <w:tcW w:w="80" w:type="dxa"/>
            <w:vAlign w:val="bottom"/>
            <w:shd w:val="clear" w:color="auto" w:fill="CCECFF"/>
          </w:tcPr>
          <w:p>
            <w:pPr>
              <w:spacing w:after="0"/>
              <w:rPr>
                <w:sz w:val="14"/>
                <w:szCs w:val="14"/>
                <w:color w:val="auto"/>
              </w:rPr>
            </w:pPr>
          </w:p>
        </w:tc>
        <w:tc>
          <w:tcPr>
            <w:tcW w:w="1140" w:type="dxa"/>
            <w:vAlign w:val="bottom"/>
            <w:shd w:val="clear" w:color="auto" w:fill="CCECFF"/>
          </w:tcPr>
          <w:p>
            <w:pPr>
              <w:jc w:val="right"/>
              <w:spacing w:after="0"/>
              <w:rPr>
                <w:sz w:val="20"/>
                <w:szCs w:val="20"/>
                <w:color w:val="auto"/>
              </w:rPr>
            </w:pPr>
            <w:r>
              <w:rPr>
                <w:rFonts w:ascii="Arial" w:cs="Arial" w:eastAsia="Arial" w:hAnsi="Arial"/>
                <w:sz w:val="14"/>
                <w:szCs w:val="14"/>
                <w:color w:val="auto"/>
              </w:rPr>
              <w:t>—</w:t>
            </w:r>
          </w:p>
        </w:tc>
        <w:tc>
          <w:tcPr>
            <w:tcW w:w="240" w:type="dxa"/>
            <w:vAlign w:val="bottom"/>
            <w:shd w:val="clear" w:color="auto" w:fill="CCECFF"/>
          </w:tcPr>
          <w:p>
            <w:pPr>
              <w:spacing w:after="0"/>
              <w:rPr>
                <w:sz w:val="14"/>
                <w:szCs w:val="14"/>
                <w:color w:val="auto"/>
              </w:rPr>
            </w:pPr>
          </w:p>
        </w:tc>
        <w:tc>
          <w:tcPr>
            <w:tcW w:w="220" w:type="dxa"/>
            <w:vAlign w:val="bottom"/>
            <w:shd w:val="clear" w:color="auto" w:fill="CCECFF"/>
          </w:tcPr>
          <w:p>
            <w:pPr>
              <w:spacing w:after="0"/>
              <w:rPr>
                <w:sz w:val="14"/>
                <w:szCs w:val="14"/>
                <w:color w:val="auto"/>
              </w:rPr>
            </w:pPr>
          </w:p>
        </w:tc>
        <w:tc>
          <w:tcPr>
            <w:tcW w:w="1140" w:type="dxa"/>
            <w:vAlign w:val="bottom"/>
            <w:gridSpan w:val="2"/>
            <w:shd w:val="clear" w:color="auto" w:fill="CCECFF"/>
          </w:tcPr>
          <w:p>
            <w:pPr>
              <w:jc w:val="right"/>
              <w:ind w:right="80"/>
              <w:spacing w:after="0"/>
              <w:rPr>
                <w:sz w:val="20"/>
                <w:szCs w:val="20"/>
                <w:color w:val="auto"/>
              </w:rPr>
            </w:pPr>
            <w:r>
              <w:rPr>
                <w:rFonts w:ascii="Arial" w:cs="Arial" w:eastAsia="Arial" w:hAnsi="Arial"/>
                <w:sz w:val="14"/>
                <w:szCs w:val="14"/>
                <w:color w:val="auto"/>
              </w:rPr>
              <w:t>(2,884,281)</w:t>
            </w:r>
          </w:p>
        </w:tc>
        <w:tc>
          <w:tcPr>
            <w:tcW w:w="0" w:type="dxa"/>
            <w:vAlign w:val="bottom"/>
          </w:tcPr>
          <w:p>
            <w:pPr>
              <w:spacing w:after="0"/>
              <w:rPr>
                <w:sz w:val="1"/>
                <w:szCs w:val="1"/>
                <w:color w:val="auto"/>
              </w:rPr>
            </w:pPr>
          </w:p>
        </w:tc>
      </w:tr>
      <w:tr>
        <w:trPr>
          <w:trHeight w:val="162"/>
        </w:trPr>
        <w:tc>
          <w:tcPr>
            <w:tcW w:w="2300" w:type="dxa"/>
            <w:vAlign w:val="bottom"/>
          </w:tcPr>
          <w:p>
            <w:pPr>
              <w:spacing w:after="0"/>
              <w:rPr>
                <w:sz w:val="20"/>
                <w:szCs w:val="20"/>
                <w:color w:val="auto"/>
              </w:rPr>
            </w:pPr>
            <w:r>
              <w:rPr>
                <w:rFonts w:ascii="Arial" w:cs="Arial" w:eastAsia="Arial" w:hAnsi="Arial"/>
                <w:sz w:val="14"/>
                <w:szCs w:val="14"/>
                <w:color w:val="auto"/>
              </w:rPr>
              <w:t>Service Champ, Inc.</w:t>
            </w:r>
          </w:p>
        </w:tc>
        <w:tc>
          <w:tcPr>
            <w:tcW w:w="1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220" w:type="dxa"/>
            <w:vAlign w:val="bottom"/>
          </w:tcPr>
          <w:p>
            <w:pPr>
              <w:jc w:val="right"/>
              <w:spacing w:after="0"/>
              <w:rPr>
                <w:sz w:val="20"/>
                <w:szCs w:val="20"/>
                <w:color w:val="auto"/>
              </w:rPr>
            </w:pPr>
            <w:r>
              <w:rPr>
                <w:rFonts w:ascii="Arial" w:cs="Arial" w:eastAsia="Arial" w:hAnsi="Arial"/>
                <w:sz w:val="14"/>
                <w:szCs w:val="14"/>
                <w:color w:val="auto"/>
              </w:rPr>
              <w:t>34,898,025</w:t>
            </w:r>
          </w:p>
        </w:tc>
        <w:tc>
          <w:tcPr>
            <w:tcW w:w="2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120" w:type="dxa"/>
            <w:vAlign w:val="bottom"/>
          </w:tcPr>
          <w:p>
            <w:pPr>
              <w:jc w:val="right"/>
              <w:spacing w:after="0"/>
              <w:rPr>
                <w:sz w:val="20"/>
                <w:szCs w:val="20"/>
                <w:color w:val="auto"/>
              </w:rPr>
            </w:pPr>
            <w:r>
              <w:rPr>
                <w:rFonts w:ascii="Arial" w:cs="Arial" w:eastAsia="Arial" w:hAnsi="Arial"/>
                <w:sz w:val="14"/>
                <w:szCs w:val="14"/>
                <w:color w:val="auto"/>
              </w:rPr>
              <w:t>—</w:t>
            </w:r>
          </w:p>
        </w:tc>
        <w:tc>
          <w:tcPr>
            <w:tcW w:w="2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80" w:type="dxa"/>
            <w:vAlign w:val="bottom"/>
            <w:gridSpan w:val="2"/>
          </w:tcPr>
          <w:p>
            <w:pPr>
              <w:jc w:val="right"/>
              <w:ind w:right="80"/>
              <w:spacing w:after="0"/>
              <w:rPr>
                <w:sz w:val="20"/>
                <w:szCs w:val="20"/>
                <w:color w:val="auto"/>
              </w:rPr>
            </w:pPr>
            <w:r>
              <w:rPr>
                <w:rFonts w:ascii="Arial" w:cs="Arial" w:eastAsia="Arial" w:hAnsi="Arial"/>
                <w:sz w:val="14"/>
                <w:szCs w:val="14"/>
                <w:color w:val="auto"/>
              </w:rPr>
              <w:t>(32,483,758)</w:t>
            </w:r>
          </w:p>
        </w:tc>
        <w:tc>
          <w:tcPr>
            <w:tcW w:w="1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00" w:type="dxa"/>
            <w:vAlign w:val="bottom"/>
          </w:tcPr>
          <w:p>
            <w:pPr>
              <w:jc w:val="right"/>
              <w:spacing w:after="0"/>
              <w:rPr>
                <w:sz w:val="20"/>
                <w:szCs w:val="20"/>
                <w:color w:val="auto"/>
              </w:rPr>
            </w:pPr>
            <w:r>
              <w:rPr>
                <w:rFonts w:ascii="Arial" w:cs="Arial" w:eastAsia="Arial" w:hAnsi="Arial"/>
                <w:sz w:val="14"/>
                <w:szCs w:val="14"/>
                <w:color w:val="auto"/>
              </w:rPr>
              <w:t>1,701,654</w:t>
            </w:r>
          </w:p>
        </w:tc>
        <w:tc>
          <w:tcPr>
            <w:tcW w:w="2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140" w:type="dxa"/>
            <w:vAlign w:val="bottom"/>
          </w:tcPr>
          <w:p>
            <w:pPr>
              <w:jc w:val="right"/>
              <w:spacing w:after="0"/>
              <w:rPr>
                <w:sz w:val="20"/>
                <w:szCs w:val="20"/>
                <w:color w:val="auto"/>
              </w:rPr>
            </w:pPr>
            <w:r>
              <w:rPr>
                <w:rFonts w:ascii="Arial" w:cs="Arial" w:eastAsia="Arial" w:hAnsi="Arial"/>
                <w:sz w:val="14"/>
                <w:szCs w:val="14"/>
                <w:color w:val="auto"/>
              </w:rPr>
              <w:t>—</w:t>
            </w:r>
          </w:p>
        </w:tc>
        <w:tc>
          <w:tcPr>
            <w:tcW w:w="2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20" w:type="dxa"/>
            <w:vAlign w:val="bottom"/>
          </w:tcPr>
          <w:p>
            <w:pPr>
              <w:jc w:val="right"/>
              <w:spacing w:after="0"/>
              <w:rPr>
                <w:sz w:val="20"/>
                <w:szCs w:val="20"/>
                <w:color w:val="auto"/>
              </w:rPr>
            </w:pPr>
            <w:r>
              <w:rPr>
                <w:rFonts w:ascii="Arial" w:cs="Arial" w:eastAsia="Arial" w:hAnsi="Arial"/>
                <w:sz w:val="14"/>
                <w:szCs w:val="14"/>
                <w:color w:val="auto"/>
              </w:rPr>
              <w:t>1,842,374</w:t>
            </w: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300" w:type="dxa"/>
            <w:vAlign w:val="bottom"/>
            <w:shd w:val="clear" w:color="auto" w:fill="CCECFF"/>
          </w:tcPr>
          <w:p>
            <w:pPr>
              <w:spacing w:after="0"/>
              <w:rPr>
                <w:sz w:val="20"/>
                <w:szCs w:val="20"/>
                <w:color w:val="auto"/>
              </w:rPr>
            </w:pPr>
            <w:r>
              <w:rPr>
                <w:rFonts w:ascii="Arial" w:cs="Arial" w:eastAsia="Arial" w:hAnsi="Arial"/>
                <w:sz w:val="14"/>
                <w:szCs w:val="14"/>
                <w:color w:val="auto"/>
              </w:rPr>
              <w:t>TRAK Acquisition Corp.</w:t>
            </w:r>
          </w:p>
        </w:tc>
        <w:tc>
          <w:tcPr>
            <w:tcW w:w="120" w:type="dxa"/>
            <w:vAlign w:val="bottom"/>
            <w:shd w:val="clear" w:color="auto" w:fill="CCECFF"/>
          </w:tcPr>
          <w:p>
            <w:pPr>
              <w:spacing w:after="0"/>
              <w:rPr>
                <w:sz w:val="14"/>
                <w:szCs w:val="14"/>
                <w:color w:val="auto"/>
              </w:rPr>
            </w:pPr>
          </w:p>
        </w:tc>
        <w:tc>
          <w:tcPr>
            <w:tcW w:w="180" w:type="dxa"/>
            <w:vAlign w:val="bottom"/>
            <w:shd w:val="clear" w:color="auto" w:fill="CCECFF"/>
          </w:tcPr>
          <w:p>
            <w:pPr>
              <w:spacing w:after="0"/>
              <w:rPr>
                <w:sz w:val="14"/>
                <w:szCs w:val="14"/>
                <w:color w:val="auto"/>
              </w:rPr>
            </w:pPr>
          </w:p>
        </w:tc>
        <w:tc>
          <w:tcPr>
            <w:tcW w:w="1220" w:type="dxa"/>
            <w:vAlign w:val="bottom"/>
            <w:shd w:val="clear" w:color="auto" w:fill="CCECFF"/>
          </w:tcPr>
          <w:p>
            <w:pPr>
              <w:jc w:val="right"/>
              <w:spacing w:after="0"/>
              <w:rPr>
                <w:sz w:val="20"/>
                <w:szCs w:val="20"/>
                <w:color w:val="auto"/>
              </w:rPr>
            </w:pPr>
            <w:r>
              <w:rPr>
                <w:rFonts w:ascii="Arial" w:cs="Arial" w:eastAsia="Arial" w:hAnsi="Arial"/>
                <w:sz w:val="14"/>
                <w:szCs w:val="14"/>
                <w:color w:val="auto"/>
              </w:rPr>
              <w:t>28,360,010</w:t>
            </w:r>
          </w:p>
        </w:tc>
        <w:tc>
          <w:tcPr>
            <w:tcW w:w="220" w:type="dxa"/>
            <w:vAlign w:val="bottom"/>
            <w:shd w:val="clear" w:color="auto" w:fill="CCECFF"/>
          </w:tcPr>
          <w:p>
            <w:pPr>
              <w:spacing w:after="0"/>
              <w:rPr>
                <w:sz w:val="14"/>
                <w:szCs w:val="14"/>
                <w:color w:val="auto"/>
              </w:rPr>
            </w:pPr>
          </w:p>
        </w:tc>
        <w:tc>
          <w:tcPr>
            <w:tcW w:w="120" w:type="dxa"/>
            <w:vAlign w:val="bottom"/>
            <w:shd w:val="clear" w:color="auto" w:fill="CCECFF"/>
          </w:tcPr>
          <w:p>
            <w:pPr>
              <w:spacing w:after="0"/>
              <w:rPr>
                <w:sz w:val="14"/>
                <w:szCs w:val="14"/>
                <w:color w:val="auto"/>
              </w:rPr>
            </w:pPr>
          </w:p>
        </w:tc>
        <w:tc>
          <w:tcPr>
            <w:tcW w:w="1120" w:type="dxa"/>
            <w:vAlign w:val="bottom"/>
            <w:shd w:val="clear" w:color="auto" w:fill="CCECFF"/>
          </w:tcPr>
          <w:p>
            <w:pPr>
              <w:jc w:val="right"/>
              <w:spacing w:after="0"/>
              <w:rPr>
                <w:sz w:val="20"/>
                <w:szCs w:val="20"/>
                <w:color w:val="auto"/>
              </w:rPr>
            </w:pPr>
            <w:r>
              <w:rPr>
                <w:rFonts w:ascii="Arial" w:cs="Arial" w:eastAsia="Arial" w:hAnsi="Arial"/>
                <w:sz w:val="14"/>
                <w:szCs w:val="14"/>
                <w:color w:val="auto"/>
              </w:rPr>
              <w:t>27,000,000</w:t>
            </w:r>
          </w:p>
        </w:tc>
        <w:tc>
          <w:tcPr>
            <w:tcW w:w="220" w:type="dxa"/>
            <w:vAlign w:val="bottom"/>
            <w:shd w:val="clear" w:color="auto" w:fill="CCECFF"/>
          </w:tcPr>
          <w:p>
            <w:pPr>
              <w:spacing w:after="0"/>
              <w:rPr>
                <w:sz w:val="14"/>
                <w:szCs w:val="14"/>
                <w:color w:val="auto"/>
              </w:rPr>
            </w:pPr>
          </w:p>
        </w:tc>
        <w:tc>
          <w:tcPr>
            <w:tcW w:w="80" w:type="dxa"/>
            <w:vAlign w:val="bottom"/>
            <w:shd w:val="clear" w:color="auto" w:fill="CCECFF"/>
          </w:tcPr>
          <w:p>
            <w:pPr>
              <w:spacing w:after="0"/>
              <w:rPr>
                <w:sz w:val="14"/>
                <w:szCs w:val="14"/>
                <w:color w:val="auto"/>
              </w:rPr>
            </w:pPr>
          </w:p>
        </w:tc>
        <w:tc>
          <w:tcPr>
            <w:tcW w:w="1280" w:type="dxa"/>
            <w:vAlign w:val="bottom"/>
            <w:gridSpan w:val="2"/>
            <w:shd w:val="clear" w:color="auto" w:fill="CCECFF"/>
          </w:tcPr>
          <w:p>
            <w:pPr>
              <w:jc w:val="right"/>
              <w:ind w:right="80"/>
              <w:spacing w:after="0"/>
              <w:rPr>
                <w:sz w:val="20"/>
                <w:szCs w:val="20"/>
                <w:color w:val="auto"/>
              </w:rPr>
            </w:pPr>
            <w:r>
              <w:rPr>
                <w:rFonts w:ascii="Arial" w:cs="Arial" w:eastAsia="Arial" w:hAnsi="Arial"/>
                <w:sz w:val="14"/>
                <w:szCs w:val="14"/>
                <w:color w:val="auto"/>
              </w:rPr>
              <w:t>(28,125,000)</w:t>
            </w:r>
          </w:p>
        </w:tc>
        <w:tc>
          <w:tcPr>
            <w:tcW w:w="100" w:type="dxa"/>
            <w:vAlign w:val="bottom"/>
            <w:shd w:val="clear" w:color="auto" w:fill="CCECFF"/>
          </w:tcPr>
          <w:p>
            <w:pPr>
              <w:spacing w:after="0"/>
              <w:rPr>
                <w:sz w:val="14"/>
                <w:szCs w:val="14"/>
                <w:color w:val="auto"/>
              </w:rPr>
            </w:pPr>
          </w:p>
        </w:tc>
        <w:tc>
          <w:tcPr>
            <w:tcW w:w="220" w:type="dxa"/>
            <w:vAlign w:val="bottom"/>
            <w:shd w:val="clear" w:color="auto" w:fill="CCECFF"/>
          </w:tcPr>
          <w:p>
            <w:pPr>
              <w:spacing w:after="0"/>
              <w:rPr>
                <w:sz w:val="14"/>
                <w:szCs w:val="14"/>
                <w:color w:val="auto"/>
              </w:rPr>
            </w:pPr>
          </w:p>
        </w:tc>
        <w:tc>
          <w:tcPr>
            <w:tcW w:w="1000" w:type="dxa"/>
            <w:vAlign w:val="bottom"/>
            <w:shd w:val="clear" w:color="auto" w:fill="CCECFF"/>
          </w:tcPr>
          <w:p>
            <w:pPr>
              <w:jc w:val="right"/>
              <w:spacing w:after="0"/>
              <w:rPr>
                <w:sz w:val="20"/>
                <w:szCs w:val="20"/>
                <w:color w:val="auto"/>
              </w:rPr>
            </w:pPr>
            <w:r>
              <w:rPr>
                <w:rFonts w:ascii="Arial" w:cs="Arial" w:eastAsia="Arial" w:hAnsi="Arial"/>
                <w:sz w:val="14"/>
                <w:szCs w:val="14"/>
                <w:color w:val="auto"/>
              </w:rPr>
              <w:t>2,143,622</w:t>
            </w:r>
          </w:p>
        </w:tc>
        <w:tc>
          <w:tcPr>
            <w:tcW w:w="240" w:type="dxa"/>
            <w:vAlign w:val="bottom"/>
            <w:shd w:val="clear" w:color="auto" w:fill="CCECFF"/>
          </w:tcPr>
          <w:p>
            <w:pPr>
              <w:spacing w:after="0"/>
              <w:rPr>
                <w:sz w:val="14"/>
                <w:szCs w:val="14"/>
                <w:color w:val="auto"/>
              </w:rPr>
            </w:pPr>
          </w:p>
        </w:tc>
        <w:tc>
          <w:tcPr>
            <w:tcW w:w="80" w:type="dxa"/>
            <w:vAlign w:val="bottom"/>
            <w:shd w:val="clear" w:color="auto" w:fill="CCECFF"/>
          </w:tcPr>
          <w:p>
            <w:pPr>
              <w:spacing w:after="0"/>
              <w:rPr>
                <w:sz w:val="14"/>
                <w:szCs w:val="14"/>
                <w:color w:val="auto"/>
              </w:rPr>
            </w:pPr>
          </w:p>
        </w:tc>
        <w:tc>
          <w:tcPr>
            <w:tcW w:w="1140" w:type="dxa"/>
            <w:vAlign w:val="bottom"/>
            <w:shd w:val="clear" w:color="auto" w:fill="CCECFF"/>
          </w:tcPr>
          <w:p>
            <w:pPr>
              <w:jc w:val="right"/>
              <w:spacing w:after="0"/>
              <w:rPr>
                <w:sz w:val="20"/>
                <w:szCs w:val="20"/>
                <w:color w:val="auto"/>
              </w:rPr>
            </w:pPr>
            <w:r>
              <w:rPr>
                <w:rFonts w:ascii="Arial" w:cs="Arial" w:eastAsia="Arial" w:hAnsi="Arial"/>
                <w:sz w:val="14"/>
                <w:szCs w:val="14"/>
                <w:color w:val="auto"/>
              </w:rPr>
              <w:t>29,912,277</w:t>
            </w:r>
          </w:p>
        </w:tc>
        <w:tc>
          <w:tcPr>
            <w:tcW w:w="240" w:type="dxa"/>
            <w:vAlign w:val="bottom"/>
            <w:shd w:val="clear" w:color="auto" w:fill="CCECFF"/>
          </w:tcPr>
          <w:p>
            <w:pPr>
              <w:spacing w:after="0"/>
              <w:rPr>
                <w:sz w:val="14"/>
                <w:szCs w:val="14"/>
                <w:color w:val="auto"/>
              </w:rPr>
            </w:pPr>
          </w:p>
        </w:tc>
        <w:tc>
          <w:tcPr>
            <w:tcW w:w="220" w:type="dxa"/>
            <w:vAlign w:val="bottom"/>
            <w:shd w:val="clear" w:color="auto" w:fill="CCECFF"/>
          </w:tcPr>
          <w:p>
            <w:pPr>
              <w:spacing w:after="0"/>
              <w:rPr>
                <w:sz w:val="14"/>
                <w:szCs w:val="14"/>
                <w:color w:val="auto"/>
              </w:rPr>
            </w:pPr>
          </w:p>
        </w:tc>
        <w:tc>
          <w:tcPr>
            <w:tcW w:w="1140" w:type="dxa"/>
            <w:vAlign w:val="bottom"/>
            <w:gridSpan w:val="2"/>
            <w:shd w:val="clear" w:color="auto" w:fill="CCECFF"/>
          </w:tcPr>
          <w:p>
            <w:pPr>
              <w:jc w:val="right"/>
              <w:ind w:right="140"/>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62"/>
        </w:trPr>
        <w:tc>
          <w:tcPr>
            <w:tcW w:w="2300" w:type="dxa"/>
            <w:vAlign w:val="bottom"/>
          </w:tcPr>
          <w:p>
            <w:pPr>
              <w:spacing w:after="0"/>
              <w:rPr>
                <w:sz w:val="20"/>
                <w:szCs w:val="20"/>
                <w:color w:val="auto"/>
              </w:rPr>
            </w:pPr>
            <w:r>
              <w:rPr>
                <w:rFonts w:ascii="Arial" w:cs="Arial" w:eastAsia="Arial" w:hAnsi="Arial"/>
                <w:sz w:val="14"/>
                <w:szCs w:val="14"/>
                <w:color w:val="auto"/>
              </w:rPr>
              <w:t xml:space="preserve">U.S. Well Services, LLC </w:t>
            </w:r>
            <w:r>
              <w:rPr>
                <w:rFonts w:ascii="Arial" w:cs="Arial" w:eastAsia="Arial" w:hAnsi="Arial"/>
                <w:sz w:val="12"/>
                <w:szCs w:val="12"/>
                <w:color w:val="auto"/>
              </w:rPr>
              <w:t>(4)</w:t>
            </w:r>
          </w:p>
        </w:tc>
        <w:tc>
          <w:tcPr>
            <w:tcW w:w="1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220" w:type="dxa"/>
            <w:vAlign w:val="bottom"/>
          </w:tcPr>
          <w:p>
            <w:pPr>
              <w:jc w:val="right"/>
              <w:spacing w:after="0"/>
              <w:rPr>
                <w:sz w:val="20"/>
                <w:szCs w:val="20"/>
                <w:color w:val="auto"/>
              </w:rPr>
            </w:pPr>
            <w:r>
              <w:rPr>
                <w:rFonts w:ascii="Arial" w:cs="Arial" w:eastAsia="Arial" w:hAnsi="Arial"/>
                <w:sz w:val="14"/>
                <w:szCs w:val="14"/>
                <w:color w:val="auto"/>
              </w:rPr>
              <w:t>—</w:t>
            </w:r>
          </w:p>
        </w:tc>
        <w:tc>
          <w:tcPr>
            <w:tcW w:w="2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120" w:type="dxa"/>
            <w:vAlign w:val="bottom"/>
          </w:tcPr>
          <w:p>
            <w:pPr>
              <w:jc w:val="right"/>
              <w:spacing w:after="0"/>
              <w:rPr>
                <w:sz w:val="20"/>
                <w:szCs w:val="20"/>
                <w:color w:val="auto"/>
              </w:rPr>
            </w:pPr>
            <w:r>
              <w:rPr>
                <w:rFonts w:ascii="Arial" w:cs="Arial" w:eastAsia="Arial" w:hAnsi="Arial"/>
                <w:sz w:val="14"/>
                <w:szCs w:val="14"/>
                <w:color w:val="auto"/>
              </w:rPr>
              <w:t>275,263</w:t>
            </w:r>
          </w:p>
        </w:tc>
        <w:tc>
          <w:tcPr>
            <w:tcW w:w="2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80" w:type="dxa"/>
            <w:vAlign w:val="bottom"/>
            <w:gridSpan w:val="2"/>
          </w:tcPr>
          <w:p>
            <w:pPr>
              <w:jc w:val="right"/>
              <w:ind w:right="80"/>
              <w:spacing w:after="0"/>
              <w:rPr>
                <w:sz w:val="20"/>
                <w:szCs w:val="20"/>
                <w:color w:val="auto"/>
              </w:rPr>
            </w:pPr>
            <w:r>
              <w:rPr>
                <w:rFonts w:ascii="Arial" w:cs="Arial" w:eastAsia="Arial" w:hAnsi="Arial"/>
                <w:sz w:val="14"/>
                <w:szCs w:val="14"/>
                <w:color w:val="auto"/>
              </w:rPr>
              <w:t>(176,497)</w:t>
            </w:r>
          </w:p>
        </w:tc>
        <w:tc>
          <w:tcPr>
            <w:tcW w:w="1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00" w:type="dxa"/>
            <w:vAlign w:val="bottom"/>
          </w:tcPr>
          <w:p>
            <w:pPr>
              <w:jc w:val="right"/>
              <w:spacing w:after="0"/>
              <w:rPr>
                <w:sz w:val="20"/>
                <w:szCs w:val="20"/>
                <w:color w:val="auto"/>
              </w:rPr>
            </w:pPr>
            <w:r>
              <w:rPr>
                <w:rFonts w:ascii="Arial" w:cs="Arial" w:eastAsia="Arial" w:hAnsi="Arial"/>
                <w:sz w:val="14"/>
                <w:szCs w:val="14"/>
                <w:color w:val="auto"/>
              </w:rPr>
              <w:t>298,998</w:t>
            </w:r>
          </w:p>
        </w:tc>
        <w:tc>
          <w:tcPr>
            <w:tcW w:w="2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140" w:type="dxa"/>
            <w:vAlign w:val="bottom"/>
          </w:tcPr>
          <w:p>
            <w:pPr>
              <w:jc w:val="right"/>
              <w:spacing w:after="0"/>
              <w:rPr>
                <w:sz w:val="20"/>
                <w:szCs w:val="20"/>
                <w:color w:val="auto"/>
              </w:rPr>
            </w:pPr>
            <w:r>
              <w:rPr>
                <w:rFonts w:ascii="Arial" w:cs="Arial" w:eastAsia="Arial" w:hAnsi="Arial"/>
                <w:sz w:val="14"/>
                <w:szCs w:val="14"/>
                <w:color w:val="auto"/>
              </w:rPr>
              <w:t>20,220,962</w:t>
            </w:r>
          </w:p>
        </w:tc>
        <w:tc>
          <w:tcPr>
            <w:tcW w:w="2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14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33"/>
        </w:trPr>
        <w:tc>
          <w:tcPr>
            <w:tcW w:w="2300" w:type="dxa"/>
            <w:vAlign w:val="bottom"/>
            <w:tcBorders>
              <w:top w:val="single" w:sz="8" w:color="CCECFF"/>
            </w:tcBorders>
            <w:shd w:val="clear" w:color="auto" w:fill="CCECFF"/>
          </w:tcPr>
          <w:p>
            <w:pPr>
              <w:spacing w:after="0" w:line="133" w:lineRule="exact"/>
              <w:rPr>
                <w:sz w:val="20"/>
                <w:szCs w:val="20"/>
                <w:color w:val="auto"/>
              </w:rPr>
            </w:pPr>
            <w:r>
              <w:rPr>
                <w:rFonts w:ascii="Arial" w:cs="Arial" w:eastAsia="Arial" w:hAnsi="Arial"/>
                <w:sz w:val="14"/>
                <w:szCs w:val="14"/>
                <w:b w:val="1"/>
                <w:bCs w:val="1"/>
                <w:color w:val="auto"/>
              </w:rPr>
              <w:t>Total Controlled and</w:t>
            </w:r>
          </w:p>
        </w:tc>
        <w:tc>
          <w:tcPr>
            <w:tcW w:w="120" w:type="dxa"/>
            <w:vAlign w:val="bottom"/>
            <w:tcBorders>
              <w:top w:val="single" w:sz="8" w:color="CCECFF"/>
            </w:tcBorders>
            <w:shd w:val="clear" w:color="auto" w:fill="CCECFF"/>
          </w:tcPr>
          <w:p>
            <w:pPr>
              <w:spacing w:after="0"/>
              <w:rPr>
                <w:sz w:val="11"/>
                <w:szCs w:val="11"/>
                <w:color w:val="auto"/>
              </w:rPr>
            </w:pPr>
          </w:p>
        </w:tc>
        <w:tc>
          <w:tcPr>
            <w:tcW w:w="180" w:type="dxa"/>
            <w:vAlign w:val="bottom"/>
            <w:tcBorders>
              <w:top w:val="single" w:sz="8" w:color="auto"/>
            </w:tcBorders>
            <w:shd w:val="clear" w:color="auto" w:fill="CCECFF"/>
          </w:tcPr>
          <w:p>
            <w:pPr>
              <w:spacing w:after="0"/>
              <w:rPr>
                <w:sz w:val="11"/>
                <w:szCs w:val="11"/>
                <w:color w:val="auto"/>
              </w:rPr>
            </w:pPr>
          </w:p>
        </w:tc>
        <w:tc>
          <w:tcPr>
            <w:tcW w:w="1220" w:type="dxa"/>
            <w:vAlign w:val="bottom"/>
            <w:tcBorders>
              <w:top w:val="single" w:sz="8" w:color="auto"/>
            </w:tcBorders>
            <w:shd w:val="clear" w:color="auto" w:fill="CCECFF"/>
          </w:tcPr>
          <w:p>
            <w:pPr>
              <w:spacing w:after="0"/>
              <w:rPr>
                <w:sz w:val="11"/>
                <w:szCs w:val="11"/>
                <w:color w:val="auto"/>
              </w:rPr>
            </w:pPr>
          </w:p>
        </w:tc>
        <w:tc>
          <w:tcPr>
            <w:tcW w:w="220" w:type="dxa"/>
            <w:vAlign w:val="bottom"/>
            <w:tcBorders>
              <w:top w:val="single" w:sz="8" w:color="CCECFF"/>
            </w:tcBorders>
            <w:shd w:val="clear" w:color="auto" w:fill="CCECFF"/>
          </w:tcPr>
          <w:p>
            <w:pPr>
              <w:spacing w:after="0"/>
              <w:rPr>
                <w:sz w:val="11"/>
                <w:szCs w:val="11"/>
                <w:color w:val="auto"/>
              </w:rPr>
            </w:pPr>
          </w:p>
        </w:tc>
        <w:tc>
          <w:tcPr>
            <w:tcW w:w="120" w:type="dxa"/>
            <w:vAlign w:val="bottom"/>
            <w:tcBorders>
              <w:top w:val="single" w:sz="8" w:color="auto"/>
            </w:tcBorders>
            <w:shd w:val="clear" w:color="auto" w:fill="CCECFF"/>
          </w:tcPr>
          <w:p>
            <w:pPr>
              <w:spacing w:after="0"/>
              <w:rPr>
                <w:sz w:val="11"/>
                <w:szCs w:val="11"/>
                <w:color w:val="auto"/>
              </w:rPr>
            </w:pPr>
          </w:p>
        </w:tc>
        <w:tc>
          <w:tcPr>
            <w:tcW w:w="1120" w:type="dxa"/>
            <w:vAlign w:val="bottom"/>
            <w:tcBorders>
              <w:top w:val="single" w:sz="8" w:color="auto"/>
            </w:tcBorders>
            <w:shd w:val="clear" w:color="auto" w:fill="CCECFF"/>
          </w:tcPr>
          <w:p>
            <w:pPr>
              <w:spacing w:after="0"/>
              <w:rPr>
                <w:sz w:val="11"/>
                <w:szCs w:val="11"/>
                <w:color w:val="auto"/>
              </w:rPr>
            </w:pPr>
          </w:p>
        </w:tc>
        <w:tc>
          <w:tcPr>
            <w:tcW w:w="220" w:type="dxa"/>
            <w:vAlign w:val="bottom"/>
            <w:tcBorders>
              <w:top w:val="single" w:sz="8" w:color="CCECFF"/>
            </w:tcBorders>
            <w:shd w:val="clear" w:color="auto" w:fill="CCECFF"/>
          </w:tcPr>
          <w:p>
            <w:pPr>
              <w:spacing w:after="0"/>
              <w:rPr>
                <w:sz w:val="11"/>
                <w:szCs w:val="11"/>
                <w:color w:val="auto"/>
              </w:rPr>
            </w:pPr>
          </w:p>
        </w:tc>
        <w:tc>
          <w:tcPr>
            <w:tcW w:w="80" w:type="dxa"/>
            <w:vAlign w:val="bottom"/>
            <w:tcBorders>
              <w:top w:val="single" w:sz="8" w:color="auto"/>
            </w:tcBorders>
            <w:shd w:val="clear" w:color="auto" w:fill="CCECFF"/>
          </w:tcPr>
          <w:p>
            <w:pPr>
              <w:spacing w:after="0"/>
              <w:rPr>
                <w:sz w:val="11"/>
                <w:szCs w:val="11"/>
                <w:color w:val="auto"/>
              </w:rPr>
            </w:pPr>
          </w:p>
        </w:tc>
        <w:tc>
          <w:tcPr>
            <w:tcW w:w="1160" w:type="dxa"/>
            <w:vAlign w:val="bottom"/>
            <w:tcBorders>
              <w:top w:val="single" w:sz="8" w:color="auto"/>
            </w:tcBorders>
            <w:shd w:val="clear" w:color="auto" w:fill="CCECFF"/>
          </w:tcPr>
          <w:p>
            <w:pPr>
              <w:spacing w:after="0"/>
              <w:rPr>
                <w:sz w:val="11"/>
                <w:szCs w:val="11"/>
                <w:color w:val="auto"/>
              </w:rPr>
            </w:pPr>
          </w:p>
        </w:tc>
        <w:tc>
          <w:tcPr>
            <w:tcW w:w="120" w:type="dxa"/>
            <w:vAlign w:val="bottom"/>
            <w:tcBorders>
              <w:top w:val="single" w:sz="8" w:color="CCECFF"/>
            </w:tcBorders>
            <w:shd w:val="clear" w:color="auto" w:fill="CCECFF"/>
          </w:tcPr>
          <w:p>
            <w:pPr>
              <w:spacing w:after="0"/>
              <w:rPr>
                <w:sz w:val="11"/>
                <w:szCs w:val="11"/>
                <w:color w:val="auto"/>
              </w:rPr>
            </w:pPr>
          </w:p>
        </w:tc>
        <w:tc>
          <w:tcPr>
            <w:tcW w:w="100" w:type="dxa"/>
            <w:vAlign w:val="bottom"/>
            <w:tcBorders>
              <w:top w:val="single" w:sz="8" w:color="CCECFF"/>
            </w:tcBorders>
            <w:shd w:val="clear" w:color="auto" w:fill="CCECFF"/>
          </w:tcPr>
          <w:p>
            <w:pPr>
              <w:spacing w:after="0"/>
              <w:rPr>
                <w:sz w:val="11"/>
                <w:szCs w:val="11"/>
                <w:color w:val="auto"/>
              </w:rPr>
            </w:pPr>
          </w:p>
        </w:tc>
        <w:tc>
          <w:tcPr>
            <w:tcW w:w="220" w:type="dxa"/>
            <w:vAlign w:val="bottom"/>
            <w:tcBorders>
              <w:top w:val="single" w:sz="8" w:color="auto"/>
            </w:tcBorders>
            <w:shd w:val="clear" w:color="auto" w:fill="CCECFF"/>
          </w:tcPr>
          <w:p>
            <w:pPr>
              <w:spacing w:after="0"/>
              <w:rPr>
                <w:sz w:val="11"/>
                <w:szCs w:val="11"/>
                <w:color w:val="auto"/>
              </w:rPr>
            </w:pPr>
          </w:p>
        </w:tc>
        <w:tc>
          <w:tcPr>
            <w:tcW w:w="1000" w:type="dxa"/>
            <w:vAlign w:val="bottom"/>
            <w:tcBorders>
              <w:top w:val="single" w:sz="8" w:color="auto"/>
            </w:tcBorders>
            <w:shd w:val="clear" w:color="auto" w:fill="CCECFF"/>
          </w:tcPr>
          <w:p>
            <w:pPr>
              <w:spacing w:after="0"/>
              <w:rPr>
                <w:sz w:val="11"/>
                <w:szCs w:val="11"/>
                <w:color w:val="auto"/>
              </w:rPr>
            </w:pPr>
          </w:p>
        </w:tc>
        <w:tc>
          <w:tcPr>
            <w:tcW w:w="240" w:type="dxa"/>
            <w:vAlign w:val="bottom"/>
            <w:tcBorders>
              <w:top w:val="single" w:sz="8" w:color="CCECFF"/>
            </w:tcBorders>
            <w:shd w:val="clear" w:color="auto" w:fill="CCECFF"/>
          </w:tcPr>
          <w:p>
            <w:pPr>
              <w:spacing w:after="0"/>
              <w:rPr>
                <w:sz w:val="11"/>
                <w:szCs w:val="11"/>
                <w:color w:val="auto"/>
              </w:rPr>
            </w:pPr>
          </w:p>
        </w:tc>
        <w:tc>
          <w:tcPr>
            <w:tcW w:w="80" w:type="dxa"/>
            <w:vAlign w:val="bottom"/>
            <w:tcBorders>
              <w:top w:val="single" w:sz="8" w:color="auto"/>
            </w:tcBorders>
            <w:shd w:val="clear" w:color="auto" w:fill="CCECFF"/>
          </w:tcPr>
          <w:p>
            <w:pPr>
              <w:spacing w:after="0"/>
              <w:rPr>
                <w:sz w:val="11"/>
                <w:szCs w:val="11"/>
                <w:color w:val="auto"/>
              </w:rPr>
            </w:pPr>
          </w:p>
        </w:tc>
        <w:tc>
          <w:tcPr>
            <w:tcW w:w="1140" w:type="dxa"/>
            <w:vAlign w:val="bottom"/>
            <w:tcBorders>
              <w:top w:val="single" w:sz="8" w:color="auto"/>
            </w:tcBorders>
            <w:shd w:val="clear" w:color="auto" w:fill="CCECFF"/>
          </w:tcPr>
          <w:p>
            <w:pPr>
              <w:spacing w:after="0"/>
              <w:rPr>
                <w:sz w:val="11"/>
                <w:szCs w:val="11"/>
                <w:color w:val="auto"/>
              </w:rPr>
            </w:pPr>
          </w:p>
        </w:tc>
        <w:tc>
          <w:tcPr>
            <w:tcW w:w="240" w:type="dxa"/>
            <w:vAlign w:val="bottom"/>
            <w:tcBorders>
              <w:top w:val="single" w:sz="8" w:color="CCECFF"/>
            </w:tcBorders>
            <w:shd w:val="clear" w:color="auto" w:fill="CCECFF"/>
          </w:tcPr>
          <w:p>
            <w:pPr>
              <w:spacing w:after="0"/>
              <w:rPr>
                <w:sz w:val="11"/>
                <w:szCs w:val="11"/>
                <w:color w:val="auto"/>
              </w:rPr>
            </w:pPr>
          </w:p>
        </w:tc>
        <w:tc>
          <w:tcPr>
            <w:tcW w:w="220" w:type="dxa"/>
            <w:vAlign w:val="bottom"/>
            <w:tcBorders>
              <w:top w:val="single" w:sz="8" w:color="auto"/>
            </w:tcBorders>
            <w:shd w:val="clear" w:color="auto" w:fill="CCECFF"/>
          </w:tcPr>
          <w:p>
            <w:pPr>
              <w:spacing w:after="0"/>
              <w:rPr>
                <w:sz w:val="11"/>
                <w:szCs w:val="11"/>
                <w:color w:val="auto"/>
              </w:rPr>
            </w:pPr>
          </w:p>
        </w:tc>
        <w:tc>
          <w:tcPr>
            <w:tcW w:w="1020" w:type="dxa"/>
            <w:vAlign w:val="bottom"/>
            <w:tcBorders>
              <w:top w:val="single" w:sz="8" w:color="auto"/>
            </w:tcBorders>
            <w:shd w:val="clear" w:color="auto" w:fill="CCECFF"/>
          </w:tcPr>
          <w:p>
            <w:pPr>
              <w:spacing w:after="0"/>
              <w:rPr>
                <w:sz w:val="11"/>
                <w:szCs w:val="11"/>
                <w:color w:val="auto"/>
              </w:rPr>
            </w:pPr>
          </w:p>
        </w:tc>
        <w:tc>
          <w:tcPr>
            <w:tcW w:w="120" w:type="dxa"/>
            <w:vAlign w:val="bottom"/>
            <w:tcBorders>
              <w:top w:val="single" w:sz="8" w:color="CCECFF"/>
            </w:tcBorders>
            <w:shd w:val="clear" w:color="auto" w:fill="CCECFF"/>
          </w:tcPr>
          <w:p>
            <w:pPr>
              <w:spacing w:after="0"/>
              <w:rPr>
                <w:sz w:val="11"/>
                <w:szCs w:val="11"/>
                <w:color w:val="auto"/>
              </w:rPr>
            </w:pPr>
          </w:p>
        </w:tc>
        <w:tc>
          <w:tcPr>
            <w:tcW w:w="0" w:type="dxa"/>
            <w:vAlign w:val="bottom"/>
          </w:tcPr>
          <w:p>
            <w:pPr>
              <w:spacing w:after="0"/>
              <w:rPr>
                <w:sz w:val="1"/>
                <w:szCs w:val="1"/>
                <w:color w:val="auto"/>
              </w:rPr>
            </w:pPr>
          </w:p>
        </w:tc>
      </w:tr>
      <w:tr>
        <w:trPr>
          <w:trHeight w:val="171"/>
        </w:trPr>
        <w:tc>
          <w:tcPr>
            <w:tcW w:w="2300" w:type="dxa"/>
            <w:vAlign w:val="bottom"/>
            <w:shd w:val="clear" w:color="auto" w:fill="CCECFF"/>
          </w:tcPr>
          <w:p>
            <w:pPr>
              <w:ind w:left="120"/>
              <w:spacing w:after="0"/>
              <w:rPr>
                <w:sz w:val="20"/>
                <w:szCs w:val="20"/>
                <w:color w:val="auto"/>
              </w:rPr>
            </w:pPr>
            <w:r>
              <w:rPr>
                <w:rFonts w:ascii="Arial" w:cs="Arial" w:eastAsia="Arial" w:hAnsi="Arial"/>
                <w:sz w:val="14"/>
                <w:szCs w:val="14"/>
                <w:b w:val="1"/>
                <w:bCs w:val="1"/>
                <w:color w:val="auto"/>
              </w:rPr>
              <w:t>Non-Controlled Affiliates</w:t>
            </w:r>
          </w:p>
        </w:tc>
        <w:tc>
          <w:tcPr>
            <w:tcW w:w="300" w:type="dxa"/>
            <w:vAlign w:val="bottom"/>
            <w:gridSpan w:val="2"/>
            <w:shd w:val="clear" w:color="auto" w:fill="CCECFF"/>
          </w:tcPr>
          <w:p>
            <w:pPr>
              <w:ind w:left="120"/>
              <w:spacing w:after="0"/>
              <w:rPr>
                <w:sz w:val="20"/>
                <w:szCs w:val="20"/>
                <w:color w:val="auto"/>
              </w:rPr>
            </w:pPr>
            <w:r>
              <w:rPr>
                <w:rFonts w:ascii="Arial" w:cs="Arial" w:eastAsia="Arial" w:hAnsi="Arial"/>
                <w:sz w:val="14"/>
                <w:szCs w:val="14"/>
                <w:color w:val="auto"/>
              </w:rPr>
              <w:t>$</w:t>
            </w:r>
          </w:p>
        </w:tc>
        <w:tc>
          <w:tcPr>
            <w:tcW w:w="1220" w:type="dxa"/>
            <w:vAlign w:val="bottom"/>
            <w:shd w:val="clear" w:color="auto" w:fill="CCECFF"/>
          </w:tcPr>
          <w:p>
            <w:pPr>
              <w:jc w:val="right"/>
              <w:spacing w:after="0"/>
              <w:rPr>
                <w:sz w:val="20"/>
                <w:szCs w:val="20"/>
                <w:color w:val="auto"/>
              </w:rPr>
            </w:pPr>
            <w:r>
              <w:rPr>
                <w:rFonts w:ascii="Arial" w:cs="Arial" w:eastAsia="Arial" w:hAnsi="Arial"/>
                <w:sz w:val="14"/>
                <w:szCs w:val="14"/>
                <w:color w:val="auto"/>
              </w:rPr>
              <w:t>340,212,184</w:t>
            </w:r>
          </w:p>
        </w:tc>
        <w:tc>
          <w:tcPr>
            <w:tcW w:w="340" w:type="dxa"/>
            <w:vAlign w:val="bottom"/>
            <w:gridSpan w:val="2"/>
            <w:shd w:val="clear" w:color="auto" w:fill="CCECFF"/>
          </w:tcPr>
          <w:p>
            <w:pPr>
              <w:jc w:val="right"/>
              <w:ind w:right="40"/>
              <w:spacing w:after="0"/>
              <w:rPr>
                <w:sz w:val="20"/>
                <w:szCs w:val="20"/>
                <w:color w:val="auto"/>
              </w:rPr>
            </w:pPr>
            <w:r>
              <w:rPr>
                <w:rFonts w:ascii="Arial" w:cs="Arial" w:eastAsia="Arial" w:hAnsi="Arial"/>
                <w:sz w:val="14"/>
                <w:szCs w:val="14"/>
                <w:color w:val="auto"/>
              </w:rPr>
              <w:t>$</w:t>
            </w:r>
          </w:p>
        </w:tc>
        <w:tc>
          <w:tcPr>
            <w:tcW w:w="1120" w:type="dxa"/>
            <w:vAlign w:val="bottom"/>
            <w:shd w:val="clear" w:color="auto" w:fill="CCECFF"/>
          </w:tcPr>
          <w:p>
            <w:pPr>
              <w:jc w:val="right"/>
              <w:spacing w:after="0"/>
              <w:rPr>
                <w:sz w:val="20"/>
                <w:szCs w:val="20"/>
                <w:color w:val="auto"/>
              </w:rPr>
            </w:pPr>
            <w:r>
              <w:rPr>
                <w:rFonts w:ascii="Arial" w:cs="Arial" w:eastAsia="Arial" w:hAnsi="Arial"/>
                <w:sz w:val="14"/>
                <w:szCs w:val="14"/>
                <w:color w:val="auto"/>
              </w:rPr>
              <w:t>74,506,601</w:t>
            </w:r>
          </w:p>
        </w:tc>
        <w:tc>
          <w:tcPr>
            <w:tcW w:w="300" w:type="dxa"/>
            <w:vAlign w:val="bottom"/>
            <w:gridSpan w:val="2"/>
            <w:shd w:val="clear" w:color="auto" w:fill="CCECFF"/>
          </w:tcPr>
          <w:p>
            <w:pPr>
              <w:jc w:val="right"/>
              <w:spacing w:after="0"/>
              <w:rPr>
                <w:sz w:val="20"/>
                <w:szCs w:val="20"/>
                <w:color w:val="auto"/>
              </w:rPr>
            </w:pPr>
            <w:r>
              <w:rPr>
                <w:rFonts w:ascii="Arial" w:cs="Arial" w:eastAsia="Arial" w:hAnsi="Arial"/>
                <w:sz w:val="14"/>
                <w:szCs w:val="14"/>
                <w:color w:val="auto"/>
              </w:rPr>
              <w:t>$</w:t>
            </w:r>
          </w:p>
        </w:tc>
        <w:tc>
          <w:tcPr>
            <w:tcW w:w="1280" w:type="dxa"/>
            <w:vAlign w:val="bottom"/>
            <w:gridSpan w:val="2"/>
            <w:shd w:val="clear" w:color="auto" w:fill="CCECFF"/>
          </w:tcPr>
          <w:p>
            <w:pPr>
              <w:jc w:val="right"/>
              <w:ind w:right="80"/>
              <w:spacing w:after="0"/>
              <w:rPr>
                <w:sz w:val="20"/>
                <w:szCs w:val="20"/>
                <w:color w:val="auto"/>
              </w:rPr>
            </w:pPr>
            <w:r>
              <w:rPr>
                <w:rFonts w:ascii="Arial" w:cs="Arial" w:eastAsia="Arial" w:hAnsi="Arial"/>
                <w:sz w:val="14"/>
                <w:szCs w:val="14"/>
                <w:color w:val="auto"/>
              </w:rPr>
              <w:t>(121,933,721)</w:t>
            </w:r>
          </w:p>
        </w:tc>
        <w:tc>
          <w:tcPr>
            <w:tcW w:w="320" w:type="dxa"/>
            <w:vAlign w:val="bottom"/>
            <w:gridSpan w:val="2"/>
            <w:shd w:val="clear" w:color="auto" w:fill="CCECFF"/>
          </w:tcPr>
          <w:p>
            <w:pPr>
              <w:jc w:val="right"/>
              <w:ind w:right="140"/>
              <w:spacing w:after="0"/>
              <w:rPr>
                <w:sz w:val="20"/>
                <w:szCs w:val="20"/>
                <w:color w:val="auto"/>
              </w:rPr>
            </w:pPr>
            <w:r>
              <w:rPr>
                <w:rFonts w:ascii="Arial" w:cs="Arial" w:eastAsia="Arial" w:hAnsi="Arial"/>
                <w:sz w:val="14"/>
                <w:szCs w:val="14"/>
                <w:color w:val="auto"/>
              </w:rPr>
              <w:t>$</w:t>
            </w:r>
          </w:p>
        </w:tc>
        <w:tc>
          <w:tcPr>
            <w:tcW w:w="1000" w:type="dxa"/>
            <w:vAlign w:val="bottom"/>
            <w:shd w:val="clear" w:color="auto" w:fill="CCECFF"/>
          </w:tcPr>
          <w:p>
            <w:pPr>
              <w:jc w:val="right"/>
              <w:spacing w:after="0"/>
              <w:rPr>
                <w:sz w:val="20"/>
                <w:szCs w:val="20"/>
                <w:color w:val="auto"/>
              </w:rPr>
            </w:pPr>
            <w:r>
              <w:rPr>
                <w:rFonts w:ascii="Arial" w:cs="Arial" w:eastAsia="Arial" w:hAnsi="Arial"/>
                <w:sz w:val="14"/>
                <w:szCs w:val="14"/>
                <w:color w:val="auto"/>
              </w:rPr>
              <w:t>24,724,308</w:t>
            </w:r>
          </w:p>
        </w:tc>
        <w:tc>
          <w:tcPr>
            <w:tcW w:w="320" w:type="dxa"/>
            <w:vAlign w:val="bottom"/>
            <w:gridSpan w:val="2"/>
            <w:shd w:val="clear" w:color="auto" w:fill="CCECFF"/>
          </w:tcPr>
          <w:p>
            <w:pPr>
              <w:jc w:val="right"/>
              <w:spacing w:after="0"/>
              <w:rPr>
                <w:sz w:val="20"/>
                <w:szCs w:val="20"/>
                <w:color w:val="auto"/>
              </w:rPr>
            </w:pPr>
            <w:r>
              <w:rPr>
                <w:rFonts w:ascii="Arial" w:cs="Arial" w:eastAsia="Arial" w:hAnsi="Arial"/>
                <w:sz w:val="14"/>
                <w:szCs w:val="14"/>
                <w:color w:val="auto"/>
              </w:rPr>
              <w:t>$</w:t>
            </w:r>
          </w:p>
        </w:tc>
        <w:tc>
          <w:tcPr>
            <w:tcW w:w="1140" w:type="dxa"/>
            <w:vAlign w:val="bottom"/>
            <w:shd w:val="clear" w:color="auto" w:fill="CCECFF"/>
          </w:tcPr>
          <w:p>
            <w:pPr>
              <w:jc w:val="right"/>
              <w:spacing w:after="0"/>
              <w:rPr>
                <w:sz w:val="20"/>
                <w:szCs w:val="20"/>
                <w:color w:val="auto"/>
              </w:rPr>
            </w:pPr>
            <w:r>
              <w:rPr>
                <w:rFonts w:ascii="Arial" w:cs="Arial" w:eastAsia="Arial" w:hAnsi="Arial"/>
                <w:sz w:val="14"/>
                <w:szCs w:val="14"/>
                <w:color w:val="auto"/>
              </w:rPr>
              <w:t>310,671,335</w:t>
            </w:r>
          </w:p>
        </w:tc>
        <w:tc>
          <w:tcPr>
            <w:tcW w:w="460" w:type="dxa"/>
            <w:vAlign w:val="bottom"/>
            <w:gridSpan w:val="2"/>
            <w:shd w:val="clear" w:color="auto" w:fill="CCECFF"/>
          </w:tcPr>
          <w:p>
            <w:pPr>
              <w:jc w:val="right"/>
              <w:ind w:right="88"/>
              <w:spacing w:after="0"/>
              <w:rPr>
                <w:sz w:val="20"/>
                <w:szCs w:val="20"/>
                <w:color w:val="auto"/>
              </w:rPr>
            </w:pPr>
            <w:r>
              <w:rPr>
                <w:rFonts w:ascii="Arial" w:cs="Arial" w:eastAsia="Arial" w:hAnsi="Arial"/>
                <w:sz w:val="14"/>
                <w:szCs w:val="14"/>
                <w:color w:val="auto"/>
              </w:rPr>
              <w:t>$</w:t>
            </w:r>
          </w:p>
        </w:tc>
        <w:tc>
          <w:tcPr>
            <w:tcW w:w="1140" w:type="dxa"/>
            <w:vAlign w:val="bottom"/>
            <w:gridSpan w:val="2"/>
            <w:shd w:val="clear" w:color="auto" w:fill="CCECFF"/>
          </w:tcPr>
          <w:p>
            <w:pPr>
              <w:jc w:val="right"/>
              <w:ind w:right="80"/>
              <w:spacing w:after="0"/>
              <w:rPr>
                <w:sz w:val="20"/>
                <w:szCs w:val="20"/>
                <w:color w:val="auto"/>
              </w:rPr>
            </w:pPr>
            <w:r>
              <w:rPr>
                <w:rFonts w:ascii="Arial" w:cs="Arial" w:eastAsia="Arial" w:hAnsi="Arial"/>
                <w:sz w:val="14"/>
                <w:szCs w:val="14"/>
                <w:color w:val="auto"/>
              </w:rPr>
              <w:t>(33,537,057)</w:t>
            </w:r>
          </w:p>
        </w:tc>
        <w:tc>
          <w:tcPr>
            <w:tcW w:w="0" w:type="dxa"/>
            <w:vAlign w:val="bottom"/>
          </w:tcPr>
          <w:p>
            <w:pPr>
              <w:spacing w:after="0"/>
              <w:rPr>
                <w:sz w:val="1"/>
                <w:szCs w:val="1"/>
                <w:color w:val="auto"/>
              </w:rPr>
            </w:pPr>
          </w:p>
        </w:tc>
      </w:tr>
      <w:tr>
        <w:trPr>
          <w:trHeight w:val="20"/>
        </w:trPr>
        <w:tc>
          <w:tcPr>
            <w:tcW w:w="2300" w:type="dxa"/>
            <w:vAlign w:val="bottom"/>
            <w:tcBorders>
              <w:top w:val="single" w:sz="8" w:color="CCECFF"/>
            </w:tcBorders>
          </w:tcPr>
          <w:p>
            <w:pPr>
              <w:spacing w:after="0" w:line="20" w:lineRule="exact"/>
              <w:rPr>
                <w:sz w:val="1"/>
                <w:szCs w:val="1"/>
                <w:color w:val="auto"/>
              </w:rPr>
            </w:pPr>
          </w:p>
        </w:tc>
        <w:tc>
          <w:tcPr>
            <w:tcW w:w="120" w:type="dxa"/>
            <w:vAlign w:val="bottom"/>
            <w:tcBorders>
              <w:top w:val="single" w:sz="8" w:color="CCEC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C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CFF"/>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CFF"/>
            </w:tcBorders>
          </w:tcPr>
          <w:p>
            <w:pPr>
              <w:spacing w:after="0" w:line="20" w:lineRule="exact"/>
              <w:rPr>
                <w:sz w:val="1"/>
                <w:szCs w:val="1"/>
                <w:color w:val="auto"/>
              </w:rPr>
            </w:pPr>
          </w:p>
        </w:tc>
        <w:tc>
          <w:tcPr>
            <w:tcW w:w="100" w:type="dxa"/>
            <w:vAlign w:val="bottom"/>
            <w:tcBorders>
              <w:top w:val="single" w:sz="8" w:color="CCEC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CCECFF"/>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CCEC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C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0" w:lineRule="exact"/>
        <w:rPr>
          <w:sz w:val="20"/>
          <w:szCs w:val="20"/>
          <w:color w:val="auto"/>
        </w:rPr>
      </w:pPr>
    </w:p>
    <w:p>
      <w:pPr>
        <w:ind w:left="380" w:hanging="372"/>
        <w:spacing w:after="0"/>
        <w:tabs>
          <w:tab w:leader="none" w:pos="380" w:val="left"/>
        </w:tabs>
        <w:numPr>
          <w:ilvl w:val="0"/>
          <w:numId w:val="15"/>
        </w:numPr>
        <w:rPr>
          <w:rFonts w:ascii="Arial" w:cs="Arial" w:eastAsia="Arial" w:hAnsi="Arial"/>
          <w:sz w:val="12"/>
          <w:szCs w:val="12"/>
          <w:color w:val="auto"/>
        </w:rPr>
      </w:pPr>
      <w:r>
        <w:rPr>
          <w:rFonts w:ascii="Arial" w:cs="Arial" w:eastAsia="Arial" w:hAnsi="Arial"/>
          <w:sz w:val="14"/>
          <w:szCs w:val="14"/>
          <w:color w:val="auto"/>
        </w:rPr>
        <w:t>Excludes delayed draw investments.</w:t>
      </w:r>
    </w:p>
    <w:p>
      <w:pPr>
        <w:ind w:left="380" w:hanging="372"/>
        <w:spacing w:after="0" w:line="221" w:lineRule="auto"/>
        <w:tabs>
          <w:tab w:leader="none" w:pos="380" w:val="left"/>
        </w:tabs>
        <w:numPr>
          <w:ilvl w:val="0"/>
          <w:numId w:val="15"/>
        </w:numPr>
        <w:rPr>
          <w:rFonts w:ascii="Arial" w:cs="Arial" w:eastAsia="Arial" w:hAnsi="Arial"/>
          <w:sz w:val="12"/>
          <w:szCs w:val="12"/>
          <w:color w:val="auto"/>
        </w:rPr>
      </w:pPr>
      <w:r>
        <w:rPr>
          <w:rFonts w:ascii="Arial" w:cs="Arial" w:eastAsia="Arial" w:hAnsi="Arial"/>
          <w:sz w:val="14"/>
          <w:szCs w:val="14"/>
          <w:color w:val="auto"/>
        </w:rPr>
        <w:t>Includes PIK.</w:t>
      </w:r>
    </w:p>
    <w:p>
      <w:pPr>
        <w:ind w:left="380" w:hanging="372"/>
        <w:spacing w:after="0" w:line="221" w:lineRule="auto"/>
        <w:tabs>
          <w:tab w:leader="none" w:pos="380" w:val="left"/>
        </w:tabs>
        <w:numPr>
          <w:ilvl w:val="0"/>
          <w:numId w:val="15"/>
        </w:numPr>
        <w:rPr>
          <w:rFonts w:ascii="Arial" w:cs="Arial" w:eastAsia="Arial" w:hAnsi="Arial"/>
          <w:sz w:val="12"/>
          <w:szCs w:val="12"/>
          <w:color w:val="auto"/>
        </w:rPr>
      </w:pPr>
      <w:r>
        <w:rPr>
          <w:rFonts w:ascii="Arial" w:cs="Arial" w:eastAsia="Arial" w:hAnsi="Arial"/>
          <w:sz w:val="14"/>
          <w:szCs w:val="14"/>
          <w:color w:val="auto"/>
        </w:rPr>
        <w:t>Became a non-controlled affiliate during the three months ended December 31, 2016.</w:t>
      </w:r>
    </w:p>
    <w:p>
      <w:pPr>
        <w:ind w:left="380" w:hanging="372"/>
        <w:spacing w:after="0" w:line="221" w:lineRule="auto"/>
        <w:tabs>
          <w:tab w:leader="none" w:pos="380" w:val="left"/>
        </w:tabs>
        <w:numPr>
          <w:ilvl w:val="0"/>
          <w:numId w:val="15"/>
        </w:numPr>
        <w:rPr>
          <w:rFonts w:ascii="Arial" w:cs="Arial" w:eastAsia="Arial" w:hAnsi="Arial"/>
          <w:sz w:val="12"/>
          <w:szCs w:val="12"/>
          <w:color w:val="auto"/>
        </w:rPr>
      </w:pPr>
      <w:r>
        <w:rPr>
          <w:rFonts w:ascii="Arial" w:cs="Arial" w:eastAsia="Arial" w:hAnsi="Arial"/>
          <w:sz w:val="14"/>
          <w:szCs w:val="14"/>
          <w:color w:val="auto"/>
        </w:rPr>
        <w:t>Became a non-controlled affiliate during the three months ended March 31, 2017.</w:t>
      </w:r>
    </w:p>
    <w:p>
      <w:pPr>
        <w:ind w:left="380" w:hanging="372"/>
        <w:spacing w:after="0"/>
        <w:tabs>
          <w:tab w:leader="none" w:pos="380" w:val="left"/>
        </w:tabs>
        <w:numPr>
          <w:ilvl w:val="0"/>
          <w:numId w:val="15"/>
        </w:numPr>
        <w:rPr>
          <w:rFonts w:ascii="Arial" w:cs="Arial" w:eastAsia="Arial" w:hAnsi="Arial"/>
          <w:sz w:val="12"/>
          <w:szCs w:val="12"/>
          <w:color w:val="auto"/>
        </w:rPr>
      </w:pPr>
      <w:r>
        <w:rPr>
          <w:rFonts w:ascii="Arial" w:cs="Arial" w:eastAsia="Arial" w:hAnsi="Arial"/>
          <w:sz w:val="14"/>
          <w:szCs w:val="14"/>
          <w:color w:val="auto"/>
        </w:rPr>
        <w:t>Became a non-controlled, non-affiliate during the three months ended June 30, 2017.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-483235</wp:posOffset>
            </wp:positionV>
            <wp:extent cx="1345565" cy="825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1345565" cy="8255"/>
                    </a:xfrm>
                    <a:prstGeom prst="rect">
                      <a:avLst/>
                    </a:prstGeom>
                    <a:noFill/>
                  </pic:spPr>
                </pic:pic>
              </a:graphicData>
            </a:graphic>
          </wp:anchor>
        </w:drawing>
      </w:r>
    </w:p>
    <w:p>
      <w:pPr>
        <w:spacing w:after="0" w:line="87"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7. CHANGE IN NET ASSETS RESULTING FROM OPERATIONS PER COMMON SHARE</w:t>
      </w:r>
    </w:p>
    <w:p>
      <w:pPr>
        <w:spacing w:after="0" w:line="181" w:lineRule="exact"/>
        <w:rPr>
          <w:sz w:val="20"/>
          <w:szCs w:val="20"/>
          <w:color w:val="auto"/>
        </w:rPr>
      </w:pPr>
    </w:p>
    <w:p>
      <w:pPr>
        <w:ind w:left="420"/>
        <w:spacing w:after="0"/>
        <w:rPr>
          <w:sz w:val="20"/>
          <w:szCs w:val="20"/>
          <w:color w:val="auto"/>
        </w:rPr>
      </w:pPr>
      <w:r>
        <w:rPr>
          <w:rFonts w:ascii="Arial" w:cs="Arial" w:eastAsia="Arial" w:hAnsi="Arial"/>
          <w:sz w:val="14"/>
          <w:szCs w:val="14"/>
          <w:color w:val="auto"/>
        </w:rPr>
        <w:t>The following information sets forth the computation of basic and diluted per share net increase in net assets resulting from operations:</w:t>
      </w:r>
    </w:p>
    <w:p>
      <w:pPr>
        <w:spacing w:after="0" w:line="186"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56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2640" w:type="dxa"/>
            <w:vAlign w:val="bottom"/>
            <w:gridSpan w:val="5"/>
          </w:tcPr>
          <w:p>
            <w:pPr>
              <w:ind w:left="160"/>
              <w:spacing w:after="0"/>
              <w:rPr>
                <w:sz w:val="20"/>
                <w:szCs w:val="20"/>
                <w:color w:val="auto"/>
              </w:rPr>
            </w:pPr>
            <w:r>
              <w:rPr>
                <w:rFonts w:ascii="Arial" w:cs="Arial" w:eastAsia="Arial" w:hAnsi="Arial"/>
                <w:sz w:val="14"/>
                <w:szCs w:val="14"/>
                <w:b w:val="1"/>
                <w:bCs w:val="1"/>
                <w:color w:val="auto"/>
              </w:rPr>
              <w:t>Three Months Ended June 30,</w:t>
            </w:r>
          </w:p>
        </w:tc>
        <w:tc>
          <w:tcPr>
            <w:tcW w:w="260" w:type="dxa"/>
            <w:vAlign w:val="bottom"/>
          </w:tcPr>
          <w:p>
            <w:pPr>
              <w:spacing w:after="0"/>
              <w:rPr>
                <w:sz w:val="16"/>
                <w:szCs w:val="16"/>
                <w:color w:val="auto"/>
              </w:rPr>
            </w:pPr>
          </w:p>
        </w:tc>
        <w:tc>
          <w:tcPr>
            <w:tcW w:w="2500" w:type="dxa"/>
            <w:vAlign w:val="bottom"/>
            <w:gridSpan w:val="5"/>
          </w:tcPr>
          <w:p>
            <w:pPr>
              <w:jc w:val="right"/>
              <w:ind w:right="560"/>
              <w:spacing w:after="0"/>
              <w:rPr>
                <w:sz w:val="20"/>
                <w:szCs w:val="20"/>
                <w:color w:val="auto"/>
              </w:rPr>
            </w:pPr>
            <w:r>
              <w:rPr>
                <w:rFonts w:ascii="Arial" w:cs="Arial" w:eastAsia="Arial" w:hAnsi="Arial"/>
                <w:sz w:val="14"/>
                <w:szCs w:val="14"/>
                <w:b w:val="1"/>
                <w:bCs w:val="1"/>
                <w:color w:val="auto"/>
              </w:rPr>
              <w:t>Nine Months Ended June 30,</w:t>
            </w:r>
          </w:p>
        </w:tc>
      </w:tr>
      <w:tr>
        <w:trPr>
          <w:trHeight w:val="25"/>
        </w:trPr>
        <w:tc>
          <w:tcPr>
            <w:tcW w:w="562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26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r>
      <w:tr>
        <w:trPr>
          <w:trHeight w:val="155"/>
        </w:trPr>
        <w:tc>
          <w:tcPr>
            <w:tcW w:w="5620" w:type="dxa"/>
            <w:vAlign w:val="bottom"/>
            <w:tcBorders>
              <w:bottom w:val="single" w:sz="8" w:color="CCECFF"/>
            </w:tcBorders>
          </w:tcPr>
          <w:p>
            <w:pPr>
              <w:spacing w:after="0"/>
              <w:rPr>
                <w:sz w:val="13"/>
                <w:szCs w:val="13"/>
                <w:color w:val="auto"/>
              </w:rPr>
            </w:pPr>
          </w:p>
        </w:tc>
        <w:tc>
          <w:tcPr>
            <w:tcW w:w="220" w:type="dxa"/>
            <w:vAlign w:val="bottom"/>
            <w:tcBorders>
              <w:bottom w:val="single" w:sz="8" w:color="auto"/>
            </w:tcBorders>
          </w:tcPr>
          <w:p>
            <w:pPr>
              <w:spacing w:after="0"/>
              <w:rPr>
                <w:sz w:val="13"/>
                <w:szCs w:val="13"/>
                <w:color w:val="auto"/>
              </w:rPr>
            </w:pPr>
          </w:p>
        </w:tc>
        <w:tc>
          <w:tcPr>
            <w:tcW w:w="960" w:type="dxa"/>
            <w:vAlign w:val="bottom"/>
            <w:tcBorders>
              <w:bottom w:val="single" w:sz="8" w:color="auto"/>
            </w:tcBorders>
          </w:tcPr>
          <w:p>
            <w:pPr>
              <w:jc w:val="right"/>
              <w:ind w:right="388"/>
              <w:spacing w:after="0" w:line="155" w:lineRule="exact"/>
              <w:rPr>
                <w:sz w:val="20"/>
                <w:szCs w:val="20"/>
                <w:color w:val="auto"/>
              </w:rPr>
            </w:pPr>
            <w:r>
              <w:rPr>
                <w:rFonts w:ascii="Arial" w:cs="Arial" w:eastAsia="Arial" w:hAnsi="Arial"/>
                <w:sz w:val="14"/>
                <w:szCs w:val="14"/>
                <w:b w:val="1"/>
                <w:bCs w:val="1"/>
                <w:color w:val="auto"/>
              </w:rPr>
              <w:t>2017</w:t>
            </w:r>
          </w:p>
        </w:tc>
        <w:tc>
          <w:tcPr>
            <w:tcW w:w="260" w:type="dxa"/>
            <w:vAlign w:val="bottom"/>
            <w:tcBorders>
              <w:bottom w:val="single" w:sz="8" w:color="CCECFF"/>
            </w:tcBorders>
          </w:tcPr>
          <w:p>
            <w:pPr>
              <w:spacing w:after="0"/>
              <w:rPr>
                <w:sz w:val="13"/>
                <w:szCs w:val="13"/>
                <w:color w:val="auto"/>
              </w:rPr>
            </w:pPr>
          </w:p>
        </w:tc>
        <w:tc>
          <w:tcPr>
            <w:tcW w:w="240" w:type="dxa"/>
            <w:vAlign w:val="bottom"/>
            <w:tcBorders>
              <w:bottom w:val="single" w:sz="8" w:color="auto"/>
            </w:tcBorders>
          </w:tcPr>
          <w:p>
            <w:pPr>
              <w:spacing w:after="0"/>
              <w:rPr>
                <w:sz w:val="13"/>
                <w:szCs w:val="13"/>
                <w:color w:val="auto"/>
              </w:rPr>
            </w:pPr>
          </w:p>
        </w:tc>
        <w:tc>
          <w:tcPr>
            <w:tcW w:w="920" w:type="dxa"/>
            <w:vAlign w:val="bottom"/>
            <w:tcBorders>
              <w:bottom w:val="single" w:sz="8" w:color="auto"/>
            </w:tcBorders>
          </w:tcPr>
          <w:p>
            <w:pPr>
              <w:jc w:val="right"/>
              <w:ind w:right="368"/>
              <w:spacing w:after="0" w:line="155" w:lineRule="exact"/>
              <w:rPr>
                <w:sz w:val="20"/>
                <w:szCs w:val="20"/>
                <w:color w:val="auto"/>
              </w:rPr>
            </w:pPr>
            <w:r>
              <w:rPr>
                <w:rFonts w:ascii="Arial" w:cs="Arial" w:eastAsia="Arial" w:hAnsi="Arial"/>
                <w:sz w:val="14"/>
                <w:szCs w:val="14"/>
                <w:b w:val="1"/>
                <w:bCs w:val="1"/>
                <w:color w:val="auto"/>
              </w:rPr>
              <w:t>2016</w:t>
            </w:r>
          </w:p>
        </w:tc>
        <w:tc>
          <w:tcPr>
            <w:tcW w:w="260" w:type="dxa"/>
            <w:vAlign w:val="bottom"/>
            <w:tcBorders>
              <w:bottom w:val="single" w:sz="8" w:color="CCECFF"/>
            </w:tcBorders>
          </w:tcPr>
          <w:p>
            <w:pPr>
              <w:spacing w:after="0"/>
              <w:rPr>
                <w:sz w:val="13"/>
                <w:szCs w:val="13"/>
                <w:color w:val="auto"/>
              </w:rPr>
            </w:pPr>
          </w:p>
        </w:tc>
        <w:tc>
          <w:tcPr>
            <w:tcW w:w="260" w:type="dxa"/>
            <w:vAlign w:val="bottom"/>
            <w:tcBorders>
              <w:bottom w:val="single" w:sz="8" w:color="auto"/>
            </w:tcBorders>
          </w:tcPr>
          <w:p>
            <w:pPr>
              <w:spacing w:after="0"/>
              <w:rPr>
                <w:sz w:val="13"/>
                <w:szCs w:val="13"/>
                <w:color w:val="auto"/>
              </w:rPr>
            </w:pPr>
          </w:p>
        </w:tc>
        <w:tc>
          <w:tcPr>
            <w:tcW w:w="940" w:type="dxa"/>
            <w:vAlign w:val="bottom"/>
            <w:tcBorders>
              <w:bottom w:val="single" w:sz="8" w:color="auto"/>
            </w:tcBorders>
          </w:tcPr>
          <w:p>
            <w:pPr>
              <w:jc w:val="right"/>
              <w:ind w:right="388"/>
              <w:spacing w:after="0" w:line="155" w:lineRule="exact"/>
              <w:rPr>
                <w:sz w:val="20"/>
                <w:szCs w:val="20"/>
                <w:color w:val="auto"/>
              </w:rPr>
            </w:pPr>
            <w:r>
              <w:rPr>
                <w:rFonts w:ascii="Arial" w:cs="Arial" w:eastAsia="Arial" w:hAnsi="Arial"/>
                <w:sz w:val="14"/>
                <w:szCs w:val="14"/>
                <w:b w:val="1"/>
                <w:bCs w:val="1"/>
                <w:color w:val="auto"/>
              </w:rPr>
              <w:t>2017</w:t>
            </w:r>
          </w:p>
        </w:tc>
        <w:tc>
          <w:tcPr>
            <w:tcW w:w="260" w:type="dxa"/>
            <w:vAlign w:val="bottom"/>
            <w:tcBorders>
              <w:bottom w:val="single" w:sz="8" w:color="CCECFF"/>
            </w:tcBorders>
          </w:tcPr>
          <w:p>
            <w:pPr>
              <w:spacing w:after="0"/>
              <w:rPr>
                <w:sz w:val="13"/>
                <w:szCs w:val="13"/>
                <w:color w:val="auto"/>
              </w:rPr>
            </w:pPr>
          </w:p>
        </w:tc>
        <w:tc>
          <w:tcPr>
            <w:tcW w:w="240" w:type="dxa"/>
            <w:vAlign w:val="bottom"/>
            <w:tcBorders>
              <w:bottom w:val="single" w:sz="8" w:color="auto"/>
            </w:tcBorders>
          </w:tcPr>
          <w:p>
            <w:pPr>
              <w:spacing w:after="0"/>
              <w:rPr>
                <w:sz w:val="13"/>
                <w:szCs w:val="13"/>
                <w:color w:val="auto"/>
              </w:rPr>
            </w:pPr>
          </w:p>
        </w:tc>
        <w:tc>
          <w:tcPr>
            <w:tcW w:w="940" w:type="dxa"/>
            <w:vAlign w:val="bottom"/>
            <w:tcBorders>
              <w:bottom w:val="single" w:sz="8" w:color="auto"/>
            </w:tcBorders>
          </w:tcPr>
          <w:p>
            <w:pPr>
              <w:jc w:val="right"/>
              <w:ind w:right="388"/>
              <w:spacing w:after="0" w:line="155" w:lineRule="exact"/>
              <w:rPr>
                <w:sz w:val="20"/>
                <w:szCs w:val="20"/>
                <w:color w:val="auto"/>
              </w:rPr>
            </w:pPr>
            <w:r>
              <w:rPr>
                <w:rFonts w:ascii="Arial" w:cs="Arial" w:eastAsia="Arial" w:hAnsi="Arial"/>
                <w:sz w:val="14"/>
                <w:szCs w:val="14"/>
                <w:b w:val="1"/>
                <w:bCs w:val="1"/>
                <w:color w:val="auto"/>
              </w:rPr>
              <w:t>2016</w:t>
            </w:r>
          </w:p>
        </w:tc>
        <w:tc>
          <w:tcPr>
            <w:tcW w:w="120" w:type="dxa"/>
            <w:vAlign w:val="bottom"/>
            <w:tcBorders>
              <w:bottom w:val="single" w:sz="8" w:color="CCECFF"/>
            </w:tcBorders>
          </w:tcPr>
          <w:p>
            <w:pPr>
              <w:spacing w:after="0"/>
              <w:rPr>
                <w:sz w:val="13"/>
                <w:szCs w:val="13"/>
                <w:color w:val="auto"/>
              </w:rPr>
            </w:pPr>
          </w:p>
        </w:tc>
      </w:tr>
      <w:tr>
        <w:trPr>
          <w:trHeight w:val="155"/>
        </w:trPr>
        <w:tc>
          <w:tcPr>
            <w:tcW w:w="5620" w:type="dxa"/>
            <w:vAlign w:val="bottom"/>
            <w:shd w:val="clear" w:color="auto" w:fill="CCECFF"/>
          </w:tcPr>
          <w:p>
            <w:pPr>
              <w:spacing w:after="0" w:line="155" w:lineRule="exact"/>
              <w:rPr>
                <w:sz w:val="20"/>
                <w:szCs w:val="20"/>
                <w:color w:val="auto"/>
              </w:rPr>
            </w:pPr>
            <w:r>
              <w:rPr>
                <w:rFonts w:ascii="Arial" w:cs="Arial" w:eastAsia="Arial" w:hAnsi="Arial"/>
                <w:sz w:val="14"/>
                <w:szCs w:val="14"/>
                <w:color w:val="auto"/>
              </w:rPr>
              <w:t>Numerator for net increase (decrease) in net assets resulting from operations</w:t>
            </w:r>
          </w:p>
        </w:tc>
        <w:tc>
          <w:tcPr>
            <w:tcW w:w="220" w:type="dxa"/>
            <w:vAlign w:val="bottom"/>
            <w:shd w:val="clear" w:color="auto" w:fill="CCECFF"/>
          </w:tcPr>
          <w:p>
            <w:pPr>
              <w:jc w:val="right"/>
              <w:ind w:right="68"/>
              <w:spacing w:after="0" w:line="155" w:lineRule="exact"/>
              <w:rPr>
                <w:sz w:val="20"/>
                <w:szCs w:val="20"/>
                <w:color w:val="auto"/>
              </w:rPr>
            </w:pPr>
            <w:r>
              <w:rPr>
                <w:rFonts w:ascii="Arial" w:cs="Arial" w:eastAsia="Arial" w:hAnsi="Arial"/>
                <w:sz w:val="14"/>
                <w:szCs w:val="14"/>
                <w:color w:val="auto"/>
                <w:w w:val="76"/>
              </w:rPr>
              <w:t>$</w:t>
            </w:r>
          </w:p>
        </w:tc>
        <w:tc>
          <w:tcPr>
            <w:tcW w:w="960" w:type="dxa"/>
            <w:vAlign w:val="bottom"/>
            <w:shd w:val="clear" w:color="auto" w:fill="CCECFF"/>
          </w:tcPr>
          <w:p>
            <w:pPr>
              <w:jc w:val="right"/>
              <w:spacing w:after="0" w:line="155" w:lineRule="exact"/>
              <w:rPr>
                <w:sz w:val="20"/>
                <w:szCs w:val="20"/>
                <w:color w:val="auto"/>
              </w:rPr>
            </w:pPr>
            <w:r>
              <w:rPr>
                <w:rFonts w:ascii="Arial" w:cs="Arial" w:eastAsia="Arial" w:hAnsi="Arial"/>
                <w:sz w:val="14"/>
                <w:szCs w:val="14"/>
                <w:color w:val="auto"/>
              </w:rPr>
              <w:t>18,779,065</w:t>
            </w:r>
          </w:p>
        </w:tc>
        <w:tc>
          <w:tcPr>
            <w:tcW w:w="260" w:type="dxa"/>
            <w:vAlign w:val="bottom"/>
            <w:shd w:val="clear" w:color="auto" w:fill="CCECFF"/>
          </w:tcPr>
          <w:p>
            <w:pPr>
              <w:spacing w:after="0"/>
              <w:rPr>
                <w:sz w:val="13"/>
                <w:szCs w:val="13"/>
                <w:color w:val="auto"/>
              </w:rPr>
            </w:pPr>
          </w:p>
        </w:tc>
        <w:tc>
          <w:tcPr>
            <w:tcW w:w="240" w:type="dxa"/>
            <w:vAlign w:val="bottom"/>
            <w:shd w:val="clear" w:color="auto" w:fill="CCECFF"/>
          </w:tcPr>
          <w:p>
            <w:pPr>
              <w:jc w:val="right"/>
              <w:ind w:right="129"/>
              <w:spacing w:after="0"/>
              <w:rPr>
                <w:sz w:val="20"/>
                <w:szCs w:val="20"/>
                <w:color w:val="auto"/>
              </w:rPr>
            </w:pPr>
            <w:r>
              <w:rPr>
                <w:rFonts w:ascii="Arial" w:cs="Arial" w:eastAsia="Arial" w:hAnsi="Arial"/>
                <w:sz w:val="10"/>
                <w:szCs w:val="10"/>
                <w:color w:val="auto"/>
                <w:w w:val="71"/>
              </w:rPr>
              <w:t>$</w:t>
            </w:r>
          </w:p>
        </w:tc>
        <w:tc>
          <w:tcPr>
            <w:tcW w:w="920" w:type="dxa"/>
            <w:vAlign w:val="bottom"/>
            <w:shd w:val="clear" w:color="auto" w:fill="CCECFF"/>
          </w:tcPr>
          <w:p>
            <w:pPr>
              <w:jc w:val="right"/>
              <w:spacing w:after="0" w:line="155" w:lineRule="exact"/>
              <w:rPr>
                <w:sz w:val="20"/>
                <w:szCs w:val="20"/>
                <w:color w:val="auto"/>
              </w:rPr>
            </w:pPr>
            <w:r>
              <w:rPr>
                <w:rFonts w:ascii="Arial" w:cs="Arial" w:eastAsia="Arial" w:hAnsi="Arial"/>
                <w:sz w:val="14"/>
                <w:szCs w:val="14"/>
                <w:color w:val="auto"/>
              </w:rPr>
              <w:t>27,832,874</w:t>
            </w:r>
          </w:p>
        </w:tc>
        <w:tc>
          <w:tcPr>
            <w:tcW w:w="260" w:type="dxa"/>
            <w:vAlign w:val="bottom"/>
            <w:shd w:val="clear" w:color="auto" w:fill="CCECFF"/>
          </w:tcPr>
          <w:p>
            <w:pPr>
              <w:spacing w:after="0"/>
              <w:rPr>
                <w:sz w:val="13"/>
                <w:szCs w:val="13"/>
                <w:color w:val="auto"/>
              </w:rPr>
            </w:pPr>
          </w:p>
        </w:tc>
        <w:tc>
          <w:tcPr>
            <w:tcW w:w="260" w:type="dxa"/>
            <w:vAlign w:val="bottom"/>
            <w:shd w:val="clear" w:color="auto" w:fill="CCECFF"/>
          </w:tcPr>
          <w:p>
            <w:pPr>
              <w:jc w:val="right"/>
              <w:ind w:right="108"/>
              <w:spacing w:after="0" w:line="155" w:lineRule="exact"/>
              <w:rPr>
                <w:sz w:val="20"/>
                <w:szCs w:val="20"/>
                <w:color w:val="auto"/>
              </w:rPr>
            </w:pPr>
            <w:r>
              <w:rPr>
                <w:rFonts w:ascii="Arial" w:cs="Arial" w:eastAsia="Arial" w:hAnsi="Arial"/>
                <w:sz w:val="14"/>
                <w:szCs w:val="14"/>
                <w:color w:val="auto"/>
                <w:w w:val="76"/>
              </w:rPr>
              <w:t>$</w:t>
            </w:r>
          </w:p>
        </w:tc>
        <w:tc>
          <w:tcPr>
            <w:tcW w:w="940" w:type="dxa"/>
            <w:vAlign w:val="bottom"/>
            <w:shd w:val="clear" w:color="auto" w:fill="CCECFF"/>
          </w:tcPr>
          <w:p>
            <w:pPr>
              <w:jc w:val="right"/>
              <w:spacing w:after="0" w:line="155" w:lineRule="exact"/>
              <w:rPr>
                <w:sz w:val="20"/>
                <w:szCs w:val="20"/>
                <w:color w:val="auto"/>
              </w:rPr>
            </w:pPr>
            <w:r>
              <w:rPr>
                <w:rFonts w:ascii="Arial" w:cs="Arial" w:eastAsia="Arial" w:hAnsi="Arial"/>
                <w:sz w:val="14"/>
                <w:szCs w:val="14"/>
                <w:color w:val="auto"/>
              </w:rPr>
              <w:t>54,287,861</w:t>
            </w:r>
          </w:p>
        </w:tc>
        <w:tc>
          <w:tcPr>
            <w:tcW w:w="260" w:type="dxa"/>
            <w:vAlign w:val="bottom"/>
            <w:shd w:val="clear" w:color="auto" w:fill="CCECFF"/>
          </w:tcPr>
          <w:p>
            <w:pPr>
              <w:spacing w:after="0"/>
              <w:rPr>
                <w:sz w:val="13"/>
                <w:szCs w:val="13"/>
                <w:color w:val="auto"/>
              </w:rPr>
            </w:pPr>
          </w:p>
        </w:tc>
        <w:tc>
          <w:tcPr>
            <w:tcW w:w="240" w:type="dxa"/>
            <w:vAlign w:val="bottom"/>
            <w:shd w:val="clear" w:color="auto" w:fill="CCECFF"/>
          </w:tcPr>
          <w:p>
            <w:pPr>
              <w:jc w:val="right"/>
              <w:ind w:right="129"/>
              <w:spacing w:after="0"/>
              <w:rPr>
                <w:sz w:val="20"/>
                <w:szCs w:val="20"/>
                <w:color w:val="auto"/>
              </w:rPr>
            </w:pPr>
            <w:r>
              <w:rPr>
                <w:rFonts w:ascii="Arial" w:cs="Arial" w:eastAsia="Arial" w:hAnsi="Arial"/>
                <w:sz w:val="10"/>
                <w:szCs w:val="10"/>
                <w:color w:val="auto"/>
                <w:w w:val="71"/>
              </w:rPr>
              <w:t>$</w:t>
            </w:r>
          </w:p>
        </w:tc>
        <w:tc>
          <w:tcPr>
            <w:tcW w:w="940" w:type="dxa"/>
            <w:vAlign w:val="bottom"/>
            <w:shd w:val="clear" w:color="auto" w:fill="CCECFF"/>
          </w:tcPr>
          <w:p>
            <w:pPr>
              <w:jc w:val="right"/>
              <w:spacing w:after="0" w:line="155" w:lineRule="exact"/>
              <w:rPr>
                <w:sz w:val="20"/>
                <w:szCs w:val="20"/>
                <w:color w:val="auto"/>
              </w:rPr>
            </w:pPr>
            <w:r>
              <w:rPr>
                <w:rFonts w:ascii="Arial" w:cs="Arial" w:eastAsia="Arial" w:hAnsi="Arial"/>
                <w:sz w:val="14"/>
                <w:szCs w:val="14"/>
                <w:color w:val="auto"/>
              </w:rPr>
              <w:t>(8,972,672)</w:t>
            </w:r>
          </w:p>
        </w:tc>
        <w:tc>
          <w:tcPr>
            <w:tcW w:w="120" w:type="dxa"/>
            <w:vAlign w:val="bottom"/>
            <w:shd w:val="clear" w:color="auto" w:fill="CCECFF"/>
          </w:tcPr>
          <w:p>
            <w:pPr>
              <w:spacing w:after="0"/>
              <w:rPr>
                <w:sz w:val="13"/>
                <w:szCs w:val="13"/>
                <w:color w:val="auto"/>
              </w:rPr>
            </w:pPr>
          </w:p>
        </w:tc>
      </w:tr>
      <w:tr>
        <w:trPr>
          <w:trHeight w:val="162"/>
        </w:trPr>
        <w:tc>
          <w:tcPr>
            <w:tcW w:w="5620" w:type="dxa"/>
            <w:vAlign w:val="bottom"/>
          </w:tcPr>
          <w:p>
            <w:pPr>
              <w:spacing w:after="0"/>
              <w:rPr>
                <w:sz w:val="20"/>
                <w:szCs w:val="20"/>
                <w:color w:val="auto"/>
              </w:rPr>
            </w:pPr>
            <w:r>
              <w:rPr>
                <w:rFonts w:ascii="Arial" w:cs="Arial" w:eastAsia="Arial" w:hAnsi="Arial"/>
                <w:sz w:val="14"/>
                <w:szCs w:val="14"/>
                <w:color w:val="auto"/>
              </w:rPr>
              <w:t>Denominator for basic and diluted weighted average shares</w:t>
            </w:r>
          </w:p>
        </w:tc>
        <w:tc>
          <w:tcPr>
            <w:tcW w:w="220" w:type="dxa"/>
            <w:vAlign w:val="bottom"/>
          </w:tcPr>
          <w:p>
            <w:pPr>
              <w:spacing w:after="0"/>
              <w:rPr>
                <w:sz w:val="14"/>
                <w:szCs w:val="14"/>
                <w:color w:val="auto"/>
              </w:rPr>
            </w:pPr>
          </w:p>
        </w:tc>
        <w:tc>
          <w:tcPr>
            <w:tcW w:w="960" w:type="dxa"/>
            <w:vAlign w:val="bottom"/>
          </w:tcPr>
          <w:p>
            <w:pPr>
              <w:jc w:val="right"/>
              <w:spacing w:after="0"/>
              <w:rPr>
                <w:sz w:val="20"/>
                <w:szCs w:val="20"/>
                <w:color w:val="auto"/>
              </w:rPr>
            </w:pPr>
            <w:r>
              <w:rPr>
                <w:rFonts w:ascii="Arial" w:cs="Arial" w:eastAsia="Arial" w:hAnsi="Arial"/>
                <w:sz w:val="14"/>
                <w:szCs w:val="14"/>
                <w:color w:val="auto"/>
              </w:rPr>
              <w:t>71,060,836</w:t>
            </w:r>
          </w:p>
        </w:tc>
        <w:tc>
          <w:tcPr>
            <w:tcW w:w="2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920" w:type="dxa"/>
            <w:vAlign w:val="bottom"/>
          </w:tcPr>
          <w:p>
            <w:pPr>
              <w:jc w:val="right"/>
              <w:spacing w:after="0"/>
              <w:rPr>
                <w:sz w:val="20"/>
                <w:szCs w:val="20"/>
                <w:color w:val="auto"/>
              </w:rPr>
            </w:pPr>
            <w:r>
              <w:rPr>
                <w:rFonts w:ascii="Arial" w:cs="Arial" w:eastAsia="Arial" w:hAnsi="Arial"/>
                <w:sz w:val="14"/>
                <w:szCs w:val="14"/>
                <w:color w:val="auto"/>
              </w:rPr>
              <w:t>71,060,836</w:t>
            </w:r>
          </w:p>
        </w:tc>
        <w:tc>
          <w:tcPr>
            <w:tcW w:w="2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940" w:type="dxa"/>
            <w:vAlign w:val="bottom"/>
          </w:tcPr>
          <w:p>
            <w:pPr>
              <w:jc w:val="right"/>
              <w:spacing w:after="0"/>
              <w:rPr>
                <w:sz w:val="20"/>
                <w:szCs w:val="20"/>
                <w:color w:val="auto"/>
              </w:rPr>
            </w:pPr>
            <w:r>
              <w:rPr>
                <w:rFonts w:ascii="Arial" w:cs="Arial" w:eastAsia="Arial" w:hAnsi="Arial"/>
                <w:sz w:val="14"/>
                <w:szCs w:val="14"/>
                <w:color w:val="auto"/>
              </w:rPr>
              <w:t>71,060,836</w:t>
            </w:r>
          </w:p>
        </w:tc>
        <w:tc>
          <w:tcPr>
            <w:tcW w:w="2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940" w:type="dxa"/>
            <w:vAlign w:val="bottom"/>
          </w:tcPr>
          <w:p>
            <w:pPr>
              <w:jc w:val="right"/>
              <w:spacing w:after="0"/>
              <w:rPr>
                <w:sz w:val="20"/>
                <w:szCs w:val="20"/>
                <w:color w:val="auto"/>
              </w:rPr>
            </w:pPr>
            <w:r>
              <w:rPr>
                <w:rFonts w:ascii="Arial" w:cs="Arial" w:eastAsia="Arial" w:hAnsi="Arial"/>
                <w:sz w:val="14"/>
                <w:szCs w:val="14"/>
                <w:color w:val="auto"/>
              </w:rPr>
              <w:t>71,809,792</w:t>
            </w:r>
          </w:p>
        </w:tc>
        <w:tc>
          <w:tcPr>
            <w:tcW w:w="120" w:type="dxa"/>
            <w:vAlign w:val="bottom"/>
          </w:tcPr>
          <w:p>
            <w:pPr>
              <w:spacing w:after="0"/>
              <w:rPr>
                <w:sz w:val="14"/>
                <w:szCs w:val="14"/>
                <w:color w:val="auto"/>
              </w:rPr>
            </w:pPr>
          </w:p>
        </w:tc>
      </w:tr>
      <w:tr>
        <w:trPr>
          <w:trHeight w:val="162"/>
        </w:trPr>
        <w:tc>
          <w:tcPr>
            <w:tcW w:w="5620" w:type="dxa"/>
            <w:vAlign w:val="bottom"/>
            <w:shd w:val="clear" w:color="auto" w:fill="CCECFF"/>
          </w:tcPr>
          <w:p>
            <w:pPr>
              <w:spacing w:after="0"/>
              <w:rPr>
                <w:sz w:val="20"/>
                <w:szCs w:val="20"/>
                <w:color w:val="auto"/>
              </w:rPr>
            </w:pPr>
            <w:r>
              <w:rPr>
                <w:rFonts w:ascii="Arial" w:cs="Arial" w:eastAsia="Arial" w:hAnsi="Arial"/>
                <w:sz w:val="14"/>
                <w:szCs w:val="14"/>
                <w:color w:val="auto"/>
              </w:rPr>
              <w:t>Basic and diluted net increase (decrease) in net assets resulting from operations</w:t>
            </w:r>
          </w:p>
        </w:tc>
        <w:tc>
          <w:tcPr>
            <w:tcW w:w="220" w:type="dxa"/>
            <w:vAlign w:val="bottom"/>
            <w:shd w:val="clear" w:color="auto" w:fill="CCECFF"/>
          </w:tcPr>
          <w:p>
            <w:pPr>
              <w:jc w:val="right"/>
              <w:ind w:right="68"/>
              <w:spacing w:after="0"/>
              <w:rPr>
                <w:sz w:val="20"/>
                <w:szCs w:val="20"/>
                <w:color w:val="auto"/>
              </w:rPr>
            </w:pPr>
            <w:r>
              <w:rPr>
                <w:rFonts w:ascii="Arial" w:cs="Arial" w:eastAsia="Arial" w:hAnsi="Arial"/>
                <w:sz w:val="14"/>
                <w:szCs w:val="14"/>
                <w:color w:val="auto"/>
                <w:w w:val="76"/>
              </w:rPr>
              <w:t>$</w:t>
            </w:r>
          </w:p>
        </w:tc>
        <w:tc>
          <w:tcPr>
            <w:tcW w:w="960" w:type="dxa"/>
            <w:vAlign w:val="bottom"/>
            <w:shd w:val="clear" w:color="auto" w:fill="CCECFF"/>
          </w:tcPr>
          <w:p>
            <w:pPr>
              <w:jc w:val="right"/>
              <w:spacing w:after="0"/>
              <w:rPr>
                <w:sz w:val="20"/>
                <w:szCs w:val="20"/>
                <w:color w:val="auto"/>
              </w:rPr>
            </w:pPr>
            <w:r>
              <w:rPr>
                <w:rFonts w:ascii="Arial" w:cs="Arial" w:eastAsia="Arial" w:hAnsi="Arial"/>
                <w:sz w:val="14"/>
                <w:szCs w:val="14"/>
                <w:color w:val="auto"/>
              </w:rPr>
              <w:t>0.26</w:t>
            </w:r>
          </w:p>
        </w:tc>
        <w:tc>
          <w:tcPr>
            <w:tcW w:w="260" w:type="dxa"/>
            <w:vAlign w:val="bottom"/>
            <w:shd w:val="clear" w:color="auto" w:fill="CCECFF"/>
          </w:tcPr>
          <w:p>
            <w:pPr>
              <w:spacing w:after="0"/>
              <w:rPr>
                <w:sz w:val="14"/>
                <w:szCs w:val="14"/>
                <w:color w:val="auto"/>
              </w:rPr>
            </w:pPr>
          </w:p>
        </w:tc>
        <w:tc>
          <w:tcPr>
            <w:tcW w:w="240" w:type="dxa"/>
            <w:vAlign w:val="bottom"/>
            <w:shd w:val="clear" w:color="auto" w:fill="CCECFF"/>
          </w:tcPr>
          <w:p>
            <w:pPr>
              <w:jc w:val="right"/>
              <w:ind w:right="129"/>
              <w:spacing w:after="0"/>
              <w:rPr>
                <w:sz w:val="20"/>
                <w:szCs w:val="20"/>
                <w:color w:val="auto"/>
              </w:rPr>
            </w:pPr>
            <w:r>
              <w:rPr>
                <w:rFonts w:ascii="Arial" w:cs="Arial" w:eastAsia="Arial" w:hAnsi="Arial"/>
                <w:sz w:val="10"/>
                <w:szCs w:val="10"/>
                <w:color w:val="auto"/>
                <w:w w:val="71"/>
              </w:rPr>
              <w:t>$</w:t>
            </w:r>
          </w:p>
        </w:tc>
        <w:tc>
          <w:tcPr>
            <w:tcW w:w="920" w:type="dxa"/>
            <w:vAlign w:val="bottom"/>
            <w:shd w:val="clear" w:color="auto" w:fill="CCECFF"/>
          </w:tcPr>
          <w:p>
            <w:pPr>
              <w:jc w:val="right"/>
              <w:spacing w:after="0"/>
              <w:rPr>
                <w:sz w:val="20"/>
                <w:szCs w:val="20"/>
                <w:color w:val="auto"/>
              </w:rPr>
            </w:pPr>
            <w:r>
              <w:rPr>
                <w:rFonts w:ascii="Arial" w:cs="Arial" w:eastAsia="Arial" w:hAnsi="Arial"/>
                <w:sz w:val="14"/>
                <w:szCs w:val="14"/>
                <w:color w:val="auto"/>
              </w:rPr>
              <w:t>0.39</w:t>
            </w:r>
          </w:p>
        </w:tc>
        <w:tc>
          <w:tcPr>
            <w:tcW w:w="260" w:type="dxa"/>
            <w:vAlign w:val="bottom"/>
            <w:shd w:val="clear" w:color="auto" w:fill="CCECFF"/>
          </w:tcPr>
          <w:p>
            <w:pPr>
              <w:spacing w:after="0"/>
              <w:rPr>
                <w:sz w:val="14"/>
                <w:szCs w:val="14"/>
                <w:color w:val="auto"/>
              </w:rPr>
            </w:pPr>
          </w:p>
        </w:tc>
        <w:tc>
          <w:tcPr>
            <w:tcW w:w="260" w:type="dxa"/>
            <w:vAlign w:val="bottom"/>
            <w:shd w:val="clear" w:color="auto" w:fill="CCECFF"/>
          </w:tcPr>
          <w:p>
            <w:pPr>
              <w:jc w:val="right"/>
              <w:ind w:right="108"/>
              <w:spacing w:after="0"/>
              <w:rPr>
                <w:sz w:val="20"/>
                <w:szCs w:val="20"/>
                <w:color w:val="auto"/>
              </w:rPr>
            </w:pPr>
            <w:r>
              <w:rPr>
                <w:rFonts w:ascii="Arial" w:cs="Arial" w:eastAsia="Arial" w:hAnsi="Arial"/>
                <w:sz w:val="14"/>
                <w:szCs w:val="14"/>
                <w:color w:val="auto"/>
                <w:w w:val="76"/>
              </w:rPr>
              <w:t>$</w:t>
            </w:r>
          </w:p>
        </w:tc>
        <w:tc>
          <w:tcPr>
            <w:tcW w:w="940" w:type="dxa"/>
            <w:vAlign w:val="bottom"/>
            <w:shd w:val="clear" w:color="auto" w:fill="CCECFF"/>
          </w:tcPr>
          <w:p>
            <w:pPr>
              <w:jc w:val="right"/>
              <w:spacing w:after="0"/>
              <w:rPr>
                <w:sz w:val="20"/>
                <w:szCs w:val="20"/>
                <w:color w:val="auto"/>
              </w:rPr>
            </w:pPr>
            <w:r>
              <w:rPr>
                <w:rFonts w:ascii="Arial" w:cs="Arial" w:eastAsia="Arial" w:hAnsi="Arial"/>
                <w:sz w:val="14"/>
                <w:szCs w:val="14"/>
                <w:color w:val="auto"/>
              </w:rPr>
              <w:t>0.77</w:t>
            </w:r>
          </w:p>
        </w:tc>
        <w:tc>
          <w:tcPr>
            <w:tcW w:w="500" w:type="dxa"/>
            <w:vAlign w:val="bottom"/>
            <w:gridSpan w:val="2"/>
            <w:shd w:val="clear" w:color="auto" w:fill="CCECFF"/>
          </w:tcPr>
          <w:p>
            <w:pPr>
              <w:jc w:val="right"/>
              <w:ind w:right="129"/>
              <w:spacing w:after="0"/>
              <w:rPr>
                <w:sz w:val="20"/>
                <w:szCs w:val="20"/>
                <w:color w:val="auto"/>
              </w:rPr>
            </w:pPr>
            <w:r>
              <w:rPr>
                <w:rFonts w:ascii="Arial" w:cs="Arial" w:eastAsia="Arial" w:hAnsi="Arial"/>
                <w:sz w:val="14"/>
                <w:szCs w:val="14"/>
                <w:color w:val="auto"/>
              </w:rPr>
              <w:t>$</w:t>
            </w:r>
          </w:p>
        </w:tc>
        <w:tc>
          <w:tcPr>
            <w:tcW w:w="1060" w:type="dxa"/>
            <w:vAlign w:val="bottom"/>
            <w:gridSpan w:val="2"/>
            <w:shd w:val="clear" w:color="auto" w:fill="CCECFF"/>
          </w:tcPr>
          <w:p>
            <w:pPr>
              <w:jc w:val="right"/>
              <w:ind w:right="80"/>
              <w:spacing w:after="0"/>
              <w:rPr>
                <w:sz w:val="20"/>
                <w:szCs w:val="20"/>
                <w:color w:val="auto"/>
              </w:rPr>
            </w:pPr>
            <w:r>
              <w:rPr>
                <w:rFonts w:ascii="Arial" w:cs="Arial" w:eastAsia="Arial" w:hAnsi="Arial"/>
                <w:sz w:val="14"/>
                <w:szCs w:val="14"/>
                <w:color w:val="auto"/>
              </w:rPr>
              <w:t>(0.12)</w:t>
            </w:r>
          </w:p>
        </w:tc>
      </w:tr>
    </w:tbl>
    <w:p>
      <w:pPr>
        <w:spacing w:after="0" w:line="126"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8. CASH AND CASH EQUIVALENTS</w:t>
      </w:r>
    </w:p>
    <w:p>
      <w:pPr>
        <w:spacing w:after="0" w:line="140" w:lineRule="exact"/>
        <w:rPr>
          <w:sz w:val="20"/>
          <w:szCs w:val="20"/>
          <w:color w:val="auto"/>
        </w:rPr>
      </w:pPr>
    </w:p>
    <w:p>
      <w:pPr>
        <w:ind w:right="160" w:firstLine="432"/>
        <w:spacing w:after="0" w:line="245" w:lineRule="auto"/>
        <w:rPr>
          <w:sz w:val="20"/>
          <w:szCs w:val="20"/>
          <w:color w:val="auto"/>
        </w:rPr>
      </w:pPr>
      <w:r>
        <w:rPr>
          <w:rFonts w:ascii="Arial" w:cs="Arial" w:eastAsia="Arial" w:hAnsi="Arial"/>
          <w:sz w:val="13"/>
          <w:szCs w:val="13"/>
          <w:color w:val="auto"/>
        </w:rPr>
        <w:t>Cash equivalents represent cash in money market funds pending investment in longer-term portfolio holdings. Our portfolio may consist of temporary investments in U.S. Treasury Bills (of varying maturities), repurchase agreements, money market funds or repurchase agreement-like treasury securities. These temporary investments with original maturities of 90 days or less are deemed cash equivalents and are included in the Consolidated Schedule of Investments. At the end of each fiscal quarter, we may take proactive steps to preserve investment flexibility for the next quarter by investing in cash equivalents, which is dependent upon the composition of our total assets at quarter-end. We may accomplish this in several ways, including purchasing U.S. Treasury Bills and closing out our positions on a net cash basis after quarter-end, temporarily drawing down on the Credit Facility, or utilizing repurchase agreements or other balance sheet transactions as are deemed appropriate for this purpose. These amounts are excluded from average adjusted gross assets for purposes of computing the Investment Adviser’s management fee. U.S. Treasury Bills with maturities greater than 60 days from the time of purchase are valued consistent with our valuation policy. As of June 30, 2017 and September 30, 2016, cash and cash equivalents consisted of $103.2 million and $75.6 million, respectively, at fair value.</w:t>
      </w:r>
    </w:p>
    <w:p>
      <w:pPr>
        <w:spacing w:after="0" w:line="200" w:lineRule="exact"/>
        <w:rPr>
          <w:sz w:val="20"/>
          <w:szCs w:val="20"/>
          <w:color w:val="auto"/>
        </w:rPr>
      </w:pPr>
    </w:p>
    <w:p>
      <w:pPr>
        <w:spacing w:after="0" w:line="280"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72390</wp:posOffset>
            </wp:positionV>
            <wp:extent cx="7149465" cy="171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21" w:name="page22"/>
    <w:bookmarkEnd w:id="21"/>
    <w:p>
      <w:pPr>
        <w:ind w:left="3220"/>
        <w:spacing w:after="0"/>
        <w:rPr>
          <w:sz w:val="20"/>
          <w:szCs w:val="20"/>
          <w:color w:val="auto"/>
        </w:rPr>
      </w:pPr>
      <w:r>
        <w:rPr>
          <w:rFonts w:ascii="Arial" w:cs="Arial" w:eastAsia="Arial" w:hAnsi="Arial"/>
          <w:sz w:val="14"/>
          <w:szCs w:val="14"/>
          <w:b w:val="1"/>
          <w:bCs w:val="1"/>
          <w:color w:val="auto"/>
        </w:rPr>
        <w:t>PENNANTPARK INVESTMENT CORPORATION AND SUBSIDIARIES</w:t>
      </w:r>
    </w:p>
    <w:p>
      <w:pPr>
        <w:ind w:left="3200"/>
        <w:spacing w:after="0" w:line="225" w:lineRule="auto"/>
        <w:rPr>
          <w:sz w:val="20"/>
          <w:szCs w:val="20"/>
          <w:color w:val="auto"/>
        </w:rPr>
      </w:pPr>
      <w:r>
        <w:rPr>
          <w:rFonts w:ascii="Arial" w:cs="Arial" w:eastAsia="Arial" w:hAnsi="Arial"/>
          <w:sz w:val="14"/>
          <w:szCs w:val="14"/>
          <w:b w:val="1"/>
          <w:bCs w:val="1"/>
          <w:color w:val="auto"/>
        </w:rPr>
        <w:t>NOTES TO CONSOLIDATED FINANCIAL STATEMENTS—(Continued)</w:t>
      </w:r>
    </w:p>
    <w:p>
      <w:pPr>
        <w:jc w:val="center"/>
        <w:ind w:right="60"/>
        <w:spacing w:after="0" w:line="221" w:lineRule="auto"/>
        <w:rPr>
          <w:sz w:val="20"/>
          <w:szCs w:val="20"/>
          <w:color w:val="auto"/>
        </w:rPr>
      </w:pPr>
      <w:r>
        <w:rPr>
          <w:rFonts w:ascii="Arial" w:cs="Arial" w:eastAsia="Arial" w:hAnsi="Arial"/>
          <w:sz w:val="14"/>
          <w:szCs w:val="14"/>
          <w:b w:val="1"/>
          <w:bCs w:val="1"/>
          <w:color w:val="auto"/>
        </w:rPr>
        <w:t>JUNE 30, 2017</w:t>
      </w:r>
    </w:p>
    <w:p>
      <w:pPr>
        <w:spacing w:after="0" w:line="1" w:lineRule="exact"/>
        <w:rPr>
          <w:sz w:val="20"/>
          <w:szCs w:val="20"/>
          <w:color w:val="auto"/>
        </w:rPr>
      </w:pPr>
    </w:p>
    <w:p>
      <w:pPr>
        <w:jc w:val="center"/>
        <w:ind w:right="60"/>
        <w:spacing w:after="0"/>
        <w:rPr>
          <w:sz w:val="20"/>
          <w:szCs w:val="20"/>
          <w:color w:val="auto"/>
        </w:rPr>
      </w:pPr>
      <w:r>
        <w:rPr>
          <w:rFonts w:ascii="Arial" w:cs="Arial" w:eastAsia="Arial" w:hAnsi="Arial"/>
          <w:sz w:val="14"/>
          <w:szCs w:val="14"/>
          <w:b w:val="1"/>
          <w:bCs w:val="1"/>
          <w:color w:val="auto"/>
        </w:rPr>
        <w:t>(Unaudited)</w:t>
      </w:r>
    </w:p>
    <w:p>
      <w:pPr>
        <w:spacing w:after="0" w:line="188"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6900" w:type="dxa"/>
            <w:vAlign w:val="bottom"/>
          </w:tcPr>
          <w:p>
            <w:pPr>
              <w:spacing w:after="0"/>
              <w:rPr>
                <w:sz w:val="20"/>
                <w:szCs w:val="20"/>
                <w:color w:val="auto"/>
              </w:rPr>
            </w:pPr>
            <w:r>
              <w:rPr>
                <w:rFonts w:ascii="Arial" w:cs="Arial" w:eastAsia="Arial" w:hAnsi="Arial"/>
                <w:sz w:val="14"/>
                <w:szCs w:val="14"/>
                <w:b w:val="1"/>
                <w:bCs w:val="1"/>
                <w:color w:val="auto"/>
              </w:rPr>
              <w:t>9. FINANCIAL HIGHLIGHTS</w:t>
            </w:r>
          </w:p>
        </w:tc>
        <w:tc>
          <w:tcPr>
            <w:tcW w:w="114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97"/>
        </w:trPr>
        <w:tc>
          <w:tcPr>
            <w:tcW w:w="6900" w:type="dxa"/>
            <w:vAlign w:val="bottom"/>
          </w:tcPr>
          <w:p>
            <w:pPr>
              <w:ind w:left="160"/>
              <w:spacing w:after="0"/>
              <w:rPr>
                <w:sz w:val="20"/>
                <w:szCs w:val="20"/>
                <w:color w:val="auto"/>
              </w:rPr>
            </w:pPr>
            <w:r>
              <w:rPr>
                <w:rFonts w:ascii="Arial" w:cs="Arial" w:eastAsia="Arial" w:hAnsi="Arial"/>
                <w:sz w:val="14"/>
                <w:szCs w:val="14"/>
                <w:color w:val="auto"/>
              </w:rPr>
              <w:t>Below are the financial highlights:</w:t>
            </w:r>
          </w:p>
        </w:tc>
        <w:tc>
          <w:tcPr>
            <w:tcW w:w="114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51"/>
        </w:trPr>
        <w:tc>
          <w:tcPr>
            <w:tcW w:w="690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900" w:type="dxa"/>
            <w:vAlign w:val="bottom"/>
            <w:gridSpan w:val="4"/>
          </w:tcPr>
          <w:p>
            <w:pPr>
              <w:jc w:val="right"/>
              <w:ind w:right="9"/>
              <w:spacing w:after="0"/>
              <w:rPr>
                <w:sz w:val="20"/>
                <w:szCs w:val="20"/>
                <w:color w:val="auto"/>
              </w:rPr>
            </w:pPr>
            <w:r>
              <w:rPr>
                <w:rFonts w:ascii="Arial" w:cs="Arial" w:eastAsia="Arial" w:hAnsi="Arial"/>
                <w:sz w:val="14"/>
                <w:szCs w:val="14"/>
                <w:b w:val="1"/>
                <w:bCs w:val="1"/>
                <w:color w:val="auto"/>
                <w:w w:val="95"/>
              </w:rPr>
              <w:t>Nine Months Ended June 30,</w:t>
            </w:r>
          </w:p>
        </w:tc>
        <w:tc>
          <w:tcPr>
            <w:tcW w:w="11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6"/>
        </w:trPr>
        <w:tc>
          <w:tcPr>
            <w:tcW w:w="6900" w:type="dxa"/>
            <w:vAlign w:val="bottom"/>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56"/>
        </w:trPr>
        <w:tc>
          <w:tcPr>
            <w:tcW w:w="6900" w:type="dxa"/>
            <w:vAlign w:val="bottom"/>
            <w:tcBorders>
              <w:bottom w:val="single" w:sz="8" w:color="CCECFF"/>
            </w:tcBorders>
          </w:tcPr>
          <w:p>
            <w:pPr>
              <w:spacing w:after="0"/>
              <w:rPr>
                <w:sz w:val="13"/>
                <w:szCs w:val="13"/>
                <w:color w:val="auto"/>
              </w:rPr>
            </w:pPr>
          </w:p>
        </w:tc>
        <w:tc>
          <w:tcPr>
            <w:tcW w:w="1140" w:type="dxa"/>
            <w:vAlign w:val="bottom"/>
            <w:tcBorders>
              <w:bottom w:val="single" w:sz="8" w:color="auto"/>
            </w:tcBorders>
          </w:tcPr>
          <w:p>
            <w:pPr>
              <w:jc w:val="right"/>
              <w:spacing w:after="0" w:line="155" w:lineRule="exact"/>
              <w:rPr>
                <w:sz w:val="20"/>
                <w:szCs w:val="20"/>
                <w:color w:val="auto"/>
              </w:rPr>
            </w:pPr>
            <w:r>
              <w:rPr>
                <w:rFonts w:ascii="Arial" w:cs="Arial" w:eastAsia="Arial" w:hAnsi="Arial"/>
                <w:sz w:val="14"/>
                <w:szCs w:val="14"/>
                <w:b w:val="1"/>
                <w:bCs w:val="1"/>
                <w:color w:val="auto"/>
              </w:rPr>
              <w:t>2017</w:t>
            </w:r>
          </w:p>
        </w:tc>
        <w:tc>
          <w:tcPr>
            <w:tcW w:w="780" w:type="dxa"/>
            <w:vAlign w:val="bottom"/>
            <w:tcBorders>
              <w:bottom w:val="single" w:sz="8" w:color="auto"/>
            </w:tcBorders>
          </w:tcPr>
          <w:p>
            <w:pPr>
              <w:spacing w:after="0"/>
              <w:rPr>
                <w:sz w:val="13"/>
                <w:szCs w:val="13"/>
                <w:color w:val="auto"/>
              </w:rPr>
            </w:pPr>
          </w:p>
        </w:tc>
        <w:tc>
          <w:tcPr>
            <w:tcW w:w="240" w:type="dxa"/>
            <w:vAlign w:val="bottom"/>
            <w:tcBorders>
              <w:bottom w:val="single" w:sz="8" w:color="CCECFF"/>
            </w:tcBorders>
          </w:tcPr>
          <w:p>
            <w:pPr>
              <w:spacing w:after="0"/>
              <w:rPr>
                <w:sz w:val="13"/>
                <w:szCs w:val="13"/>
                <w:color w:val="auto"/>
              </w:rPr>
            </w:pPr>
          </w:p>
        </w:tc>
        <w:tc>
          <w:tcPr>
            <w:tcW w:w="120" w:type="dxa"/>
            <w:vAlign w:val="bottom"/>
            <w:tcBorders>
              <w:bottom w:val="single" w:sz="8" w:color="CCECFF"/>
            </w:tcBorders>
          </w:tcPr>
          <w:p>
            <w:pPr>
              <w:spacing w:after="0"/>
              <w:rPr>
                <w:sz w:val="13"/>
                <w:szCs w:val="13"/>
                <w:color w:val="auto"/>
              </w:rPr>
            </w:pPr>
          </w:p>
        </w:tc>
        <w:tc>
          <w:tcPr>
            <w:tcW w:w="760" w:type="dxa"/>
            <w:vAlign w:val="bottom"/>
            <w:tcBorders>
              <w:bottom w:val="single" w:sz="8" w:color="auto"/>
            </w:tcBorders>
          </w:tcPr>
          <w:p>
            <w:pPr>
              <w:spacing w:after="0"/>
              <w:rPr>
                <w:sz w:val="13"/>
                <w:szCs w:val="13"/>
                <w:color w:val="auto"/>
              </w:rPr>
            </w:pPr>
          </w:p>
        </w:tc>
        <w:tc>
          <w:tcPr>
            <w:tcW w:w="1160" w:type="dxa"/>
            <w:vAlign w:val="bottom"/>
            <w:tcBorders>
              <w:bottom w:val="single" w:sz="8" w:color="auto"/>
            </w:tcBorders>
          </w:tcPr>
          <w:p>
            <w:pPr>
              <w:jc w:val="right"/>
              <w:ind w:right="748"/>
              <w:spacing w:after="0" w:line="155" w:lineRule="exact"/>
              <w:rPr>
                <w:sz w:val="20"/>
                <w:szCs w:val="20"/>
                <w:color w:val="auto"/>
              </w:rPr>
            </w:pPr>
            <w:r>
              <w:rPr>
                <w:rFonts w:ascii="Arial" w:cs="Arial" w:eastAsia="Arial" w:hAnsi="Arial"/>
                <w:sz w:val="14"/>
                <w:szCs w:val="14"/>
                <w:b w:val="1"/>
                <w:bCs w:val="1"/>
                <w:color w:val="auto"/>
              </w:rPr>
              <w:t>2016</w:t>
            </w:r>
          </w:p>
        </w:tc>
        <w:tc>
          <w:tcPr>
            <w:tcW w:w="140" w:type="dxa"/>
            <w:vAlign w:val="bottom"/>
            <w:tcBorders>
              <w:bottom w:val="single" w:sz="8" w:color="CCECFF"/>
            </w:tcBorders>
          </w:tcPr>
          <w:p>
            <w:pPr>
              <w:spacing w:after="0"/>
              <w:rPr>
                <w:sz w:val="13"/>
                <w:szCs w:val="13"/>
                <w:color w:val="auto"/>
              </w:rPr>
            </w:pPr>
          </w:p>
        </w:tc>
        <w:tc>
          <w:tcPr>
            <w:tcW w:w="0" w:type="dxa"/>
            <w:vAlign w:val="bottom"/>
          </w:tcPr>
          <w:p>
            <w:pPr>
              <w:spacing w:after="0"/>
              <w:rPr>
                <w:sz w:val="1"/>
                <w:szCs w:val="1"/>
                <w:color w:val="auto"/>
              </w:rPr>
            </w:pPr>
          </w:p>
        </w:tc>
      </w:tr>
      <w:tr>
        <w:trPr>
          <w:trHeight w:val="155"/>
        </w:trPr>
        <w:tc>
          <w:tcPr>
            <w:tcW w:w="6900" w:type="dxa"/>
            <w:vAlign w:val="bottom"/>
            <w:shd w:val="clear" w:color="auto" w:fill="CCECFF"/>
          </w:tcPr>
          <w:p>
            <w:pPr>
              <w:spacing w:after="0" w:line="155" w:lineRule="exact"/>
              <w:rPr>
                <w:sz w:val="20"/>
                <w:szCs w:val="20"/>
                <w:color w:val="auto"/>
              </w:rPr>
            </w:pPr>
            <w:r>
              <w:rPr>
                <w:rFonts w:ascii="Arial" w:cs="Arial" w:eastAsia="Arial" w:hAnsi="Arial"/>
                <w:sz w:val="14"/>
                <w:szCs w:val="14"/>
                <w:b w:val="1"/>
                <w:bCs w:val="1"/>
                <w:color w:val="auto"/>
              </w:rPr>
              <w:t>Per Share Data:</w:t>
            </w:r>
          </w:p>
        </w:tc>
        <w:tc>
          <w:tcPr>
            <w:tcW w:w="1140" w:type="dxa"/>
            <w:vAlign w:val="bottom"/>
            <w:shd w:val="clear" w:color="auto" w:fill="CCECFF"/>
          </w:tcPr>
          <w:p>
            <w:pPr>
              <w:spacing w:after="0"/>
              <w:rPr>
                <w:sz w:val="13"/>
                <w:szCs w:val="13"/>
                <w:color w:val="auto"/>
              </w:rPr>
            </w:pPr>
          </w:p>
        </w:tc>
        <w:tc>
          <w:tcPr>
            <w:tcW w:w="780" w:type="dxa"/>
            <w:vAlign w:val="bottom"/>
            <w:shd w:val="clear" w:color="auto" w:fill="CCECFF"/>
          </w:tcPr>
          <w:p>
            <w:pPr>
              <w:spacing w:after="0"/>
              <w:rPr>
                <w:sz w:val="13"/>
                <w:szCs w:val="13"/>
                <w:color w:val="auto"/>
              </w:rPr>
            </w:pPr>
          </w:p>
        </w:tc>
        <w:tc>
          <w:tcPr>
            <w:tcW w:w="240" w:type="dxa"/>
            <w:vAlign w:val="bottom"/>
            <w:shd w:val="clear" w:color="auto" w:fill="CCECFF"/>
          </w:tcPr>
          <w:p>
            <w:pPr>
              <w:spacing w:after="0"/>
              <w:rPr>
                <w:sz w:val="13"/>
                <w:szCs w:val="13"/>
                <w:color w:val="auto"/>
              </w:rPr>
            </w:pPr>
          </w:p>
        </w:tc>
        <w:tc>
          <w:tcPr>
            <w:tcW w:w="120" w:type="dxa"/>
            <w:vAlign w:val="bottom"/>
            <w:shd w:val="clear" w:color="auto" w:fill="CCECFF"/>
          </w:tcPr>
          <w:p>
            <w:pPr>
              <w:spacing w:after="0"/>
              <w:rPr>
                <w:sz w:val="13"/>
                <w:szCs w:val="13"/>
                <w:color w:val="auto"/>
              </w:rPr>
            </w:pPr>
          </w:p>
        </w:tc>
        <w:tc>
          <w:tcPr>
            <w:tcW w:w="760" w:type="dxa"/>
            <w:vAlign w:val="bottom"/>
            <w:shd w:val="clear" w:color="auto" w:fill="CCECFF"/>
          </w:tcPr>
          <w:p>
            <w:pPr>
              <w:spacing w:after="0"/>
              <w:rPr>
                <w:sz w:val="13"/>
                <w:szCs w:val="13"/>
                <w:color w:val="auto"/>
              </w:rPr>
            </w:pPr>
          </w:p>
        </w:tc>
        <w:tc>
          <w:tcPr>
            <w:tcW w:w="1160" w:type="dxa"/>
            <w:vAlign w:val="bottom"/>
            <w:shd w:val="clear" w:color="auto" w:fill="CCECFF"/>
          </w:tcPr>
          <w:p>
            <w:pPr>
              <w:spacing w:after="0"/>
              <w:rPr>
                <w:sz w:val="13"/>
                <w:szCs w:val="13"/>
                <w:color w:val="auto"/>
              </w:rPr>
            </w:pPr>
          </w:p>
        </w:tc>
        <w:tc>
          <w:tcPr>
            <w:tcW w:w="140" w:type="dxa"/>
            <w:vAlign w:val="bottom"/>
            <w:shd w:val="clear" w:color="auto" w:fill="CCECFF"/>
          </w:tcPr>
          <w:p>
            <w:pPr>
              <w:spacing w:after="0"/>
              <w:rPr>
                <w:sz w:val="13"/>
                <w:szCs w:val="13"/>
                <w:color w:val="auto"/>
              </w:rPr>
            </w:pPr>
          </w:p>
        </w:tc>
        <w:tc>
          <w:tcPr>
            <w:tcW w:w="0" w:type="dxa"/>
            <w:vAlign w:val="bottom"/>
          </w:tcPr>
          <w:p>
            <w:pPr>
              <w:spacing w:after="0"/>
              <w:rPr>
                <w:sz w:val="1"/>
                <w:szCs w:val="1"/>
                <w:color w:val="auto"/>
              </w:rPr>
            </w:pPr>
          </w:p>
        </w:tc>
      </w:tr>
      <w:tr>
        <w:trPr>
          <w:trHeight w:val="162"/>
        </w:trPr>
        <w:tc>
          <w:tcPr>
            <w:tcW w:w="6900" w:type="dxa"/>
            <w:vAlign w:val="bottom"/>
          </w:tcPr>
          <w:p>
            <w:pPr>
              <w:spacing w:after="0"/>
              <w:rPr>
                <w:sz w:val="20"/>
                <w:szCs w:val="20"/>
                <w:color w:val="auto"/>
              </w:rPr>
            </w:pPr>
            <w:r>
              <w:rPr>
                <w:rFonts w:ascii="Arial" w:cs="Arial" w:eastAsia="Arial" w:hAnsi="Arial"/>
                <w:sz w:val="14"/>
                <w:szCs w:val="14"/>
                <w:color w:val="auto"/>
              </w:rPr>
              <w:t>Net asset value, beginning of period</w:t>
            </w:r>
          </w:p>
        </w:tc>
        <w:tc>
          <w:tcPr>
            <w:tcW w:w="1140" w:type="dxa"/>
            <w:vAlign w:val="bottom"/>
          </w:tcPr>
          <w:p>
            <w:pPr>
              <w:jc w:val="right"/>
              <w:ind w:right="1026"/>
              <w:spacing w:after="0"/>
              <w:rPr>
                <w:sz w:val="20"/>
                <w:szCs w:val="20"/>
                <w:color w:val="auto"/>
              </w:rPr>
            </w:pPr>
            <w:r>
              <w:rPr>
                <w:rFonts w:ascii="Arial" w:cs="Arial" w:eastAsia="Arial" w:hAnsi="Arial"/>
                <w:sz w:val="10"/>
                <w:szCs w:val="10"/>
                <w:color w:val="auto"/>
                <w:w w:val="71"/>
              </w:rPr>
              <w:t>$</w:t>
            </w:r>
          </w:p>
        </w:tc>
        <w:tc>
          <w:tcPr>
            <w:tcW w:w="780" w:type="dxa"/>
            <w:vAlign w:val="bottom"/>
          </w:tcPr>
          <w:p>
            <w:pPr>
              <w:jc w:val="right"/>
              <w:spacing w:after="0"/>
              <w:rPr>
                <w:sz w:val="20"/>
                <w:szCs w:val="20"/>
                <w:color w:val="auto"/>
              </w:rPr>
            </w:pPr>
            <w:r>
              <w:rPr>
                <w:rFonts w:ascii="Arial" w:cs="Arial" w:eastAsia="Arial" w:hAnsi="Arial"/>
                <w:sz w:val="14"/>
                <w:szCs w:val="14"/>
                <w:color w:val="auto"/>
              </w:rPr>
              <w:t>9.05</w:t>
            </w:r>
          </w:p>
        </w:tc>
        <w:tc>
          <w:tcPr>
            <w:tcW w:w="240" w:type="dxa"/>
            <w:vAlign w:val="bottom"/>
          </w:tcPr>
          <w:p>
            <w:pPr>
              <w:spacing w:after="0"/>
              <w:rPr>
                <w:sz w:val="14"/>
                <w:szCs w:val="14"/>
                <w:color w:val="auto"/>
              </w:rPr>
            </w:pPr>
          </w:p>
        </w:tc>
        <w:tc>
          <w:tcPr>
            <w:tcW w:w="880" w:type="dxa"/>
            <w:vAlign w:val="bottom"/>
            <w:gridSpan w:val="2"/>
          </w:tcPr>
          <w:p>
            <w:pPr>
              <w:jc w:val="right"/>
              <w:ind w:right="649"/>
              <w:spacing w:after="0"/>
              <w:rPr>
                <w:sz w:val="20"/>
                <w:szCs w:val="20"/>
                <w:color w:val="auto"/>
              </w:rPr>
            </w:pPr>
            <w:r>
              <w:rPr>
                <w:rFonts w:ascii="Arial" w:cs="Arial" w:eastAsia="Arial" w:hAnsi="Arial"/>
                <w:sz w:val="14"/>
                <w:szCs w:val="14"/>
                <w:color w:val="auto"/>
              </w:rPr>
              <w:t>$</w:t>
            </w:r>
          </w:p>
        </w:tc>
        <w:tc>
          <w:tcPr>
            <w:tcW w:w="1160" w:type="dxa"/>
            <w:vAlign w:val="bottom"/>
          </w:tcPr>
          <w:p>
            <w:pPr>
              <w:jc w:val="right"/>
              <w:spacing w:after="0"/>
              <w:rPr>
                <w:sz w:val="20"/>
                <w:szCs w:val="20"/>
                <w:color w:val="auto"/>
              </w:rPr>
            </w:pPr>
            <w:r>
              <w:rPr>
                <w:rFonts w:ascii="Arial" w:cs="Arial" w:eastAsia="Arial" w:hAnsi="Arial"/>
                <w:sz w:val="14"/>
                <w:szCs w:val="14"/>
                <w:color w:val="auto"/>
              </w:rPr>
              <w:t>9.82</w:t>
            </w:r>
          </w:p>
        </w:tc>
        <w:tc>
          <w:tcPr>
            <w:tcW w:w="1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6900" w:type="dxa"/>
            <w:vAlign w:val="bottom"/>
            <w:shd w:val="clear" w:color="auto" w:fill="CCECFF"/>
          </w:tcPr>
          <w:p>
            <w:pPr>
              <w:spacing w:after="0"/>
              <w:rPr>
                <w:sz w:val="20"/>
                <w:szCs w:val="20"/>
                <w:color w:val="auto"/>
              </w:rPr>
            </w:pPr>
            <w:r>
              <w:rPr>
                <w:rFonts w:ascii="Arial" w:cs="Arial" w:eastAsia="Arial" w:hAnsi="Arial"/>
                <w:sz w:val="14"/>
                <w:szCs w:val="14"/>
                <w:color w:val="auto"/>
              </w:rPr>
              <w:t xml:space="preserve">Net investment income </w:t>
            </w:r>
            <w:r>
              <w:rPr>
                <w:rFonts w:ascii="Arial" w:cs="Arial" w:eastAsia="Arial" w:hAnsi="Arial"/>
                <w:sz w:val="12"/>
                <w:szCs w:val="12"/>
                <w:color w:val="auto"/>
              </w:rPr>
              <w:t>(1)</w:t>
            </w:r>
          </w:p>
        </w:tc>
        <w:tc>
          <w:tcPr>
            <w:tcW w:w="1140" w:type="dxa"/>
            <w:vAlign w:val="bottom"/>
            <w:shd w:val="clear" w:color="auto" w:fill="CCECFF"/>
          </w:tcPr>
          <w:p>
            <w:pPr>
              <w:spacing w:after="0"/>
              <w:rPr>
                <w:sz w:val="14"/>
                <w:szCs w:val="14"/>
                <w:color w:val="auto"/>
              </w:rPr>
            </w:pPr>
          </w:p>
        </w:tc>
        <w:tc>
          <w:tcPr>
            <w:tcW w:w="780" w:type="dxa"/>
            <w:vAlign w:val="bottom"/>
            <w:shd w:val="clear" w:color="auto" w:fill="CCECFF"/>
          </w:tcPr>
          <w:p>
            <w:pPr>
              <w:jc w:val="right"/>
              <w:spacing w:after="0"/>
              <w:rPr>
                <w:sz w:val="20"/>
                <w:szCs w:val="20"/>
                <w:color w:val="auto"/>
              </w:rPr>
            </w:pPr>
            <w:r>
              <w:rPr>
                <w:rFonts w:ascii="Arial" w:cs="Arial" w:eastAsia="Arial" w:hAnsi="Arial"/>
                <w:sz w:val="14"/>
                <w:szCs w:val="14"/>
                <w:color w:val="auto"/>
              </w:rPr>
              <w:t>0.61</w:t>
            </w:r>
          </w:p>
        </w:tc>
        <w:tc>
          <w:tcPr>
            <w:tcW w:w="240" w:type="dxa"/>
            <w:vAlign w:val="bottom"/>
            <w:shd w:val="clear" w:color="auto" w:fill="CCECFF"/>
          </w:tcPr>
          <w:p>
            <w:pPr>
              <w:spacing w:after="0"/>
              <w:rPr>
                <w:sz w:val="14"/>
                <w:szCs w:val="14"/>
                <w:color w:val="auto"/>
              </w:rPr>
            </w:pPr>
          </w:p>
        </w:tc>
        <w:tc>
          <w:tcPr>
            <w:tcW w:w="120" w:type="dxa"/>
            <w:vAlign w:val="bottom"/>
            <w:shd w:val="clear" w:color="auto" w:fill="CCECFF"/>
          </w:tcPr>
          <w:p>
            <w:pPr>
              <w:spacing w:after="0"/>
              <w:rPr>
                <w:sz w:val="14"/>
                <w:szCs w:val="14"/>
                <w:color w:val="auto"/>
              </w:rPr>
            </w:pPr>
          </w:p>
        </w:tc>
        <w:tc>
          <w:tcPr>
            <w:tcW w:w="760" w:type="dxa"/>
            <w:vAlign w:val="bottom"/>
            <w:shd w:val="clear" w:color="auto" w:fill="CCECFF"/>
          </w:tcPr>
          <w:p>
            <w:pPr>
              <w:spacing w:after="0"/>
              <w:rPr>
                <w:sz w:val="14"/>
                <w:szCs w:val="14"/>
                <w:color w:val="auto"/>
              </w:rPr>
            </w:pPr>
          </w:p>
        </w:tc>
        <w:tc>
          <w:tcPr>
            <w:tcW w:w="1160" w:type="dxa"/>
            <w:vAlign w:val="bottom"/>
            <w:shd w:val="clear" w:color="auto" w:fill="CCECFF"/>
          </w:tcPr>
          <w:p>
            <w:pPr>
              <w:jc w:val="right"/>
              <w:spacing w:after="0"/>
              <w:rPr>
                <w:sz w:val="20"/>
                <w:szCs w:val="20"/>
                <w:color w:val="auto"/>
              </w:rPr>
            </w:pPr>
            <w:r>
              <w:rPr>
                <w:rFonts w:ascii="Arial" w:cs="Arial" w:eastAsia="Arial" w:hAnsi="Arial"/>
                <w:sz w:val="14"/>
                <w:szCs w:val="14"/>
                <w:color w:val="auto"/>
              </w:rPr>
              <w:t>0.77</w:t>
            </w:r>
          </w:p>
        </w:tc>
        <w:tc>
          <w:tcPr>
            <w:tcW w:w="140" w:type="dxa"/>
            <w:vAlign w:val="bottom"/>
            <w:shd w:val="clear" w:color="auto" w:fill="CCECFF"/>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6900" w:type="dxa"/>
            <w:vAlign w:val="bottom"/>
          </w:tcPr>
          <w:p>
            <w:pPr>
              <w:spacing w:after="0"/>
              <w:rPr>
                <w:sz w:val="20"/>
                <w:szCs w:val="20"/>
                <w:color w:val="auto"/>
              </w:rPr>
            </w:pPr>
            <w:r>
              <w:rPr>
                <w:rFonts w:ascii="Arial" w:cs="Arial" w:eastAsia="Arial" w:hAnsi="Arial"/>
                <w:sz w:val="14"/>
                <w:szCs w:val="14"/>
                <w:color w:val="auto"/>
              </w:rPr>
              <w:t xml:space="preserve">Net realized and unrealized gain (loss) </w:t>
            </w:r>
            <w:r>
              <w:rPr>
                <w:rFonts w:ascii="Arial" w:cs="Arial" w:eastAsia="Arial" w:hAnsi="Arial"/>
                <w:sz w:val="12"/>
                <w:szCs w:val="12"/>
                <w:color w:val="auto"/>
              </w:rPr>
              <w:t>(1)</w:t>
            </w:r>
          </w:p>
        </w:tc>
        <w:tc>
          <w:tcPr>
            <w:tcW w:w="1140" w:type="dxa"/>
            <w:vAlign w:val="bottom"/>
          </w:tcPr>
          <w:p>
            <w:pPr>
              <w:spacing w:after="0"/>
              <w:rPr>
                <w:sz w:val="14"/>
                <w:szCs w:val="14"/>
                <w:color w:val="auto"/>
              </w:rPr>
            </w:pPr>
          </w:p>
        </w:tc>
        <w:tc>
          <w:tcPr>
            <w:tcW w:w="780" w:type="dxa"/>
            <w:vAlign w:val="bottom"/>
          </w:tcPr>
          <w:p>
            <w:pPr>
              <w:jc w:val="right"/>
              <w:spacing w:after="0"/>
              <w:rPr>
                <w:sz w:val="20"/>
                <w:szCs w:val="20"/>
                <w:color w:val="auto"/>
              </w:rPr>
            </w:pPr>
            <w:r>
              <w:rPr>
                <w:rFonts w:ascii="Arial" w:cs="Arial" w:eastAsia="Arial" w:hAnsi="Arial"/>
                <w:sz w:val="14"/>
                <w:szCs w:val="14"/>
                <w:color w:val="auto"/>
              </w:rPr>
              <w:t>0.16</w:t>
            </w:r>
          </w:p>
        </w:tc>
        <w:tc>
          <w:tcPr>
            <w:tcW w:w="2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300" w:type="dxa"/>
            <w:vAlign w:val="bottom"/>
            <w:gridSpan w:val="2"/>
          </w:tcPr>
          <w:p>
            <w:pPr>
              <w:jc w:val="right"/>
              <w:ind w:right="80"/>
              <w:spacing w:after="0"/>
              <w:rPr>
                <w:sz w:val="20"/>
                <w:szCs w:val="20"/>
                <w:color w:val="auto"/>
              </w:rPr>
            </w:pPr>
            <w:r>
              <w:rPr>
                <w:rFonts w:ascii="Arial" w:cs="Arial" w:eastAsia="Arial" w:hAnsi="Arial"/>
                <w:sz w:val="14"/>
                <w:szCs w:val="14"/>
                <w:color w:val="auto"/>
              </w:rPr>
              <w:t>(0.89)</w:t>
            </w:r>
          </w:p>
        </w:tc>
        <w:tc>
          <w:tcPr>
            <w:tcW w:w="0" w:type="dxa"/>
            <w:vAlign w:val="bottom"/>
          </w:tcPr>
          <w:p>
            <w:pPr>
              <w:spacing w:after="0"/>
              <w:rPr>
                <w:sz w:val="1"/>
                <w:szCs w:val="1"/>
                <w:color w:val="auto"/>
              </w:rPr>
            </w:pPr>
          </w:p>
        </w:tc>
      </w:tr>
      <w:tr>
        <w:trPr>
          <w:trHeight w:val="156"/>
        </w:trPr>
        <w:tc>
          <w:tcPr>
            <w:tcW w:w="6900" w:type="dxa"/>
            <w:vAlign w:val="bottom"/>
            <w:tcBorders>
              <w:top w:val="single" w:sz="8" w:color="CCECFF"/>
            </w:tcBorders>
            <w:shd w:val="clear" w:color="auto" w:fill="CCECFF"/>
          </w:tcPr>
          <w:p>
            <w:pPr>
              <w:spacing w:after="0" w:line="155" w:lineRule="exact"/>
              <w:rPr>
                <w:sz w:val="20"/>
                <w:szCs w:val="20"/>
                <w:color w:val="auto"/>
              </w:rPr>
            </w:pPr>
            <w:r>
              <w:rPr>
                <w:rFonts w:ascii="Arial" w:cs="Arial" w:eastAsia="Arial" w:hAnsi="Arial"/>
                <w:sz w:val="14"/>
                <w:szCs w:val="14"/>
                <w:color w:val="auto"/>
              </w:rPr>
              <w:t xml:space="preserve">Net increase (decrease) in net assets resulting from operations </w:t>
            </w:r>
            <w:r>
              <w:rPr>
                <w:rFonts w:ascii="Arial" w:cs="Arial" w:eastAsia="Arial" w:hAnsi="Arial"/>
                <w:sz w:val="12"/>
                <w:szCs w:val="12"/>
                <w:color w:val="auto"/>
              </w:rPr>
              <w:t>(1)</w:t>
            </w:r>
          </w:p>
        </w:tc>
        <w:tc>
          <w:tcPr>
            <w:tcW w:w="1140" w:type="dxa"/>
            <w:vAlign w:val="bottom"/>
            <w:tcBorders>
              <w:top w:val="single" w:sz="8" w:color="auto"/>
            </w:tcBorders>
            <w:shd w:val="clear" w:color="auto" w:fill="CCECFF"/>
          </w:tcPr>
          <w:p>
            <w:pPr>
              <w:spacing w:after="0"/>
              <w:rPr>
                <w:sz w:val="13"/>
                <w:szCs w:val="13"/>
                <w:color w:val="auto"/>
              </w:rPr>
            </w:pPr>
          </w:p>
        </w:tc>
        <w:tc>
          <w:tcPr>
            <w:tcW w:w="780" w:type="dxa"/>
            <w:vAlign w:val="bottom"/>
            <w:tcBorders>
              <w:top w:val="single" w:sz="8" w:color="auto"/>
            </w:tcBorders>
            <w:shd w:val="clear" w:color="auto" w:fill="CCECFF"/>
          </w:tcPr>
          <w:p>
            <w:pPr>
              <w:jc w:val="right"/>
              <w:spacing w:after="0" w:line="155" w:lineRule="exact"/>
              <w:rPr>
                <w:sz w:val="20"/>
                <w:szCs w:val="20"/>
                <w:color w:val="auto"/>
              </w:rPr>
            </w:pPr>
            <w:r>
              <w:rPr>
                <w:rFonts w:ascii="Arial" w:cs="Arial" w:eastAsia="Arial" w:hAnsi="Arial"/>
                <w:sz w:val="14"/>
                <w:szCs w:val="14"/>
                <w:color w:val="auto"/>
              </w:rPr>
              <w:t>0.77</w:t>
            </w:r>
          </w:p>
        </w:tc>
        <w:tc>
          <w:tcPr>
            <w:tcW w:w="240" w:type="dxa"/>
            <w:vAlign w:val="bottom"/>
            <w:tcBorders>
              <w:top w:val="single" w:sz="8" w:color="CCECFF"/>
            </w:tcBorders>
            <w:shd w:val="clear" w:color="auto" w:fill="CCECFF"/>
          </w:tcPr>
          <w:p>
            <w:pPr>
              <w:spacing w:after="0"/>
              <w:rPr>
                <w:sz w:val="13"/>
                <w:szCs w:val="13"/>
                <w:color w:val="auto"/>
              </w:rPr>
            </w:pPr>
          </w:p>
        </w:tc>
        <w:tc>
          <w:tcPr>
            <w:tcW w:w="120" w:type="dxa"/>
            <w:vAlign w:val="bottom"/>
            <w:tcBorders>
              <w:top w:val="single" w:sz="8" w:color="CCECFF"/>
            </w:tcBorders>
            <w:shd w:val="clear" w:color="auto" w:fill="CCECFF"/>
          </w:tcPr>
          <w:p>
            <w:pPr>
              <w:spacing w:after="0"/>
              <w:rPr>
                <w:sz w:val="13"/>
                <w:szCs w:val="13"/>
                <w:color w:val="auto"/>
              </w:rPr>
            </w:pPr>
          </w:p>
        </w:tc>
        <w:tc>
          <w:tcPr>
            <w:tcW w:w="760" w:type="dxa"/>
            <w:vAlign w:val="bottom"/>
            <w:tcBorders>
              <w:top w:val="single" w:sz="8" w:color="auto"/>
            </w:tcBorders>
            <w:shd w:val="clear" w:color="auto" w:fill="CCECFF"/>
          </w:tcPr>
          <w:p>
            <w:pPr>
              <w:spacing w:after="0"/>
              <w:rPr>
                <w:sz w:val="13"/>
                <w:szCs w:val="13"/>
                <w:color w:val="auto"/>
              </w:rPr>
            </w:pPr>
          </w:p>
        </w:tc>
        <w:tc>
          <w:tcPr>
            <w:tcW w:w="1160" w:type="dxa"/>
            <w:vAlign w:val="bottom"/>
            <w:tcBorders>
              <w:top w:val="single" w:sz="8" w:color="auto"/>
            </w:tcBorders>
            <w:shd w:val="clear" w:color="auto" w:fill="CCECFF"/>
          </w:tcPr>
          <w:p>
            <w:pPr>
              <w:jc w:val="right"/>
              <w:spacing w:after="0" w:line="155" w:lineRule="exact"/>
              <w:rPr>
                <w:sz w:val="20"/>
                <w:szCs w:val="20"/>
                <w:color w:val="auto"/>
              </w:rPr>
            </w:pPr>
            <w:r>
              <w:rPr>
                <w:rFonts w:ascii="Arial" w:cs="Arial" w:eastAsia="Arial" w:hAnsi="Arial"/>
                <w:sz w:val="14"/>
                <w:szCs w:val="14"/>
                <w:color w:val="auto"/>
              </w:rPr>
              <w:t>(0.12)</w:t>
            </w:r>
          </w:p>
        </w:tc>
        <w:tc>
          <w:tcPr>
            <w:tcW w:w="140" w:type="dxa"/>
            <w:vAlign w:val="bottom"/>
            <w:tcBorders>
              <w:top w:val="single" w:sz="8" w:color="CCECFF"/>
            </w:tcBorders>
            <w:shd w:val="clear" w:color="auto" w:fill="CCECFF"/>
          </w:tcPr>
          <w:p>
            <w:pPr>
              <w:spacing w:after="0"/>
              <w:rPr>
                <w:sz w:val="13"/>
                <w:szCs w:val="13"/>
                <w:color w:val="auto"/>
              </w:rPr>
            </w:pPr>
          </w:p>
        </w:tc>
        <w:tc>
          <w:tcPr>
            <w:tcW w:w="0" w:type="dxa"/>
            <w:vAlign w:val="bottom"/>
          </w:tcPr>
          <w:p>
            <w:pPr>
              <w:spacing w:after="0"/>
              <w:rPr>
                <w:sz w:val="1"/>
                <w:szCs w:val="1"/>
                <w:color w:val="auto"/>
              </w:rPr>
            </w:pPr>
          </w:p>
        </w:tc>
      </w:tr>
      <w:tr>
        <w:trPr>
          <w:trHeight w:val="162"/>
        </w:trPr>
        <w:tc>
          <w:tcPr>
            <w:tcW w:w="6900" w:type="dxa"/>
            <w:vAlign w:val="bottom"/>
          </w:tcPr>
          <w:p>
            <w:pPr>
              <w:spacing w:after="0"/>
              <w:rPr>
                <w:sz w:val="20"/>
                <w:szCs w:val="20"/>
                <w:color w:val="auto"/>
              </w:rPr>
            </w:pPr>
            <w:r>
              <w:rPr>
                <w:rFonts w:ascii="Arial" w:cs="Arial" w:eastAsia="Arial" w:hAnsi="Arial"/>
                <w:sz w:val="14"/>
                <w:szCs w:val="14"/>
                <w:color w:val="auto"/>
              </w:rPr>
              <w:t xml:space="preserve">Distributions to stockholders </w:t>
            </w:r>
            <w:r>
              <w:rPr>
                <w:rFonts w:ascii="Arial" w:cs="Arial" w:eastAsia="Arial" w:hAnsi="Arial"/>
                <w:sz w:val="12"/>
                <w:szCs w:val="12"/>
                <w:color w:val="auto"/>
              </w:rPr>
              <w:t>(1), (2)</w:t>
            </w:r>
          </w:p>
        </w:tc>
        <w:tc>
          <w:tcPr>
            <w:tcW w:w="1140" w:type="dxa"/>
            <w:vAlign w:val="bottom"/>
          </w:tcPr>
          <w:p>
            <w:pPr>
              <w:spacing w:after="0"/>
              <w:rPr>
                <w:sz w:val="14"/>
                <w:szCs w:val="14"/>
                <w:color w:val="auto"/>
              </w:rPr>
            </w:pPr>
          </w:p>
        </w:tc>
        <w:tc>
          <w:tcPr>
            <w:tcW w:w="1020" w:type="dxa"/>
            <w:vAlign w:val="bottom"/>
            <w:gridSpan w:val="2"/>
          </w:tcPr>
          <w:p>
            <w:pPr>
              <w:jc w:val="right"/>
              <w:ind w:right="180"/>
              <w:spacing w:after="0"/>
              <w:rPr>
                <w:sz w:val="20"/>
                <w:szCs w:val="20"/>
                <w:color w:val="auto"/>
              </w:rPr>
            </w:pPr>
            <w:r>
              <w:rPr>
                <w:rFonts w:ascii="Arial" w:cs="Arial" w:eastAsia="Arial" w:hAnsi="Arial"/>
                <w:sz w:val="14"/>
                <w:szCs w:val="14"/>
                <w:color w:val="auto"/>
              </w:rPr>
              <w:t>(0.64)</w:t>
            </w:r>
          </w:p>
        </w:tc>
        <w:tc>
          <w:tcPr>
            <w:tcW w:w="1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300" w:type="dxa"/>
            <w:vAlign w:val="bottom"/>
            <w:gridSpan w:val="2"/>
          </w:tcPr>
          <w:p>
            <w:pPr>
              <w:jc w:val="right"/>
              <w:ind w:right="80"/>
              <w:spacing w:after="0"/>
              <w:rPr>
                <w:sz w:val="20"/>
                <w:szCs w:val="20"/>
                <w:color w:val="auto"/>
              </w:rPr>
            </w:pPr>
            <w:r>
              <w:rPr>
                <w:rFonts w:ascii="Arial" w:cs="Arial" w:eastAsia="Arial" w:hAnsi="Arial"/>
                <w:sz w:val="14"/>
                <w:szCs w:val="14"/>
                <w:color w:val="auto"/>
              </w:rPr>
              <w:t>(0.84)</w:t>
            </w:r>
          </w:p>
        </w:tc>
        <w:tc>
          <w:tcPr>
            <w:tcW w:w="0" w:type="dxa"/>
            <w:vAlign w:val="bottom"/>
          </w:tcPr>
          <w:p>
            <w:pPr>
              <w:spacing w:after="0"/>
              <w:rPr>
                <w:sz w:val="1"/>
                <w:szCs w:val="1"/>
                <w:color w:val="auto"/>
              </w:rPr>
            </w:pPr>
          </w:p>
        </w:tc>
      </w:tr>
      <w:tr>
        <w:trPr>
          <w:trHeight w:val="162"/>
        </w:trPr>
        <w:tc>
          <w:tcPr>
            <w:tcW w:w="6900" w:type="dxa"/>
            <w:vAlign w:val="bottom"/>
            <w:shd w:val="clear" w:color="auto" w:fill="CCECFF"/>
          </w:tcPr>
          <w:p>
            <w:pPr>
              <w:spacing w:after="0"/>
              <w:rPr>
                <w:sz w:val="20"/>
                <w:szCs w:val="20"/>
                <w:color w:val="auto"/>
              </w:rPr>
            </w:pPr>
            <w:r>
              <w:rPr>
                <w:rFonts w:ascii="Arial" w:cs="Arial" w:eastAsia="Arial" w:hAnsi="Arial"/>
                <w:sz w:val="14"/>
                <w:szCs w:val="14"/>
                <w:color w:val="auto"/>
              </w:rPr>
              <w:t xml:space="preserve">Repurchase of common stock </w:t>
            </w:r>
            <w:r>
              <w:rPr>
                <w:rFonts w:ascii="Arial" w:cs="Arial" w:eastAsia="Arial" w:hAnsi="Arial"/>
                <w:sz w:val="12"/>
                <w:szCs w:val="12"/>
                <w:color w:val="auto"/>
              </w:rPr>
              <w:t>(1)</w:t>
            </w:r>
          </w:p>
        </w:tc>
        <w:tc>
          <w:tcPr>
            <w:tcW w:w="1140" w:type="dxa"/>
            <w:vAlign w:val="bottom"/>
            <w:shd w:val="clear" w:color="auto" w:fill="CCECFF"/>
          </w:tcPr>
          <w:p>
            <w:pPr>
              <w:spacing w:after="0"/>
              <w:rPr>
                <w:sz w:val="14"/>
                <w:szCs w:val="14"/>
                <w:color w:val="auto"/>
              </w:rPr>
            </w:pPr>
          </w:p>
        </w:tc>
        <w:tc>
          <w:tcPr>
            <w:tcW w:w="1020" w:type="dxa"/>
            <w:vAlign w:val="bottom"/>
            <w:gridSpan w:val="2"/>
            <w:shd w:val="clear" w:color="auto" w:fill="CCECFF"/>
          </w:tcPr>
          <w:p>
            <w:pPr>
              <w:jc w:val="right"/>
              <w:ind w:right="24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CFF"/>
          </w:tcPr>
          <w:p>
            <w:pPr>
              <w:spacing w:after="0"/>
              <w:rPr>
                <w:sz w:val="14"/>
                <w:szCs w:val="14"/>
                <w:color w:val="auto"/>
              </w:rPr>
            </w:pPr>
          </w:p>
        </w:tc>
        <w:tc>
          <w:tcPr>
            <w:tcW w:w="760" w:type="dxa"/>
            <w:vAlign w:val="bottom"/>
            <w:shd w:val="clear" w:color="auto" w:fill="CCECFF"/>
          </w:tcPr>
          <w:p>
            <w:pPr>
              <w:spacing w:after="0"/>
              <w:rPr>
                <w:sz w:val="14"/>
                <w:szCs w:val="14"/>
                <w:color w:val="auto"/>
              </w:rPr>
            </w:pPr>
          </w:p>
        </w:tc>
        <w:tc>
          <w:tcPr>
            <w:tcW w:w="1160" w:type="dxa"/>
            <w:vAlign w:val="bottom"/>
            <w:shd w:val="clear" w:color="auto" w:fill="CCECFF"/>
          </w:tcPr>
          <w:p>
            <w:pPr>
              <w:jc w:val="right"/>
              <w:spacing w:after="0"/>
              <w:rPr>
                <w:sz w:val="20"/>
                <w:szCs w:val="20"/>
                <w:color w:val="auto"/>
              </w:rPr>
            </w:pPr>
            <w:r>
              <w:rPr>
                <w:rFonts w:ascii="Arial" w:cs="Arial" w:eastAsia="Arial" w:hAnsi="Arial"/>
                <w:sz w:val="14"/>
                <w:szCs w:val="14"/>
                <w:color w:val="auto"/>
              </w:rPr>
              <w:t>0.08</w:t>
            </w:r>
          </w:p>
        </w:tc>
        <w:tc>
          <w:tcPr>
            <w:tcW w:w="140" w:type="dxa"/>
            <w:vAlign w:val="bottom"/>
            <w:shd w:val="clear" w:color="auto" w:fill="CCECFF"/>
          </w:tcPr>
          <w:p>
            <w:pPr>
              <w:spacing w:after="0"/>
              <w:rPr>
                <w:sz w:val="14"/>
                <w:szCs w:val="14"/>
                <w:color w:val="auto"/>
              </w:rPr>
            </w:pPr>
          </w:p>
        </w:tc>
        <w:tc>
          <w:tcPr>
            <w:tcW w:w="0" w:type="dxa"/>
            <w:vAlign w:val="bottom"/>
          </w:tcPr>
          <w:p>
            <w:pPr>
              <w:spacing w:after="0"/>
              <w:rPr>
                <w:sz w:val="1"/>
                <w:szCs w:val="1"/>
                <w:color w:val="auto"/>
              </w:rPr>
            </w:pPr>
          </w:p>
        </w:tc>
      </w:tr>
      <w:tr>
        <w:trPr>
          <w:trHeight w:val="195"/>
        </w:trPr>
        <w:tc>
          <w:tcPr>
            <w:tcW w:w="6900" w:type="dxa"/>
            <w:vAlign w:val="bottom"/>
            <w:tcBorders>
              <w:bottom w:val="single" w:sz="8" w:color="CCECFF"/>
            </w:tcBorders>
          </w:tcPr>
          <w:p>
            <w:pPr>
              <w:spacing w:after="0" w:line="155" w:lineRule="exact"/>
              <w:rPr>
                <w:sz w:val="20"/>
                <w:szCs w:val="20"/>
                <w:color w:val="auto"/>
              </w:rPr>
            </w:pPr>
            <w:r>
              <w:rPr>
                <w:rFonts w:ascii="Arial" w:cs="Arial" w:eastAsia="Arial" w:hAnsi="Arial"/>
                <w:sz w:val="14"/>
                <w:szCs w:val="14"/>
                <w:color w:val="auto"/>
              </w:rPr>
              <w:t>Net asset value, end of period</w:t>
            </w:r>
          </w:p>
        </w:tc>
        <w:tc>
          <w:tcPr>
            <w:tcW w:w="1140" w:type="dxa"/>
            <w:vAlign w:val="bottom"/>
            <w:tcBorders>
              <w:top w:val="single" w:sz="8" w:color="auto"/>
              <w:bottom w:val="single" w:sz="8" w:color="auto"/>
            </w:tcBorders>
          </w:tcPr>
          <w:p>
            <w:pPr>
              <w:jc w:val="right"/>
              <w:ind w:right="1026"/>
              <w:spacing w:after="0"/>
              <w:rPr>
                <w:sz w:val="20"/>
                <w:szCs w:val="20"/>
                <w:color w:val="auto"/>
              </w:rPr>
            </w:pPr>
            <w:r>
              <w:rPr>
                <w:rFonts w:ascii="Arial" w:cs="Arial" w:eastAsia="Arial" w:hAnsi="Arial"/>
                <w:sz w:val="10"/>
                <w:szCs w:val="10"/>
                <w:color w:val="auto"/>
                <w:w w:val="71"/>
              </w:rPr>
              <w:t>$</w:t>
            </w:r>
          </w:p>
        </w:tc>
        <w:tc>
          <w:tcPr>
            <w:tcW w:w="78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9.18</w:t>
            </w:r>
          </w:p>
        </w:tc>
        <w:tc>
          <w:tcPr>
            <w:tcW w:w="240" w:type="dxa"/>
            <w:vAlign w:val="bottom"/>
            <w:tcBorders>
              <w:bottom w:val="single" w:sz="8" w:color="CCECFF"/>
            </w:tcBorders>
          </w:tcPr>
          <w:p>
            <w:pPr>
              <w:spacing w:after="0"/>
              <w:rPr>
                <w:sz w:val="17"/>
                <w:szCs w:val="17"/>
                <w:color w:val="auto"/>
              </w:rPr>
            </w:pPr>
          </w:p>
        </w:tc>
        <w:tc>
          <w:tcPr>
            <w:tcW w:w="120" w:type="dxa"/>
            <w:vAlign w:val="bottom"/>
            <w:tcBorders>
              <w:bottom w:val="single" w:sz="8" w:color="CCECFF"/>
            </w:tcBorders>
          </w:tcPr>
          <w:p>
            <w:pPr>
              <w:spacing w:after="0"/>
              <w:rPr>
                <w:sz w:val="17"/>
                <w:szCs w:val="17"/>
                <w:color w:val="auto"/>
              </w:rPr>
            </w:pPr>
          </w:p>
        </w:tc>
        <w:tc>
          <w:tcPr>
            <w:tcW w:w="760" w:type="dxa"/>
            <w:vAlign w:val="bottom"/>
            <w:tcBorders>
              <w:top w:val="single" w:sz="8" w:color="auto"/>
              <w:bottom w:val="single" w:sz="8" w:color="auto"/>
            </w:tcBorders>
          </w:tcPr>
          <w:p>
            <w:pPr>
              <w:jc w:val="right"/>
              <w:ind w:right="649"/>
              <w:spacing w:after="0"/>
              <w:rPr>
                <w:sz w:val="20"/>
                <w:szCs w:val="20"/>
                <w:color w:val="auto"/>
              </w:rPr>
            </w:pPr>
            <w:r>
              <w:rPr>
                <w:rFonts w:ascii="Arial" w:cs="Arial" w:eastAsia="Arial" w:hAnsi="Arial"/>
                <w:sz w:val="10"/>
                <w:szCs w:val="10"/>
                <w:color w:val="auto"/>
                <w:w w:val="71"/>
              </w:rPr>
              <w:t>$</w:t>
            </w:r>
          </w:p>
        </w:tc>
        <w:tc>
          <w:tcPr>
            <w:tcW w:w="116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8.94</w:t>
            </w:r>
          </w:p>
        </w:tc>
        <w:tc>
          <w:tcPr>
            <w:tcW w:w="140" w:type="dxa"/>
            <w:vAlign w:val="bottom"/>
            <w:tcBorders>
              <w:bottom w:val="single" w:sz="8" w:color="CCECFF"/>
            </w:tcBorders>
          </w:tcPr>
          <w:p>
            <w:pPr>
              <w:spacing w:after="0"/>
              <w:rPr>
                <w:sz w:val="17"/>
                <w:szCs w:val="17"/>
                <w:color w:val="auto"/>
              </w:rPr>
            </w:pPr>
          </w:p>
        </w:tc>
        <w:tc>
          <w:tcPr>
            <w:tcW w:w="0" w:type="dxa"/>
            <w:vAlign w:val="bottom"/>
          </w:tcPr>
          <w:p>
            <w:pPr>
              <w:spacing w:after="0"/>
              <w:rPr>
                <w:sz w:val="1"/>
                <w:szCs w:val="1"/>
                <w:color w:val="auto"/>
              </w:rPr>
            </w:pPr>
          </w:p>
        </w:tc>
      </w:tr>
      <w:tr>
        <w:trPr>
          <w:trHeight w:val="143"/>
        </w:trPr>
        <w:tc>
          <w:tcPr>
            <w:tcW w:w="6900" w:type="dxa"/>
            <w:vAlign w:val="bottom"/>
            <w:tcBorders>
              <w:bottom w:val="single" w:sz="8" w:color="CCECFF"/>
            </w:tcBorders>
            <w:shd w:val="clear" w:color="auto" w:fill="CCECFF"/>
          </w:tcPr>
          <w:p>
            <w:pPr>
              <w:spacing w:after="0" w:line="143" w:lineRule="exact"/>
              <w:rPr>
                <w:sz w:val="20"/>
                <w:szCs w:val="20"/>
                <w:color w:val="auto"/>
              </w:rPr>
            </w:pPr>
            <w:r>
              <w:rPr>
                <w:rFonts w:ascii="Arial" w:cs="Arial" w:eastAsia="Arial" w:hAnsi="Arial"/>
                <w:sz w:val="14"/>
                <w:szCs w:val="14"/>
                <w:color w:val="auto"/>
              </w:rPr>
              <w:t>Per share market value, end of period</w:t>
            </w:r>
          </w:p>
        </w:tc>
        <w:tc>
          <w:tcPr>
            <w:tcW w:w="1140" w:type="dxa"/>
            <w:vAlign w:val="bottom"/>
            <w:tcBorders>
              <w:bottom w:val="single" w:sz="8" w:color="auto"/>
            </w:tcBorders>
            <w:shd w:val="clear" w:color="auto" w:fill="CCECFF"/>
          </w:tcPr>
          <w:p>
            <w:pPr>
              <w:jc w:val="right"/>
              <w:ind w:right="1026"/>
              <w:spacing w:after="0"/>
              <w:rPr>
                <w:sz w:val="20"/>
                <w:szCs w:val="20"/>
                <w:color w:val="auto"/>
              </w:rPr>
            </w:pPr>
            <w:r>
              <w:rPr>
                <w:rFonts w:ascii="Arial" w:cs="Arial" w:eastAsia="Arial" w:hAnsi="Arial"/>
                <w:sz w:val="10"/>
                <w:szCs w:val="10"/>
                <w:color w:val="auto"/>
                <w:w w:val="71"/>
              </w:rPr>
              <w:t>$</w:t>
            </w:r>
          </w:p>
        </w:tc>
        <w:tc>
          <w:tcPr>
            <w:tcW w:w="780" w:type="dxa"/>
            <w:vAlign w:val="bottom"/>
            <w:tcBorders>
              <w:bottom w:val="single" w:sz="8" w:color="auto"/>
            </w:tcBorders>
            <w:shd w:val="clear" w:color="auto" w:fill="CCECFF"/>
          </w:tcPr>
          <w:p>
            <w:pPr>
              <w:jc w:val="right"/>
              <w:spacing w:after="0" w:line="143" w:lineRule="exact"/>
              <w:rPr>
                <w:sz w:val="20"/>
                <w:szCs w:val="20"/>
                <w:color w:val="auto"/>
              </w:rPr>
            </w:pPr>
            <w:r>
              <w:rPr>
                <w:rFonts w:ascii="Arial" w:cs="Arial" w:eastAsia="Arial" w:hAnsi="Arial"/>
                <w:sz w:val="14"/>
                <w:szCs w:val="14"/>
                <w:color w:val="auto"/>
              </w:rPr>
              <w:t>7.39</w:t>
            </w:r>
          </w:p>
        </w:tc>
        <w:tc>
          <w:tcPr>
            <w:tcW w:w="240" w:type="dxa"/>
            <w:vAlign w:val="bottom"/>
            <w:tcBorders>
              <w:bottom w:val="single" w:sz="8" w:color="CCECFF"/>
            </w:tcBorders>
            <w:shd w:val="clear" w:color="auto" w:fill="CCECFF"/>
          </w:tcPr>
          <w:p>
            <w:pPr>
              <w:spacing w:after="0"/>
              <w:rPr>
                <w:sz w:val="12"/>
                <w:szCs w:val="12"/>
                <w:color w:val="auto"/>
              </w:rPr>
            </w:pPr>
          </w:p>
        </w:tc>
        <w:tc>
          <w:tcPr>
            <w:tcW w:w="120" w:type="dxa"/>
            <w:vAlign w:val="bottom"/>
            <w:tcBorders>
              <w:bottom w:val="single" w:sz="8" w:color="CCECFF"/>
            </w:tcBorders>
            <w:shd w:val="clear" w:color="auto" w:fill="CCECFF"/>
          </w:tcPr>
          <w:p>
            <w:pPr>
              <w:spacing w:after="0"/>
              <w:rPr>
                <w:sz w:val="12"/>
                <w:szCs w:val="12"/>
                <w:color w:val="auto"/>
              </w:rPr>
            </w:pPr>
          </w:p>
        </w:tc>
        <w:tc>
          <w:tcPr>
            <w:tcW w:w="760" w:type="dxa"/>
            <w:vAlign w:val="bottom"/>
            <w:tcBorders>
              <w:bottom w:val="single" w:sz="8" w:color="auto"/>
            </w:tcBorders>
            <w:shd w:val="clear" w:color="auto" w:fill="CCECFF"/>
          </w:tcPr>
          <w:p>
            <w:pPr>
              <w:jc w:val="right"/>
              <w:ind w:right="649"/>
              <w:spacing w:after="0"/>
              <w:rPr>
                <w:sz w:val="20"/>
                <w:szCs w:val="20"/>
                <w:color w:val="auto"/>
              </w:rPr>
            </w:pPr>
            <w:r>
              <w:rPr>
                <w:rFonts w:ascii="Arial" w:cs="Arial" w:eastAsia="Arial" w:hAnsi="Arial"/>
                <w:sz w:val="10"/>
                <w:szCs w:val="10"/>
                <w:color w:val="auto"/>
                <w:w w:val="71"/>
              </w:rPr>
              <w:t>$</w:t>
            </w:r>
          </w:p>
        </w:tc>
        <w:tc>
          <w:tcPr>
            <w:tcW w:w="1160" w:type="dxa"/>
            <w:vAlign w:val="bottom"/>
            <w:tcBorders>
              <w:bottom w:val="single" w:sz="8" w:color="auto"/>
            </w:tcBorders>
            <w:shd w:val="clear" w:color="auto" w:fill="CCECFF"/>
          </w:tcPr>
          <w:p>
            <w:pPr>
              <w:jc w:val="right"/>
              <w:spacing w:after="0" w:line="143" w:lineRule="exact"/>
              <w:rPr>
                <w:sz w:val="20"/>
                <w:szCs w:val="20"/>
                <w:color w:val="auto"/>
              </w:rPr>
            </w:pPr>
            <w:r>
              <w:rPr>
                <w:rFonts w:ascii="Arial" w:cs="Arial" w:eastAsia="Arial" w:hAnsi="Arial"/>
                <w:sz w:val="14"/>
                <w:szCs w:val="14"/>
                <w:color w:val="auto"/>
              </w:rPr>
              <w:t>6.83</w:t>
            </w:r>
          </w:p>
        </w:tc>
        <w:tc>
          <w:tcPr>
            <w:tcW w:w="140" w:type="dxa"/>
            <w:vAlign w:val="bottom"/>
            <w:tcBorders>
              <w:bottom w:val="single" w:sz="8" w:color="CCECFF"/>
            </w:tcBorders>
            <w:shd w:val="clear" w:color="auto" w:fill="CCECFF"/>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6900" w:type="dxa"/>
            <w:vAlign w:val="bottom"/>
            <w:vMerge w:val="restart"/>
          </w:tcPr>
          <w:p>
            <w:pPr>
              <w:spacing w:after="0"/>
              <w:rPr>
                <w:sz w:val="20"/>
                <w:szCs w:val="20"/>
                <w:color w:val="auto"/>
              </w:rPr>
            </w:pPr>
            <w:r>
              <w:rPr>
                <w:rFonts w:ascii="Arial" w:cs="Arial" w:eastAsia="Arial" w:hAnsi="Arial"/>
                <w:sz w:val="14"/>
                <w:szCs w:val="14"/>
                <w:color w:val="auto"/>
              </w:rPr>
              <w:t xml:space="preserve">Total return* </w:t>
            </w:r>
            <w:r>
              <w:rPr>
                <w:rFonts w:ascii="Arial" w:cs="Arial" w:eastAsia="Arial" w:hAnsi="Arial"/>
                <w:sz w:val="12"/>
                <w:szCs w:val="12"/>
                <w:color w:val="auto"/>
              </w:rPr>
              <w:t>(3)</w:t>
            </w:r>
          </w:p>
        </w:tc>
        <w:tc>
          <w:tcPr>
            <w:tcW w:w="114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3"/>
        </w:trPr>
        <w:tc>
          <w:tcPr>
            <w:tcW w:w="6900" w:type="dxa"/>
            <w:vAlign w:val="bottom"/>
            <w:vMerge w:val="continue"/>
          </w:tcPr>
          <w:p>
            <w:pPr>
              <w:spacing w:after="0"/>
              <w:rPr>
                <w:sz w:val="12"/>
                <w:szCs w:val="12"/>
                <w:color w:val="auto"/>
              </w:rPr>
            </w:pPr>
          </w:p>
        </w:tc>
        <w:tc>
          <w:tcPr>
            <w:tcW w:w="1140" w:type="dxa"/>
            <w:vAlign w:val="bottom"/>
          </w:tcPr>
          <w:p>
            <w:pPr>
              <w:spacing w:after="0"/>
              <w:rPr>
                <w:sz w:val="12"/>
                <w:szCs w:val="12"/>
                <w:color w:val="auto"/>
              </w:rPr>
            </w:pPr>
          </w:p>
        </w:tc>
        <w:tc>
          <w:tcPr>
            <w:tcW w:w="1020" w:type="dxa"/>
            <w:vAlign w:val="bottom"/>
            <w:gridSpan w:val="2"/>
          </w:tcPr>
          <w:p>
            <w:pPr>
              <w:jc w:val="right"/>
              <w:ind w:right="120"/>
              <w:spacing w:after="0" w:line="143" w:lineRule="exact"/>
              <w:rPr>
                <w:sz w:val="20"/>
                <w:szCs w:val="20"/>
                <w:color w:val="auto"/>
              </w:rPr>
            </w:pPr>
            <w:r>
              <w:rPr>
                <w:rFonts w:ascii="Arial" w:cs="Arial" w:eastAsia="Arial" w:hAnsi="Arial"/>
                <w:sz w:val="14"/>
                <w:szCs w:val="14"/>
                <w:color w:val="auto"/>
              </w:rPr>
              <w:t>6.56%</w:t>
            </w:r>
          </w:p>
        </w:tc>
        <w:tc>
          <w:tcPr>
            <w:tcW w:w="12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300" w:type="dxa"/>
            <w:vAlign w:val="bottom"/>
            <w:gridSpan w:val="2"/>
          </w:tcPr>
          <w:p>
            <w:pPr>
              <w:jc w:val="right"/>
              <w:ind w:right="20"/>
              <w:spacing w:after="0" w:line="143" w:lineRule="exact"/>
              <w:rPr>
                <w:sz w:val="20"/>
                <w:szCs w:val="20"/>
                <w:color w:val="auto"/>
              </w:rPr>
            </w:pPr>
            <w:r>
              <w:rPr>
                <w:rFonts w:ascii="Arial" w:cs="Arial" w:eastAsia="Arial" w:hAnsi="Arial"/>
                <w:sz w:val="14"/>
                <w:szCs w:val="14"/>
                <w:color w:val="auto"/>
              </w:rPr>
              <w:t>19.77%</w:t>
            </w:r>
          </w:p>
        </w:tc>
        <w:tc>
          <w:tcPr>
            <w:tcW w:w="0" w:type="dxa"/>
            <w:vAlign w:val="bottom"/>
          </w:tcPr>
          <w:p>
            <w:pPr>
              <w:spacing w:after="0"/>
              <w:rPr>
                <w:sz w:val="1"/>
                <w:szCs w:val="1"/>
                <w:color w:val="auto"/>
              </w:rPr>
            </w:pPr>
          </w:p>
        </w:tc>
      </w:tr>
      <w:tr>
        <w:trPr>
          <w:trHeight w:val="162"/>
        </w:trPr>
        <w:tc>
          <w:tcPr>
            <w:tcW w:w="6900" w:type="dxa"/>
            <w:vAlign w:val="bottom"/>
            <w:tcBorders>
              <w:bottom w:val="single" w:sz="8" w:color="CCECFF"/>
            </w:tcBorders>
            <w:shd w:val="clear" w:color="auto" w:fill="CCECFF"/>
          </w:tcPr>
          <w:p>
            <w:pPr>
              <w:spacing w:after="0"/>
              <w:rPr>
                <w:sz w:val="20"/>
                <w:szCs w:val="20"/>
                <w:color w:val="auto"/>
              </w:rPr>
            </w:pPr>
            <w:r>
              <w:rPr>
                <w:rFonts w:ascii="Arial" w:cs="Arial" w:eastAsia="Arial" w:hAnsi="Arial"/>
                <w:sz w:val="14"/>
                <w:szCs w:val="14"/>
                <w:color w:val="auto"/>
              </w:rPr>
              <w:t>Shares outstanding at end of period</w:t>
            </w:r>
          </w:p>
        </w:tc>
        <w:tc>
          <w:tcPr>
            <w:tcW w:w="1140" w:type="dxa"/>
            <w:vAlign w:val="bottom"/>
            <w:tcBorders>
              <w:bottom w:val="single" w:sz="8" w:color="auto"/>
            </w:tcBorders>
            <w:shd w:val="clear" w:color="auto" w:fill="CCECFF"/>
          </w:tcPr>
          <w:p>
            <w:pPr>
              <w:spacing w:after="0"/>
              <w:rPr>
                <w:sz w:val="14"/>
                <w:szCs w:val="14"/>
                <w:color w:val="auto"/>
              </w:rPr>
            </w:pPr>
          </w:p>
        </w:tc>
        <w:tc>
          <w:tcPr>
            <w:tcW w:w="780" w:type="dxa"/>
            <w:vAlign w:val="bottom"/>
            <w:tcBorders>
              <w:bottom w:val="single" w:sz="8" w:color="auto"/>
            </w:tcBorders>
            <w:shd w:val="clear" w:color="auto" w:fill="CCECFF"/>
          </w:tcPr>
          <w:p>
            <w:pPr>
              <w:jc w:val="right"/>
              <w:spacing w:after="0"/>
              <w:rPr>
                <w:sz w:val="20"/>
                <w:szCs w:val="20"/>
                <w:color w:val="auto"/>
              </w:rPr>
            </w:pPr>
            <w:r>
              <w:rPr>
                <w:rFonts w:ascii="Arial" w:cs="Arial" w:eastAsia="Arial" w:hAnsi="Arial"/>
                <w:sz w:val="14"/>
                <w:szCs w:val="14"/>
                <w:color w:val="auto"/>
              </w:rPr>
              <w:t>71,060,836</w:t>
            </w:r>
          </w:p>
        </w:tc>
        <w:tc>
          <w:tcPr>
            <w:tcW w:w="240" w:type="dxa"/>
            <w:vAlign w:val="bottom"/>
            <w:tcBorders>
              <w:bottom w:val="single" w:sz="8" w:color="CCECFF"/>
            </w:tcBorders>
            <w:shd w:val="clear" w:color="auto" w:fill="CCECFF"/>
          </w:tcPr>
          <w:p>
            <w:pPr>
              <w:spacing w:after="0"/>
              <w:rPr>
                <w:sz w:val="14"/>
                <w:szCs w:val="14"/>
                <w:color w:val="auto"/>
              </w:rPr>
            </w:pPr>
          </w:p>
        </w:tc>
        <w:tc>
          <w:tcPr>
            <w:tcW w:w="120" w:type="dxa"/>
            <w:vAlign w:val="bottom"/>
            <w:tcBorders>
              <w:bottom w:val="single" w:sz="8" w:color="CCECFF"/>
            </w:tcBorders>
            <w:shd w:val="clear" w:color="auto" w:fill="CCECFF"/>
          </w:tcPr>
          <w:p>
            <w:pPr>
              <w:spacing w:after="0"/>
              <w:rPr>
                <w:sz w:val="14"/>
                <w:szCs w:val="14"/>
                <w:color w:val="auto"/>
              </w:rPr>
            </w:pPr>
          </w:p>
        </w:tc>
        <w:tc>
          <w:tcPr>
            <w:tcW w:w="760" w:type="dxa"/>
            <w:vAlign w:val="bottom"/>
            <w:tcBorders>
              <w:bottom w:val="single" w:sz="8" w:color="auto"/>
            </w:tcBorders>
            <w:shd w:val="clear" w:color="auto" w:fill="CCECFF"/>
          </w:tcPr>
          <w:p>
            <w:pPr>
              <w:spacing w:after="0"/>
              <w:rPr>
                <w:sz w:val="14"/>
                <w:szCs w:val="14"/>
                <w:color w:val="auto"/>
              </w:rPr>
            </w:pPr>
          </w:p>
        </w:tc>
        <w:tc>
          <w:tcPr>
            <w:tcW w:w="1160" w:type="dxa"/>
            <w:vAlign w:val="bottom"/>
            <w:tcBorders>
              <w:bottom w:val="single" w:sz="8" w:color="auto"/>
            </w:tcBorders>
            <w:shd w:val="clear" w:color="auto" w:fill="CCECFF"/>
          </w:tcPr>
          <w:p>
            <w:pPr>
              <w:jc w:val="right"/>
              <w:spacing w:after="0"/>
              <w:rPr>
                <w:sz w:val="20"/>
                <w:szCs w:val="20"/>
                <w:color w:val="auto"/>
              </w:rPr>
            </w:pPr>
            <w:r>
              <w:rPr>
                <w:rFonts w:ascii="Arial" w:cs="Arial" w:eastAsia="Arial" w:hAnsi="Arial"/>
                <w:sz w:val="14"/>
                <w:szCs w:val="14"/>
                <w:color w:val="auto"/>
              </w:rPr>
              <w:t>71,060,836</w:t>
            </w:r>
          </w:p>
        </w:tc>
        <w:tc>
          <w:tcPr>
            <w:tcW w:w="140" w:type="dxa"/>
            <w:vAlign w:val="bottom"/>
            <w:tcBorders>
              <w:bottom w:val="single" w:sz="8" w:color="CCECFF"/>
            </w:tcBorders>
            <w:shd w:val="clear" w:color="auto" w:fill="CCECFF"/>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6900" w:type="dxa"/>
            <w:vAlign w:val="bottom"/>
            <w:vMerge w:val="restart"/>
          </w:tcPr>
          <w:p>
            <w:pPr>
              <w:spacing w:after="0"/>
              <w:rPr>
                <w:sz w:val="20"/>
                <w:szCs w:val="20"/>
                <w:color w:val="auto"/>
              </w:rPr>
            </w:pPr>
            <w:r>
              <w:rPr>
                <w:rFonts w:ascii="Arial" w:cs="Arial" w:eastAsia="Arial" w:hAnsi="Arial"/>
                <w:sz w:val="14"/>
                <w:szCs w:val="14"/>
                <w:b w:val="1"/>
                <w:bCs w:val="1"/>
                <w:color w:val="auto"/>
              </w:rPr>
              <w:t>Ratios**/ Supplemental Data:</w:t>
            </w:r>
          </w:p>
        </w:tc>
        <w:tc>
          <w:tcPr>
            <w:tcW w:w="114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3"/>
        </w:trPr>
        <w:tc>
          <w:tcPr>
            <w:tcW w:w="6900" w:type="dxa"/>
            <w:vAlign w:val="bottom"/>
            <w:vMerge w:val="continue"/>
          </w:tcPr>
          <w:p>
            <w:pPr>
              <w:spacing w:after="0"/>
              <w:rPr>
                <w:sz w:val="12"/>
                <w:szCs w:val="12"/>
                <w:color w:val="auto"/>
              </w:rPr>
            </w:pPr>
          </w:p>
        </w:tc>
        <w:tc>
          <w:tcPr>
            <w:tcW w:w="114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1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2"/>
        </w:trPr>
        <w:tc>
          <w:tcPr>
            <w:tcW w:w="6900" w:type="dxa"/>
            <w:vAlign w:val="bottom"/>
            <w:shd w:val="clear" w:color="auto" w:fill="CCECFF"/>
          </w:tcPr>
          <w:p>
            <w:pPr>
              <w:spacing w:after="0"/>
              <w:rPr>
                <w:sz w:val="20"/>
                <w:szCs w:val="20"/>
                <w:color w:val="auto"/>
              </w:rPr>
            </w:pPr>
            <w:r>
              <w:rPr>
                <w:rFonts w:ascii="Arial" w:cs="Arial" w:eastAsia="Arial" w:hAnsi="Arial"/>
                <w:sz w:val="14"/>
                <w:szCs w:val="14"/>
                <w:color w:val="auto"/>
              </w:rPr>
              <w:t xml:space="preserve">Ratio of operating expenses to average net assets </w:t>
            </w:r>
            <w:r>
              <w:rPr>
                <w:rFonts w:ascii="Arial" w:cs="Arial" w:eastAsia="Arial" w:hAnsi="Arial"/>
                <w:sz w:val="12"/>
                <w:szCs w:val="12"/>
                <w:color w:val="auto"/>
              </w:rPr>
              <w:t>(4), (5), (6)</w:t>
            </w:r>
          </w:p>
        </w:tc>
        <w:tc>
          <w:tcPr>
            <w:tcW w:w="1140" w:type="dxa"/>
            <w:vAlign w:val="bottom"/>
            <w:shd w:val="clear" w:color="auto" w:fill="CCECFF"/>
          </w:tcPr>
          <w:p>
            <w:pPr>
              <w:spacing w:after="0"/>
              <w:rPr>
                <w:sz w:val="14"/>
                <w:szCs w:val="14"/>
                <w:color w:val="auto"/>
              </w:rPr>
            </w:pPr>
          </w:p>
        </w:tc>
        <w:tc>
          <w:tcPr>
            <w:tcW w:w="1020" w:type="dxa"/>
            <w:vAlign w:val="bottom"/>
            <w:gridSpan w:val="2"/>
            <w:shd w:val="clear" w:color="auto" w:fill="CCECFF"/>
          </w:tcPr>
          <w:p>
            <w:pPr>
              <w:jc w:val="right"/>
              <w:ind w:right="120"/>
              <w:spacing w:after="0"/>
              <w:rPr>
                <w:sz w:val="20"/>
                <w:szCs w:val="20"/>
                <w:color w:val="auto"/>
              </w:rPr>
            </w:pPr>
            <w:r>
              <w:rPr>
                <w:rFonts w:ascii="Arial" w:cs="Arial" w:eastAsia="Arial" w:hAnsi="Arial"/>
                <w:sz w:val="14"/>
                <w:szCs w:val="14"/>
                <w:color w:val="auto"/>
              </w:rPr>
              <w:t>5.84%</w:t>
            </w:r>
          </w:p>
        </w:tc>
        <w:tc>
          <w:tcPr>
            <w:tcW w:w="120" w:type="dxa"/>
            <w:vAlign w:val="bottom"/>
            <w:shd w:val="clear" w:color="auto" w:fill="CCECFF"/>
          </w:tcPr>
          <w:p>
            <w:pPr>
              <w:spacing w:after="0"/>
              <w:rPr>
                <w:sz w:val="14"/>
                <w:szCs w:val="14"/>
                <w:color w:val="auto"/>
              </w:rPr>
            </w:pPr>
          </w:p>
        </w:tc>
        <w:tc>
          <w:tcPr>
            <w:tcW w:w="760" w:type="dxa"/>
            <w:vAlign w:val="bottom"/>
            <w:shd w:val="clear" w:color="auto" w:fill="CCECFF"/>
          </w:tcPr>
          <w:p>
            <w:pPr>
              <w:spacing w:after="0"/>
              <w:rPr>
                <w:sz w:val="14"/>
                <w:szCs w:val="14"/>
                <w:color w:val="auto"/>
              </w:rPr>
            </w:pPr>
          </w:p>
        </w:tc>
        <w:tc>
          <w:tcPr>
            <w:tcW w:w="1300" w:type="dxa"/>
            <w:vAlign w:val="bottom"/>
            <w:gridSpan w:val="2"/>
            <w:shd w:val="clear" w:color="auto" w:fill="CCECFF"/>
          </w:tcPr>
          <w:p>
            <w:pPr>
              <w:jc w:val="right"/>
              <w:ind w:right="20"/>
              <w:spacing w:after="0"/>
              <w:rPr>
                <w:sz w:val="20"/>
                <w:szCs w:val="20"/>
                <w:color w:val="auto"/>
              </w:rPr>
            </w:pPr>
            <w:r>
              <w:rPr>
                <w:rFonts w:ascii="Arial" w:cs="Arial" w:eastAsia="Arial" w:hAnsi="Arial"/>
                <w:sz w:val="14"/>
                <w:szCs w:val="14"/>
                <w:color w:val="auto"/>
              </w:rPr>
              <w:t>6.71%</w:t>
            </w:r>
          </w:p>
        </w:tc>
        <w:tc>
          <w:tcPr>
            <w:tcW w:w="0" w:type="dxa"/>
            <w:vAlign w:val="bottom"/>
          </w:tcPr>
          <w:p>
            <w:pPr>
              <w:spacing w:after="0"/>
              <w:rPr>
                <w:sz w:val="1"/>
                <w:szCs w:val="1"/>
                <w:color w:val="auto"/>
              </w:rPr>
            </w:pPr>
          </w:p>
        </w:tc>
      </w:tr>
      <w:tr>
        <w:trPr>
          <w:trHeight w:val="162"/>
        </w:trPr>
        <w:tc>
          <w:tcPr>
            <w:tcW w:w="6900" w:type="dxa"/>
            <w:vAlign w:val="bottom"/>
          </w:tcPr>
          <w:p>
            <w:pPr>
              <w:spacing w:after="0"/>
              <w:rPr>
                <w:sz w:val="20"/>
                <w:szCs w:val="20"/>
                <w:color w:val="auto"/>
              </w:rPr>
            </w:pPr>
            <w:r>
              <w:rPr>
                <w:rFonts w:ascii="Arial" w:cs="Arial" w:eastAsia="Arial" w:hAnsi="Arial"/>
                <w:sz w:val="14"/>
                <w:szCs w:val="14"/>
                <w:color w:val="auto"/>
              </w:rPr>
              <w:t>Ratio of interest and expenses on debt to average net assets</w:t>
            </w:r>
          </w:p>
        </w:tc>
        <w:tc>
          <w:tcPr>
            <w:tcW w:w="1140" w:type="dxa"/>
            <w:vAlign w:val="bottom"/>
          </w:tcPr>
          <w:p>
            <w:pPr>
              <w:spacing w:after="0"/>
              <w:rPr>
                <w:sz w:val="14"/>
                <w:szCs w:val="14"/>
                <w:color w:val="auto"/>
              </w:rPr>
            </w:pPr>
          </w:p>
        </w:tc>
        <w:tc>
          <w:tcPr>
            <w:tcW w:w="1020" w:type="dxa"/>
            <w:vAlign w:val="bottom"/>
            <w:gridSpan w:val="2"/>
          </w:tcPr>
          <w:p>
            <w:pPr>
              <w:jc w:val="right"/>
              <w:ind w:right="120"/>
              <w:spacing w:after="0"/>
              <w:rPr>
                <w:sz w:val="20"/>
                <w:szCs w:val="20"/>
                <w:color w:val="auto"/>
              </w:rPr>
            </w:pPr>
            <w:r>
              <w:rPr>
                <w:rFonts w:ascii="Arial" w:cs="Arial" w:eastAsia="Arial" w:hAnsi="Arial"/>
                <w:sz w:val="14"/>
                <w:szCs w:val="14"/>
                <w:color w:val="auto"/>
              </w:rPr>
              <w:t>4.83%</w:t>
            </w:r>
          </w:p>
        </w:tc>
        <w:tc>
          <w:tcPr>
            <w:tcW w:w="1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300" w:type="dxa"/>
            <w:vAlign w:val="bottom"/>
            <w:gridSpan w:val="2"/>
          </w:tcPr>
          <w:p>
            <w:pPr>
              <w:jc w:val="right"/>
              <w:ind w:right="20"/>
              <w:spacing w:after="0"/>
              <w:rPr>
                <w:sz w:val="20"/>
                <w:szCs w:val="20"/>
                <w:color w:val="auto"/>
              </w:rPr>
            </w:pPr>
            <w:r>
              <w:rPr>
                <w:rFonts w:ascii="Arial" w:cs="Arial" w:eastAsia="Arial" w:hAnsi="Arial"/>
                <w:sz w:val="14"/>
                <w:szCs w:val="14"/>
                <w:color w:val="auto"/>
              </w:rPr>
              <w:t>4.15%</w:t>
            </w:r>
          </w:p>
        </w:tc>
        <w:tc>
          <w:tcPr>
            <w:tcW w:w="0" w:type="dxa"/>
            <w:vAlign w:val="bottom"/>
          </w:tcPr>
          <w:p>
            <w:pPr>
              <w:spacing w:after="0"/>
              <w:rPr>
                <w:sz w:val="1"/>
                <w:szCs w:val="1"/>
                <w:color w:val="auto"/>
              </w:rPr>
            </w:pPr>
          </w:p>
        </w:tc>
      </w:tr>
      <w:tr>
        <w:trPr>
          <w:trHeight w:val="20"/>
        </w:trPr>
        <w:tc>
          <w:tcPr>
            <w:tcW w:w="6900" w:type="dxa"/>
            <w:vAlign w:val="bottom"/>
            <w:vMerge w:val="restart"/>
            <w:shd w:val="clear" w:color="auto" w:fill="CCECFF"/>
          </w:tcPr>
          <w:p>
            <w:pPr>
              <w:spacing w:after="0"/>
              <w:rPr>
                <w:sz w:val="20"/>
                <w:szCs w:val="20"/>
                <w:color w:val="auto"/>
              </w:rPr>
            </w:pPr>
            <w:r>
              <w:rPr>
                <w:rFonts w:ascii="Arial" w:cs="Arial" w:eastAsia="Arial" w:hAnsi="Arial"/>
                <w:sz w:val="14"/>
                <w:szCs w:val="14"/>
                <w:color w:val="auto"/>
              </w:rPr>
              <w:t xml:space="preserve">Ratio of total expenses to average net assets </w:t>
            </w:r>
            <w:r>
              <w:rPr>
                <w:rFonts w:ascii="Arial" w:cs="Arial" w:eastAsia="Arial" w:hAnsi="Arial"/>
                <w:sz w:val="12"/>
                <w:szCs w:val="12"/>
                <w:color w:val="auto"/>
              </w:rPr>
              <w:t>(5), (6)</w:t>
            </w:r>
          </w:p>
        </w:tc>
        <w:tc>
          <w:tcPr>
            <w:tcW w:w="114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240" w:type="dxa"/>
            <w:vAlign w:val="bottom"/>
            <w:shd w:val="clear" w:color="auto" w:fill="CCECFF"/>
          </w:tcPr>
          <w:p>
            <w:pPr>
              <w:spacing w:after="0" w:line="20" w:lineRule="exact"/>
              <w:rPr>
                <w:sz w:val="1"/>
                <w:szCs w:val="1"/>
                <w:color w:val="auto"/>
              </w:rPr>
            </w:pPr>
          </w:p>
        </w:tc>
        <w:tc>
          <w:tcPr>
            <w:tcW w:w="120" w:type="dxa"/>
            <w:vAlign w:val="bottom"/>
            <w:shd w:val="clear" w:color="auto" w:fill="CCECFF"/>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1160" w:type="dxa"/>
            <w:vAlign w:val="bottom"/>
            <w:shd w:val="clear" w:color="auto" w:fill="000000"/>
          </w:tcPr>
          <w:p>
            <w:pPr>
              <w:spacing w:after="0" w:line="20" w:lineRule="exact"/>
              <w:rPr>
                <w:sz w:val="1"/>
                <w:szCs w:val="1"/>
                <w:color w:val="auto"/>
              </w:rPr>
            </w:pPr>
          </w:p>
        </w:tc>
        <w:tc>
          <w:tcPr>
            <w:tcW w:w="140" w:type="dxa"/>
            <w:vAlign w:val="bottom"/>
            <w:shd w:val="clear" w:color="auto" w:fill="CCEC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6"/>
        </w:trPr>
        <w:tc>
          <w:tcPr>
            <w:tcW w:w="6900" w:type="dxa"/>
            <w:vAlign w:val="bottom"/>
            <w:vMerge w:val="continue"/>
            <w:shd w:val="clear" w:color="auto" w:fill="CCECFF"/>
          </w:tcPr>
          <w:p>
            <w:pPr>
              <w:spacing w:after="0"/>
              <w:rPr>
                <w:sz w:val="13"/>
                <w:szCs w:val="13"/>
                <w:color w:val="auto"/>
              </w:rPr>
            </w:pPr>
          </w:p>
        </w:tc>
        <w:tc>
          <w:tcPr>
            <w:tcW w:w="1140" w:type="dxa"/>
            <w:vAlign w:val="bottom"/>
            <w:shd w:val="clear" w:color="auto" w:fill="CCECFF"/>
          </w:tcPr>
          <w:p>
            <w:pPr>
              <w:spacing w:after="0"/>
              <w:rPr>
                <w:sz w:val="13"/>
                <w:szCs w:val="13"/>
                <w:color w:val="auto"/>
              </w:rPr>
            </w:pPr>
          </w:p>
        </w:tc>
        <w:tc>
          <w:tcPr>
            <w:tcW w:w="1020" w:type="dxa"/>
            <w:vAlign w:val="bottom"/>
            <w:gridSpan w:val="2"/>
            <w:shd w:val="clear" w:color="auto" w:fill="CCECFF"/>
          </w:tcPr>
          <w:p>
            <w:pPr>
              <w:jc w:val="right"/>
              <w:ind w:right="120"/>
              <w:spacing w:after="0" w:line="155" w:lineRule="exact"/>
              <w:rPr>
                <w:sz w:val="20"/>
                <w:szCs w:val="20"/>
                <w:color w:val="auto"/>
              </w:rPr>
            </w:pPr>
            <w:r>
              <w:rPr>
                <w:rFonts w:ascii="Arial" w:cs="Arial" w:eastAsia="Arial" w:hAnsi="Arial"/>
                <w:sz w:val="14"/>
                <w:szCs w:val="14"/>
                <w:color w:val="auto"/>
              </w:rPr>
              <w:t>10.67%</w:t>
            </w:r>
          </w:p>
        </w:tc>
        <w:tc>
          <w:tcPr>
            <w:tcW w:w="120" w:type="dxa"/>
            <w:vAlign w:val="bottom"/>
            <w:shd w:val="clear" w:color="auto" w:fill="CCECFF"/>
          </w:tcPr>
          <w:p>
            <w:pPr>
              <w:spacing w:after="0"/>
              <w:rPr>
                <w:sz w:val="13"/>
                <w:szCs w:val="13"/>
                <w:color w:val="auto"/>
              </w:rPr>
            </w:pPr>
          </w:p>
        </w:tc>
        <w:tc>
          <w:tcPr>
            <w:tcW w:w="760" w:type="dxa"/>
            <w:vAlign w:val="bottom"/>
            <w:shd w:val="clear" w:color="auto" w:fill="CCECFF"/>
          </w:tcPr>
          <w:p>
            <w:pPr>
              <w:spacing w:after="0"/>
              <w:rPr>
                <w:sz w:val="13"/>
                <w:szCs w:val="13"/>
                <w:color w:val="auto"/>
              </w:rPr>
            </w:pPr>
          </w:p>
        </w:tc>
        <w:tc>
          <w:tcPr>
            <w:tcW w:w="1300" w:type="dxa"/>
            <w:vAlign w:val="bottom"/>
            <w:gridSpan w:val="2"/>
            <w:shd w:val="clear" w:color="auto" w:fill="CCECFF"/>
          </w:tcPr>
          <w:p>
            <w:pPr>
              <w:jc w:val="right"/>
              <w:ind w:right="20"/>
              <w:spacing w:after="0" w:line="155" w:lineRule="exact"/>
              <w:rPr>
                <w:sz w:val="20"/>
                <w:szCs w:val="20"/>
                <w:color w:val="auto"/>
              </w:rPr>
            </w:pPr>
            <w:r>
              <w:rPr>
                <w:rFonts w:ascii="Arial" w:cs="Arial" w:eastAsia="Arial" w:hAnsi="Arial"/>
                <w:sz w:val="14"/>
                <w:szCs w:val="14"/>
                <w:color w:val="auto"/>
              </w:rPr>
              <w:t>10.86%</w:t>
            </w:r>
          </w:p>
        </w:tc>
        <w:tc>
          <w:tcPr>
            <w:tcW w:w="0" w:type="dxa"/>
            <w:vAlign w:val="bottom"/>
          </w:tcPr>
          <w:p>
            <w:pPr>
              <w:spacing w:after="0"/>
              <w:rPr>
                <w:sz w:val="1"/>
                <w:szCs w:val="1"/>
                <w:color w:val="auto"/>
              </w:rPr>
            </w:pPr>
          </w:p>
        </w:tc>
      </w:tr>
      <w:tr>
        <w:trPr>
          <w:trHeight w:val="162"/>
        </w:trPr>
        <w:tc>
          <w:tcPr>
            <w:tcW w:w="6900" w:type="dxa"/>
            <w:vAlign w:val="bottom"/>
          </w:tcPr>
          <w:p>
            <w:pPr>
              <w:spacing w:after="0"/>
              <w:rPr>
                <w:sz w:val="20"/>
                <w:szCs w:val="20"/>
                <w:color w:val="auto"/>
              </w:rPr>
            </w:pPr>
            <w:r>
              <w:rPr>
                <w:rFonts w:ascii="Arial" w:cs="Arial" w:eastAsia="Arial" w:hAnsi="Arial"/>
                <w:sz w:val="14"/>
                <w:szCs w:val="14"/>
                <w:color w:val="auto"/>
              </w:rPr>
              <w:t xml:space="preserve">Ratio of net investment income to average net assets </w:t>
            </w:r>
            <w:r>
              <w:rPr>
                <w:rFonts w:ascii="Arial" w:cs="Arial" w:eastAsia="Arial" w:hAnsi="Arial"/>
                <w:sz w:val="12"/>
                <w:szCs w:val="12"/>
                <w:color w:val="auto"/>
              </w:rPr>
              <w:t>(6)</w:t>
            </w:r>
          </w:p>
        </w:tc>
        <w:tc>
          <w:tcPr>
            <w:tcW w:w="1140" w:type="dxa"/>
            <w:vAlign w:val="bottom"/>
          </w:tcPr>
          <w:p>
            <w:pPr>
              <w:spacing w:after="0"/>
              <w:rPr>
                <w:sz w:val="14"/>
                <w:szCs w:val="14"/>
                <w:color w:val="auto"/>
              </w:rPr>
            </w:pPr>
          </w:p>
        </w:tc>
        <w:tc>
          <w:tcPr>
            <w:tcW w:w="1020" w:type="dxa"/>
            <w:vAlign w:val="bottom"/>
            <w:gridSpan w:val="2"/>
          </w:tcPr>
          <w:p>
            <w:pPr>
              <w:jc w:val="right"/>
              <w:ind w:right="120"/>
              <w:spacing w:after="0"/>
              <w:rPr>
                <w:sz w:val="20"/>
                <w:szCs w:val="20"/>
                <w:color w:val="auto"/>
              </w:rPr>
            </w:pPr>
            <w:r>
              <w:rPr>
                <w:rFonts w:ascii="Arial" w:cs="Arial" w:eastAsia="Arial" w:hAnsi="Arial"/>
                <w:sz w:val="14"/>
                <w:szCs w:val="14"/>
                <w:color w:val="auto"/>
              </w:rPr>
              <w:t>9.16%</w:t>
            </w:r>
          </w:p>
        </w:tc>
        <w:tc>
          <w:tcPr>
            <w:tcW w:w="1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300" w:type="dxa"/>
            <w:vAlign w:val="bottom"/>
            <w:gridSpan w:val="2"/>
          </w:tcPr>
          <w:p>
            <w:pPr>
              <w:jc w:val="right"/>
              <w:ind w:right="20"/>
              <w:spacing w:after="0"/>
              <w:rPr>
                <w:sz w:val="20"/>
                <w:szCs w:val="20"/>
                <w:color w:val="auto"/>
              </w:rPr>
            </w:pPr>
            <w:r>
              <w:rPr>
                <w:rFonts w:ascii="Arial" w:cs="Arial" w:eastAsia="Arial" w:hAnsi="Arial"/>
                <w:sz w:val="14"/>
                <w:szCs w:val="14"/>
                <w:color w:val="auto"/>
              </w:rPr>
              <w:t>11.20%</w:t>
            </w:r>
          </w:p>
        </w:tc>
        <w:tc>
          <w:tcPr>
            <w:tcW w:w="0" w:type="dxa"/>
            <w:vAlign w:val="bottom"/>
          </w:tcPr>
          <w:p>
            <w:pPr>
              <w:spacing w:after="0"/>
              <w:rPr>
                <w:sz w:val="1"/>
                <w:szCs w:val="1"/>
                <w:color w:val="auto"/>
              </w:rPr>
            </w:pPr>
          </w:p>
        </w:tc>
      </w:tr>
      <w:tr>
        <w:trPr>
          <w:trHeight w:val="162"/>
        </w:trPr>
        <w:tc>
          <w:tcPr>
            <w:tcW w:w="6900" w:type="dxa"/>
            <w:vAlign w:val="bottom"/>
            <w:shd w:val="clear" w:color="auto" w:fill="CCECFF"/>
          </w:tcPr>
          <w:p>
            <w:pPr>
              <w:spacing w:after="0"/>
              <w:rPr>
                <w:sz w:val="20"/>
                <w:szCs w:val="20"/>
                <w:color w:val="auto"/>
              </w:rPr>
            </w:pPr>
            <w:r>
              <w:rPr>
                <w:rFonts w:ascii="Arial" w:cs="Arial" w:eastAsia="Arial" w:hAnsi="Arial"/>
                <w:sz w:val="14"/>
                <w:szCs w:val="14"/>
                <w:color w:val="auto"/>
              </w:rPr>
              <w:t>Net assets at end of period</w:t>
            </w:r>
          </w:p>
        </w:tc>
        <w:tc>
          <w:tcPr>
            <w:tcW w:w="1140" w:type="dxa"/>
            <w:vAlign w:val="bottom"/>
            <w:shd w:val="clear" w:color="auto" w:fill="CCECFF"/>
          </w:tcPr>
          <w:p>
            <w:pPr>
              <w:jc w:val="right"/>
              <w:ind w:right="1026"/>
              <w:spacing w:after="0"/>
              <w:rPr>
                <w:sz w:val="20"/>
                <w:szCs w:val="20"/>
                <w:color w:val="auto"/>
              </w:rPr>
            </w:pPr>
            <w:r>
              <w:rPr>
                <w:rFonts w:ascii="Arial" w:cs="Arial" w:eastAsia="Arial" w:hAnsi="Arial"/>
                <w:sz w:val="10"/>
                <w:szCs w:val="10"/>
                <w:color w:val="auto"/>
                <w:w w:val="71"/>
              </w:rPr>
              <w:t>$</w:t>
            </w:r>
          </w:p>
        </w:tc>
        <w:tc>
          <w:tcPr>
            <w:tcW w:w="780" w:type="dxa"/>
            <w:vAlign w:val="bottom"/>
            <w:shd w:val="clear" w:color="auto" w:fill="CCECFF"/>
          </w:tcPr>
          <w:p>
            <w:pPr>
              <w:jc w:val="right"/>
              <w:spacing w:after="0"/>
              <w:rPr>
                <w:sz w:val="20"/>
                <w:szCs w:val="20"/>
                <w:color w:val="auto"/>
              </w:rPr>
            </w:pPr>
            <w:r>
              <w:rPr>
                <w:rFonts w:ascii="Arial" w:cs="Arial" w:eastAsia="Arial" w:hAnsi="Arial"/>
                <w:sz w:val="14"/>
                <w:szCs w:val="14"/>
                <w:color w:val="auto"/>
                <w:w w:val="97"/>
              </w:rPr>
              <w:t>652,175,782</w:t>
            </w:r>
          </w:p>
        </w:tc>
        <w:tc>
          <w:tcPr>
            <w:tcW w:w="240" w:type="dxa"/>
            <w:vAlign w:val="bottom"/>
            <w:shd w:val="clear" w:color="auto" w:fill="CCECFF"/>
          </w:tcPr>
          <w:p>
            <w:pPr>
              <w:spacing w:after="0"/>
              <w:rPr>
                <w:sz w:val="14"/>
                <w:szCs w:val="14"/>
                <w:color w:val="auto"/>
              </w:rPr>
            </w:pPr>
          </w:p>
        </w:tc>
        <w:tc>
          <w:tcPr>
            <w:tcW w:w="880" w:type="dxa"/>
            <w:vAlign w:val="bottom"/>
            <w:gridSpan w:val="2"/>
            <w:shd w:val="clear" w:color="auto" w:fill="CCECFF"/>
          </w:tcPr>
          <w:p>
            <w:pPr>
              <w:jc w:val="right"/>
              <w:ind w:right="649"/>
              <w:spacing w:after="0"/>
              <w:rPr>
                <w:sz w:val="20"/>
                <w:szCs w:val="20"/>
                <w:color w:val="auto"/>
              </w:rPr>
            </w:pPr>
            <w:r>
              <w:rPr>
                <w:rFonts w:ascii="Arial" w:cs="Arial" w:eastAsia="Arial" w:hAnsi="Arial"/>
                <w:sz w:val="14"/>
                <w:szCs w:val="14"/>
                <w:color w:val="auto"/>
              </w:rPr>
              <w:t>$</w:t>
            </w:r>
          </w:p>
        </w:tc>
        <w:tc>
          <w:tcPr>
            <w:tcW w:w="1160" w:type="dxa"/>
            <w:vAlign w:val="bottom"/>
            <w:shd w:val="clear" w:color="auto" w:fill="CCECFF"/>
          </w:tcPr>
          <w:p>
            <w:pPr>
              <w:jc w:val="right"/>
              <w:spacing w:after="0"/>
              <w:rPr>
                <w:sz w:val="20"/>
                <w:szCs w:val="20"/>
                <w:color w:val="auto"/>
              </w:rPr>
            </w:pPr>
            <w:r>
              <w:rPr>
                <w:rFonts w:ascii="Arial" w:cs="Arial" w:eastAsia="Arial" w:hAnsi="Arial"/>
                <w:sz w:val="14"/>
                <w:szCs w:val="14"/>
                <w:color w:val="auto"/>
              </w:rPr>
              <w:t>635,554,512</w:t>
            </w:r>
          </w:p>
        </w:tc>
        <w:tc>
          <w:tcPr>
            <w:tcW w:w="140" w:type="dxa"/>
            <w:vAlign w:val="bottom"/>
            <w:shd w:val="clear" w:color="auto" w:fill="CCECFF"/>
          </w:tcPr>
          <w:p>
            <w:pPr>
              <w:spacing w:after="0"/>
              <w:rPr>
                <w:sz w:val="14"/>
                <w:szCs w:val="14"/>
                <w:color w:val="auto"/>
              </w:rPr>
            </w:pPr>
          </w:p>
        </w:tc>
        <w:tc>
          <w:tcPr>
            <w:tcW w:w="0" w:type="dxa"/>
            <w:vAlign w:val="bottom"/>
          </w:tcPr>
          <w:p>
            <w:pPr>
              <w:spacing w:after="0"/>
              <w:rPr>
                <w:sz w:val="1"/>
                <w:szCs w:val="1"/>
                <w:color w:val="auto"/>
              </w:rPr>
            </w:pPr>
          </w:p>
        </w:tc>
      </w:tr>
      <w:tr>
        <w:trPr>
          <w:trHeight w:val="155"/>
        </w:trPr>
        <w:tc>
          <w:tcPr>
            <w:tcW w:w="6900" w:type="dxa"/>
            <w:vAlign w:val="bottom"/>
            <w:tcBorders>
              <w:bottom w:val="single" w:sz="8" w:color="CCECFF"/>
            </w:tcBorders>
          </w:tcPr>
          <w:p>
            <w:pPr>
              <w:spacing w:after="0" w:line="155" w:lineRule="exact"/>
              <w:rPr>
                <w:sz w:val="20"/>
                <w:szCs w:val="20"/>
                <w:color w:val="auto"/>
              </w:rPr>
            </w:pPr>
            <w:r>
              <w:rPr>
                <w:rFonts w:ascii="Arial" w:cs="Arial" w:eastAsia="Arial" w:hAnsi="Arial"/>
                <w:sz w:val="14"/>
                <w:szCs w:val="14"/>
                <w:color w:val="auto"/>
              </w:rPr>
              <w:t xml:space="preserve">Weighted average debt outstanding </w:t>
            </w:r>
            <w:r>
              <w:rPr>
                <w:rFonts w:ascii="Arial" w:cs="Arial" w:eastAsia="Arial" w:hAnsi="Arial"/>
                <w:sz w:val="12"/>
                <w:szCs w:val="12"/>
                <w:color w:val="auto"/>
              </w:rPr>
              <w:t>(7)</w:t>
            </w:r>
          </w:p>
        </w:tc>
        <w:tc>
          <w:tcPr>
            <w:tcW w:w="1140" w:type="dxa"/>
            <w:vAlign w:val="bottom"/>
            <w:tcBorders>
              <w:top w:val="single" w:sz="8" w:color="auto"/>
              <w:bottom w:val="single" w:sz="8" w:color="auto"/>
            </w:tcBorders>
          </w:tcPr>
          <w:p>
            <w:pPr>
              <w:jc w:val="right"/>
              <w:ind w:right="1026"/>
              <w:spacing w:after="0"/>
              <w:rPr>
                <w:sz w:val="20"/>
                <w:szCs w:val="20"/>
                <w:color w:val="auto"/>
              </w:rPr>
            </w:pPr>
            <w:r>
              <w:rPr>
                <w:rFonts w:ascii="Arial" w:cs="Arial" w:eastAsia="Arial" w:hAnsi="Arial"/>
                <w:sz w:val="10"/>
                <w:szCs w:val="10"/>
                <w:color w:val="auto"/>
                <w:w w:val="71"/>
              </w:rPr>
              <w:t>$</w:t>
            </w:r>
          </w:p>
        </w:tc>
        <w:tc>
          <w:tcPr>
            <w:tcW w:w="78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color w:val="auto"/>
                <w:w w:val="97"/>
              </w:rPr>
              <w:t>628,559,362</w:t>
            </w:r>
          </w:p>
        </w:tc>
        <w:tc>
          <w:tcPr>
            <w:tcW w:w="240" w:type="dxa"/>
            <w:vAlign w:val="bottom"/>
            <w:tcBorders>
              <w:bottom w:val="single" w:sz="8" w:color="CCECFF"/>
            </w:tcBorders>
          </w:tcPr>
          <w:p>
            <w:pPr>
              <w:spacing w:after="0"/>
              <w:rPr>
                <w:sz w:val="13"/>
                <w:szCs w:val="13"/>
                <w:color w:val="auto"/>
              </w:rPr>
            </w:pPr>
          </w:p>
        </w:tc>
        <w:tc>
          <w:tcPr>
            <w:tcW w:w="120" w:type="dxa"/>
            <w:vAlign w:val="bottom"/>
            <w:tcBorders>
              <w:bottom w:val="single" w:sz="8" w:color="CCECFF"/>
            </w:tcBorders>
          </w:tcPr>
          <w:p>
            <w:pPr>
              <w:spacing w:after="0"/>
              <w:rPr>
                <w:sz w:val="13"/>
                <w:szCs w:val="13"/>
                <w:color w:val="auto"/>
              </w:rPr>
            </w:pPr>
          </w:p>
        </w:tc>
        <w:tc>
          <w:tcPr>
            <w:tcW w:w="760" w:type="dxa"/>
            <w:vAlign w:val="bottom"/>
            <w:tcBorders>
              <w:top w:val="single" w:sz="8" w:color="auto"/>
              <w:bottom w:val="single" w:sz="8" w:color="auto"/>
            </w:tcBorders>
          </w:tcPr>
          <w:p>
            <w:pPr>
              <w:jc w:val="right"/>
              <w:ind w:right="649"/>
              <w:spacing w:after="0"/>
              <w:rPr>
                <w:sz w:val="20"/>
                <w:szCs w:val="20"/>
                <w:color w:val="auto"/>
              </w:rPr>
            </w:pPr>
            <w:r>
              <w:rPr>
                <w:rFonts w:ascii="Arial" w:cs="Arial" w:eastAsia="Arial" w:hAnsi="Arial"/>
                <w:sz w:val="10"/>
                <w:szCs w:val="10"/>
                <w:color w:val="auto"/>
                <w:w w:val="71"/>
              </w:rPr>
              <w:t>$</w:t>
            </w:r>
          </w:p>
        </w:tc>
        <w:tc>
          <w:tcPr>
            <w:tcW w:w="116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631,748,088</w:t>
            </w:r>
          </w:p>
        </w:tc>
        <w:tc>
          <w:tcPr>
            <w:tcW w:w="140" w:type="dxa"/>
            <w:vAlign w:val="bottom"/>
            <w:tcBorders>
              <w:bottom w:val="single" w:sz="8" w:color="CCECFF"/>
            </w:tcBorders>
          </w:tcPr>
          <w:p>
            <w:pPr>
              <w:spacing w:after="0"/>
              <w:rPr>
                <w:sz w:val="13"/>
                <w:szCs w:val="13"/>
                <w:color w:val="auto"/>
              </w:rPr>
            </w:pPr>
          </w:p>
        </w:tc>
        <w:tc>
          <w:tcPr>
            <w:tcW w:w="0" w:type="dxa"/>
            <w:vAlign w:val="bottom"/>
          </w:tcPr>
          <w:p>
            <w:pPr>
              <w:spacing w:after="0"/>
              <w:rPr>
                <w:sz w:val="1"/>
                <w:szCs w:val="1"/>
                <w:color w:val="auto"/>
              </w:rPr>
            </w:pPr>
          </w:p>
        </w:tc>
      </w:tr>
      <w:tr>
        <w:trPr>
          <w:trHeight w:val="156"/>
        </w:trPr>
        <w:tc>
          <w:tcPr>
            <w:tcW w:w="6900" w:type="dxa"/>
            <w:vAlign w:val="bottom"/>
            <w:shd w:val="clear" w:color="auto" w:fill="CCECFF"/>
          </w:tcPr>
          <w:p>
            <w:pPr>
              <w:spacing w:after="0" w:line="155" w:lineRule="exact"/>
              <w:rPr>
                <w:sz w:val="20"/>
                <w:szCs w:val="20"/>
                <w:color w:val="auto"/>
              </w:rPr>
            </w:pPr>
            <w:r>
              <w:rPr>
                <w:rFonts w:ascii="Arial" w:cs="Arial" w:eastAsia="Arial" w:hAnsi="Arial"/>
                <w:sz w:val="14"/>
                <w:szCs w:val="14"/>
                <w:color w:val="auto"/>
              </w:rPr>
              <w:t xml:space="preserve">Weighted average debt per share </w:t>
            </w:r>
            <w:r>
              <w:rPr>
                <w:rFonts w:ascii="Arial" w:cs="Arial" w:eastAsia="Arial" w:hAnsi="Arial"/>
                <w:sz w:val="12"/>
                <w:szCs w:val="12"/>
                <w:color w:val="auto"/>
              </w:rPr>
              <w:t>(1), (7)</w:t>
            </w:r>
          </w:p>
        </w:tc>
        <w:tc>
          <w:tcPr>
            <w:tcW w:w="1140" w:type="dxa"/>
            <w:vAlign w:val="bottom"/>
            <w:shd w:val="clear" w:color="auto" w:fill="CCECFF"/>
          </w:tcPr>
          <w:p>
            <w:pPr>
              <w:jc w:val="right"/>
              <w:ind w:right="1026"/>
              <w:spacing w:after="0"/>
              <w:rPr>
                <w:sz w:val="20"/>
                <w:szCs w:val="20"/>
                <w:color w:val="auto"/>
              </w:rPr>
            </w:pPr>
            <w:r>
              <w:rPr>
                <w:rFonts w:ascii="Arial" w:cs="Arial" w:eastAsia="Arial" w:hAnsi="Arial"/>
                <w:sz w:val="10"/>
                <w:szCs w:val="10"/>
                <w:color w:val="auto"/>
                <w:w w:val="71"/>
              </w:rPr>
              <w:t>$</w:t>
            </w:r>
          </w:p>
        </w:tc>
        <w:tc>
          <w:tcPr>
            <w:tcW w:w="780" w:type="dxa"/>
            <w:vAlign w:val="bottom"/>
            <w:shd w:val="clear" w:color="auto" w:fill="CCECFF"/>
          </w:tcPr>
          <w:p>
            <w:pPr>
              <w:jc w:val="right"/>
              <w:spacing w:after="0" w:line="155" w:lineRule="exact"/>
              <w:rPr>
                <w:sz w:val="20"/>
                <w:szCs w:val="20"/>
                <w:color w:val="auto"/>
              </w:rPr>
            </w:pPr>
            <w:r>
              <w:rPr>
                <w:rFonts w:ascii="Arial" w:cs="Arial" w:eastAsia="Arial" w:hAnsi="Arial"/>
                <w:sz w:val="14"/>
                <w:szCs w:val="14"/>
                <w:color w:val="auto"/>
              </w:rPr>
              <w:t>8.85</w:t>
            </w:r>
          </w:p>
        </w:tc>
        <w:tc>
          <w:tcPr>
            <w:tcW w:w="240" w:type="dxa"/>
            <w:vAlign w:val="bottom"/>
            <w:shd w:val="clear" w:color="auto" w:fill="CCECFF"/>
          </w:tcPr>
          <w:p>
            <w:pPr>
              <w:spacing w:after="0"/>
              <w:rPr>
                <w:sz w:val="13"/>
                <w:szCs w:val="13"/>
                <w:color w:val="auto"/>
              </w:rPr>
            </w:pPr>
          </w:p>
        </w:tc>
        <w:tc>
          <w:tcPr>
            <w:tcW w:w="120" w:type="dxa"/>
            <w:vAlign w:val="bottom"/>
            <w:shd w:val="clear" w:color="auto" w:fill="CCECFF"/>
          </w:tcPr>
          <w:p>
            <w:pPr>
              <w:spacing w:after="0"/>
              <w:rPr>
                <w:sz w:val="13"/>
                <w:szCs w:val="13"/>
                <w:color w:val="auto"/>
              </w:rPr>
            </w:pPr>
          </w:p>
        </w:tc>
        <w:tc>
          <w:tcPr>
            <w:tcW w:w="760" w:type="dxa"/>
            <w:vAlign w:val="bottom"/>
            <w:shd w:val="clear" w:color="auto" w:fill="CCECFF"/>
          </w:tcPr>
          <w:p>
            <w:pPr>
              <w:jc w:val="right"/>
              <w:ind w:right="649"/>
              <w:spacing w:after="0"/>
              <w:rPr>
                <w:sz w:val="20"/>
                <w:szCs w:val="20"/>
                <w:color w:val="auto"/>
              </w:rPr>
            </w:pPr>
            <w:r>
              <w:rPr>
                <w:rFonts w:ascii="Arial" w:cs="Arial" w:eastAsia="Arial" w:hAnsi="Arial"/>
                <w:sz w:val="10"/>
                <w:szCs w:val="10"/>
                <w:color w:val="auto"/>
                <w:w w:val="71"/>
              </w:rPr>
              <w:t>$</w:t>
            </w:r>
          </w:p>
        </w:tc>
        <w:tc>
          <w:tcPr>
            <w:tcW w:w="1160" w:type="dxa"/>
            <w:vAlign w:val="bottom"/>
            <w:shd w:val="clear" w:color="auto" w:fill="CCECFF"/>
          </w:tcPr>
          <w:p>
            <w:pPr>
              <w:jc w:val="right"/>
              <w:spacing w:after="0" w:line="155" w:lineRule="exact"/>
              <w:rPr>
                <w:sz w:val="20"/>
                <w:szCs w:val="20"/>
                <w:color w:val="auto"/>
              </w:rPr>
            </w:pPr>
            <w:r>
              <w:rPr>
                <w:rFonts w:ascii="Arial" w:cs="Arial" w:eastAsia="Arial" w:hAnsi="Arial"/>
                <w:sz w:val="14"/>
                <w:szCs w:val="14"/>
                <w:color w:val="auto"/>
              </w:rPr>
              <w:t>8.80</w:t>
            </w:r>
          </w:p>
        </w:tc>
        <w:tc>
          <w:tcPr>
            <w:tcW w:w="140" w:type="dxa"/>
            <w:vAlign w:val="bottom"/>
            <w:shd w:val="clear" w:color="auto" w:fill="CCECFF"/>
          </w:tcPr>
          <w:p>
            <w:pPr>
              <w:spacing w:after="0"/>
              <w:rPr>
                <w:sz w:val="13"/>
                <w:szCs w:val="13"/>
                <w:color w:val="auto"/>
              </w:rPr>
            </w:pPr>
          </w:p>
        </w:tc>
        <w:tc>
          <w:tcPr>
            <w:tcW w:w="0" w:type="dxa"/>
            <w:vAlign w:val="bottom"/>
          </w:tcPr>
          <w:p>
            <w:pPr>
              <w:spacing w:after="0"/>
              <w:rPr>
                <w:sz w:val="1"/>
                <w:szCs w:val="1"/>
                <w:color w:val="auto"/>
              </w:rPr>
            </w:pPr>
          </w:p>
        </w:tc>
      </w:tr>
      <w:tr>
        <w:trPr>
          <w:trHeight w:val="162"/>
        </w:trPr>
        <w:tc>
          <w:tcPr>
            <w:tcW w:w="6900" w:type="dxa"/>
            <w:vAlign w:val="bottom"/>
          </w:tcPr>
          <w:p>
            <w:pPr>
              <w:spacing w:after="0"/>
              <w:rPr>
                <w:sz w:val="20"/>
                <w:szCs w:val="20"/>
                <w:color w:val="auto"/>
              </w:rPr>
            </w:pPr>
            <w:r>
              <w:rPr>
                <w:rFonts w:ascii="Arial" w:cs="Arial" w:eastAsia="Arial" w:hAnsi="Arial"/>
                <w:sz w:val="14"/>
                <w:szCs w:val="14"/>
                <w:color w:val="auto"/>
              </w:rPr>
              <w:t xml:space="preserve">Asset coverage per unit </w:t>
            </w:r>
            <w:r>
              <w:rPr>
                <w:rFonts w:ascii="Arial" w:cs="Arial" w:eastAsia="Arial" w:hAnsi="Arial"/>
                <w:sz w:val="12"/>
                <w:szCs w:val="12"/>
                <w:color w:val="auto"/>
              </w:rPr>
              <w:t>(8)</w:t>
            </w:r>
          </w:p>
        </w:tc>
        <w:tc>
          <w:tcPr>
            <w:tcW w:w="1140" w:type="dxa"/>
            <w:vAlign w:val="bottom"/>
          </w:tcPr>
          <w:p>
            <w:pPr>
              <w:jc w:val="right"/>
              <w:ind w:right="1026"/>
              <w:spacing w:after="0"/>
              <w:rPr>
                <w:sz w:val="20"/>
                <w:szCs w:val="20"/>
                <w:color w:val="auto"/>
              </w:rPr>
            </w:pPr>
            <w:r>
              <w:rPr>
                <w:rFonts w:ascii="Arial" w:cs="Arial" w:eastAsia="Arial" w:hAnsi="Arial"/>
                <w:sz w:val="10"/>
                <w:szCs w:val="10"/>
                <w:color w:val="auto"/>
                <w:w w:val="71"/>
              </w:rPr>
              <w:t>$</w:t>
            </w:r>
          </w:p>
        </w:tc>
        <w:tc>
          <w:tcPr>
            <w:tcW w:w="780" w:type="dxa"/>
            <w:vAlign w:val="bottom"/>
          </w:tcPr>
          <w:p>
            <w:pPr>
              <w:jc w:val="right"/>
              <w:spacing w:after="0"/>
              <w:rPr>
                <w:sz w:val="20"/>
                <w:szCs w:val="20"/>
                <w:color w:val="auto"/>
              </w:rPr>
            </w:pPr>
            <w:r>
              <w:rPr>
                <w:rFonts w:ascii="Arial" w:cs="Arial" w:eastAsia="Arial" w:hAnsi="Arial"/>
                <w:sz w:val="14"/>
                <w:szCs w:val="14"/>
                <w:color w:val="auto"/>
              </w:rPr>
              <w:t>2,981</w:t>
            </w:r>
          </w:p>
        </w:tc>
        <w:tc>
          <w:tcPr>
            <w:tcW w:w="240" w:type="dxa"/>
            <w:vAlign w:val="bottom"/>
          </w:tcPr>
          <w:p>
            <w:pPr>
              <w:spacing w:after="0"/>
              <w:rPr>
                <w:sz w:val="14"/>
                <w:szCs w:val="14"/>
                <w:color w:val="auto"/>
              </w:rPr>
            </w:pPr>
          </w:p>
        </w:tc>
        <w:tc>
          <w:tcPr>
            <w:tcW w:w="880" w:type="dxa"/>
            <w:vAlign w:val="bottom"/>
            <w:gridSpan w:val="2"/>
          </w:tcPr>
          <w:p>
            <w:pPr>
              <w:jc w:val="right"/>
              <w:ind w:right="649"/>
              <w:spacing w:after="0"/>
              <w:rPr>
                <w:sz w:val="20"/>
                <w:szCs w:val="20"/>
                <w:color w:val="auto"/>
              </w:rPr>
            </w:pPr>
            <w:r>
              <w:rPr>
                <w:rFonts w:ascii="Arial" w:cs="Arial" w:eastAsia="Arial" w:hAnsi="Arial"/>
                <w:sz w:val="14"/>
                <w:szCs w:val="14"/>
                <w:color w:val="auto"/>
              </w:rPr>
              <w:t>$</w:t>
            </w:r>
          </w:p>
        </w:tc>
        <w:tc>
          <w:tcPr>
            <w:tcW w:w="1160" w:type="dxa"/>
            <w:vAlign w:val="bottom"/>
          </w:tcPr>
          <w:p>
            <w:pPr>
              <w:jc w:val="right"/>
              <w:spacing w:after="0"/>
              <w:rPr>
                <w:sz w:val="20"/>
                <w:szCs w:val="20"/>
                <w:color w:val="auto"/>
              </w:rPr>
            </w:pPr>
            <w:r>
              <w:rPr>
                <w:rFonts w:ascii="Arial" w:cs="Arial" w:eastAsia="Arial" w:hAnsi="Arial"/>
                <w:sz w:val="14"/>
                <w:szCs w:val="14"/>
                <w:color w:val="auto"/>
              </w:rPr>
              <w:t>2,509</w:t>
            </w:r>
          </w:p>
        </w:tc>
        <w:tc>
          <w:tcPr>
            <w:tcW w:w="1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6900" w:type="dxa"/>
            <w:vAlign w:val="bottom"/>
            <w:shd w:val="clear" w:color="auto" w:fill="CCECFF"/>
          </w:tcPr>
          <w:p>
            <w:pPr>
              <w:spacing w:after="0"/>
              <w:rPr>
                <w:sz w:val="20"/>
                <w:szCs w:val="20"/>
                <w:color w:val="auto"/>
              </w:rPr>
            </w:pPr>
            <w:r>
              <w:rPr>
                <w:rFonts w:ascii="Arial" w:cs="Arial" w:eastAsia="Arial" w:hAnsi="Arial"/>
                <w:sz w:val="14"/>
                <w:szCs w:val="14"/>
                <w:color w:val="auto"/>
              </w:rPr>
              <w:t>Portfolio turnover ratio</w:t>
            </w:r>
          </w:p>
        </w:tc>
        <w:tc>
          <w:tcPr>
            <w:tcW w:w="1140" w:type="dxa"/>
            <w:vAlign w:val="bottom"/>
            <w:shd w:val="clear" w:color="auto" w:fill="CCECFF"/>
          </w:tcPr>
          <w:p>
            <w:pPr>
              <w:spacing w:after="0"/>
              <w:rPr>
                <w:sz w:val="14"/>
                <w:szCs w:val="14"/>
                <w:color w:val="auto"/>
              </w:rPr>
            </w:pPr>
          </w:p>
        </w:tc>
        <w:tc>
          <w:tcPr>
            <w:tcW w:w="1020" w:type="dxa"/>
            <w:vAlign w:val="bottom"/>
            <w:gridSpan w:val="2"/>
            <w:shd w:val="clear" w:color="auto" w:fill="CCECFF"/>
          </w:tcPr>
          <w:p>
            <w:pPr>
              <w:jc w:val="right"/>
              <w:ind w:right="120"/>
              <w:spacing w:after="0"/>
              <w:rPr>
                <w:sz w:val="20"/>
                <w:szCs w:val="20"/>
                <w:color w:val="auto"/>
              </w:rPr>
            </w:pPr>
            <w:r>
              <w:rPr>
                <w:rFonts w:ascii="Arial" w:cs="Arial" w:eastAsia="Arial" w:hAnsi="Arial"/>
                <w:sz w:val="14"/>
                <w:szCs w:val="14"/>
                <w:color w:val="auto"/>
              </w:rPr>
              <w:t>42.73%</w:t>
            </w:r>
          </w:p>
        </w:tc>
        <w:tc>
          <w:tcPr>
            <w:tcW w:w="120" w:type="dxa"/>
            <w:vAlign w:val="bottom"/>
            <w:shd w:val="clear" w:color="auto" w:fill="CCECFF"/>
          </w:tcPr>
          <w:p>
            <w:pPr>
              <w:spacing w:after="0"/>
              <w:rPr>
                <w:sz w:val="14"/>
                <w:szCs w:val="14"/>
                <w:color w:val="auto"/>
              </w:rPr>
            </w:pPr>
          </w:p>
        </w:tc>
        <w:tc>
          <w:tcPr>
            <w:tcW w:w="760" w:type="dxa"/>
            <w:vAlign w:val="bottom"/>
            <w:shd w:val="clear" w:color="auto" w:fill="CCECFF"/>
          </w:tcPr>
          <w:p>
            <w:pPr>
              <w:spacing w:after="0"/>
              <w:rPr>
                <w:sz w:val="14"/>
                <w:szCs w:val="14"/>
                <w:color w:val="auto"/>
              </w:rPr>
            </w:pPr>
          </w:p>
        </w:tc>
        <w:tc>
          <w:tcPr>
            <w:tcW w:w="1300" w:type="dxa"/>
            <w:vAlign w:val="bottom"/>
            <w:gridSpan w:val="2"/>
            <w:shd w:val="clear" w:color="auto" w:fill="CCECFF"/>
          </w:tcPr>
          <w:p>
            <w:pPr>
              <w:jc w:val="right"/>
              <w:ind w:right="20"/>
              <w:spacing w:after="0"/>
              <w:rPr>
                <w:sz w:val="20"/>
                <w:szCs w:val="20"/>
                <w:color w:val="auto"/>
              </w:rPr>
            </w:pPr>
            <w:r>
              <w:rPr>
                <w:rFonts w:ascii="Arial" w:cs="Arial" w:eastAsia="Arial" w:hAnsi="Arial"/>
                <w:sz w:val="14"/>
                <w:szCs w:val="14"/>
                <w:color w:val="auto"/>
              </w:rPr>
              <w:t>32.49%</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111125</wp:posOffset>
            </wp:positionV>
            <wp:extent cx="1345565" cy="825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1345565" cy="8255"/>
                    </a:xfrm>
                    <a:prstGeom prst="rect">
                      <a:avLst/>
                    </a:prstGeom>
                    <a:noFill/>
                  </pic:spPr>
                </pic:pic>
              </a:graphicData>
            </a:graphic>
          </wp:anchor>
        </w:drawing>
      </w:r>
    </w:p>
    <w:p>
      <w:pPr>
        <w:spacing w:after="0" w:line="204" w:lineRule="exact"/>
        <w:rPr>
          <w:sz w:val="20"/>
          <w:szCs w:val="20"/>
          <w:color w:val="auto"/>
        </w:rPr>
      </w:pPr>
    </w:p>
    <w:p>
      <w:pPr>
        <w:ind w:right="8240" w:firstLine="8"/>
        <w:spacing w:after="0" w:line="276" w:lineRule="auto"/>
        <w:tabs>
          <w:tab w:leader="none" w:pos="364" w:val="left"/>
        </w:tabs>
        <w:numPr>
          <w:ilvl w:val="0"/>
          <w:numId w:val="16"/>
        </w:numPr>
        <w:rPr>
          <w:rFonts w:ascii="Arial" w:cs="Arial" w:eastAsia="Arial" w:hAnsi="Arial"/>
          <w:sz w:val="13"/>
          <w:szCs w:val="13"/>
          <w:color w:val="auto"/>
        </w:rPr>
      </w:pPr>
      <w:r>
        <w:rPr>
          <w:rFonts w:ascii="Arial" w:cs="Arial" w:eastAsia="Arial" w:hAnsi="Arial"/>
          <w:sz w:val="13"/>
          <w:szCs w:val="13"/>
          <w:color w:val="auto"/>
        </w:rPr>
        <w:t>Not annualized for periods less than one year. ** Annualized for periods less than one year.</w:t>
      </w:r>
    </w:p>
    <w:p>
      <w:pPr>
        <w:ind w:left="380" w:hanging="372"/>
        <w:spacing w:after="0"/>
        <w:tabs>
          <w:tab w:leader="none" w:pos="380" w:val="left"/>
        </w:tabs>
        <w:numPr>
          <w:ilvl w:val="0"/>
          <w:numId w:val="17"/>
        </w:numPr>
        <w:rPr>
          <w:rFonts w:ascii="Arial" w:cs="Arial" w:eastAsia="Arial" w:hAnsi="Arial"/>
          <w:sz w:val="12"/>
          <w:szCs w:val="12"/>
          <w:color w:val="auto"/>
        </w:rPr>
      </w:pPr>
      <w:r>
        <w:rPr>
          <w:rFonts w:ascii="Arial" w:cs="Arial" w:eastAsia="Arial" w:hAnsi="Arial"/>
          <w:sz w:val="14"/>
          <w:szCs w:val="14"/>
          <w:color w:val="auto"/>
        </w:rPr>
        <w:t>Based on the weighted average shares outstanding for the respective periods.</w:t>
      </w:r>
    </w:p>
    <w:p>
      <w:pPr>
        <w:spacing w:after="0" w:line="14" w:lineRule="exact"/>
        <w:rPr>
          <w:rFonts w:ascii="Arial" w:cs="Arial" w:eastAsia="Arial" w:hAnsi="Arial"/>
          <w:sz w:val="12"/>
          <w:szCs w:val="12"/>
          <w:color w:val="auto"/>
        </w:rPr>
      </w:pPr>
    </w:p>
    <w:p>
      <w:pPr>
        <w:ind w:left="380" w:right="20" w:hanging="372"/>
        <w:spacing w:after="0" w:line="261" w:lineRule="auto"/>
        <w:tabs>
          <w:tab w:leader="none" w:pos="380" w:val="left"/>
        </w:tabs>
        <w:numPr>
          <w:ilvl w:val="0"/>
          <w:numId w:val="17"/>
        </w:numPr>
        <w:rPr>
          <w:rFonts w:ascii="Arial" w:cs="Arial" w:eastAsia="Arial" w:hAnsi="Arial"/>
          <w:sz w:val="12"/>
          <w:szCs w:val="12"/>
          <w:color w:val="auto"/>
        </w:rPr>
      </w:pPr>
      <w:r>
        <w:rPr>
          <w:rFonts w:ascii="Arial" w:cs="Arial" w:eastAsia="Arial" w:hAnsi="Arial"/>
          <w:sz w:val="14"/>
          <w:szCs w:val="14"/>
          <w:color w:val="auto"/>
        </w:rPr>
        <w:t>The tax status of distributions is calculated in accordance with income tax regulations, which may differ from amounts determined under GAAP, and reported on Form 1099-DIV each calendar year.</w:t>
      </w:r>
    </w:p>
    <w:p>
      <w:pPr>
        <w:ind w:left="360" w:hanging="352"/>
        <w:spacing w:after="0"/>
        <w:tabs>
          <w:tab w:leader="none" w:pos="360" w:val="left"/>
        </w:tabs>
        <w:numPr>
          <w:ilvl w:val="0"/>
          <w:numId w:val="17"/>
        </w:numPr>
        <w:rPr>
          <w:rFonts w:ascii="Arial" w:cs="Arial" w:eastAsia="Arial" w:hAnsi="Arial"/>
          <w:sz w:val="12"/>
          <w:szCs w:val="12"/>
          <w:color w:val="auto"/>
        </w:rPr>
      </w:pPr>
      <w:r>
        <w:rPr>
          <w:rFonts w:ascii="Arial" w:cs="Arial" w:eastAsia="Arial" w:hAnsi="Arial"/>
          <w:sz w:val="14"/>
          <w:szCs w:val="14"/>
          <w:color w:val="auto"/>
        </w:rPr>
        <w:t>Based on the change in market price per share during the period and takes into account distributions, if any, reinvested in accordance with our dividend reinvestment plan.</w:t>
      </w:r>
    </w:p>
    <w:p>
      <w:pPr>
        <w:spacing w:after="0" w:line="14" w:lineRule="exact"/>
        <w:rPr>
          <w:rFonts w:ascii="Arial" w:cs="Arial" w:eastAsia="Arial" w:hAnsi="Arial"/>
          <w:sz w:val="12"/>
          <w:szCs w:val="12"/>
          <w:color w:val="auto"/>
        </w:rPr>
      </w:pPr>
    </w:p>
    <w:p>
      <w:pPr>
        <w:ind w:left="360" w:hanging="352"/>
        <w:spacing w:after="0"/>
        <w:tabs>
          <w:tab w:leader="none" w:pos="360" w:val="left"/>
        </w:tabs>
        <w:numPr>
          <w:ilvl w:val="0"/>
          <w:numId w:val="17"/>
        </w:numPr>
        <w:rPr>
          <w:rFonts w:ascii="Arial" w:cs="Arial" w:eastAsia="Arial" w:hAnsi="Arial"/>
          <w:sz w:val="12"/>
          <w:szCs w:val="12"/>
          <w:color w:val="auto"/>
        </w:rPr>
      </w:pPr>
      <w:r>
        <w:rPr>
          <w:rFonts w:ascii="Arial" w:cs="Arial" w:eastAsia="Arial" w:hAnsi="Arial"/>
          <w:sz w:val="14"/>
          <w:szCs w:val="14"/>
          <w:color w:val="auto"/>
        </w:rPr>
        <w:t>Excludes debt related costs.</w:t>
      </w:r>
    </w:p>
    <w:p>
      <w:pPr>
        <w:spacing w:after="0" w:line="14" w:lineRule="exact"/>
        <w:rPr>
          <w:rFonts w:ascii="Arial" w:cs="Arial" w:eastAsia="Arial" w:hAnsi="Arial"/>
          <w:sz w:val="12"/>
          <w:szCs w:val="12"/>
          <w:color w:val="auto"/>
        </w:rPr>
      </w:pPr>
    </w:p>
    <w:p>
      <w:pPr>
        <w:ind w:left="360" w:right="820" w:hanging="352"/>
        <w:spacing w:after="0" w:line="281" w:lineRule="auto"/>
        <w:tabs>
          <w:tab w:leader="none" w:pos="360" w:val="left"/>
        </w:tabs>
        <w:numPr>
          <w:ilvl w:val="0"/>
          <w:numId w:val="17"/>
        </w:numPr>
        <w:rPr>
          <w:rFonts w:ascii="Arial" w:cs="Arial" w:eastAsia="Arial" w:hAnsi="Arial"/>
          <w:sz w:val="11"/>
          <w:szCs w:val="11"/>
          <w:color w:val="auto"/>
        </w:rPr>
      </w:pPr>
      <w:r>
        <w:rPr>
          <w:rFonts w:ascii="Arial" w:cs="Arial" w:eastAsia="Arial" w:hAnsi="Arial"/>
          <w:sz w:val="13"/>
          <w:szCs w:val="13"/>
          <w:color w:val="auto"/>
        </w:rPr>
        <w:t>For the nine months ended June 30, 2017 and 2016, the ratio of operating expenses before the waiver of certain Management Fees to average net assets was 6.73% and 7.72%, respectively, and the ratio of total expenses before the waiver of certain Management Fees to average net assets was 11.55% and 11.87%, respectively.</w:t>
      </w:r>
    </w:p>
    <w:p>
      <w:pPr>
        <w:ind w:left="360" w:hanging="352"/>
        <w:spacing w:after="0"/>
        <w:tabs>
          <w:tab w:leader="none" w:pos="360" w:val="left"/>
        </w:tabs>
        <w:numPr>
          <w:ilvl w:val="0"/>
          <w:numId w:val="17"/>
        </w:numPr>
        <w:rPr>
          <w:rFonts w:ascii="Arial" w:cs="Arial" w:eastAsia="Arial" w:hAnsi="Arial"/>
          <w:sz w:val="12"/>
          <w:szCs w:val="12"/>
          <w:color w:val="auto"/>
        </w:rPr>
      </w:pPr>
      <w:r>
        <w:rPr>
          <w:rFonts w:ascii="Arial" w:cs="Arial" w:eastAsia="Arial" w:hAnsi="Arial"/>
          <w:sz w:val="14"/>
          <w:szCs w:val="14"/>
          <w:color w:val="auto"/>
        </w:rPr>
        <w:t>Does not annualize provision for taxes.</w:t>
      </w:r>
    </w:p>
    <w:p>
      <w:pPr>
        <w:spacing w:after="0" w:line="14" w:lineRule="exact"/>
        <w:rPr>
          <w:rFonts w:ascii="Arial" w:cs="Arial" w:eastAsia="Arial" w:hAnsi="Arial"/>
          <w:sz w:val="12"/>
          <w:szCs w:val="12"/>
          <w:color w:val="auto"/>
        </w:rPr>
      </w:pPr>
    </w:p>
    <w:p>
      <w:pPr>
        <w:ind w:left="360" w:hanging="352"/>
        <w:spacing w:after="0"/>
        <w:tabs>
          <w:tab w:leader="none" w:pos="360" w:val="left"/>
        </w:tabs>
        <w:numPr>
          <w:ilvl w:val="0"/>
          <w:numId w:val="17"/>
        </w:numPr>
        <w:rPr>
          <w:rFonts w:ascii="Arial" w:cs="Arial" w:eastAsia="Arial" w:hAnsi="Arial"/>
          <w:sz w:val="12"/>
          <w:szCs w:val="12"/>
          <w:color w:val="auto"/>
        </w:rPr>
      </w:pPr>
      <w:r>
        <w:rPr>
          <w:rFonts w:ascii="Arial" w:cs="Arial" w:eastAsia="Arial" w:hAnsi="Arial"/>
          <w:sz w:val="14"/>
          <w:szCs w:val="14"/>
          <w:color w:val="auto"/>
        </w:rPr>
        <w:t>Includes SBA debentures outstanding.</w:t>
      </w:r>
    </w:p>
    <w:p>
      <w:pPr>
        <w:spacing w:after="0" w:line="14" w:lineRule="exact"/>
        <w:rPr>
          <w:rFonts w:ascii="Arial" w:cs="Arial" w:eastAsia="Arial" w:hAnsi="Arial"/>
          <w:sz w:val="12"/>
          <w:szCs w:val="12"/>
          <w:color w:val="auto"/>
        </w:rPr>
      </w:pPr>
    </w:p>
    <w:p>
      <w:pPr>
        <w:ind w:left="360" w:right="80" w:hanging="352"/>
        <w:spacing w:after="0" w:line="272" w:lineRule="auto"/>
        <w:tabs>
          <w:tab w:leader="none" w:pos="360" w:val="left"/>
        </w:tabs>
        <w:numPr>
          <w:ilvl w:val="0"/>
          <w:numId w:val="17"/>
        </w:numPr>
        <w:rPr>
          <w:rFonts w:ascii="Arial" w:cs="Arial" w:eastAsia="Arial" w:hAnsi="Arial"/>
          <w:sz w:val="12"/>
          <w:szCs w:val="12"/>
          <w:color w:val="auto"/>
        </w:rPr>
      </w:pPr>
      <w:r>
        <w:rPr>
          <w:rFonts w:ascii="Arial" w:cs="Arial" w:eastAsia="Arial" w:hAnsi="Arial"/>
          <w:sz w:val="14"/>
          <w:szCs w:val="14"/>
          <w:color w:val="auto"/>
        </w:rPr>
        <w:t>The asset coverage ratio for a class of senior securities representing indebtedness is calculated on our consolidated total assets, less all liabilities and indebtedness not represented by senior securities, divided by the senior securities representing indebtedness. This asset coverage ratio is multiplied by $1,000 to determine the asset coverage per unit. These amounts exclude SBA debentures from our asset coverage per unit computation pursuant to an exemptive relief letter provided by the SEC in June 2011.</w:t>
      </w:r>
    </w:p>
    <w:p>
      <w:pPr>
        <w:spacing w:after="0" w:line="130"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10. DEBT</w:t>
      </w:r>
    </w:p>
    <w:p>
      <w:pPr>
        <w:spacing w:after="0" w:line="140" w:lineRule="exact"/>
        <w:rPr>
          <w:sz w:val="20"/>
          <w:szCs w:val="20"/>
          <w:color w:val="auto"/>
        </w:rPr>
      </w:pPr>
    </w:p>
    <w:p>
      <w:pPr>
        <w:ind w:right="20" w:firstLine="456"/>
        <w:spacing w:after="0" w:line="296" w:lineRule="auto"/>
        <w:rPr>
          <w:sz w:val="20"/>
          <w:szCs w:val="20"/>
          <w:color w:val="auto"/>
        </w:rPr>
      </w:pPr>
      <w:r>
        <w:rPr>
          <w:rFonts w:ascii="Arial" w:cs="Arial" w:eastAsia="Arial" w:hAnsi="Arial"/>
          <w:sz w:val="12"/>
          <w:szCs w:val="12"/>
          <w:color w:val="auto"/>
        </w:rPr>
        <w:t>Our annualized weighted average cost of debt for the nine months ended June 30, 2017 and 2016, inclusive of the fee on the undrawn commitment and amendment costs on the Credit Facility, amortized upfront fees on SBA debentures and debt issuance costs, was 4.99% and 4.36%, respectively. In accordance with the 1940 Act, with certain limited exceptions, we are only allowed to borrow amounts such that we are in compliance with our asset coverage ratio after such borrowing, excluding SBA debentures, pursuant to exemptive relief from the SEC received in June 2011.</w:t>
      </w:r>
    </w:p>
    <w:p>
      <w:pPr>
        <w:spacing w:after="0" w:line="83"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Credit Facility</w:t>
      </w:r>
    </w:p>
    <w:p>
      <w:pPr>
        <w:spacing w:after="0" w:line="136" w:lineRule="exact"/>
        <w:rPr>
          <w:sz w:val="20"/>
          <w:szCs w:val="20"/>
          <w:color w:val="auto"/>
        </w:rPr>
      </w:pPr>
    </w:p>
    <w:p>
      <w:pPr>
        <w:ind w:right="100" w:firstLine="452"/>
        <w:spacing w:after="0" w:line="271" w:lineRule="auto"/>
        <w:rPr>
          <w:sz w:val="20"/>
          <w:szCs w:val="20"/>
          <w:color w:val="auto"/>
        </w:rPr>
      </w:pPr>
      <w:r>
        <w:rPr>
          <w:rFonts w:ascii="Arial" w:cs="Arial" w:eastAsia="Arial" w:hAnsi="Arial"/>
          <w:sz w:val="12"/>
          <w:szCs w:val="12"/>
          <w:color w:val="auto"/>
        </w:rPr>
        <w:t>On May 25, 2017, we amended and restated our multi-currency Credit Facility to, among other things, extend the final maturity date from June 25, 2019 to May 25, 2022, adjust the size of the Credit Facility from $545 million to $445 million and increased the size of the accordion provision to permit increases to the Credit Facility up to $750 million if certain conditions are satisfied and to include certain restrictions on the borrowing base with respect to investments located in certain countries and equity interests. This multi-currency Credit Facility is with certain lenders and SunTrust Bank, acting as administrative agent, and JPMorgan Chase Bank, N.A., acting as syndication agent for the lenders. As of June 30, 2017 and September 30, 2016, there was $82.1 million and $50.3 million, respectively, in outstanding borrowings under the Credit Facility. The Credit Facility had a weighted average interest rate of 2.45% and 2.76%, as of June 30, 2017 and September 30, 2016, respectively, excluding the undrawn commitment fees of 0.375%. The Credit Facility is a five-year revolving facility with a stated maturity date of May 25, 2022, with a one-year term-out period following its fourth year and pricing set at 225 basis points over LIBOR. The Credit Facility is secured by substantially all of our assets excluding assets held by our SBIC Funds.</w:t>
      </w:r>
    </w:p>
    <w:p>
      <w:pPr>
        <w:spacing w:after="0" w:line="200" w:lineRule="exact"/>
        <w:rPr>
          <w:sz w:val="20"/>
          <w:szCs w:val="20"/>
          <w:color w:val="auto"/>
        </w:rPr>
      </w:pPr>
    </w:p>
    <w:p>
      <w:pPr>
        <w:spacing w:after="0" w:line="262"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72390</wp:posOffset>
            </wp:positionV>
            <wp:extent cx="7149465" cy="171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22" w:name="page23"/>
    <w:bookmarkEnd w:id="22"/>
    <w:p>
      <w:pPr>
        <w:ind w:left="3220"/>
        <w:spacing w:after="0"/>
        <w:rPr>
          <w:sz w:val="20"/>
          <w:szCs w:val="20"/>
          <w:color w:val="auto"/>
        </w:rPr>
      </w:pPr>
      <w:r>
        <w:rPr>
          <w:rFonts w:ascii="Arial" w:cs="Arial" w:eastAsia="Arial" w:hAnsi="Arial"/>
          <w:sz w:val="14"/>
          <w:szCs w:val="14"/>
          <w:b w:val="1"/>
          <w:bCs w:val="1"/>
          <w:color w:val="auto"/>
        </w:rPr>
        <w:t>PENNANTPARK INVESTMENT CORPORATION AND SUBSIDIARIES</w:t>
      </w:r>
    </w:p>
    <w:p>
      <w:pPr>
        <w:ind w:left="3200"/>
        <w:spacing w:after="0" w:line="225" w:lineRule="auto"/>
        <w:rPr>
          <w:sz w:val="20"/>
          <w:szCs w:val="20"/>
          <w:color w:val="auto"/>
        </w:rPr>
      </w:pPr>
      <w:r>
        <w:rPr>
          <w:rFonts w:ascii="Arial" w:cs="Arial" w:eastAsia="Arial" w:hAnsi="Arial"/>
          <w:sz w:val="14"/>
          <w:szCs w:val="14"/>
          <w:b w:val="1"/>
          <w:bCs w:val="1"/>
          <w:color w:val="auto"/>
        </w:rPr>
        <w:t>NOTES TO CONSOLIDATED FINANCIAL STATEMENTS—(Continued)</w:t>
      </w:r>
    </w:p>
    <w:p>
      <w:pPr>
        <w:jc w:val="center"/>
        <w:ind w:right="60"/>
        <w:spacing w:after="0" w:line="221" w:lineRule="auto"/>
        <w:rPr>
          <w:sz w:val="20"/>
          <w:szCs w:val="20"/>
          <w:color w:val="auto"/>
        </w:rPr>
      </w:pPr>
      <w:r>
        <w:rPr>
          <w:rFonts w:ascii="Arial" w:cs="Arial" w:eastAsia="Arial" w:hAnsi="Arial"/>
          <w:sz w:val="14"/>
          <w:szCs w:val="14"/>
          <w:b w:val="1"/>
          <w:bCs w:val="1"/>
          <w:color w:val="auto"/>
        </w:rPr>
        <w:t>JUNE 30, 2017</w:t>
      </w:r>
    </w:p>
    <w:p>
      <w:pPr>
        <w:spacing w:after="0" w:line="1" w:lineRule="exact"/>
        <w:rPr>
          <w:sz w:val="20"/>
          <w:szCs w:val="20"/>
          <w:color w:val="auto"/>
        </w:rPr>
      </w:pPr>
    </w:p>
    <w:p>
      <w:pPr>
        <w:jc w:val="center"/>
        <w:ind w:right="60"/>
        <w:spacing w:after="0"/>
        <w:rPr>
          <w:sz w:val="20"/>
          <w:szCs w:val="20"/>
          <w:color w:val="auto"/>
        </w:rPr>
      </w:pPr>
      <w:r>
        <w:rPr>
          <w:rFonts w:ascii="Arial" w:cs="Arial" w:eastAsia="Arial" w:hAnsi="Arial"/>
          <w:sz w:val="14"/>
          <w:szCs w:val="14"/>
          <w:b w:val="1"/>
          <w:bCs w:val="1"/>
          <w:color w:val="auto"/>
        </w:rPr>
        <w:t>(Unaudited)</w:t>
      </w:r>
    </w:p>
    <w:p>
      <w:pPr>
        <w:spacing w:after="0" w:line="192"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SBA Debentures</w:t>
      </w:r>
    </w:p>
    <w:p>
      <w:pPr>
        <w:spacing w:after="0" w:line="136" w:lineRule="exact"/>
        <w:rPr>
          <w:sz w:val="20"/>
          <w:szCs w:val="20"/>
          <w:color w:val="auto"/>
        </w:rPr>
      </w:pPr>
    </w:p>
    <w:p>
      <w:pPr>
        <w:ind w:right="120" w:firstLine="434"/>
        <w:spacing w:after="0" w:line="229" w:lineRule="auto"/>
        <w:rPr>
          <w:sz w:val="20"/>
          <w:szCs w:val="20"/>
          <w:color w:val="auto"/>
        </w:rPr>
      </w:pPr>
      <w:r>
        <w:rPr>
          <w:rFonts w:ascii="Arial" w:cs="Arial" w:eastAsia="Arial" w:hAnsi="Arial"/>
          <w:sz w:val="14"/>
          <w:szCs w:val="14"/>
          <w:color w:val="auto"/>
        </w:rPr>
        <w:t>Our SBIC Funds are able to borrow funds from the SBA against regulatory capital (which approximates equity capital) that is paid-in and is subject to customary regulatory requirements including an examination by the SBA. We have funded SBIC I with $75.0 million of equity capital and it had SBA debentures outstanding of $150.0 million as of June 30, 2017. We have funded SBIC II with $75.0 million of equity capital and it had SBA debentures outstanding of $75.0 million as of June 30, 2017. SBA debentures are non-recourse to us and may be prepaid at any time without penalty. The interest rate of SBA debentures is fixed at the time of issuance, often referred to as pooling, at a market-driven spread over 10-year U.S. Treasury Notes. Under current SBA regulations, a SBIC may individually borrow to a maximum of $150.0 million, which is up to twice its potential regulatory capital, and as part of a group of SBICs under common control may borrow a maximum of $350.0 million in the aggregate.</w:t>
      </w:r>
    </w:p>
    <w:p>
      <w:pPr>
        <w:spacing w:after="0" w:line="118" w:lineRule="exact"/>
        <w:rPr>
          <w:sz w:val="20"/>
          <w:szCs w:val="20"/>
          <w:color w:val="auto"/>
        </w:rPr>
      </w:pPr>
    </w:p>
    <w:p>
      <w:pPr>
        <w:jc w:val="both"/>
        <w:ind w:right="120" w:firstLine="434"/>
        <w:spacing w:after="0" w:line="238" w:lineRule="auto"/>
        <w:rPr>
          <w:sz w:val="20"/>
          <w:szCs w:val="20"/>
          <w:color w:val="auto"/>
        </w:rPr>
      </w:pPr>
      <w:r>
        <w:rPr>
          <w:rFonts w:ascii="Arial" w:cs="Arial" w:eastAsia="Arial" w:hAnsi="Arial"/>
          <w:sz w:val="14"/>
          <w:szCs w:val="14"/>
          <w:color w:val="auto"/>
        </w:rPr>
        <w:t>As of June 30, 2017 and September 30, 2016, our SBIC Funds had $225.0 million in debt commitments, of which $225.0 and $197.5 million was drawn, respectively. As of June 30, 2017 and September 30, 2016, the unamortized fees on the SBA debentures was $4.4 million and $4.3 million, respectively. The SBA debentures’ upfront fees of 3.43% consist of a commitment fee of 1.00% and an issuance discount of 2.43%, which are being amortized.</w:t>
      </w:r>
    </w:p>
    <w:p>
      <w:pPr>
        <w:spacing w:after="0" w:line="115" w:lineRule="exact"/>
        <w:rPr>
          <w:sz w:val="20"/>
          <w:szCs w:val="20"/>
          <w:color w:val="auto"/>
        </w:rPr>
      </w:pPr>
    </w:p>
    <w:p>
      <w:pPr>
        <w:ind w:left="440"/>
        <w:spacing w:after="0"/>
        <w:rPr>
          <w:sz w:val="20"/>
          <w:szCs w:val="20"/>
          <w:color w:val="auto"/>
        </w:rPr>
      </w:pPr>
      <w:r>
        <w:rPr>
          <w:rFonts w:ascii="Arial" w:cs="Arial" w:eastAsia="Arial" w:hAnsi="Arial"/>
          <w:sz w:val="14"/>
          <w:szCs w:val="14"/>
          <w:color w:val="auto"/>
        </w:rPr>
        <w:t>Our fixed-rate SBA debentures as of June 30, 2017 and September 30, 2016 were as follows:</w:t>
      </w:r>
    </w:p>
    <w:p>
      <w:pPr>
        <w:spacing w:after="0" w:line="146"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3580" w:type="dxa"/>
            <w:vAlign w:val="bottom"/>
            <w:tcBorders>
              <w:bottom w:val="single" w:sz="8" w:color="auto"/>
            </w:tcBorders>
          </w:tcPr>
          <w:p>
            <w:pPr>
              <w:ind w:left="1320"/>
              <w:spacing w:after="0"/>
              <w:rPr>
                <w:sz w:val="20"/>
                <w:szCs w:val="20"/>
                <w:color w:val="auto"/>
              </w:rPr>
            </w:pPr>
            <w:r>
              <w:rPr>
                <w:rFonts w:ascii="Arial" w:cs="Arial" w:eastAsia="Arial" w:hAnsi="Arial"/>
                <w:sz w:val="14"/>
                <w:szCs w:val="14"/>
                <w:b w:val="1"/>
                <w:bCs w:val="1"/>
                <w:color w:val="auto"/>
              </w:rPr>
              <w:t>Issuance Dates</w:t>
            </w:r>
          </w:p>
        </w:tc>
        <w:tc>
          <w:tcPr>
            <w:tcW w:w="220" w:type="dxa"/>
            <w:vAlign w:val="bottom"/>
            <w:tcBorders>
              <w:bottom w:val="single" w:sz="8" w:color="CCECFF"/>
            </w:tcBorders>
          </w:tcPr>
          <w:p>
            <w:pPr>
              <w:spacing w:after="0"/>
              <w:rPr>
                <w:sz w:val="14"/>
                <w:szCs w:val="14"/>
                <w:color w:val="auto"/>
              </w:rPr>
            </w:pPr>
          </w:p>
        </w:tc>
        <w:tc>
          <w:tcPr>
            <w:tcW w:w="2160" w:type="dxa"/>
            <w:vAlign w:val="bottom"/>
            <w:tcBorders>
              <w:bottom w:val="single" w:sz="8" w:color="auto"/>
            </w:tcBorders>
          </w:tcPr>
          <w:p>
            <w:pPr>
              <w:ind w:left="800"/>
              <w:spacing w:after="0"/>
              <w:rPr>
                <w:sz w:val="20"/>
                <w:szCs w:val="20"/>
                <w:color w:val="auto"/>
              </w:rPr>
            </w:pPr>
            <w:r>
              <w:rPr>
                <w:rFonts w:ascii="Arial" w:cs="Arial" w:eastAsia="Arial" w:hAnsi="Arial"/>
                <w:sz w:val="14"/>
                <w:szCs w:val="14"/>
                <w:b w:val="1"/>
                <w:bCs w:val="1"/>
                <w:color w:val="auto"/>
              </w:rPr>
              <w:t>Maturity</w:t>
            </w:r>
          </w:p>
        </w:tc>
        <w:tc>
          <w:tcPr>
            <w:tcW w:w="240" w:type="dxa"/>
            <w:vAlign w:val="bottom"/>
            <w:tcBorders>
              <w:bottom w:val="single" w:sz="8" w:color="CCECFF"/>
            </w:tcBorders>
          </w:tcPr>
          <w:p>
            <w:pPr>
              <w:spacing w:after="0"/>
              <w:rPr>
                <w:sz w:val="14"/>
                <w:szCs w:val="14"/>
                <w:color w:val="auto"/>
              </w:rPr>
            </w:pPr>
          </w:p>
        </w:tc>
        <w:tc>
          <w:tcPr>
            <w:tcW w:w="2160" w:type="dxa"/>
            <w:vAlign w:val="bottom"/>
            <w:tcBorders>
              <w:bottom w:val="single" w:sz="8" w:color="auto"/>
            </w:tcBorders>
          </w:tcPr>
          <w:p>
            <w:pPr>
              <w:ind w:left="140"/>
              <w:spacing w:after="0"/>
              <w:rPr>
                <w:sz w:val="20"/>
                <w:szCs w:val="20"/>
                <w:color w:val="auto"/>
              </w:rPr>
            </w:pPr>
            <w:r>
              <w:rPr>
                <w:rFonts w:ascii="Arial" w:cs="Arial" w:eastAsia="Arial" w:hAnsi="Arial"/>
                <w:sz w:val="14"/>
                <w:szCs w:val="14"/>
                <w:b w:val="1"/>
                <w:bCs w:val="1"/>
                <w:color w:val="auto"/>
              </w:rPr>
              <w:t xml:space="preserve">Fixed All-in coupon rate </w:t>
            </w:r>
            <w:r>
              <w:rPr>
                <w:rFonts w:ascii="Arial" w:cs="Arial" w:eastAsia="Arial" w:hAnsi="Arial"/>
                <w:sz w:val="12"/>
                <w:szCs w:val="12"/>
                <w:b w:val="1"/>
                <w:bCs w:val="1"/>
                <w:color w:val="auto"/>
              </w:rPr>
              <w:t>(1), (2)</w:t>
            </w:r>
          </w:p>
        </w:tc>
        <w:tc>
          <w:tcPr>
            <w:tcW w:w="300" w:type="dxa"/>
            <w:vAlign w:val="bottom"/>
            <w:tcBorders>
              <w:bottom w:val="single" w:sz="8" w:color="CCECFF"/>
            </w:tcBorders>
          </w:tcPr>
          <w:p>
            <w:pPr>
              <w:spacing w:after="0"/>
              <w:rPr>
                <w:sz w:val="14"/>
                <w:szCs w:val="14"/>
                <w:color w:val="auto"/>
              </w:rPr>
            </w:pPr>
          </w:p>
        </w:tc>
        <w:tc>
          <w:tcPr>
            <w:tcW w:w="160" w:type="dxa"/>
            <w:vAlign w:val="bottom"/>
            <w:tcBorders>
              <w:bottom w:val="single" w:sz="8" w:color="CCECFF"/>
            </w:tcBorders>
          </w:tcPr>
          <w:p>
            <w:pPr>
              <w:spacing w:after="0"/>
              <w:rPr>
                <w:sz w:val="14"/>
                <w:szCs w:val="14"/>
                <w:color w:val="auto"/>
              </w:rPr>
            </w:pPr>
          </w:p>
        </w:tc>
        <w:tc>
          <w:tcPr>
            <w:tcW w:w="360" w:type="dxa"/>
            <w:vAlign w:val="bottom"/>
            <w:tcBorders>
              <w:bottom w:val="single" w:sz="8" w:color="auto"/>
            </w:tcBorders>
          </w:tcPr>
          <w:p>
            <w:pPr>
              <w:spacing w:after="0"/>
              <w:rPr>
                <w:sz w:val="14"/>
                <w:szCs w:val="14"/>
                <w:color w:val="auto"/>
              </w:rPr>
            </w:pPr>
          </w:p>
        </w:tc>
        <w:tc>
          <w:tcPr>
            <w:tcW w:w="2060" w:type="dxa"/>
            <w:vAlign w:val="bottom"/>
            <w:tcBorders>
              <w:bottom w:val="single" w:sz="8" w:color="auto"/>
            </w:tcBorders>
          </w:tcPr>
          <w:p>
            <w:pPr>
              <w:jc w:val="right"/>
              <w:ind w:right="588"/>
              <w:spacing w:after="0"/>
              <w:rPr>
                <w:sz w:val="20"/>
                <w:szCs w:val="20"/>
                <w:color w:val="auto"/>
              </w:rPr>
            </w:pPr>
            <w:r>
              <w:rPr>
                <w:rFonts w:ascii="Arial" w:cs="Arial" w:eastAsia="Arial" w:hAnsi="Arial"/>
                <w:sz w:val="14"/>
                <w:szCs w:val="14"/>
                <w:b w:val="1"/>
                <w:bCs w:val="1"/>
                <w:color w:val="auto"/>
              </w:rPr>
              <w:t>Principal Balance</w:t>
            </w:r>
          </w:p>
        </w:tc>
        <w:tc>
          <w:tcPr>
            <w:tcW w:w="0" w:type="dxa"/>
            <w:vAlign w:val="bottom"/>
          </w:tcPr>
          <w:p>
            <w:pPr>
              <w:spacing w:after="0"/>
              <w:rPr>
                <w:sz w:val="1"/>
                <w:szCs w:val="1"/>
                <w:color w:val="auto"/>
              </w:rPr>
            </w:pPr>
          </w:p>
        </w:tc>
      </w:tr>
      <w:tr>
        <w:trPr>
          <w:trHeight w:val="155"/>
        </w:trPr>
        <w:tc>
          <w:tcPr>
            <w:tcW w:w="3580" w:type="dxa"/>
            <w:vAlign w:val="bottom"/>
            <w:shd w:val="clear" w:color="auto" w:fill="CCECFF"/>
          </w:tcPr>
          <w:p>
            <w:pPr>
              <w:spacing w:after="0" w:line="155" w:lineRule="exact"/>
              <w:rPr>
                <w:sz w:val="20"/>
                <w:szCs w:val="20"/>
                <w:color w:val="auto"/>
              </w:rPr>
            </w:pPr>
            <w:r>
              <w:rPr>
                <w:rFonts w:ascii="Arial" w:cs="Arial" w:eastAsia="Arial" w:hAnsi="Arial"/>
                <w:sz w:val="14"/>
                <w:szCs w:val="14"/>
                <w:color w:val="auto"/>
              </w:rPr>
              <w:t>September 22, 2010</w:t>
            </w:r>
          </w:p>
        </w:tc>
        <w:tc>
          <w:tcPr>
            <w:tcW w:w="220" w:type="dxa"/>
            <w:vAlign w:val="bottom"/>
            <w:shd w:val="clear" w:color="auto" w:fill="CCECFF"/>
          </w:tcPr>
          <w:p>
            <w:pPr>
              <w:spacing w:after="0"/>
              <w:rPr>
                <w:sz w:val="13"/>
                <w:szCs w:val="13"/>
                <w:color w:val="auto"/>
              </w:rPr>
            </w:pPr>
          </w:p>
        </w:tc>
        <w:tc>
          <w:tcPr>
            <w:tcW w:w="2160" w:type="dxa"/>
            <w:vAlign w:val="bottom"/>
            <w:shd w:val="clear" w:color="auto" w:fill="CCECFF"/>
          </w:tcPr>
          <w:p>
            <w:pPr>
              <w:spacing w:after="0" w:line="155" w:lineRule="exact"/>
              <w:rPr>
                <w:sz w:val="20"/>
                <w:szCs w:val="20"/>
                <w:color w:val="auto"/>
              </w:rPr>
            </w:pPr>
            <w:r>
              <w:rPr>
                <w:rFonts w:ascii="Arial" w:cs="Arial" w:eastAsia="Arial" w:hAnsi="Arial"/>
                <w:sz w:val="14"/>
                <w:szCs w:val="14"/>
                <w:color w:val="auto"/>
              </w:rPr>
              <w:t>September 1, 2020</w:t>
            </w:r>
          </w:p>
        </w:tc>
        <w:tc>
          <w:tcPr>
            <w:tcW w:w="240" w:type="dxa"/>
            <w:vAlign w:val="bottom"/>
            <w:shd w:val="clear" w:color="auto" w:fill="CCECFF"/>
          </w:tcPr>
          <w:p>
            <w:pPr>
              <w:spacing w:after="0"/>
              <w:rPr>
                <w:sz w:val="13"/>
                <w:szCs w:val="13"/>
                <w:color w:val="auto"/>
              </w:rPr>
            </w:pPr>
          </w:p>
        </w:tc>
        <w:tc>
          <w:tcPr>
            <w:tcW w:w="2460" w:type="dxa"/>
            <w:vAlign w:val="bottom"/>
            <w:gridSpan w:val="2"/>
            <w:shd w:val="clear" w:color="auto" w:fill="CCECFF"/>
          </w:tcPr>
          <w:p>
            <w:pPr>
              <w:ind w:left="1900"/>
              <w:spacing w:after="0" w:line="155" w:lineRule="exact"/>
              <w:rPr>
                <w:sz w:val="20"/>
                <w:szCs w:val="20"/>
                <w:color w:val="auto"/>
              </w:rPr>
            </w:pPr>
            <w:r>
              <w:rPr>
                <w:rFonts w:ascii="Arial" w:cs="Arial" w:eastAsia="Arial" w:hAnsi="Arial"/>
                <w:sz w:val="14"/>
                <w:szCs w:val="14"/>
                <w:color w:val="auto"/>
              </w:rPr>
              <w:t>3.50%</w:t>
            </w:r>
          </w:p>
        </w:tc>
        <w:tc>
          <w:tcPr>
            <w:tcW w:w="160" w:type="dxa"/>
            <w:vAlign w:val="bottom"/>
            <w:shd w:val="clear" w:color="auto" w:fill="CCECFF"/>
          </w:tcPr>
          <w:p>
            <w:pPr>
              <w:spacing w:after="0"/>
              <w:rPr>
                <w:sz w:val="13"/>
                <w:szCs w:val="13"/>
                <w:color w:val="auto"/>
              </w:rPr>
            </w:pPr>
          </w:p>
        </w:tc>
        <w:tc>
          <w:tcPr>
            <w:tcW w:w="360" w:type="dxa"/>
            <w:vAlign w:val="bottom"/>
            <w:shd w:val="clear" w:color="auto" w:fill="CCECFF"/>
          </w:tcPr>
          <w:p>
            <w:pPr>
              <w:jc w:val="right"/>
              <w:ind w:right="208"/>
              <w:spacing w:after="0" w:line="155" w:lineRule="exact"/>
              <w:rPr>
                <w:sz w:val="20"/>
                <w:szCs w:val="20"/>
                <w:color w:val="auto"/>
              </w:rPr>
            </w:pPr>
            <w:r>
              <w:rPr>
                <w:rFonts w:ascii="Arial" w:cs="Arial" w:eastAsia="Arial" w:hAnsi="Arial"/>
                <w:sz w:val="14"/>
                <w:szCs w:val="14"/>
                <w:color w:val="auto"/>
                <w:w w:val="76"/>
              </w:rPr>
              <w:t>$</w:t>
            </w:r>
          </w:p>
        </w:tc>
        <w:tc>
          <w:tcPr>
            <w:tcW w:w="2060" w:type="dxa"/>
            <w:vAlign w:val="bottom"/>
            <w:shd w:val="clear" w:color="auto" w:fill="CCECFF"/>
          </w:tcPr>
          <w:p>
            <w:pPr>
              <w:jc w:val="right"/>
              <w:spacing w:after="0" w:line="155" w:lineRule="exact"/>
              <w:rPr>
                <w:sz w:val="20"/>
                <w:szCs w:val="20"/>
                <w:color w:val="auto"/>
              </w:rPr>
            </w:pPr>
            <w:r>
              <w:rPr>
                <w:rFonts w:ascii="Arial" w:cs="Arial" w:eastAsia="Arial" w:hAnsi="Arial"/>
                <w:sz w:val="14"/>
                <w:szCs w:val="14"/>
                <w:color w:val="auto"/>
              </w:rPr>
              <w:t>500,000</w:t>
            </w:r>
          </w:p>
        </w:tc>
        <w:tc>
          <w:tcPr>
            <w:tcW w:w="0" w:type="dxa"/>
            <w:vAlign w:val="bottom"/>
          </w:tcPr>
          <w:p>
            <w:pPr>
              <w:spacing w:after="0"/>
              <w:rPr>
                <w:sz w:val="1"/>
                <w:szCs w:val="1"/>
                <w:color w:val="auto"/>
              </w:rPr>
            </w:pPr>
          </w:p>
        </w:tc>
      </w:tr>
      <w:tr>
        <w:trPr>
          <w:trHeight w:val="162"/>
        </w:trPr>
        <w:tc>
          <w:tcPr>
            <w:tcW w:w="3580" w:type="dxa"/>
            <w:vAlign w:val="bottom"/>
          </w:tcPr>
          <w:p>
            <w:pPr>
              <w:spacing w:after="0"/>
              <w:rPr>
                <w:sz w:val="20"/>
                <w:szCs w:val="20"/>
                <w:color w:val="auto"/>
              </w:rPr>
            </w:pPr>
            <w:r>
              <w:rPr>
                <w:rFonts w:ascii="Arial" w:cs="Arial" w:eastAsia="Arial" w:hAnsi="Arial"/>
                <w:sz w:val="14"/>
                <w:szCs w:val="14"/>
                <w:color w:val="auto"/>
              </w:rPr>
              <w:t>March 29, 2011</w:t>
            </w:r>
          </w:p>
        </w:tc>
        <w:tc>
          <w:tcPr>
            <w:tcW w:w="2620" w:type="dxa"/>
            <w:vAlign w:val="bottom"/>
            <w:gridSpan w:val="3"/>
          </w:tcPr>
          <w:p>
            <w:pPr>
              <w:ind w:left="220"/>
              <w:spacing w:after="0"/>
              <w:rPr>
                <w:sz w:val="20"/>
                <w:szCs w:val="20"/>
                <w:color w:val="auto"/>
              </w:rPr>
            </w:pPr>
            <w:r>
              <w:rPr>
                <w:rFonts w:ascii="Arial" w:cs="Arial" w:eastAsia="Arial" w:hAnsi="Arial"/>
                <w:sz w:val="14"/>
                <w:szCs w:val="14"/>
                <w:color w:val="auto"/>
              </w:rPr>
              <w:t>March 1, 2021</w:t>
            </w:r>
          </w:p>
        </w:tc>
        <w:tc>
          <w:tcPr>
            <w:tcW w:w="2160" w:type="dxa"/>
            <w:vAlign w:val="bottom"/>
          </w:tcPr>
          <w:p>
            <w:pPr>
              <w:ind w:left="1900"/>
              <w:spacing w:after="0"/>
              <w:rPr>
                <w:sz w:val="20"/>
                <w:szCs w:val="20"/>
                <w:color w:val="auto"/>
              </w:rPr>
            </w:pPr>
            <w:r>
              <w:rPr>
                <w:rFonts w:ascii="Arial" w:cs="Arial" w:eastAsia="Arial" w:hAnsi="Arial"/>
                <w:sz w:val="14"/>
                <w:szCs w:val="14"/>
                <w:color w:val="auto"/>
                <w:w w:val="87"/>
              </w:rPr>
              <w:t>4.46</w:t>
            </w:r>
          </w:p>
        </w:tc>
        <w:tc>
          <w:tcPr>
            <w:tcW w:w="3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2060" w:type="dxa"/>
            <w:vAlign w:val="bottom"/>
          </w:tcPr>
          <w:p>
            <w:pPr>
              <w:jc w:val="right"/>
              <w:spacing w:after="0"/>
              <w:rPr>
                <w:sz w:val="20"/>
                <w:szCs w:val="20"/>
                <w:color w:val="auto"/>
              </w:rPr>
            </w:pPr>
            <w:r>
              <w:rPr>
                <w:rFonts w:ascii="Arial" w:cs="Arial" w:eastAsia="Arial" w:hAnsi="Arial"/>
                <w:sz w:val="14"/>
                <w:szCs w:val="14"/>
                <w:color w:val="auto"/>
              </w:rPr>
              <w:t>44,500,000</w:t>
            </w:r>
          </w:p>
        </w:tc>
        <w:tc>
          <w:tcPr>
            <w:tcW w:w="0" w:type="dxa"/>
            <w:vAlign w:val="bottom"/>
          </w:tcPr>
          <w:p>
            <w:pPr>
              <w:spacing w:after="0"/>
              <w:rPr>
                <w:sz w:val="1"/>
                <w:szCs w:val="1"/>
                <w:color w:val="auto"/>
              </w:rPr>
            </w:pPr>
          </w:p>
        </w:tc>
      </w:tr>
      <w:tr>
        <w:trPr>
          <w:trHeight w:val="162"/>
        </w:trPr>
        <w:tc>
          <w:tcPr>
            <w:tcW w:w="3580" w:type="dxa"/>
            <w:vAlign w:val="bottom"/>
            <w:shd w:val="clear" w:color="auto" w:fill="CCECFF"/>
          </w:tcPr>
          <w:p>
            <w:pPr>
              <w:spacing w:after="0"/>
              <w:rPr>
                <w:sz w:val="20"/>
                <w:szCs w:val="20"/>
                <w:color w:val="auto"/>
              </w:rPr>
            </w:pPr>
            <w:r>
              <w:rPr>
                <w:rFonts w:ascii="Arial" w:cs="Arial" w:eastAsia="Arial" w:hAnsi="Arial"/>
                <w:sz w:val="14"/>
                <w:szCs w:val="14"/>
                <w:color w:val="auto"/>
              </w:rPr>
              <w:t>September 21, 2011</w:t>
            </w:r>
          </w:p>
        </w:tc>
        <w:tc>
          <w:tcPr>
            <w:tcW w:w="2620" w:type="dxa"/>
            <w:vAlign w:val="bottom"/>
            <w:gridSpan w:val="3"/>
            <w:shd w:val="clear" w:color="auto" w:fill="CCECFF"/>
          </w:tcPr>
          <w:p>
            <w:pPr>
              <w:ind w:left="220"/>
              <w:spacing w:after="0"/>
              <w:rPr>
                <w:sz w:val="20"/>
                <w:szCs w:val="20"/>
                <w:color w:val="auto"/>
              </w:rPr>
            </w:pPr>
            <w:r>
              <w:rPr>
                <w:rFonts w:ascii="Arial" w:cs="Arial" w:eastAsia="Arial" w:hAnsi="Arial"/>
                <w:sz w:val="14"/>
                <w:szCs w:val="14"/>
                <w:color w:val="auto"/>
              </w:rPr>
              <w:t>September 1, 2021</w:t>
            </w:r>
          </w:p>
        </w:tc>
        <w:tc>
          <w:tcPr>
            <w:tcW w:w="2160" w:type="dxa"/>
            <w:vAlign w:val="bottom"/>
            <w:shd w:val="clear" w:color="auto" w:fill="CCECFF"/>
          </w:tcPr>
          <w:p>
            <w:pPr>
              <w:ind w:left="1900"/>
              <w:spacing w:after="0"/>
              <w:rPr>
                <w:sz w:val="20"/>
                <w:szCs w:val="20"/>
                <w:color w:val="auto"/>
              </w:rPr>
            </w:pPr>
            <w:r>
              <w:rPr>
                <w:rFonts w:ascii="Arial" w:cs="Arial" w:eastAsia="Arial" w:hAnsi="Arial"/>
                <w:sz w:val="14"/>
                <w:szCs w:val="14"/>
                <w:color w:val="auto"/>
                <w:w w:val="87"/>
              </w:rPr>
              <w:t>3.38</w:t>
            </w:r>
          </w:p>
        </w:tc>
        <w:tc>
          <w:tcPr>
            <w:tcW w:w="300" w:type="dxa"/>
            <w:vAlign w:val="bottom"/>
            <w:shd w:val="clear" w:color="auto" w:fill="CCECFF"/>
          </w:tcPr>
          <w:p>
            <w:pPr>
              <w:spacing w:after="0"/>
              <w:rPr>
                <w:sz w:val="14"/>
                <w:szCs w:val="14"/>
                <w:color w:val="auto"/>
              </w:rPr>
            </w:pPr>
          </w:p>
        </w:tc>
        <w:tc>
          <w:tcPr>
            <w:tcW w:w="160" w:type="dxa"/>
            <w:vAlign w:val="bottom"/>
            <w:shd w:val="clear" w:color="auto" w:fill="CCECFF"/>
          </w:tcPr>
          <w:p>
            <w:pPr>
              <w:spacing w:after="0"/>
              <w:rPr>
                <w:sz w:val="14"/>
                <w:szCs w:val="14"/>
                <w:color w:val="auto"/>
              </w:rPr>
            </w:pPr>
          </w:p>
        </w:tc>
        <w:tc>
          <w:tcPr>
            <w:tcW w:w="360" w:type="dxa"/>
            <w:vAlign w:val="bottom"/>
            <w:shd w:val="clear" w:color="auto" w:fill="CCECFF"/>
          </w:tcPr>
          <w:p>
            <w:pPr>
              <w:spacing w:after="0"/>
              <w:rPr>
                <w:sz w:val="14"/>
                <w:szCs w:val="14"/>
                <w:color w:val="auto"/>
              </w:rPr>
            </w:pPr>
          </w:p>
        </w:tc>
        <w:tc>
          <w:tcPr>
            <w:tcW w:w="2060" w:type="dxa"/>
            <w:vAlign w:val="bottom"/>
            <w:shd w:val="clear" w:color="auto" w:fill="CCECFF"/>
          </w:tcPr>
          <w:p>
            <w:pPr>
              <w:jc w:val="right"/>
              <w:spacing w:after="0"/>
              <w:rPr>
                <w:sz w:val="20"/>
                <w:szCs w:val="20"/>
                <w:color w:val="auto"/>
              </w:rPr>
            </w:pPr>
            <w:r>
              <w:rPr>
                <w:rFonts w:ascii="Arial" w:cs="Arial" w:eastAsia="Arial" w:hAnsi="Arial"/>
                <w:sz w:val="14"/>
                <w:szCs w:val="14"/>
                <w:color w:val="auto"/>
              </w:rPr>
              <w:t>105,000,000</w:t>
            </w:r>
          </w:p>
        </w:tc>
        <w:tc>
          <w:tcPr>
            <w:tcW w:w="0" w:type="dxa"/>
            <w:vAlign w:val="bottom"/>
          </w:tcPr>
          <w:p>
            <w:pPr>
              <w:spacing w:after="0"/>
              <w:rPr>
                <w:sz w:val="1"/>
                <w:szCs w:val="1"/>
                <w:color w:val="auto"/>
              </w:rPr>
            </w:pPr>
          </w:p>
        </w:tc>
      </w:tr>
      <w:tr>
        <w:trPr>
          <w:trHeight w:val="162"/>
        </w:trPr>
        <w:tc>
          <w:tcPr>
            <w:tcW w:w="3580" w:type="dxa"/>
            <w:vAlign w:val="bottom"/>
          </w:tcPr>
          <w:p>
            <w:pPr>
              <w:spacing w:after="0"/>
              <w:rPr>
                <w:sz w:val="20"/>
                <w:szCs w:val="20"/>
                <w:color w:val="auto"/>
              </w:rPr>
            </w:pPr>
            <w:r>
              <w:rPr>
                <w:rFonts w:ascii="Arial" w:cs="Arial" w:eastAsia="Arial" w:hAnsi="Arial"/>
                <w:sz w:val="14"/>
                <w:szCs w:val="14"/>
                <w:color w:val="auto"/>
              </w:rPr>
              <w:t>March 23, 2016</w:t>
            </w:r>
          </w:p>
        </w:tc>
        <w:tc>
          <w:tcPr>
            <w:tcW w:w="2620" w:type="dxa"/>
            <w:vAlign w:val="bottom"/>
            <w:gridSpan w:val="3"/>
          </w:tcPr>
          <w:p>
            <w:pPr>
              <w:ind w:left="220"/>
              <w:spacing w:after="0"/>
              <w:rPr>
                <w:sz w:val="20"/>
                <w:szCs w:val="20"/>
                <w:color w:val="auto"/>
              </w:rPr>
            </w:pPr>
            <w:r>
              <w:rPr>
                <w:rFonts w:ascii="Arial" w:cs="Arial" w:eastAsia="Arial" w:hAnsi="Arial"/>
                <w:sz w:val="14"/>
                <w:szCs w:val="14"/>
                <w:color w:val="auto"/>
              </w:rPr>
              <w:t>March 1, 2026</w:t>
            </w:r>
          </w:p>
        </w:tc>
        <w:tc>
          <w:tcPr>
            <w:tcW w:w="2160" w:type="dxa"/>
            <w:vAlign w:val="bottom"/>
          </w:tcPr>
          <w:p>
            <w:pPr>
              <w:ind w:left="1900"/>
              <w:spacing w:after="0"/>
              <w:rPr>
                <w:sz w:val="20"/>
                <w:szCs w:val="20"/>
                <w:color w:val="auto"/>
              </w:rPr>
            </w:pPr>
            <w:r>
              <w:rPr>
                <w:rFonts w:ascii="Arial" w:cs="Arial" w:eastAsia="Arial" w:hAnsi="Arial"/>
                <w:sz w:val="14"/>
                <w:szCs w:val="14"/>
                <w:color w:val="auto"/>
                <w:w w:val="87"/>
              </w:rPr>
              <w:t>2.86</w:t>
            </w:r>
          </w:p>
        </w:tc>
        <w:tc>
          <w:tcPr>
            <w:tcW w:w="3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2060" w:type="dxa"/>
            <w:vAlign w:val="bottom"/>
          </w:tcPr>
          <w:p>
            <w:pPr>
              <w:jc w:val="right"/>
              <w:spacing w:after="0"/>
              <w:rPr>
                <w:sz w:val="20"/>
                <w:szCs w:val="20"/>
                <w:color w:val="auto"/>
              </w:rPr>
            </w:pPr>
            <w:r>
              <w:rPr>
                <w:rFonts w:ascii="Arial" w:cs="Arial" w:eastAsia="Arial" w:hAnsi="Arial"/>
                <w:sz w:val="14"/>
                <w:szCs w:val="14"/>
                <w:color w:val="auto"/>
              </w:rPr>
              <w:t>22,500,000</w:t>
            </w:r>
          </w:p>
        </w:tc>
        <w:tc>
          <w:tcPr>
            <w:tcW w:w="0" w:type="dxa"/>
            <w:vAlign w:val="bottom"/>
          </w:tcPr>
          <w:p>
            <w:pPr>
              <w:spacing w:after="0"/>
              <w:rPr>
                <w:sz w:val="1"/>
                <w:szCs w:val="1"/>
                <w:color w:val="auto"/>
              </w:rPr>
            </w:pPr>
          </w:p>
        </w:tc>
      </w:tr>
      <w:tr>
        <w:trPr>
          <w:trHeight w:val="162"/>
        </w:trPr>
        <w:tc>
          <w:tcPr>
            <w:tcW w:w="3580" w:type="dxa"/>
            <w:vAlign w:val="bottom"/>
            <w:shd w:val="clear" w:color="auto" w:fill="CCECFF"/>
          </w:tcPr>
          <w:p>
            <w:pPr>
              <w:spacing w:after="0"/>
              <w:rPr>
                <w:sz w:val="20"/>
                <w:szCs w:val="20"/>
                <w:color w:val="auto"/>
              </w:rPr>
            </w:pPr>
            <w:r>
              <w:rPr>
                <w:rFonts w:ascii="Arial" w:cs="Arial" w:eastAsia="Arial" w:hAnsi="Arial"/>
                <w:sz w:val="14"/>
                <w:szCs w:val="14"/>
                <w:color w:val="auto"/>
              </w:rPr>
              <w:t>September 21, 2016</w:t>
            </w:r>
          </w:p>
        </w:tc>
        <w:tc>
          <w:tcPr>
            <w:tcW w:w="2620" w:type="dxa"/>
            <w:vAlign w:val="bottom"/>
            <w:gridSpan w:val="3"/>
            <w:shd w:val="clear" w:color="auto" w:fill="CCECFF"/>
          </w:tcPr>
          <w:p>
            <w:pPr>
              <w:ind w:left="220"/>
              <w:spacing w:after="0"/>
              <w:rPr>
                <w:sz w:val="20"/>
                <w:szCs w:val="20"/>
                <w:color w:val="auto"/>
              </w:rPr>
            </w:pPr>
            <w:r>
              <w:rPr>
                <w:rFonts w:ascii="Arial" w:cs="Arial" w:eastAsia="Arial" w:hAnsi="Arial"/>
                <w:sz w:val="14"/>
                <w:szCs w:val="14"/>
                <w:color w:val="auto"/>
              </w:rPr>
              <w:t>September 1, 2026</w:t>
            </w:r>
          </w:p>
        </w:tc>
        <w:tc>
          <w:tcPr>
            <w:tcW w:w="2160" w:type="dxa"/>
            <w:vAlign w:val="bottom"/>
            <w:shd w:val="clear" w:color="auto" w:fill="CCECFF"/>
          </w:tcPr>
          <w:p>
            <w:pPr>
              <w:ind w:left="1900"/>
              <w:spacing w:after="0"/>
              <w:rPr>
                <w:sz w:val="20"/>
                <w:szCs w:val="20"/>
                <w:color w:val="auto"/>
              </w:rPr>
            </w:pPr>
            <w:r>
              <w:rPr>
                <w:rFonts w:ascii="Arial" w:cs="Arial" w:eastAsia="Arial" w:hAnsi="Arial"/>
                <w:sz w:val="14"/>
                <w:szCs w:val="14"/>
                <w:color w:val="auto"/>
                <w:w w:val="87"/>
              </w:rPr>
              <w:t>2.41</w:t>
            </w:r>
          </w:p>
        </w:tc>
        <w:tc>
          <w:tcPr>
            <w:tcW w:w="300" w:type="dxa"/>
            <w:vAlign w:val="bottom"/>
            <w:shd w:val="clear" w:color="auto" w:fill="CCECFF"/>
          </w:tcPr>
          <w:p>
            <w:pPr>
              <w:spacing w:after="0"/>
              <w:rPr>
                <w:sz w:val="14"/>
                <w:szCs w:val="14"/>
                <w:color w:val="auto"/>
              </w:rPr>
            </w:pPr>
          </w:p>
        </w:tc>
        <w:tc>
          <w:tcPr>
            <w:tcW w:w="160" w:type="dxa"/>
            <w:vAlign w:val="bottom"/>
            <w:shd w:val="clear" w:color="auto" w:fill="CCECFF"/>
          </w:tcPr>
          <w:p>
            <w:pPr>
              <w:spacing w:after="0"/>
              <w:rPr>
                <w:sz w:val="14"/>
                <w:szCs w:val="14"/>
                <w:color w:val="auto"/>
              </w:rPr>
            </w:pPr>
          </w:p>
        </w:tc>
        <w:tc>
          <w:tcPr>
            <w:tcW w:w="360" w:type="dxa"/>
            <w:vAlign w:val="bottom"/>
            <w:shd w:val="clear" w:color="auto" w:fill="CCECFF"/>
          </w:tcPr>
          <w:p>
            <w:pPr>
              <w:spacing w:after="0"/>
              <w:rPr>
                <w:sz w:val="14"/>
                <w:szCs w:val="14"/>
                <w:color w:val="auto"/>
              </w:rPr>
            </w:pPr>
          </w:p>
        </w:tc>
        <w:tc>
          <w:tcPr>
            <w:tcW w:w="2060" w:type="dxa"/>
            <w:vAlign w:val="bottom"/>
            <w:shd w:val="clear" w:color="auto" w:fill="CCECFF"/>
          </w:tcPr>
          <w:p>
            <w:pPr>
              <w:jc w:val="right"/>
              <w:spacing w:after="0"/>
              <w:rPr>
                <w:sz w:val="20"/>
                <w:szCs w:val="20"/>
                <w:color w:val="auto"/>
              </w:rPr>
            </w:pPr>
            <w:r>
              <w:rPr>
                <w:rFonts w:ascii="Arial" w:cs="Arial" w:eastAsia="Arial" w:hAnsi="Arial"/>
                <w:sz w:val="14"/>
                <w:szCs w:val="14"/>
                <w:color w:val="auto"/>
              </w:rPr>
              <w:t>25,000,000</w:t>
            </w:r>
          </w:p>
        </w:tc>
        <w:tc>
          <w:tcPr>
            <w:tcW w:w="0" w:type="dxa"/>
            <w:vAlign w:val="bottom"/>
          </w:tcPr>
          <w:p>
            <w:pPr>
              <w:spacing w:after="0"/>
              <w:rPr>
                <w:sz w:val="1"/>
                <w:szCs w:val="1"/>
                <w:color w:val="auto"/>
              </w:rPr>
            </w:pPr>
          </w:p>
        </w:tc>
      </w:tr>
      <w:tr>
        <w:trPr>
          <w:trHeight w:val="162"/>
        </w:trPr>
        <w:tc>
          <w:tcPr>
            <w:tcW w:w="3580" w:type="dxa"/>
            <w:vAlign w:val="bottom"/>
          </w:tcPr>
          <w:p>
            <w:pPr>
              <w:spacing w:after="0"/>
              <w:rPr>
                <w:sz w:val="20"/>
                <w:szCs w:val="20"/>
                <w:color w:val="auto"/>
              </w:rPr>
            </w:pPr>
            <w:r>
              <w:rPr>
                <w:rFonts w:ascii="Arial" w:cs="Arial" w:eastAsia="Arial" w:hAnsi="Arial"/>
                <w:sz w:val="14"/>
                <w:szCs w:val="14"/>
                <w:color w:val="auto"/>
              </w:rPr>
              <w:t xml:space="preserve">September 20, 2017 </w:t>
            </w:r>
            <w:r>
              <w:rPr>
                <w:rFonts w:ascii="Arial" w:cs="Arial" w:eastAsia="Arial" w:hAnsi="Arial"/>
                <w:sz w:val="12"/>
                <w:szCs w:val="12"/>
                <w:color w:val="auto"/>
              </w:rPr>
              <w:t>(3)</w:t>
            </w:r>
          </w:p>
        </w:tc>
        <w:tc>
          <w:tcPr>
            <w:tcW w:w="2620" w:type="dxa"/>
            <w:vAlign w:val="bottom"/>
            <w:gridSpan w:val="3"/>
          </w:tcPr>
          <w:p>
            <w:pPr>
              <w:ind w:left="220"/>
              <w:spacing w:after="0"/>
              <w:rPr>
                <w:sz w:val="20"/>
                <w:szCs w:val="20"/>
                <w:color w:val="auto"/>
              </w:rPr>
            </w:pPr>
            <w:r>
              <w:rPr>
                <w:rFonts w:ascii="Arial" w:cs="Arial" w:eastAsia="Arial" w:hAnsi="Arial"/>
                <w:sz w:val="14"/>
                <w:szCs w:val="14"/>
                <w:color w:val="auto"/>
              </w:rPr>
              <w:t>September 1, 2027</w:t>
            </w:r>
          </w:p>
        </w:tc>
        <w:tc>
          <w:tcPr>
            <w:tcW w:w="2460" w:type="dxa"/>
            <w:vAlign w:val="bottom"/>
            <w:gridSpan w:val="2"/>
          </w:tcPr>
          <w:p>
            <w:pPr>
              <w:ind w:left="1900"/>
              <w:spacing w:after="0"/>
              <w:rPr>
                <w:sz w:val="20"/>
                <w:szCs w:val="20"/>
                <w:color w:val="auto"/>
              </w:rPr>
            </w:pPr>
            <w:r>
              <w:rPr>
                <w:rFonts w:ascii="Arial" w:cs="Arial" w:eastAsia="Arial" w:hAnsi="Arial"/>
                <w:sz w:val="14"/>
                <w:szCs w:val="14"/>
                <w:color w:val="auto"/>
              </w:rPr>
              <w:t>1.91</w:t>
            </w:r>
            <w:r>
              <w:rPr>
                <w:rFonts w:ascii="Arial" w:cs="Arial" w:eastAsia="Arial" w:hAnsi="Arial"/>
                <w:sz w:val="12"/>
                <w:szCs w:val="12"/>
                <w:color w:val="auto"/>
              </w:rPr>
              <w:t>(4)</w:t>
            </w:r>
          </w:p>
        </w:tc>
        <w:tc>
          <w:tcPr>
            <w:tcW w:w="16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2060" w:type="dxa"/>
            <w:vAlign w:val="bottom"/>
          </w:tcPr>
          <w:p>
            <w:pPr>
              <w:jc w:val="right"/>
              <w:spacing w:after="0"/>
              <w:rPr>
                <w:sz w:val="20"/>
                <w:szCs w:val="20"/>
                <w:color w:val="auto"/>
              </w:rPr>
            </w:pPr>
            <w:r>
              <w:rPr>
                <w:rFonts w:ascii="Arial" w:cs="Arial" w:eastAsia="Arial" w:hAnsi="Arial"/>
                <w:sz w:val="14"/>
                <w:szCs w:val="14"/>
                <w:color w:val="auto"/>
              </w:rPr>
              <w:t>27,500,000</w:t>
            </w:r>
          </w:p>
        </w:tc>
        <w:tc>
          <w:tcPr>
            <w:tcW w:w="0" w:type="dxa"/>
            <w:vAlign w:val="bottom"/>
          </w:tcPr>
          <w:p>
            <w:pPr>
              <w:spacing w:after="0"/>
              <w:rPr>
                <w:sz w:val="1"/>
                <w:szCs w:val="1"/>
                <w:color w:val="auto"/>
              </w:rPr>
            </w:pPr>
          </w:p>
        </w:tc>
      </w:tr>
      <w:tr>
        <w:trPr>
          <w:trHeight w:val="20"/>
        </w:trPr>
        <w:tc>
          <w:tcPr>
            <w:tcW w:w="3580" w:type="dxa"/>
            <w:vAlign w:val="bottom"/>
            <w:vMerge w:val="restart"/>
            <w:shd w:val="clear" w:color="auto" w:fill="CCECFF"/>
          </w:tcPr>
          <w:p>
            <w:pPr>
              <w:spacing w:after="0"/>
              <w:rPr>
                <w:sz w:val="20"/>
                <w:szCs w:val="20"/>
                <w:color w:val="auto"/>
              </w:rPr>
            </w:pPr>
            <w:r>
              <w:rPr>
                <w:rFonts w:ascii="Arial" w:cs="Arial" w:eastAsia="Arial" w:hAnsi="Arial"/>
                <w:sz w:val="14"/>
                <w:szCs w:val="14"/>
                <w:color w:val="auto"/>
              </w:rPr>
              <w:t>Weighted Average Rate / Total</w:t>
            </w:r>
          </w:p>
        </w:tc>
        <w:tc>
          <w:tcPr>
            <w:tcW w:w="220" w:type="dxa"/>
            <w:vAlign w:val="bottom"/>
            <w:shd w:val="clear" w:color="auto" w:fill="CCECFF"/>
          </w:tcPr>
          <w:p>
            <w:pPr>
              <w:spacing w:after="0" w:line="20" w:lineRule="exact"/>
              <w:rPr>
                <w:sz w:val="1"/>
                <w:szCs w:val="1"/>
                <w:color w:val="auto"/>
              </w:rPr>
            </w:pPr>
          </w:p>
        </w:tc>
        <w:tc>
          <w:tcPr>
            <w:tcW w:w="2160" w:type="dxa"/>
            <w:vAlign w:val="bottom"/>
            <w:shd w:val="clear" w:color="auto" w:fill="CCECFF"/>
          </w:tcPr>
          <w:p>
            <w:pPr>
              <w:spacing w:after="0" w:line="20" w:lineRule="exact"/>
              <w:rPr>
                <w:sz w:val="1"/>
                <w:szCs w:val="1"/>
                <w:color w:val="auto"/>
              </w:rPr>
            </w:pPr>
          </w:p>
        </w:tc>
        <w:tc>
          <w:tcPr>
            <w:tcW w:w="240" w:type="dxa"/>
            <w:vAlign w:val="bottom"/>
            <w:shd w:val="clear" w:color="auto" w:fill="CCECFF"/>
          </w:tcPr>
          <w:p>
            <w:pPr>
              <w:spacing w:after="0" w:line="20" w:lineRule="exact"/>
              <w:rPr>
                <w:sz w:val="1"/>
                <w:szCs w:val="1"/>
                <w:color w:val="auto"/>
              </w:rPr>
            </w:pPr>
          </w:p>
        </w:tc>
        <w:tc>
          <w:tcPr>
            <w:tcW w:w="2160" w:type="dxa"/>
            <w:vAlign w:val="bottom"/>
            <w:shd w:val="clear" w:color="auto" w:fill="000000"/>
          </w:tcPr>
          <w:p>
            <w:pPr>
              <w:spacing w:after="0" w:line="20" w:lineRule="exact"/>
              <w:rPr>
                <w:sz w:val="1"/>
                <w:szCs w:val="1"/>
                <w:color w:val="auto"/>
              </w:rPr>
            </w:pPr>
          </w:p>
        </w:tc>
        <w:tc>
          <w:tcPr>
            <w:tcW w:w="300" w:type="dxa"/>
            <w:vAlign w:val="bottom"/>
            <w:shd w:val="clear" w:color="auto" w:fill="CCECFF"/>
          </w:tcPr>
          <w:p>
            <w:pPr>
              <w:spacing w:after="0" w:line="20" w:lineRule="exact"/>
              <w:rPr>
                <w:sz w:val="1"/>
                <w:szCs w:val="1"/>
                <w:color w:val="auto"/>
              </w:rPr>
            </w:pPr>
          </w:p>
        </w:tc>
        <w:tc>
          <w:tcPr>
            <w:tcW w:w="160" w:type="dxa"/>
            <w:vAlign w:val="bottom"/>
            <w:vMerge w:val="restart"/>
            <w:shd w:val="clear" w:color="auto" w:fill="CCECFF"/>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2060" w:type="dxa"/>
            <w:vAlign w:val="bottom"/>
            <w:shd w:val="clear" w:color="auto" w:fill="000000"/>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6"/>
        </w:trPr>
        <w:tc>
          <w:tcPr>
            <w:tcW w:w="3580" w:type="dxa"/>
            <w:vAlign w:val="bottom"/>
            <w:vMerge w:val="continue"/>
            <w:shd w:val="clear" w:color="auto" w:fill="CCECFF"/>
          </w:tcPr>
          <w:p>
            <w:pPr>
              <w:spacing w:after="0"/>
              <w:rPr>
                <w:sz w:val="13"/>
                <w:szCs w:val="13"/>
                <w:color w:val="auto"/>
              </w:rPr>
            </w:pPr>
          </w:p>
        </w:tc>
        <w:tc>
          <w:tcPr>
            <w:tcW w:w="220" w:type="dxa"/>
            <w:vAlign w:val="bottom"/>
            <w:shd w:val="clear" w:color="auto" w:fill="CCECFF"/>
          </w:tcPr>
          <w:p>
            <w:pPr>
              <w:spacing w:after="0"/>
              <w:rPr>
                <w:sz w:val="13"/>
                <w:szCs w:val="13"/>
                <w:color w:val="auto"/>
              </w:rPr>
            </w:pPr>
          </w:p>
        </w:tc>
        <w:tc>
          <w:tcPr>
            <w:tcW w:w="2160" w:type="dxa"/>
            <w:vAlign w:val="bottom"/>
            <w:shd w:val="clear" w:color="auto" w:fill="CCECFF"/>
          </w:tcPr>
          <w:p>
            <w:pPr>
              <w:spacing w:after="0"/>
              <w:rPr>
                <w:sz w:val="13"/>
                <w:szCs w:val="13"/>
                <w:color w:val="auto"/>
              </w:rPr>
            </w:pPr>
          </w:p>
        </w:tc>
        <w:tc>
          <w:tcPr>
            <w:tcW w:w="240" w:type="dxa"/>
            <w:vAlign w:val="bottom"/>
            <w:shd w:val="clear" w:color="auto" w:fill="CCECFF"/>
          </w:tcPr>
          <w:p>
            <w:pPr>
              <w:spacing w:after="0"/>
              <w:rPr>
                <w:sz w:val="13"/>
                <w:szCs w:val="13"/>
                <w:color w:val="auto"/>
              </w:rPr>
            </w:pPr>
          </w:p>
        </w:tc>
        <w:tc>
          <w:tcPr>
            <w:tcW w:w="2460" w:type="dxa"/>
            <w:vAlign w:val="bottom"/>
            <w:gridSpan w:val="2"/>
            <w:shd w:val="clear" w:color="auto" w:fill="CCECFF"/>
          </w:tcPr>
          <w:p>
            <w:pPr>
              <w:ind w:left="1900"/>
              <w:spacing w:after="0" w:line="155" w:lineRule="exact"/>
              <w:rPr>
                <w:sz w:val="20"/>
                <w:szCs w:val="20"/>
                <w:color w:val="auto"/>
              </w:rPr>
            </w:pPr>
            <w:r>
              <w:rPr>
                <w:rFonts w:ascii="Arial" w:cs="Arial" w:eastAsia="Arial" w:hAnsi="Arial"/>
                <w:sz w:val="14"/>
                <w:szCs w:val="14"/>
                <w:color w:val="auto"/>
              </w:rPr>
              <w:t>3.25%</w:t>
            </w:r>
          </w:p>
        </w:tc>
        <w:tc>
          <w:tcPr>
            <w:tcW w:w="160" w:type="dxa"/>
            <w:vAlign w:val="bottom"/>
            <w:vMerge w:val="continue"/>
            <w:shd w:val="clear" w:color="auto" w:fill="CCECFF"/>
          </w:tcPr>
          <w:p>
            <w:pPr>
              <w:spacing w:after="0"/>
              <w:rPr>
                <w:sz w:val="13"/>
                <w:szCs w:val="13"/>
                <w:color w:val="auto"/>
              </w:rPr>
            </w:pPr>
          </w:p>
        </w:tc>
        <w:tc>
          <w:tcPr>
            <w:tcW w:w="360" w:type="dxa"/>
            <w:vAlign w:val="bottom"/>
            <w:shd w:val="clear" w:color="auto" w:fill="CCECFF"/>
          </w:tcPr>
          <w:p>
            <w:pPr>
              <w:jc w:val="right"/>
              <w:ind w:right="208"/>
              <w:spacing w:after="0" w:line="155" w:lineRule="exact"/>
              <w:rPr>
                <w:sz w:val="20"/>
                <w:szCs w:val="20"/>
                <w:color w:val="auto"/>
              </w:rPr>
            </w:pPr>
            <w:r>
              <w:rPr>
                <w:rFonts w:ascii="Arial" w:cs="Arial" w:eastAsia="Arial" w:hAnsi="Arial"/>
                <w:sz w:val="14"/>
                <w:szCs w:val="14"/>
                <w:color w:val="auto"/>
                <w:w w:val="76"/>
              </w:rPr>
              <w:t>$</w:t>
            </w:r>
          </w:p>
        </w:tc>
        <w:tc>
          <w:tcPr>
            <w:tcW w:w="2060" w:type="dxa"/>
            <w:vAlign w:val="bottom"/>
            <w:shd w:val="clear" w:color="auto" w:fill="CCECFF"/>
          </w:tcPr>
          <w:p>
            <w:pPr>
              <w:jc w:val="right"/>
              <w:spacing w:after="0" w:line="155" w:lineRule="exact"/>
              <w:rPr>
                <w:sz w:val="20"/>
                <w:szCs w:val="20"/>
                <w:color w:val="auto"/>
              </w:rPr>
            </w:pPr>
            <w:r>
              <w:rPr>
                <w:rFonts w:ascii="Arial" w:cs="Arial" w:eastAsia="Arial" w:hAnsi="Arial"/>
                <w:sz w:val="14"/>
                <w:szCs w:val="14"/>
                <w:color w:val="auto"/>
              </w:rPr>
              <w:t>225,000,000</w:t>
            </w:r>
          </w:p>
        </w:tc>
        <w:tc>
          <w:tcPr>
            <w:tcW w:w="0" w:type="dxa"/>
            <w:vAlign w:val="bottom"/>
          </w:tcPr>
          <w:p>
            <w:pPr>
              <w:spacing w:after="0"/>
              <w:rPr>
                <w:sz w:val="1"/>
                <w:szCs w:val="1"/>
                <w:color w:val="auto"/>
              </w:rPr>
            </w:pPr>
          </w:p>
        </w:tc>
      </w:tr>
      <w:tr>
        <w:trPr>
          <w:trHeight w:val="20"/>
        </w:trPr>
        <w:tc>
          <w:tcPr>
            <w:tcW w:w="3580" w:type="dxa"/>
            <w:vAlign w:val="bottom"/>
            <w:tcBorders>
              <w:top w:val="single" w:sz="8" w:color="CCECFF"/>
            </w:tcBorders>
          </w:tcPr>
          <w:p>
            <w:pPr>
              <w:spacing w:after="0" w:line="20" w:lineRule="exact"/>
              <w:rPr>
                <w:sz w:val="1"/>
                <w:szCs w:val="1"/>
                <w:color w:val="auto"/>
              </w:rPr>
            </w:pPr>
          </w:p>
        </w:tc>
        <w:tc>
          <w:tcPr>
            <w:tcW w:w="220" w:type="dxa"/>
            <w:vAlign w:val="bottom"/>
            <w:tcBorders>
              <w:top w:val="single" w:sz="8" w:color="CCECFF"/>
            </w:tcBorders>
          </w:tcPr>
          <w:p>
            <w:pPr>
              <w:spacing w:after="0" w:line="20" w:lineRule="exact"/>
              <w:rPr>
                <w:sz w:val="1"/>
                <w:szCs w:val="1"/>
                <w:color w:val="auto"/>
              </w:rPr>
            </w:pPr>
          </w:p>
        </w:tc>
        <w:tc>
          <w:tcPr>
            <w:tcW w:w="2160" w:type="dxa"/>
            <w:vAlign w:val="bottom"/>
            <w:tcBorders>
              <w:top w:val="single" w:sz="8" w:color="CCECFF"/>
            </w:tcBorders>
          </w:tcPr>
          <w:p>
            <w:pPr>
              <w:spacing w:after="0" w:line="20" w:lineRule="exact"/>
              <w:rPr>
                <w:sz w:val="1"/>
                <w:szCs w:val="1"/>
                <w:color w:val="auto"/>
              </w:rPr>
            </w:pPr>
          </w:p>
        </w:tc>
        <w:tc>
          <w:tcPr>
            <w:tcW w:w="240" w:type="dxa"/>
            <w:vAlign w:val="bottom"/>
            <w:tcBorders>
              <w:top w:val="single" w:sz="8" w:color="CCECFF"/>
            </w:tcBorders>
          </w:tcPr>
          <w:p>
            <w:pPr>
              <w:spacing w:after="0" w:line="20" w:lineRule="exact"/>
              <w:rPr>
                <w:sz w:val="1"/>
                <w:szCs w:val="1"/>
                <w:color w:val="auto"/>
              </w:rPr>
            </w:pPr>
          </w:p>
        </w:tc>
        <w:tc>
          <w:tcPr>
            <w:tcW w:w="216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Borders>
              <w:top w:val="single" w:sz="8" w:color="CCECFF"/>
            </w:tcBorders>
          </w:tcPr>
          <w:p>
            <w:pPr>
              <w:spacing w:after="0" w:line="20" w:lineRule="exact"/>
              <w:rPr>
                <w:sz w:val="1"/>
                <w:szCs w:val="1"/>
                <w:color w:val="auto"/>
              </w:rPr>
            </w:pPr>
          </w:p>
        </w:tc>
        <w:tc>
          <w:tcPr>
            <w:tcW w:w="160" w:type="dxa"/>
            <w:vAlign w:val="bottom"/>
            <w:tcBorders>
              <w:top w:val="single" w:sz="8" w:color="CCECFF"/>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206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56" w:lineRule="exact"/>
        <w:rPr>
          <w:sz w:val="20"/>
          <w:szCs w:val="20"/>
          <w:color w:val="auto"/>
        </w:rPr>
      </w:pPr>
    </w:p>
    <w:p>
      <w:pPr>
        <w:ind w:left="380" w:hanging="372"/>
        <w:spacing w:after="0"/>
        <w:tabs>
          <w:tab w:leader="none" w:pos="380" w:val="left"/>
        </w:tabs>
        <w:numPr>
          <w:ilvl w:val="0"/>
          <w:numId w:val="18"/>
        </w:numPr>
        <w:rPr>
          <w:rFonts w:ascii="Arial" w:cs="Arial" w:eastAsia="Arial" w:hAnsi="Arial"/>
          <w:sz w:val="12"/>
          <w:szCs w:val="12"/>
          <w:color w:val="auto"/>
        </w:rPr>
      </w:pPr>
      <w:r>
        <w:rPr>
          <w:rFonts w:ascii="Arial" w:cs="Arial" w:eastAsia="Arial" w:hAnsi="Arial"/>
          <w:sz w:val="14"/>
          <w:szCs w:val="14"/>
          <w:color w:val="auto"/>
        </w:rPr>
        <w:t>Excludes 3.43% of upfront fees.</w:t>
      </w:r>
    </w:p>
    <w:p>
      <w:pPr>
        <w:ind w:left="380" w:hanging="372"/>
        <w:spacing w:after="0" w:line="221" w:lineRule="auto"/>
        <w:tabs>
          <w:tab w:leader="none" w:pos="380" w:val="left"/>
        </w:tabs>
        <w:numPr>
          <w:ilvl w:val="0"/>
          <w:numId w:val="18"/>
        </w:numPr>
        <w:rPr>
          <w:rFonts w:ascii="Arial" w:cs="Arial" w:eastAsia="Arial" w:hAnsi="Arial"/>
          <w:sz w:val="12"/>
          <w:szCs w:val="12"/>
          <w:color w:val="auto"/>
        </w:rPr>
      </w:pPr>
      <w:r>
        <w:rPr>
          <w:rFonts w:ascii="Arial" w:cs="Arial" w:eastAsia="Arial" w:hAnsi="Arial"/>
          <w:sz w:val="14"/>
          <w:szCs w:val="14"/>
          <w:color w:val="auto"/>
        </w:rPr>
        <w:t>As of September 30, 2016, the fixed all-in coupon rate was 3.44%.</w:t>
      </w:r>
    </w:p>
    <w:p>
      <w:pPr>
        <w:ind w:left="380" w:hanging="372"/>
        <w:spacing w:after="0" w:line="221" w:lineRule="auto"/>
        <w:tabs>
          <w:tab w:leader="none" w:pos="380" w:val="left"/>
        </w:tabs>
        <w:numPr>
          <w:ilvl w:val="0"/>
          <w:numId w:val="18"/>
        </w:numPr>
        <w:rPr>
          <w:rFonts w:ascii="Arial" w:cs="Arial" w:eastAsia="Arial" w:hAnsi="Arial"/>
          <w:sz w:val="12"/>
          <w:szCs w:val="12"/>
          <w:color w:val="auto"/>
        </w:rPr>
      </w:pPr>
      <w:r>
        <w:rPr>
          <w:rFonts w:ascii="Arial" w:cs="Arial" w:eastAsia="Arial" w:hAnsi="Arial"/>
          <w:sz w:val="14"/>
          <w:szCs w:val="14"/>
          <w:color w:val="auto"/>
        </w:rPr>
        <w:t>Represents expected next pooling date and maturity date.</w:t>
      </w:r>
    </w:p>
    <w:p>
      <w:pPr>
        <w:ind w:left="380" w:hanging="372"/>
        <w:spacing w:after="0"/>
        <w:tabs>
          <w:tab w:leader="none" w:pos="380" w:val="left"/>
        </w:tabs>
        <w:numPr>
          <w:ilvl w:val="0"/>
          <w:numId w:val="18"/>
        </w:numPr>
        <w:rPr>
          <w:rFonts w:ascii="Arial" w:cs="Arial" w:eastAsia="Arial" w:hAnsi="Arial"/>
          <w:sz w:val="12"/>
          <w:szCs w:val="12"/>
          <w:color w:val="auto"/>
        </w:rPr>
      </w:pPr>
      <w:r>
        <w:rPr>
          <w:rFonts w:ascii="Arial" w:cs="Arial" w:eastAsia="Arial" w:hAnsi="Arial"/>
          <w:sz w:val="14"/>
          <w:szCs w:val="14"/>
          <w:color w:val="auto"/>
        </w:rPr>
        <w:t>Represents a temporary financing that will reset to a market-driven rate in September 2017 and remain fixed thereafter for ten years.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-388620</wp:posOffset>
            </wp:positionV>
            <wp:extent cx="1345565" cy="825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1345565" cy="8255"/>
                    </a:xfrm>
                    <a:prstGeom prst="rect">
                      <a:avLst/>
                    </a:prstGeom>
                    <a:noFill/>
                  </pic:spPr>
                </pic:pic>
              </a:graphicData>
            </a:graphic>
          </wp:anchor>
        </w:drawing>
      </w:r>
    </w:p>
    <w:p>
      <w:pPr>
        <w:spacing w:after="0" w:line="104" w:lineRule="exact"/>
        <w:rPr>
          <w:sz w:val="20"/>
          <w:szCs w:val="20"/>
          <w:color w:val="auto"/>
        </w:rPr>
      </w:pPr>
    </w:p>
    <w:p>
      <w:pPr>
        <w:ind w:right="220" w:firstLine="456"/>
        <w:spacing w:after="0" w:line="231" w:lineRule="auto"/>
        <w:rPr>
          <w:sz w:val="20"/>
          <w:szCs w:val="20"/>
          <w:color w:val="auto"/>
        </w:rPr>
      </w:pPr>
      <w:r>
        <w:rPr>
          <w:rFonts w:ascii="Arial" w:cs="Arial" w:eastAsia="Arial" w:hAnsi="Arial"/>
          <w:sz w:val="14"/>
          <w:szCs w:val="14"/>
          <w:color w:val="auto"/>
        </w:rPr>
        <w:t>The SBIC program is designed to stimulate the flow of capital into eligible businesses. Under SBA regulations, our SBIC Funds are subject to regulatory requirements, including making investments in SBA eligible businesses, investing at least 25% of regulatory capital in eligible smaller businesses, as defined under the 1958 Act, placing certain limitations on the financing terms of investments, prohibiting investment in certain industries and requiring capitalization thresholds that limit distributions to us, and are subject to periodic audits and examinations of their financial statements that are prepared on a basis of accounting other than GAAP (for example, fair value, as defined under ASC 820, is not required to be used for assets or liabilities for such compliance reporting). As of June 30, 2017, our SBIC Funds were in compliance with their regulatory requirements.</w:t>
      </w:r>
    </w:p>
    <w:p>
      <w:pPr>
        <w:spacing w:after="0" w:line="116"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2019 Notes</w:t>
      </w:r>
    </w:p>
    <w:p>
      <w:pPr>
        <w:spacing w:after="0" w:line="136" w:lineRule="exact"/>
        <w:rPr>
          <w:sz w:val="20"/>
          <w:szCs w:val="20"/>
          <w:color w:val="auto"/>
        </w:rPr>
      </w:pPr>
    </w:p>
    <w:p>
      <w:pPr>
        <w:ind w:right="100" w:firstLine="456"/>
        <w:spacing w:after="0" w:line="264" w:lineRule="auto"/>
        <w:rPr>
          <w:sz w:val="20"/>
          <w:szCs w:val="20"/>
          <w:color w:val="auto"/>
        </w:rPr>
      </w:pPr>
      <w:r>
        <w:rPr>
          <w:rFonts w:ascii="Arial" w:cs="Arial" w:eastAsia="Arial" w:hAnsi="Arial"/>
          <w:sz w:val="13"/>
          <w:szCs w:val="13"/>
          <w:color w:val="auto"/>
        </w:rPr>
        <w:t>As of June 30, 2017 and September 30, 2016, we had $250.0 million in aggregate principal amount of 2019 Notes outstanding. Interest on the 2019 Notes is paid semi-annually on April 1 and October 1, at a rate of 4.50% per year. The 2019 Notes mature on October 1, 2019. The 2019 Notes are general, unsecured obligations and rank equal in right of payment with all of our existing and future senior unsecured indebtedness. The 2019 Notes are structurally subordinated to our SBA debentures and the assets pledged or secured under our Credit Facility.</w:t>
      </w:r>
    </w:p>
    <w:p>
      <w:pPr>
        <w:spacing w:after="0" w:line="101"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2025 Notes</w:t>
      </w:r>
    </w:p>
    <w:p>
      <w:pPr>
        <w:spacing w:after="0" w:line="136" w:lineRule="exact"/>
        <w:rPr>
          <w:sz w:val="20"/>
          <w:szCs w:val="20"/>
          <w:color w:val="auto"/>
        </w:rPr>
      </w:pPr>
    </w:p>
    <w:p>
      <w:pPr>
        <w:ind w:right="40" w:firstLine="456"/>
        <w:spacing w:after="0" w:line="233" w:lineRule="auto"/>
        <w:rPr>
          <w:sz w:val="20"/>
          <w:szCs w:val="20"/>
          <w:color w:val="auto"/>
        </w:rPr>
      </w:pPr>
      <w:r>
        <w:rPr>
          <w:rFonts w:ascii="Arial" w:cs="Arial" w:eastAsia="Arial" w:hAnsi="Arial"/>
          <w:sz w:val="14"/>
          <w:szCs w:val="14"/>
          <w:color w:val="auto"/>
        </w:rPr>
        <w:t>As of June 30, 2017 and September 30, 2016, we had zero and $71.3 million in aggregate principal amount of 2025 Notes outstanding, respectively. Interest on the 2025 Notes was paid quarterly on February 1, May 1, August 1 and November 1, at a rate of 6.25% per year. On June 29, 2017, the 2025 Notes were redeemed. The 2025 Notes had been scheduled to mature on February 1, 2025. The 2025 Notes were general, unsecured obligations and ranked equal in right of payment with all of our unsecured indebtedness. The 2025 Notes were structurally subordinated to our SBA debentures and the assets pledged or secured under our Credit Facility.</w:t>
      </w:r>
    </w:p>
    <w:p>
      <w:pPr>
        <w:spacing w:after="0" w:line="113"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11. COMMITMENTS AND CONTINGENCIES</w:t>
      </w:r>
    </w:p>
    <w:p>
      <w:pPr>
        <w:spacing w:after="0" w:line="140" w:lineRule="exact"/>
        <w:rPr>
          <w:sz w:val="20"/>
          <w:szCs w:val="20"/>
          <w:color w:val="auto"/>
        </w:rPr>
      </w:pPr>
    </w:p>
    <w:p>
      <w:pPr>
        <w:ind w:firstLine="456"/>
        <w:spacing w:after="0" w:line="233" w:lineRule="auto"/>
        <w:rPr>
          <w:sz w:val="20"/>
          <w:szCs w:val="20"/>
          <w:color w:val="auto"/>
        </w:rPr>
      </w:pPr>
      <w:r>
        <w:rPr>
          <w:rFonts w:ascii="Arial" w:cs="Arial" w:eastAsia="Arial" w:hAnsi="Arial"/>
          <w:sz w:val="14"/>
          <w:szCs w:val="14"/>
          <w:color w:val="auto"/>
        </w:rPr>
        <w:t>From time to time, we, the Investment Adviser or the Administrator may be a party to legal proceedings, including proceedings relating to the enforcement of our rights under contracts with our portfolio companies. While the outcome of these legal proceedings cannot be predicted with certainty, we do not expect that these proceedings will have a material effect upon our financial condition or results of operations. Unfunded debt and equity investments, if any, are disclosed in the Consolidated Schedules of Investments. As of June 30, 2017 and September 30, 2016, we had $7.8 million and $3.1 million, respectively, in commitments to fund investments.</w:t>
      </w:r>
    </w:p>
    <w:p>
      <w:pPr>
        <w:spacing w:after="0" w:line="200" w:lineRule="exact"/>
        <w:rPr>
          <w:sz w:val="20"/>
          <w:szCs w:val="20"/>
          <w:color w:val="auto"/>
        </w:rPr>
      </w:pPr>
    </w:p>
    <w:p>
      <w:pPr>
        <w:spacing w:after="0" w:line="282"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72390</wp:posOffset>
            </wp:positionV>
            <wp:extent cx="7149465" cy="171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23" w:name="page24"/>
    <w:bookmarkEnd w:id="23"/>
    <w:p>
      <w:pPr>
        <w:ind w:left="3220"/>
        <w:spacing w:after="0"/>
        <w:rPr>
          <w:sz w:val="20"/>
          <w:szCs w:val="20"/>
          <w:color w:val="auto"/>
        </w:rPr>
      </w:pPr>
      <w:r>
        <w:rPr>
          <w:rFonts w:ascii="Arial" w:cs="Arial" w:eastAsia="Arial" w:hAnsi="Arial"/>
          <w:sz w:val="14"/>
          <w:szCs w:val="14"/>
          <w:b w:val="1"/>
          <w:bCs w:val="1"/>
          <w:color w:val="auto"/>
        </w:rPr>
        <w:t>PENNANTPARK INVESTMENT CORPORATION AND SUBSIDIARIES</w:t>
      </w:r>
    </w:p>
    <w:p>
      <w:pPr>
        <w:ind w:left="3200"/>
        <w:spacing w:after="0" w:line="225" w:lineRule="auto"/>
        <w:rPr>
          <w:sz w:val="20"/>
          <w:szCs w:val="20"/>
          <w:color w:val="auto"/>
        </w:rPr>
      </w:pPr>
      <w:r>
        <w:rPr>
          <w:rFonts w:ascii="Arial" w:cs="Arial" w:eastAsia="Arial" w:hAnsi="Arial"/>
          <w:sz w:val="14"/>
          <w:szCs w:val="14"/>
          <w:b w:val="1"/>
          <w:bCs w:val="1"/>
          <w:color w:val="auto"/>
        </w:rPr>
        <w:t>NOTES TO CONSOLIDATED FINANCIAL STATEMENTS—(Continued)</w:t>
      </w:r>
    </w:p>
    <w:p>
      <w:pPr>
        <w:jc w:val="center"/>
        <w:ind w:right="60"/>
        <w:spacing w:after="0" w:line="221" w:lineRule="auto"/>
        <w:rPr>
          <w:sz w:val="20"/>
          <w:szCs w:val="20"/>
          <w:color w:val="auto"/>
        </w:rPr>
      </w:pPr>
      <w:r>
        <w:rPr>
          <w:rFonts w:ascii="Arial" w:cs="Arial" w:eastAsia="Arial" w:hAnsi="Arial"/>
          <w:sz w:val="14"/>
          <w:szCs w:val="14"/>
          <w:b w:val="1"/>
          <w:bCs w:val="1"/>
          <w:color w:val="auto"/>
        </w:rPr>
        <w:t>JUNE 30, 2017</w:t>
      </w:r>
    </w:p>
    <w:p>
      <w:pPr>
        <w:spacing w:after="0" w:line="1" w:lineRule="exact"/>
        <w:rPr>
          <w:sz w:val="20"/>
          <w:szCs w:val="20"/>
          <w:color w:val="auto"/>
        </w:rPr>
      </w:pPr>
    </w:p>
    <w:p>
      <w:pPr>
        <w:jc w:val="center"/>
        <w:ind w:right="60"/>
        <w:spacing w:after="0"/>
        <w:rPr>
          <w:sz w:val="20"/>
          <w:szCs w:val="20"/>
          <w:color w:val="auto"/>
        </w:rPr>
      </w:pPr>
      <w:r>
        <w:rPr>
          <w:rFonts w:ascii="Arial" w:cs="Arial" w:eastAsia="Arial" w:hAnsi="Arial"/>
          <w:sz w:val="14"/>
          <w:szCs w:val="14"/>
          <w:b w:val="1"/>
          <w:bCs w:val="1"/>
          <w:color w:val="auto"/>
        </w:rPr>
        <w:t>(Unaudited)</w:t>
      </w:r>
    </w:p>
    <w:p>
      <w:pPr>
        <w:spacing w:after="0" w:line="188"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12. UNCONSOLIDATED SIGNIFICANT SUBSIDIARIES</w:t>
      </w:r>
    </w:p>
    <w:p>
      <w:pPr>
        <w:spacing w:after="0" w:line="140" w:lineRule="exact"/>
        <w:rPr>
          <w:sz w:val="20"/>
          <w:szCs w:val="20"/>
          <w:color w:val="auto"/>
        </w:rPr>
      </w:pPr>
    </w:p>
    <w:p>
      <w:pPr>
        <w:ind w:right="100" w:firstLine="456"/>
        <w:spacing w:after="0" w:line="233" w:lineRule="auto"/>
        <w:rPr>
          <w:sz w:val="20"/>
          <w:szCs w:val="20"/>
          <w:color w:val="auto"/>
        </w:rPr>
      </w:pPr>
      <w:r>
        <w:rPr>
          <w:rFonts w:ascii="Arial" w:cs="Arial" w:eastAsia="Arial" w:hAnsi="Arial"/>
          <w:sz w:val="14"/>
          <w:szCs w:val="14"/>
          <w:color w:val="auto"/>
        </w:rPr>
        <w:t>We must determine which, if any, of our unconsolidated controlled portfolio companies is a "significant subsidiary" within the meaning of Regulation S-X. We have determined that, as of September 30, 2016, RAM Energy Holdings LLC triggered at least one of the significance tests. RAM Energy Holdings LLC became a controlled affiliated investment as of September 30, 2015. As a result and in accordance with Rule 4-08(g) of Regulation S-X, presented below is summarized unaudited financial information for RAM Energy Holdings LLC as of June 30, 2017 and September 30, 2016 as well as for the three and nine months ended June 30, 2017 and 2016.</w:t>
      </w:r>
    </w:p>
    <w:p>
      <w:pPr>
        <w:spacing w:after="0" w:line="127"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5560" w:type="dxa"/>
            <w:vAlign w:val="bottom"/>
          </w:tcPr>
          <w:p>
            <w:pPr>
              <w:spacing w:after="0"/>
              <w:rPr>
                <w:sz w:val="20"/>
                <w:szCs w:val="20"/>
                <w:color w:val="auto"/>
              </w:rPr>
            </w:pPr>
            <w:r>
              <w:rPr>
                <w:rFonts w:ascii="Arial" w:cs="Arial" w:eastAsia="Arial" w:hAnsi="Arial"/>
                <w:sz w:val="14"/>
                <w:szCs w:val="14"/>
                <w:b w:val="1"/>
                <w:bCs w:val="1"/>
                <w:color w:val="auto"/>
              </w:rPr>
              <w:t>Balance Sheet</w:t>
            </w:r>
          </w:p>
        </w:tc>
        <w:tc>
          <w:tcPr>
            <w:tcW w:w="26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2020" w:type="dxa"/>
            <w:vAlign w:val="bottom"/>
          </w:tcPr>
          <w:p>
            <w:pPr>
              <w:jc w:val="right"/>
              <w:ind w:right="748"/>
              <w:spacing w:after="0"/>
              <w:rPr>
                <w:sz w:val="20"/>
                <w:szCs w:val="20"/>
                <w:color w:val="auto"/>
              </w:rPr>
            </w:pPr>
            <w:r>
              <w:rPr>
                <w:rFonts w:ascii="Arial" w:cs="Arial" w:eastAsia="Arial" w:hAnsi="Arial"/>
                <w:sz w:val="14"/>
                <w:szCs w:val="14"/>
                <w:b w:val="1"/>
                <w:bCs w:val="1"/>
                <w:color w:val="auto"/>
              </w:rPr>
              <w:t>June 30, 2017</w:t>
            </w:r>
          </w:p>
        </w:tc>
        <w:tc>
          <w:tcPr>
            <w:tcW w:w="38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2240" w:type="dxa"/>
            <w:vAlign w:val="bottom"/>
            <w:gridSpan w:val="2"/>
          </w:tcPr>
          <w:p>
            <w:pPr>
              <w:ind w:left="280"/>
              <w:spacing w:after="0"/>
              <w:rPr>
                <w:sz w:val="20"/>
                <w:szCs w:val="20"/>
                <w:color w:val="auto"/>
              </w:rPr>
            </w:pPr>
            <w:r>
              <w:rPr>
                <w:rFonts w:ascii="Arial" w:cs="Arial" w:eastAsia="Arial" w:hAnsi="Arial"/>
                <w:sz w:val="14"/>
                <w:szCs w:val="14"/>
                <w:b w:val="1"/>
                <w:bCs w:val="1"/>
                <w:color w:val="auto"/>
              </w:rPr>
              <w:t>September 30, 2016</w:t>
            </w:r>
          </w:p>
        </w:tc>
      </w:tr>
      <w:tr>
        <w:trPr>
          <w:trHeight w:val="156"/>
        </w:trPr>
        <w:tc>
          <w:tcPr>
            <w:tcW w:w="5560" w:type="dxa"/>
            <w:vAlign w:val="bottom"/>
            <w:tcBorders>
              <w:top w:val="single" w:sz="8" w:color="auto"/>
            </w:tcBorders>
            <w:shd w:val="clear" w:color="auto" w:fill="CCECFF"/>
          </w:tcPr>
          <w:p>
            <w:pPr>
              <w:spacing w:after="0" w:line="155" w:lineRule="exact"/>
              <w:rPr>
                <w:sz w:val="20"/>
                <w:szCs w:val="20"/>
                <w:color w:val="auto"/>
              </w:rPr>
            </w:pPr>
            <w:r>
              <w:rPr>
                <w:rFonts w:ascii="Arial" w:cs="Arial" w:eastAsia="Arial" w:hAnsi="Arial"/>
                <w:sz w:val="14"/>
                <w:szCs w:val="14"/>
                <w:color w:val="auto"/>
              </w:rPr>
              <w:t>Current assets</w:t>
            </w:r>
          </w:p>
        </w:tc>
        <w:tc>
          <w:tcPr>
            <w:tcW w:w="260" w:type="dxa"/>
            <w:vAlign w:val="bottom"/>
            <w:tcBorders>
              <w:top w:val="single" w:sz="8" w:color="CCECFF"/>
            </w:tcBorders>
            <w:shd w:val="clear" w:color="auto" w:fill="CCECFF"/>
          </w:tcPr>
          <w:p>
            <w:pPr>
              <w:spacing w:after="0"/>
              <w:rPr>
                <w:sz w:val="13"/>
                <w:szCs w:val="13"/>
                <w:color w:val="auto"/>
              </w:rPr>
            </w:pPr>
          </w:p>
        </w:tc>
        <w:tc>
          <w:tcPr>
            <w:tcW w:w="440" w:type="dxa"/>
            <w:vAlign w:val="bottom"/>
            <w:tcBorders>
              <w:top w:val="single" w:sz="8" w:color="auto"/>
            </w:tcBorders>
            <w:shd w:val="clear" w:color="auto" w:fill="CCECFF"/>
          </w:tcPr>
          <w:p>
            <w:pPr>
              <w:jc w:val="right"/>
              <w:ind w:right="288"/>
              <w:spacing w:after="0" w:line="155" w:lineRule="exact"/>
              <w:rPr>
                <w:sz w:val="20"/>
                <w:szCs w:val="20"/>
                <w:color w:val="auto"/>
              </w:rPr>
            </w:pPr>
            <w:r>
              <w:rPr>
                <w:rFonts w:ascii="Arial" w:cs="Arial" w:eastAsia="Arial" w:hAnsi="Arial"/>
                <w:sz w:val="14"/>
                <w:szCs w:val="14"/>
                <w:color w:val="auto"/>
                <w:w w:val="76"/>
              </w:rPr>
              <w:t>$</w:t>
            </w:r>
          </w:p>
        </w:tc>
        <w:tc>
          <w:tcPr>
            <w:tcW w:w="2020" w:type="dxa"/>
            <w:vAlign w:val="bottom"/>
            <w:tcBorders>
              <w:top w:val="single" w:sz="8" w:color="auto"/>
            </w:tcBorders>
            <w:shd w:val="clear" w:color="auto" w:fill="CCECFF"/>
          </w:tcPr>
          <w:p>
            <w:pPr>
              <w:jc w:val="right"/>
              <w:spacing w:after="0" w:line="155" w:lineRule="exact"/>
              <w:rPr>
                <w:sz w:val="20"/>
                <w:szCs w:val="20"/>
                <w:color w:val="auto"/>
              </w:rPr>
            </w:pPr>
            <w:r>
              <w:rPr>
                <w:rFonts w:ascii="Arial" w:cs="Arial" w:eastAsia="Arial" w:hAnsi="Arial"/>
                <w:sz w:val="14"/>
                <w:szCs w:val="14"/>
                <w:color w:val="auto"/>
              </w:rPr>
              <w:t>5,678,517</w:t>
            </w:r>
          </w:p>
        </w:tc>
        <w:tc>
          <w:tcPr>
            <w:tcW w:w="380" w:type="dxa"/>
            <w:vAlign w:val="bottom"/>
            <w:tcBorders>
              <w:top w:val="single" w:sz="8" w:color="CCECFF"/>
            </w:tcBorders>
            <w:shd w:val="clear" w:color="auto" w:fill="CCECFF"/>
          </w:tcPr>
          <w:p>
            <w:pPr>
              <w:spacing w:after="0"/>
              <w:rPr>
                <w:sz w:val="13"/>
                <w:szCs w:val="13"/>
                <w:color w:val="auto"/>
              </w:rPr>
            </w:pPr>
          </w:p>
        </w:tc>
        <w:tc>
          <w:tcPr>
            <w:tcW w:w="340" w:type="dxa"/>
            <w:vAlign w:val="bottom"/>
            <w:tcBorders>
              <w:top w:val="single" w:sz="8" w:color="auto"/>
            </w:tcBorders>
            <w:shd w:val="clear" w:color="auto" w:fill="CCECFF"/>
          </w:tcPr>
          <w:p>
            <w:pPr>
              <w:jc w:val="right"/>
              <w:ind w:right="188"/>
              <w:spacing w:after="0" w:line="155" w:lineRule="exact"/>
              <w:rPr>
                <w:sz w:val="20"/>
                <w:szCs w:val="20"/>
                <w:color w:val="auto"/>
              </w:rPr>
            </w:pPr>
            <w:r>
              <w:rPr>
                <w:rFonts w:ascii="Arial" w:cs="Arial" w:eastAsia="Arial" w:hAnsi="Arial"/>
                <w:sz w:val="14"/>
                <w:szCs w:val="14"/>
                <w:color w:val="auto"/>
                <w:w w:val="76"/>
              </w:rPr>
              <w:t>$</w:t>
            </w:r>
          </w:p>
        </w:tc>
        <w:tc>
          <w:tcPr>
            <w:tcW w:w="2120" w:type="dxa"/>
            <w:vAlign w:val="bottom"/>
            <w:tcBorders>
              <w:top w:val="single" w:sz="8" w:color="auto"/>
            </w:tcBorders>
            <w:shd w:val="clear" w:color="auto" w:fill="CCECFF"/>
          </w:tcPr>
          <w:p>
            <w:pPr>
              <w:jc w:val="right"/>
              <w:spacing w:after="0" w:line="155" w:lineRule="exact"/>
              <w:rPr>
                <w:sz w:val="20"/>
                <w:szCs w:val="20"/>
                <w:color w:val="auto"/>
              </w:rPr>
            </w:pPr>
            <w:r>
              <w:rPr>
                <w:rFonts w:ascii="Arial" w:cs="Arial" w:eastAsia="Arial" w:hAnsi="Arial"/>
                <w:sz w:val="14"/>
                <w:szCs w:val="14"/>
                <w:color w:val="auto"/>
              </w:rPr>
              <w:t>1,871,645</w:t>
            </w:r>
          </w:p>
        </w:tc>
        <w:tc>
          <w:tcPr>
            <w:tcW w:w="120" w:type="dxa"/>
            <w:vAlign w:val="bottom"/>
            <w:tcBorders>
              <w:top w:val="single" w:sz="8" w:color="CCECFF"/>
            </w:tcBorders>
            <w:shd w:val="clear" w:color="auto" w:fill="CCECFF"/>
          </w:tcPr>
          <w:p>
            <w:pPr>
              <w:spacing w:after="0"/>
              <w:rPr>
                <w:sz w:val="13"/>
                <w:szCs w:val="13"/>
                <w:color w:val="auto"/>
              </w:rPr>
            </w:pPr>
          </w:p>
        </w:tc>
      </w:tr>
      <w:tr>
        <w:trPr>
          <w:trHeight w:val="162"/>
        </w:trPr>
        <w:tc>
          <w:tcPr>
            <w:tcW w:w="5560" w:type="dxa"/>
            <w:vAlign w:val="bottom"/>
          </w:tcPr>
          <w:p>
            <w:pPr>
              <w:spacing w:after="0"/>
              <w:rPr>
                <w:sz w:val="20"/>
                <w:szCs w:val="20"/>
                <w:color w:val="auto"/>
              </w:rPr>
            </w:pPr>
            <w:r>
              <w:rPr>
                <w:rFonts w:ascii="Arial" w:cs="Arial" w:eastAsia="Arial" w:hAnsi="Arial"/>
                <w:sz w:val="14"/>
                <w:szCs w:val="14"/>
                <w:color w:val="auto"/>
              </w:rPr>
              <w:t>Noncurrent assets</w:t>
            </w:r>
          </w:p>
        </w:tc>
        <w:tc>
          <w:tcPr>
            <w:tcW w:w="26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2020" w:type="dxa"/>
            <w:vAlign w:val="bottom"/>
          </w:tcPr>
          <w:p>
            <w:pPr>
              <w:jc w:val="right"/>
              <w:spacing w:after="0"/>
              <w:rPr>
                <w:sz w:val="20"/>
                <w:szCs w:val="20"/>
                <w:color w:val="auto"/>
              </w:rPr>
            </w:pPr>
            <w:r>
              <w:rPr>
                <w:rFonts w:ascii="Arial" w:cs="Arial" w:eastAsia="Arial" w:hAnsi="Arial"/>
                <w:sz w:val="14"/>
                <w:szCs w:val="14"/>
                <w:color w:val="auto"/>
              </w:rPr>
              <w:t>19,846,342</w:t>
            </w:r>
          </w:p>
        </w:tc>
        <w:tc>
          <w:tcPr>
            <w:tcW w:w="38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2120" w:type="dxa"/>
            <w:vAlign w:val="bottom"/>
          </w:tcPr>
          <w:p>
            <w:pPr>
              <w:jc w:val="right"/>
              <w:spacing w:after="0"/>
              <w:rPr>
                <w:sz w:val="20"/>
                <w:szCs w:val="20"/>
                <w:color w:val="auto"/>
              </w:rPr>
            </w:pPr>
            <w:r>
              <w:rPr>
                <w:rFonts w:ascii="Arial" w:cs="Arial" w:eastAsia="Arial" w:hAnsi="Arial"/>
                <w:sz w:val="14"/>
                <w:szCs w:val="14"/>
                <w:color w:val="auto"/>
              </w:rPr>
              <w:t>35,306,598</w:t>
            </w:r>
          </w:p>
        </w:tc>
        <w:tc>
          <w:tcPr>
            <w:tcW w:w="120" w:type="dxa"/>
            <w:vAlign w:val="bottom"/>
          </w:tcPr>
          <w:p>
            <w:pPr>
              <w:spacing w:after="0"/>
              <w:rPr>
                <w:sz w:val="14"/>
                <w:szCs w:val="14"/>
                <w:color w:val="auto"/>
              </w:rPr>
            </w:pPr>
          </w:p>
        </w:tc>
      </w:tr>
      <w:tr>
        <w:trPr>
          <w:trHeight w:val="162"/>
        </w:trPr>
        <w:tc>
          <w:tcPr>
            <w:tcW w:w="5560" w:type="dxa"/>
            <w:vAlign w:val="bottom"/>
            <w:shd w:val="clear" w:color="auto" w:fill="CCECFF"/>
          </w:tcPr>
          <w:p>
            <w:pPr>
              <w:spacing w:after="0"/>
              <w:rPr>
                <w:sz w:val="20"/>
                <w:szCs w:val="20"/>
                <w:color w:val="auto"/>
              </w:rPr>
            </w:pPr>
            <w:r>
              <w:rPr>
                <w:rFonts w:ascii="Arial" w:cs="Arial" w:eastAsia="Arial" w:hAnsi="Arial"/>
                <w:sz w:val="14"/>
                <w:szCs w:val="14"/>
                <w:color w:val="auto"/>
              </w:rPr>
              <w:t>Current liabilities</w:t>
            </w:r>
          </w:p>
        </w:tc>
        <w:tc>
          <w:tcPr>
            <w:tcW w:w="260" w:type="dxa"/>
            <w:vAlign w:val="bottom"/>
            <w:shd w:val="clear" w:color="auto" w:fill="CCECFF"/>
          </w:tcPr>
          <w:p>
            <w:pPr>
              <w:spacing w:after="0"/>
              <w:rPr>
                <w:sz w:val="14"/>
                <w:szCs w:val="14"/>
                <w:color w:val="auto"/>
              </w:rPr>
            </w:pPr>
          </w:p>
        </w:tc>
        <w:tc>
          <w:tcPr>
            <w:tcW w:w="440" w:type="dxa"/>
            <w:vAlign w:val="bottom"/>
            <w:shd w:val="clear" w:color="auto" w:fill="CCECFF"/>
          </w:tcPr>
          <w:p>
            <w:pPr>
              <w:spacing w:after="0"/>
              <w:rPr>
                <w:sz w:val="14"/>
                <w:szCs w:val="14"/>
                <w:color w:val="auto"/>
              </w:rPr>
            </w:pPr>
          </w:p>
        </w:tc>
        <w:tc>
          <w:tcPr>
            <w:tcW w:w="2020" w:type="dxa"/>
            <w:vAlign w:val="bottom"/>
            <w:shd w:val="clear" w:color="auto" w:fill="CCECFF"/>
          </w:tcPr>
          <w:p>
            <w:pPr>
              <w:jc w:val="right"/>
              <w:spacing w:after="0"/>
              <w:rPr>
                <w:sz w:val="20"/>
                <w:szCs w:val="20"/>
                <w:color w:val="auto"/>
              </w:rPr>
            </w:pPr>
            <w:r>
              <w:rPr>
                <w:rFonts w:ascii="Arial" w:cs="Arial" w:eastAsia="Arial" w:hAnsi="Arial"/>
                <w:sz w:val="14"/>
                <w:szCs w:val="14"/>
                <w:color w:val="auto"/>
              </w:rPr>
              <w:t>3,669,949</w:t>
            </w:r>
          </w:p>
        </w:tc>
        <w:tc>
          <w:tcPr>
            <w:tcW w:w="380" w:type="dxa"/>
            <w:vAlign w:val="bottom"/>
            <w:shd w:val="clear" w:color="auto" w:fill="CCECFF"/>
          </w:tcPr>
          <w:p>
            <w:pPr>
              <w:spacing w:after="0"/>
              <w:rPr>
                <w:sz w:val="14"/>
                <w:szCs w:val="14"/>
                <w:color w:val="auto"/>
              </w:rPr>
            </w:pPr>
          </w:p>
        </w:tc>
        <w:tc>
          <w:tcPr>
            <w:tcW w:w="340" w:type="dxa"/>
            <w:vAlign w:val="bottom"/>
            <w:shd w:val="clear" w:color="auto" w:fill="CCECFF"/>
          </w:tcPr>
          <w:p>
            <w:pPr>
              <w:spacing w:after="0"/>
              <w:rPr>
                <w:sz w:val="14"/>
                <w:szCs w:val="14"/>
                <w:color w:val="auto"/>
              </w:rPr>
            </w:pPr>
          </w:p>
        </w:tc>
        <w:tc>
          <w:tcPr>
            <w:tcW w:w="2120" w:type="dxa"/>
            <w:vAlign w:val="bottom"/>
            <w:shd w:val="clear" w:color="auto" w:fill="CCECFF"/>
          </w:tcPr>
          <w:p>
            <w:pPr>
              <w:jc w:val="right"/>
              <w:spacing w:after="0"/>
              <w:rPr>
                <w:sz w:val="20"/>
                <w:szCs w:val="20"/>
                <w:color w:val="auto"/>
              </w:rPr>
            </w:pPr>
            <w:r>
              <w:rPr>
                <w:rFonts w:ascii="Arial" w:cs="Arial" w:eastAsia="Arial" w:hAnsi="Arial"/>
                <w:sz w:val="14"/>
                <w:szCs w:val="14"/>
                <w:color w:val="auto"/>
              </w:rPr>
              <w:t>4,338,002</w:t>
            </w:r>
          </w:p>
        </w:tc>
        <w:tc>
          <w:tcPr>
            <w:tcW w:w="120" w:type="dxa"/>
            <w:vAlign w:val="bottom"/>
            <w:shd w:val="clear" w:color="auto" w:fill="CCECFF"/>
          </w:tcPr>
          <w:p>
            <w:pPr>
              <w:spacing w:after="0"/>
              <w:rPr>
                <w:sz w:val="14"/>
                <w:szCs w:val="14"/>
                <w:color w:val="auto"/>
              </w:rPr>
            </w:pPr>
          </w:p>
        </w:tc>
      </w:tr>
      <w:tr>
        <w:trPr>
          <w:trHeight w:val="182"/>
        </w:trPr>
        <w:tc>
          <w:tcPr>
            <w:tcW w:w="5560" w:type="dxa"/>
            <w:vAlign w:val="bottom"/>
          </w:tcPr>
          <w:p>
            <w:pPr>
              <w:spacing w:after="0"/>
              <w:rPr>
                <w:sz w:val="20"/>
                <w:szCs w:val="20"/>
                <w:color w:val="auto"/>
              </w:rPr>
            </w:pPr>
            <w:r>
              <w:rPr>
                <w:rFonts w:ascii="Arial" w:cs="Arial" w:eastAsia="Arial" w:hAnsi="Arial"/>
                <w:sz w:val="14"/>
                <w:szCs w:val="14"/>
                <w:color w:val="auto"/>
              </w:rPr>
              <w:t>Noncurrent liabilities</w:t>
            </w:r>
          </w:p>
        </w:tc>
        <w:tc>
          <w:tcPr>
            <w:tcW w:w="26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2020" w:type="dxa"/>
            <w:vAlign w:val="bottom"/>
          </w:tcPr>
          <w:p>
            <w:pPr>
              <w:jc w:val="right"/>
              <w:spacing w:after="0"/>
              <w:rPr>
                <w:sz w:val="20"/>
                <w:szCs w:val="20"/>
                <w:color w:val="auto"/>
              </w:rPr>
            </w:pPr>
            <w:r>
              <w:rPr>
                <w:rFonts w:ascii="Arial" w:cs="Arial" w:eastAsia="Arial" w:hAnsi="Arial"/>
                <w:sz w:val="14"/>
                <w:szCs w:val="14"/>
                <w:color w:val="auto"/>
              </w:rPr>
              <w:t>93,923,186</w:t>
            </w:r>
          </w:p>
        </w:tc>
        <w:tc>
          <w:tcPr>
            <w:tcW w:w="38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2120" w:type="dxa"/>
            <w:vAlign w:val="bottom"/>
          </w:tcPr>
          <w:p>
            <w:pPr>
              <w:jc w:val="right"/>
              <w:spacing w:after="0"/>
              <w:rPr>
                <w:sz w:val="20"/>
                <w:szCs w:val="20"/>
                <w:color w:val="auto"/>
              </w:rPr>
            </w:pPr>
            <w:r>
              <w:rPr>
                <w:rFonts w:ascii="Arial" w:cs="Arial" w:eastAsia="Arial" w:hAnsi="Arial"/>
                <w:sz w:val="14"/>
                <w:szCs w:val="14"/>
                <w:color w:val="auto"/>
              </w:rPr>
              <w:t>90,737,483</w:t>
            </w:r>
          </w:p>
        </w:tc>
        <w:tc>
          <w:tcPr>
            <w:tcW w:w="120" w:type="dxa"/>
            <w:vAlign w:val="bottom"/>
          </w:tcPr>
          <w:p>
            <w:pPr>
              <w:spacing w:after="0"/>
              <w:rPr>
                <w:sz w:val="15"/>
                <w:szCs w:val="15"/>
                <w:color w:val="auto"/>
              </w:rPr>
            </w:pPr>
          </w:p>
        </w:tc>
      </w:tr>
    </w:tbl>
    <w:p>
      <w:pPr>
        <w:spacing w:after="0" w:line="160"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37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2840" w:type="dxa"/>
            <w:vAlign w:val="bottom"/>
            <w:gridSpan w:val="5"/>
          </w:tcPr>
          <w:p>
            <w:pPr>
              <w:jc w:val="right"/>
              <w:ind w:right="108"/>
              <w:spacing w:after="0"/>
              <w:rPr>
                <w:sz w:val="20"/>
                <w:szCs w:val="20"/>
                <w:color w:val="auto"/>
              </w:rPr>
            </w:pPr>
            <w:r>
              <w:rPr>
                <w:rFonts w:ascii="Arial" w:cs="Arial" w:eastAsia="Arial" w:hAnsi="Arial"/>
                <w:sz w:val="14"/>
                <w:szCs w:val="14"/>
                <w:b w:val="1"/>
                <w:bCs w:val="1"/>
                <w:color w:val="auto"/>
              </w:rPr>
              <w:t>Three Months Ended June 30,</w:t>
            </w:r>
          </w:p>
        </w:tc>
        <w:tc>
          <w:tcPr>
            <w:tcW w:w="64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3260" w:type="dxa"/>
            <w:vAlign w:val="bottom"/>
            <w:gridSpan w:val="5"/>
          </w:tcPr>
          <w:p>
            <w:pPr>
              <w:jc w:val="right"/>
              <w:ind w:right="980"/>
              <w:spacing w:after="0"/>
              <w:rPr>
                <w:sz w:val="20"/>
                <w:szCs w:val="20"/>
                <w:color w:val="auto"/>
              </w:rPr>
            </w:pPr>
            <w:r>
              <w:rPr>
                <w:rFonts w:ascii="Arial" w:cs="Arial" w:eastAsia="Arial" w:hAnsi="Arial"/>
                <w:sz w:val="14"/>
                <w:szCs w:val="14"/>
                <w:b w:val="1"/>
                <w:bCs w:val="1"/>
                <w:color w:val="auto"/>
              </w:rPr>
              <w:t>Nine Months Ended June 30,</w:t>
            </w:r>
          </w:p>
        </w:tc>
        <w:tc>
          <w:tcPr>
            <w:tcW w:w="0" w:type="dxa"/>
            <w:vAlign w:val="bottom"/>
          </w:tcPr>
          <w:p>
            <w:pPr>
              <w:spacing w:after="0"/>
              <w:rPr>
                <w:sz w:val="1"/>
                <w:szCs w:val="1"/>
                <w:color w:val="auto"/>
              </w:rPr>
            </w:pPr>
          </w:p>
        </w:tc>
      </w:tr>
      <w:tr>
        <w:trPr>
          <w:trHeight w:val="26"/>
        </w:trPr>
        <w:tc>
          <w:tcPr>
            <w:tcW w:w="386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Income Statement</w:t>
            </w:r>
          </w:p>
        </w:tc>
        <w:tc>
          <w:tcPr>
            <w:tcW w:w="96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gridSpan w:val="2"/>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280" w:type="dxa"/>
            <w:vAlign w:val="bottom"/>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56"/>
        </w:trPr>
        <w:tc>
          <w:tcPr>
            <w:tcW w:w="3860" w:type="dxa"/>
            <w:vAlign w:val="bottom"/>
            <w:gridSpan w:val="2"/>
            <w:vMerge w:val="continue"/>
          </w:tcPr>
          <w:p>
            <w:pPr>
              <w:spacing w:after="0"/>
              <w:rPr>
                <w:sz w:val="13"/>
                <w:szCs w:val="13"/>
                <w:color w:val="auto"/>
              </w:rPr>
            </w:pPr>
          </w:p>
        </w:tc>
        <w:tc>
          <w:tcPr>
            <w:tcW w:w="960" w:type="dxa"/>
            <w:vAlign w:val="bottom"/>
          </w:tcPr>
          <w:p>
            <w:pPr>
              <w:jc w:val="right"/>
              <w:spacing w:after="0" w:line="155" w:lineRule="exact"/>
              <w:rPr>
                <w:sz w:val="20"/>
                <w:szCs w:val="20"/>
                <w:color w:val="auto"/>
              </w:rPr>
            </w:pPr>
            <w:r>
              <w:rPr>
                <w:rFonts w:ascii="Arial" w:cs="Arial" w:eastAsia="Arial" w:hAnsi="Arial"/>
                <w:sz w:val="14"/>
                <w:szCs w:val="14"/>
                <w:b w:val="1"/>
                <w:bCs w:val="1"/>
                <w:color w:val="auto"/>
              </w:rPr>
              <w:t>2017</w:t>
            </w:r>
          </w:p>
        </w:tc>
        <w:tc>
          <w:tcPr>
            <w:tcW w:w="6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080" w:type="dxa"/>
            <w:vAlign w:val="bottom"/>
            <w:gridSpan w:val="2"/>
          </w:tcPr>
          <w:p>
            <w:pPr>
              <w:jc w:val="right"/>
              <w:spacing w:after="0" w:line="155" w:lineRule="exact"/>
              <w:rPr>
                <w:sz w:val="20"/>
                <w:szCs w:val="20"/>
                <w:color w:val="auto"/>
              </w:rPr>
            </w:pPr>
            <w:r>
              <w:rPr>
                <w:rFonts w:ascii="Arial" w:cs="Arial" w:eastAsia="Arial" w:hAnsi="Arial"/>
                <w:sz w:val="14"/>
                <w:szCs w:val="14"/>
                <w:b w:val="1"/>
                <w:bCs w:val="1"/>
                <w:color w:val="auto"/>
              </w:rPr>
              <w:t>2016</w:t>
            </w:r>
          </w:p>
        </w:tc>
        <w:tc>
          <w:tcPr>
            <w:tcW w:w="64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1240" w:type="dxa"/>
            <w:vAlign w:val="bottom"/>
          </w:tcPr>
          <w:p>
            <w:pPr>
              <w:jc w:val="right"/>
              <w:ind w:right="588"/>
              <w:spacing w:after="0" w:line="155" w:lineRule="exact"/>
              <w:rPr>
                <w:sz w:val="20"/>
                <w:szCs w:val="20"/>
                <w:color w:val="auto"/>
              </w:rPr>
            </w:pPr>
            <w:r>
              <w:rPr>
                <w:rFonts w:ascii="Arial" w:cs="Arial" w:eastAsia="Arial" w:hAnsi="Arial"/>
                <w:sz w:val="14"/>
                <w:szCs w:val="14"/>
                <w:b w:val="1"/>
                <w:bCs w:val="1"/>
                <w:color w:val="auto"/>
              </w:rPr>
              <w:t>2017</w:t>
            </w:r>
          </w:p>
        </w:tc>
        <w:tc>
          <w:tcPr>
            <w:tcW w:w="30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1240" w:type="dxa"/>
            <w:vAlign w:val="bottom"/>
          </w:tcPr>
          <w:p>
            <w:pPr>
              <w:jc w:val="right"/>
              <w:ind w:right="588"/>
              <w:spacing w:after="0" w:line="155" w:lineRule="exact"/>
              <w:rPr>
                <w:sz w:val="20"/>
                <w:szCs w:val="20"/>
                <w:color w:val="auto"/>
              </w:rPr>
            </w:pPr>
            <w:r>
              <w:rPr>
                <w:rFonts w:ascii="Arial" w:cs="Arial" w:eastAsia="Arial" w:hAnsi="Arial"/>
                <w:sz w:val="14"/>
                <w:szCs w:val="14"/>
                <w:b w:val="1"/>
                <w:bCs w:val="1"/>
                <w:color w:val="auto"/>
              </w:rPr>
              <w:t>2016</w:t>
            </w:r>
          </w:p>
        </w:tc>
        <w:tc>
          <w:tcPr>
            <w:tcW w:w="1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5"/>
        </w:trPr>
        <w:tc>
          <w:tcPr>
            <w:tcW w:w="3700" w:type="dxa"/>
            <w:vAlign w:val="bottom"/>
            <w:tcBorders>
              <w:top w:val="single" w:sz="8" w:color="auto"/>
            </w:tcBorders>
            <w:shd w:val="clear" w:color="auto" w:fill="CCECFF"/>
          </w:tcPr>
          <w:p>
            <w:pPr>
              <w:spacing w:after="0" w:line="155" w:lineRule="exact"/>
              <w:rPr>
                <w:sz w:val="20"/>
                <w:szCs w:val="20"/>
                <w:color w:val="auto"/>
              </w:rPr>
            </w:pPr>
            <w:r>
              <w:rPr>
                <w:rFonts w:ascii="Arial" w:cs="Arial" w:eastAsia="Arial" w:hAnsi="Arial"/>
                <w:sz w:val="14"/>
                <w:szCs w:val="14"/>
                <w:color w:val="auto"/>
              </w:rPr>
              <w:t>Total revenue</w:t>
            </w:r>
          </w:p>
        </w:tc>
        <w:tc>
          <w:tcPr>
            <w:tcW w:w="160" w:type="dxa"/>
            <w:vAlign w:val="bottom"/>
            <w:tcBorders>
              <w:top w:val="single" w:sz="8" w:color="CCECFF"/>
            </w:tcBorders>
            <w:shd w:val="clear" w:color="auto" w:fill="CCECFF"/>
          </w:tcPr>
          <w:p>
            <w:pPr>
              <w:spacing w:after="0"/>
              <w:rPr>
                <w:sz w:val="13"/>
                <w:szCs w:val="13"/>
                <w:color w:val="auto"/>
              </w:rPr>
            </w:pPr>
          </w:p>
        </w:tc>
        <w:tc>
          <w:tcPr>
            <w:tcW w:w="960" w:type="dxa"/>
            <w:vAlign w:val="bottom"/>
            <w:tcBorders>
              <w:top w:val="single" w:sz="8" w:color="auto"/>
            </w:tcBorders>
            <w:shd w:val="clear" w:color="auto" w:fill="CCECFF"/>
          </w:tcPr>
          <w:p>
            <w:pPr>
              <w:jc w:val="right"/>
              <w:ind w:right="808"/>
              <w:spacing w:after="0" w:line="155" w:lineRule="exact"/>
              <w:rPr>
                <w:sz w:val="20"/>
                <w:szCs w:val="20"/>
                <w:color w:val="auto"/>
              </w:rPr>
            </w:pPr>
            <w:r>
              <w:rPr>
                <w:rFonts w:ascii="Arial" w:cs="Arial" w:eastAsia="Arial" w:hAnsi="Arial"/>
                <w:sz w:val="14"/>
                <w:szCs w:val="14"/>
                <w:color w:val="auto"/>
                <w:w w:val="76"/>
              </w:rPr>
              <w:t>$</w:t>
            </w:r>
          </w:p>
        </w:tc>
        <w:tc>
          <w:tcPr>
            <w:tcW w:w="640" w:type="dxa"/>
            <w:vAlign w:val="bottom"/>
            <w:tcBorders>
              <w:top w:val="single" w:sz="8" w:color="auto"/>
            </w:tcBorders>
            <w:shd w:val="clear" w:color="auto" w:fill="CCECFF"/>
          </w:tcPr>
          <w:p>
            <w:pPr>
              <w:jc w:val="right"/>
              <w:spacing w:after="0" w:line="155" w:lineRule="exact"/>
              <w:rPr>
                <w:sz w:val="20"/>
                <w:szCs w:val="20"/>
                <w:color w:val="auto"/>
              </w:rPr>
            </w:pPr>
            <w:r>
              <w:rPr>
                <w:rFonts w:ascii="Arial" w:cs="Arial" w:eastAsia="Arial" w:hAnsi="Arial"/>
                <w:sz w:val="14"/>
                <w:szCs w:val="14"/>
                <w:color w:val="auto"/>
                <w:w w:val="96"/>
              </w:rPr>
              <w:t>2,145,706</w:t>
            </w:r>
          </w:p>
        </w:tc>
        <w:tc>
          <w:tcPr>
            <w:tcW w:w="160" w:type="dxa"/>
            <w:vAlign w:val="bottom"/>
            <w:tcBorders>
              <w:top w:val="single" w:sz="8" w:color="CCECFF"/>
            </w:tcBorders>
            <w:shd w:val="clear" w:color="auto" w:fill="CCECFF"/>
          </w:tcPr>
          <w:p>
            <w:pPr>
              <w:spacing w:after="0"/>
              <w:rPr>
                <w:sz w:val="13"/>
                <w:szCs w:val="13"/>
                <w:color w:val="auto"/>
              </w:rPr>
            </w:pPr>
          </w:p>
        </w:tc>
        <w:tc>
          <w:tcPr>
            <w:tcW w:w="120" w:type="dxa"/>
            <w:vAlign w:val="bottom"/>
            <w:tcBorders>
              <w:top w:val="single" w:sz="8" w:color="CCECFF"/>
            </w:tcBorders>
            <w:shd w:val="clear" w:color="auto" w:fill="CCECFF"/>
          </w:tcPr>
          <w:p>
            <w:pPr>
              <w:spacing w:after="0"/>
              <w:rPr>
                <w:sz w:val="13"/>
                <w:szCs w:val="13"/>
                <w:color w:val="auto"/>
              </w:rPr>
            </w:pPr>
          </w:p>
        </w:tc>
        <w:tc>
          <w:tcPr>
            <w:tcW w:w="960" w:type="dxa"/>
            <w:vAlign w:val="bottom"/>
            <w:tcBorders>
              <w:top w:val="single" w:sz="8" w:color="auto"/>
            </w:tcBorders>
            <w:shd w:val="clear" w:color="auto" w:fill="CCECFF"/>
          </w:tcPr>
          <w:p>
            <w:pPr>
              <w:jc w:val="right"/>
              <w:ind w:right="808"/>
              <w:spacing w:after="0" w:line="155" w:lineRule="exact"/>
              <w:rPr>
                <w:sz w:val="20"/>
                <w:szCs w:val="20"/>
                <w:color w:val="auto"/>
              </w:rPr>
            </w:pPr>
            <w:r>
              <w:rPr>
                <w:rFonts w:ascii="Arial" w:cs="Arial" w:eastAsia="Arial" w:hAnsi="Arial"/>
                <w:sz w:val="14"/>
                <w:szCs w:val="14"/>
                <w:color w:val="auto"/>
                <w:w w:val="76"/>
              </w:rPr>
              <w:t>$</w:t>
            </w:r>
          </w:p>
        </w:tc>
        <w:tc>
          <w:tcPr>
            <w:tcW w:w="640" w:type="dxa"/>
            <w:vAlign w:val="bottom"/>
            <w:tcBorders>
              <w:top w:val="single" w:sz="8" w:color="auto"/>
            </w:tcBorders>
            <w:shd w:val="clear" w:color="auto" w:fill="CCECFF"/>
          </w:tcPr>
          <w:p>
            <w:pPr>
              <w:jc w:val="right"/>
              <w:spacing w:after="0" w:line="155" w:lineRule="exact"/>
              <w:rPr>
                <w:sz w:val="20"/>
                <w:szCs w:val="20"/>
                <w:color w:val="auto"/>
              </w:rPr>
            </w:pPr>
            <w:r>
              <w:rPr>
                <w:rFonts w:ascii="Arial" w:cs="Arial" w:eastAsia="Arial" w:hAnsi="Arial"/>
                <w:sz w:val="14"/>
                <w:szCs w:val="14"/>
                <w:color w:val="auto"/>
                <w:w w:val="96"/>
              </w:rPr>
              <w:t>1,169,104</w:t>
            </w:r>
          </w:p>
        </w:tc>
        <w:tc>
          <w:tcPr>
            <w:tcW w:w="280" w:type="dxa"/>
            <w:vAlign w:val="bottom"/>
            <w:tcBorders>
              <w:top w:val="single" w:sz="8" w:color="CCECFF"/>
            </w:tcBorders>
            <w:shd w:val="clear" w:color="auto" w:fill="CCECFF"/>
          </w:tcPr>
          <w:p>
            <w:pPr>
              <w:spacing w:after="0"/>
              <w:rPr>
                <w:sz w:val="13"/>
                <w:szCs w:val="13"/>
                <w:color w:val="auto"/>
              </w:rPr>
            </w:pPr>
          </w:p>
        </w:tc>
        <w:tc>
          <w:tcPr>
            <w:tcW w:w="360" w:type="dxa"/>
            <w:vAlign w:val="bottom"/>
            <w:tcBorders>
              <w:top w:val="single" w:sz="8" w:color="auto"/>
            </w:tcBorders>
            <w:shd w:val="clear" w:color="auto" w:fill="CCECFF"/>
          </w:tcPr>
          <w:p>
            <w:pPr>
              <w:jc w:val="right"/>
              <w:ind w:right="208"/>
              <w:spacing w:after="0" w:line="155" w:lineRule="exact"/>
              <w:rPr>
                <w:sz w:val="20"/>
                <w:szCs w:val="20"/>
                <w:color w:val="auto"/>
              </w:rPr>
            </w:pPr>
            <w:r>
              <w:rPr>
                <w:rFonts w:ascii="Arial" w:cs="Arial" w:eastAsia="Arial" w:hAnsi="Arial"/>
                <w:sz w:val="14"/>
                <w:szCs w:val="14"/>
                <w:color w:val="auto"/>
                <w:w w:val="76"/>
              </w:rPr>
              <w:t>$</w:t>
            </w:r>
          </w:p>
        </w:tc>
        <w:tc>
          <w:tcPr>
            <w:tcW w:w="1240" w:type="dxa"/>
            <w:vAlign w:val="bottom"/>
            <w:tcBorders>
              <w:top w:val="single" w:sz="8" w:color="auto"/>
            </w:tcBorders>
            <w:shd w:val="clear" w:color="auto" w:fill="CCECFF"/>
          </w:tcPr>
          <w:p>
            <w:pPr>
              <w:jc w:val="right"/>
              <w:spacing w:after="0" w:line="155" w:lineRule="exact"/>
              <w:rPr>
                <w:sz w:val="20"/>
                <w:szCs w:val="20"/>
                <w:color w:val="auto"/>
              </w:rPr>
            </w:pPr>
            <w:r>
              <w:rPr>
                <w:rFonts w:ascii="Arial" w:cs="Arial" w:eastAsia="Arial" w:hAnsi="Arial"/>
                <w:sz w:val="14"/>
                <w:szCs w:val="14"/>
                <w:color w:val="auto"/>
              </w:rPr>
              <w:t>6,638,749</w:t>
            </w:r>
          </w:p>
        </w:tc>
        <w:tc>
          <w:tcPr>
            <w:tcW w:w="300" w:type="dxa"/>
            <w:vAlign w:val="bottom"/>
            <w:tcBorders>
              <w:top w:val="single" w:sz="8" w:color="CCECFF"/>
            </w:tcBorders>
            <w:shd w:val="clear" w:color="auto" w:fill="CCECFF"/>
          </w:tcPr>
          <w:p>
            <w:pPr>
              <w:spacing w:after="0"/>
              <w:rPr>
                <w:sz w:val="13"/>
                <w:szCs w:val="13"/>
                <w:color w:val="auto"/>
              </w:rPr>
            </w:pPr>
          </w:p>
        </w:tc>
        <w:tc>
          <w:tcPr>
            <w:tcW w:w="360" w:type="dxa"/>
            <w:vAlign w:val="bottom"/>
            <w:tcBorders>
              <w:top w:val="single" w:sz="8" w:color="auto"/>
            </w:tcBorders>
            <w:shd w:val="clear" w:color="auto" w:fill="CCECFF"/>
          </w:tcPr>
          <w:p>
            <w:pPr>
              <w:jc w:val="right"/>
              <w:ind w:right="249"/>
              <w:spacing w:after="0"/>
              <w:rPr>
                <w:sz w:val="20"/>
                <w:szCs w:val="20"/>
                <w:color w:val="auto"/>
              </w:rPr>
            </w:pPr>
            <w:r>
              <w:rPr>
                <w:rFonts w:ascii="Arial" w:cs="Arial" w:eastAsia="Arial" w:hAnsi="Arial"/>
                <w:sz w:val="10"/>
                <w:szCs w:val="10"/>
                <w:color w:val="auto"/>
                <w:w w:val="71"/>
              </w:rPr>
              <w:t>$</w:t>
            </w:r>
          </w:p>
        </w:tc>
        <w:tc>
          <w:tcPr>
            <w:tcW w:w="1240" w:type="dxa"/>
            <w:vAlign w:val="bottom"/>
            <w:tcBorders>
              <w:top w:val="single" w:sz="8" w:color="auto"/>
            </w:tcBorders>
            <w:shd w:val="clear" w:color="auto" w:fill="CCECFF"/>
          </w:tcPr>
          <w:p>
            <w:pPr>
              <w:jc w:val="right"/>
              <w:spacing w:after="0" w:line="155" w:lineRule="exact"/>
              <w:rPr>
                <w:sz w:val="20"/>
                <w:szCs w:val="20"/>
                <w:color w:val="auto"/>
              </w:rPr>
            </w:pPr>
            <w:r>
              <w:rPr>
                <w:rFonts w:ascii="Arial" w:cs="Arial" w:eastAsia="Arial" w:hAnsi="Arial"/>
                <w:sz w:val="14"/>
                <w:szCs w:val="14"/>
                <w:color w:val="auto"/>
              </w:rPr>
              <w:t>5,326,188</w:t>
            </w:r>
          </w:p>
        </w:tc>
        <w:tc>
          <w:tcPr>
            <w:tcW w:w="120" w:type="dxa"/>
            <w:vAlign w:val="bottom"/>
            <w:tcBorders>
              <w:top w:val="single" w:sz="8" w:color="CCECFF"/>
            </w:tcBorders>
            <w:shd w:val="clear" w:color="auto" w:fill="CCECFF"/>
          </w:tcPr>
          <w:p>
            <w:pPr>
              <w:spacing w:after="0"/>
              <w:rPr>
                <w:sz w:val="13"/>
                <w:szCs w:val="13"/>
                <w:color w:val="auto"/>
              </w:rPr>
            </w:pPr>
          </w:p>
        </w:tc>
        <w:tc>
          <w:tcPr>
            <w:tcW w:w="0" w:type="dxa"/>
            <w:vAlign w:val="bottom"/>
          </w:tcPr>
          <w:p>
            <w:pPr>
              <w:spacing w:after="0"/>
              <w:rPr>
                <w:sz w:val="1"/>
                <w:szCs w:val="1"/>
                <w:color w:val="auto"/>
              </w:rPr>
            </w:pPr>
          </w:p>
        </w:tc>
      </w:tr>
      <w:tr>
        <w:trPr>
          <w:trHeight w:val="162"/>
        </w:trPr>
        <w:tc>
          <w:tcPr>
            <w:tcW w:w="3860" w:type="dxa"/>
            <w:vAlign w:val="bottom"/>
            <w:gridSpan w:val="2"/>
          </w:tcPr>
          <w:p>
            <w:pPr>
              <w:spacing w:after="0"/>
              <w:rPr>
                <w:sz w:val="20"/>
                <w:szCs w:val="20"/>
                <w:color w:val="auto"/>
              </w:rPr>
            </w:pPr>
            <w:r>
              <w:rPr>
                <w:rFonts w:ascii="Arial" w:cs="Arial" w:eastAsia="Arial" w:hAnsi="Arial"/>
                <w:sz w:val="14"/>
                <w:szCs w:val="14"/>
                <w:color w:val="auto"/>
              </w:rPr>
              <w:t>Total expenses</w:t>
            </w:r>
          </w:p>
        </w:tc>
        <w:tc>
          <w:tcPr>
            <w:tcW w:w="960" w:type="dxa"/>
            <w:vAlign w:val="bottom"/>
          </w:tcPr>
          <w:p>
            <w:pPr>
              <w:spacing w:after="0"/>
              <w:rPr>
                <w:sz w:val="14"/>
                <w:szCs w:val="14"/>
                <w:color w:val="auto"/>
              </w:rPr>
            </w:pPr>
          </w:p>
        </w:tc>
        <w:tc>
          <w:tcPr>
            <w:tcW w:w="640" w:type="dxa"/>
            <w:vAlign w:val="bottom"/>
          </w:tcPr>
          <w:p>
            <w:pPr>
              <w:jc w:val="right"/>
              <w:spacing w:after="0"/>
              <w:rPr>
                <w:sz w:val="20"/>
                <w:szCs w:val="20"/>
                <w:color w:val="auto"/>
              </w:rPr>
            </w:pPr>
            <w:r>
              <w:rPr>
                <w:rFonts w:ascii="Arial" w:cs="Arial" w:eastAsia="Arial" w:hAnsi="Arial"/>
                <w:sz w:val="14"/>
                <w:szCs w:val="14"/>
                <w:color w:val="auto"/>
                <w:w w:val="96"/>
              </w:rPr>
              <w:t>5,518,110</w:t>
            </w:r>
          </w:p>
        </w:tc>
        <w:tc>
          <w:tcPr>
            <w:tcW w:w="1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640" w:type="dxa"/>
            <w:vAlign w:val="bottom"/>
          </w:tcPr>
          <w:p>
            <w:pPr>
              <w:jc w:val="right"/>
              <w:spacing w:after="0"/>
              <w:rPr>
                <w:sz w:val="20"/>
                <w:szCs w:val="20"/>
                <w:color w:val="auto"/>
              </w:rPr>
            </w:pPr>
            <w:r>
              <w:rPr>
                <w:rFonts w:ascii="Arial" w:cs="Arial" w:eastAsia="Arial" w:hAnsi="Arial"/>
                <w:sz w:val="14"/>
                <w:szCs w:val="14"/>
                <w:color w:val="auto"/>
                <w:w w:val="96"/>
              </w:rPr>
              <w:t>5,759,369</w:t>
            </w:r>
          </w:p>
        </w:tc>
        <w:tc>
          <w:tcPr>
            <w:tcW w:w="2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240" w:type="dxa"/>
            <w:vAlign w:val="bottom"/>
          </w:tcPr>
          <w:p>
            <w:pPr>
              <w:jc w:val="right"/>
              <w:spacing w:after="0"/>
              <w:rPr>
                <w:sz w:val="20"/>
                <w:szCs w:val="20"/>
                <w:color w:val="auto"/>
              </w:rPr>
            </w:pPr>
            <w:r>
              <w:rPr>
                <w:rFonts w:ascii="Arial" w:cs="Arial" w:eastAsia="Arial" w:hAnsi="Arial"/>
                <w:sz w:val="14"/>
                <w:szCs w:val="14"/>
                <w:color w:val="auto"/>
              </w:rPr>
              <w:t>21,530,293</w:t>
            </w:r>
          </w:p>
        </w:tc>
        <w:tc>
          <w:tcPr>
            <w:tcW w:w="30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240" w:type="dxa"/>
            <w:vAlign w:val="bottom"/>
          </w:tcPr>
          <w:p>
            <w:pPr>
              <w:jc w:val="right"/>
              <w:spacing w:after="0"/>
              <w:rPr>
                <w:sz w:val="20"/>
                <w:szCs w:val="20"/>
                <w:color w:val="auto"/>
              </w:rPr>
            </w:pPr>
            <w:r>
              <w:rPr>
                <w:rFonts w:ascii="Arial" w:cs="Arial" w:eastAsia="Arial" w:hAnsi="Arial"/>
                <w:sz w:val="14"/>
                <w:szCs w:val="14"/>
                <w:color w:val="auto"/>
              </w:rPr>
              <w:t>39,331,344</w:t>
            </w: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3860" w:type="dxa"/>
            <w:vAlign w:val="bottom"/>
            <w:gridSpan w:val="2"/>
            <w:shd w:val="clear" w:color="auto" w:fill="CCECFF"/>
          </w:tcPr>
          <w:p>
            <w:pPr>
              <w:spacing w:after="0"/>
              <w:rPr>
                <w:sz w:val="20"/>
                <w:szCs w:val="20"/>
                <w:color w:val="auto"/>
              </w:rPr>
            </w:pPr>
            <w:r>
              <w:rPr>
                <w:rFonts w:ascii="Arial" w:cs="Arial" w:eastAsia="Arial" w:hAnsi="Arial"/>
                <w:sz w:val="14"/>
                <w:szCs w:val="14"/>
                <w:color w:val="auto"/>
              </w:rPr>
              <w:t>Net loss</w:t>
            </w:r>
          </w:p>
        </w:tc>
        <w:tc>
          <w:tcPr>
            <w:tcW w:w="960" w:type="dxa"/>
            <w:vAlign w:val="bottom"/>
            <w:shd w:val="clear" w:color="auto" w:fill="CCECFF"/>
          </w:tcPr>
          <w:p>
            <w:pPr>
              <w:spacing w:after="0"/>
              <w:rPr>
                <w:sz w:val="14"/>
                <w:szCs w:val="14"/>
                <w:color w:val="auto"/>
              </w:rPr>
            </w:pPr>
          </w:p>
        </w:tc>
        <w:tc>
          <w:tcPr>
            <w:tcW w:w="800" w:type="dxa"/>
            <w:vAlign w:val="bottom"/>
            <w:gridSpan w:val="2"/>
            <w:shd w:val="clear" w:color="auto" w:fill="CCECFF"/>
          </w:tcPr>
          <w:p>
            <w:pPr>
              <w:jc w:val="right"/>
              <w:ind w:right="100"/>
              <w:spacing w:after="0"/>
              <w:rPr>
                <w:sz w:val="20"/>
                <w:szCs w:val="20"/>
                <w:color w:val="auto"/>
              </w:rPr>
            </w:pPr>
            <w:r>
              <w:rPr>
                <w:rFonts w:ascii="Arial" w:cs="Arial" w:eastAsia="Arial" w:hAnsi="Arial"/>
                <w:sz w:val="14"/>
                <w:szCs w:val="14"/>
                <w:color w:val="auto"/>
                <w:w w:val="94"/>
              </w:rPr>
              <w:t>(3,372,404)</w:t>
            </w:r>
          </w:p>
        </w:tc>
        <w:tc>
          <w:tcPr>
            <w:tcW w:w="120" w:type="dxa"/>
            <w:vAlign w:val="bottom"/>
            <w:shd w:val="clear" w:color="auto" w:fill="CCECFF"/>
          </w:tcPr>
          <w:p>
            <w:pPr>
              <w:spacing w:after="0"/>
              <w:rPr>
                <w:sz w:val="14"/>
                <w:szCs w:val="14"/>
                <w:color w:val="auto"/>
              </w:rPr>
            </w:pPr>
          </w:p>
        </w:tc>
        <w:tc>
          <w:tcPr>
            <w:tcW w:w="960" w:type="dxa"/>
            <w:vAlign w:val="bottom"/>
            <w:shd w:val="clear" w:color="auto" w:fill="CCECFF"/>
          </w:tcPr>
          <w:p>
            <w:pPr>
              <w:spacing w:after="0"/>
              <w:rPr>
                <w:sz w:val="14"/>
                <w:szCs w:val="14"/>
                <w:color w:val="auto"/>
              </w:rPr>
            </w:pPr>
          </w:p>
        </w:tc>
        <w:tc>
          <w:tcPr>
            <w:tcW w:w="920" w:type="dxa"/>
            <w:vAlign w:val="bottom"/>
            <w:gridSpan w:val="2"/>
            <w:shd w:val="clear" w:color="auto" w:fill="CCECFF"/>
          </w:tcPr>
          <w:p>
            <w:pPr>
              <w:jc w:val="right"/>
              <w:ind w:right="240"/>
              <w:spacing w:after="0"/>
              <w:rPr>
                <w:sz w:val="20"/>
                <w:szCs w:val="20"/>
                <w:color w:val="auto"/>
              </w:rPr>
            </w:pPr>
            <w:r>
              <w:rPr>
                <w:rFonts w:ascii="Arial" w:cs="Arial" w:eastAsia="Arial" w:hAnsi="Arial"/>
                <w:sz w:val="14"/>
                <w:szCs w:val="14"/>
                <w:color w:val="auto"/>
                <w:w w:val="92"/>
              </w:rPr>
              <w:t>(4,590,265)</w:t>
            </w:r>
          </w:p>
        </w:tc>
        <w:tc>
          <w:tcPr>
            <w:tcW w:w="360" w:type="dxa"/>
            <w:vAlign w:val="bottom"/>
            <w:shd w:val="clear" w:color="auto" w:fill="CCECFF"/>
          </w:tcPr>
          <w:p>
            <w:pPr>
              <w:spacing w:after="0"/>
              <w:rPr>
                <w:sz w:val="14"/>
                <w:szCs w:val="14"/>
                <w:color w:val="auto"/>
              </w:rPr>
            </w:pPr>
          </w:p>
        </w:tc>
        <w:tc>
          <w:tcPr>
            <w:tcW w:w="1540" w:type="dxa"/>
            <w:vAlign w:val="bottom"/>
            <w:gridSpan w:val="2"/>
            <w:shd w:val="clear" w:color="auto" w:fill="CCECFF"/>
          </w:tcPr>
          <w:p>
            <w:pPr>
              <w:jc w:val="right"/>
              <w:ind w:right="240"/>
              <w:spacing w:after="0"/>
              <w:rPr>
                <w:sz w:val="20"/>
                <w:szCs w:val="20"/>
                <w:color w:val="auto"/>
              </w:rPr>
            </w:pPr>
            <w:r>
              <w:rPr>
                <w:rFonts w:ascii="Arial" w:cs="Arial" w:eastAsia="Arial" w:hAnsi="Arial"/>
                <w:sz w:val="14"/>
                <w:szCs w:val="14"/>
                <w:color w:val="auto"/>
              </w:rPr>
              <w:t>(14,891,544)</w:t>
            </w:r>
          </w:p>
        </w:tc>
        <w:tc>
          <w:tcPr>
            <w:tcW w:w="360" w:type="dxa"/>
            <w:vAlign w:val="bottom"/>
            <w:shd w:val="clear" w:color="auto" w:fill="CCECFF"/>
          </w:tcPr>
          <w:p>
            <w:pPr>
              <w:spacing w:after="0"/>
              <w:rPr>
                <w:sz w:val="14"/>
                <w:szCs w:val="14"/>
                <w:color w:val="auto"/>
              </w:rPr>
            </w:pPr>
          </w:p>
        </w:tc>
        <w:tc>
          <w:tcPr>
            <w:tcW w:w="1360" w:type="dxa"/>
            <w:vAlign w:val="bottom"/>
            <w:gridSpan w:val="2"/>
            <w:shd w:val="clear" w:color="auto" w:fill="CCECFF"/>
          </w:tcPr>
          <w:p>
            <w:pPr>
              <w:jc w:val="right"/>
              <w:ind w:right="80"/>
              <w:spacing w:after="0"/>
              <w:rPr>
                <w:sz w:val="20"/>
                <w:szCs w:val="20"/>
                <w:color w:val="auto"/>
              </w:rPr>
            </w:pPr>
            <w:r>
              <w:rPr>
                <w:rFonts w:ascii="Arial" w:cs="Arial" w:eastAsia="Arial" w:hAnsi="Arial"/>
                <w:sz w:val="14"/>
                <w:szCs w:val="14"/>
                <w:color w:val="auto"/>
              </w:rPr>
              <w:t>(34,005,156)</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391"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72390</wp:posOffset>
            </wp:positionV>
            <wp:extent cx="7149465" cy="171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24" w:name="page25"/>
    <w:bookmarkEnd w:id="24"/>
    <w:p>
      <w:pPr>
        <w:jc w:val="center"/>
        <w:ind w:right="-39"/>
        <w:spacing w:after="0"/>
        <w:rPr>
          <w:sz w:val="20"/>
          <w:szCs w:val="20"/>
          <w:color w:val="auto"/>
        </w:rPr>
      </w:pPr>
      <w:r>
        <w:rPr>
          <w:rFonts w:ascii="Arial" w:cs="Arial" w:eastAsia="Arial" w:hAnsi="Arial"/>
          <w:sz w:val="14"/>
          <w:szCs w:val="14"/>
          <w:b w:val="1"/>
          <w:bCs w:val="1"/>
          <w:color w:val="auto"/>
        </w:rPr>
        <w:t>Report of Independent Registered Public Accounting Firm</w:t>
      </w:r>
    </w:p>
    <w:p>
      <w:pPr>
        <w:spacing w:after="0" w:line="288" w:lineRule="exact"/>
        <w:rPr>
          <w:sz w:val="20"/>
          <w:szCs w:val="20"/>
          <w:color w:val="auto"/>
        </w:rPr>
      </w:pPr>
    </w:p>
    <w:p>
      <w:pPr>
        <w:spacing w:after="0"/>
        <w:rPr>
          <w:sz w:val="20"/>
          <w:szCs w:val="20"/>
          <w:color w:val="auto"/>
        </w:rPr>
      </w:pPr>
      <w:r>
        <w:rPr>
          <w:rFonts w:ascii="Arial" w:cs="Arial" w:eastAsia="Arial" w:hAnsi="Arial"/>
          <w:sz w:val="14"/>
          <w:szCs w:val="14"/>
          <w:color w:val="auto"/>
        </w:rPr>
        <w:t>The Board of Directors and Stockholders</w:t>
      </w:r>
    </w:p>
    <w:p>
      <w:pPr>
        <w:spacing w:after="0"/>
        <w:rPr>
          <w:sz w:val="20"/>
          <w:szCs w:val="20"/>
          <w:color w:val="auto"/>
        </w:rPr>
      </w:pPr>
      <w:r>
        <w:rPr>
          <w:rFonts w:ascii="Arial" w:cs="Arial" w:eastAsia="Arial" w:hAnsi="Arial"/>
          <w:sz w:val="14"/>
          <w:szCs w:val="14"/>
          <w:color w:val="auto"/>
        </w:rPr>
        <w:t>PennantPark Investment Corporation and its Subsidiaries:</w:t>
      </w:r>
    </w:p>
    <w:p>
      <w:pPr>
        <w:spacing w:after="0" w:line="273" w:lineRule="exact"/>
        <w:rPr>
          <w:sz w:val="20"/>
          <w:szCs w:val="20"/>
          <w:color w:val="auto"/>
        </w:rPr>
      </w:pPr>
    </w:p>
    <w:p>
      <w:pPr>
        <w:ind w:right="140" w:firstLine="456"/>
        <w:spacing w:after="0" w:line="233" w:lineRule="auto"/>
        <w:rPr>
          <w:sz w:val="20"/>
          <w:szCs w:val="20"/>
          <w:color w:val="auto"/>
        </w:rPr>
      </w:pPr>
      <w:r>
        <w:rPr>
          <w:rFonts w:ascii="Arial" w:cs="Arial" w:eastAsia="Arial" w:hAnsi="Arial"/>
          <w:sz w:val="14"/>
          <w:szCs w:val="14"/>
          <w:color w:val="auto"/>
        </w:rPr>
        <w:t>We have reviewed the accompanying consolidated statements of assets and liabilities of PennantPark Investment Corporation and its Subsidiaries (collectively referred to as the “Company”), including the consolidated schedule of investments as of June 30, 2017, the related consolidated statements of operations for the three and nine months ended June 30, 2017 and 2016, and the related consolidated statements of changes in net assets and cash flows for the nine month periods ended June 30, 2017 and 2016. These consolidated financial statements are the responsibility of the Company’s management.</w:t>
      </w:r>
    </w:p>
    <w:p>
      <w:pPr>
        <w:spacing w:after="0" w:line="117" w:lineRule="exact"/>
        <w:rPr>
          <w:sz w:val="20"/>
          <w:szCs w:val="20"/>
          <w:color w:val="auto"/>
        </w:rPr>
      </w:pPr>
    </w:p>
    <w:p>
      <w:pPr>
        <w:ind w:right="120" w:firstLine="456"/>
        <w:spacing w:after="0" w:line="233" w:lineRule="auto"/>
        <w:rPr>
          <w:sz w:val="20"/>
          <w:szCs w:val="20"/>
          <w:color w:val="auto"/>
        </w:rPr>
      </w:pPr>
      <w:r>
        <w:rPr>
          <w:rFonts w:ascii="Arial" w:cs="Arial" w:eastAsia="Arial" w:hAnsi="Arial"/>
          <w:sz w:val="14"/>
          <w:szCs w:val="14"/>
          <w:color w:val="auto"/>
        </w:rPr>
        <w:t>We conducted our review in accordance with the standards of the Public Company Accounting Oversight Board (United States). A review of interim financial information consists principally of applying analytical procedures to financial data and making inquiries of persons responsible for financial and accounting matters. It is substantially less in scope than an audit conducted in accordance with the standards of the Public Company Accounting Oversight Board, the objective of which is the expression of an opinion regarding the financial statements taken as a whole. Accordingly, we do not express such an opinion.</w:t>
      </w:r>
    </w:p>
    <w:p>
      <w:pPr>
        <w:spacing w:after="0" w:line="117" w:lineRule="exact"/>
        <w:rPr>
          <w:sz w:val="20"/>
          <w:szCs w:val="20"/>
          <w:color w:val="auto"/>
        </w:rPr>
      </w:pPr>
    </w:p>
    <w:p>
      <w:pPr>
        <w:ind w:firstLine="456"/>
        <w:spacing w:after="0" w:line="253" w:lineRule="auto"/>
        <w:rPr>
          <w:sz w:val="20"/>
          <w:szCs w:val="20"/>
          <w:color w:val="auto"/>
        </w:rPr>
      </w:pPr>
      <w:r>
        <w:rPr>
          <w:rFonts w:ascii="Arial" w:cs="Arial" w:eastAsia="Arial" w:hAnsi="Arial"/>
          <w:sz w:val="14"/>
          <w:szCs w:val="14"/>
          <w:color w:val="auto"/>
        </w:rPr>
        <w:t>Based on our reviews, we are not aware of any material modifications that should be made to the accompanying consolidated financial statements referred to above for them to be in conformity with U.S. generally accepted accounting principles.</w:t>
      </w:r>
    </w:p>
    <w:p>
      <w:pPr>
        <w:spacing w:after="0" w:line="106" w:lineRule="exact"/>
        <w:rPr>
          <w:sz w:val="20"/>
          <w:szCs w:val="20"/>
          <w:color w:val="auto"/>
        </w:rPr>
      </w:pPr>
    </w:p>
    <w:p>
      <w:pPr>
        <w:ind w:right="160" w:firstLine="456"/>
        <w:spacing w:after="0" w:line="231" w:lineRule="auto"/>
        <w:rPr>
          <w:sz w:val="20"/>
          <w:szCs w:val="20"/>
          <w:color w:val="auto"/>
        </w:rPr>
      </w:pPr>
      <w:r>
        <w:rPr>
          <w:rFonts w:ascii="Arial" w:cs="Arial" w:eastAsia="Arial" w:hAnsi="Arial"/>
          <w:sz w:val="14"/>
          <w:szCs w:val="14"/>
          <w:color w:val="auto"/>
        </w:rPr>
        <w:t>We have previously audited, in accordance with the standards of the Public Company Accounting Oversight Board, the consolidated statement of assets and liabilities of the Company, including the consolidated schedule of investments, as of September 30, 2016, and the related consolidated statements of operations, changes in net assets, and cash flows for the year then ended (not presented herein); and in our report dated November 21, 2016, we expressed an unqualified opinion on those consolidated financial statements. In our opinion, the information set forth in the accompanying consolidated statements of assets and liabilities as of September 30, 2016, is fairly stated, in all material respects, in relation to the consolidated statement of assets and liabilities from which it has been derived.</w:t>
      </w:r>
    </w:p>
    <w:p>
      <w:pPr>
        <w:spacing w:after="0" w:line="116" w:lineRule="exact"/>
        <w:rPr>
          <w:sz w:val="20"/>
          <w:szCs w:val="20"/>
          <w:color w:val="auto"/>
        </w:rPr>
      </w:pPr>
    </w:p>
    <w:p>
      <w:pPr>
        <w:spacing w:after="0"/>
        <w:rPr>
          <w:sz w:val="20"/>
          <w:szCs w:val="20"/>
          <w:color w:val="auto"/>
        </w:rPr>
      </w:pPr>
      <w:r>
        <w:rPr>
          <w:rFonts w:ascii="Arial" w:cs="Arial" w:eastAsia="Arial" w:hAnsi="Arial"/>
          <w:sz w:val="14"/>
          <w:szCs w:val="14"/>
          <w:color w:val="auto"/>
        </w:rPr>
        <w:t>/s/ RSM US LLP</w:t>
      </w:r>
    </w:p>
    <w:p>
      <w:pPr>
        <w:spacing w:after="0" w:line="221" w:lineRule="auto"/>
        <w:rPr>
          <w:sz w:val="20"/>
          <w:szCs w:val="20"/>
          <w:color w:val="auto"/>
        </w:rPr>
      </w:pPr>
      <w:r>
        <w:rPr>
          <w:rFonts w:ascii="Arial" w:cs="Arial" w:eastAsia="Arial" w:hAnsi="Arial"/>
          <w:sz w:val="14"/>
          <w:szCs w:val="14"/>
          <w:color w:val="auto"/>
        </w:rPr>
        <w:t>New York, New York</w:t>
      </w:r>
    </w:p>
    <w:p>
      <w:pPr>
        <w:spacing w:after="0"/>
        <w:rPr>
          <w:sz w:val="20"/>
          <w:szCs w:val="20"/>
          <w:color w:val="auto"/>
        </w:rPr>
      </w:pPr>
      <w:r>
        <w:rPr>
          <w:rFonts w:ascii="Arial" w:cs="Arial" w:eastAsia="Arial" w:hAnsi="Arial"/>
          <w:sz w:val="14"/>
          <w:szCs w:val="14"/>
          <w:color w:val="auto"/>
        </w:rPr>
        <w:t>August 7, 2017</w:t>
      </w:r>
    </w:p>
    <w:p>
      <w:pPr>
        <w:spacing w:after="0" w:line="200" w:lineRule="exact"/>
        <w:rPr>
          <w:sz w:val="20"/>
          <w:szCs w:val="20"/>
          <w:color w:val="auto"/>
        </w:rPr>
      </w:pPr>
    </w:p>
    <w:p>
      <w:pPr>
        <w:spacing w:after="0" w:line="289" w:lineRule="exact"/>
        <w:rPr>
          <w:sz w:val="20"/>
          <w:szCs w:val="20"/>
          <w:color w:val="auto"/>
        </w:rPr>
      </w:pPr>
    </w:p>
    <w:p>
      <w:pPr>
        <w:jc w:val="center"/>
        <w:ind w:right="-39"/>
        <w:spacing w:after="0"/>
        <w:rPr>
          <w:sz w:val="20"/>
          <w:szCs w:val="20"/>
          <w:color w:val="auto"/>
        </w:rPr>
      </w:pPr>
      <w:r>
        <w:rPr>
          <w:rFonts w:ascii="Arial" w:cs="Arial" w:eastAsia="Arial" w:hAnsi="Arial"/>
          <w:sz w:val="14"/>
          <w:szCs w:val="14"/>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72390</wp:posOffset>
            </wp:positionV>
            <wp:extent cx="7149465" cy="171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20"/>
          </w:cols>
          <w:pgMar w:left="320" w:top="333" w:right="359" w:bottom="1440" w:gutter="0" w:footer="0" w:header="0"/>
        </w:sectPr>
      </w:pPr>
    </w:p>
    <w:bookmarkStart w:id="25" w:name="page26"/>
    <w:bookmarkEnd w:id="25"/>
    <w:p>
      <w:pPr>
        <w:spacing w:after="0"/>
        <w:tabs>
          <w:tab w:leader="none" w:pos="1380" w:val="left"/>
        </w:tabs>
        <w:rPr>
          <w:sz w:val="20"/>
          <w:szCs w:val="20"/>
          <w:color w:val="auto"/>
        </w:rPr>
      </w:pPr>
      <w:r>
        <w:rPr>
          <w:rFonts w:ascii="Arial" w:cs="Arial" w:eastAsia="Arial" w:hAnsi="Arial"/>
          <w:sz w:val="14"/>
          <w:szCs w:val="14"/>
          <w:b w:val="1"/>
          <w:bCs w:val="1"/>
          <w:color w:val="auto"/>
        </w:rPr>
        <w:t>Item 2.</w:t>
      </w:r>
      <w:r>
        <w:rPr>
          <w:sz w:val="20"/>
          <w:szCs w:val="20"/>
          <w:color w:val="auto"/>
        </w:rPr>
        <w:tab/>
      </w:r>
      <w:r>
        <w:rPr>
          <w:rFonts w:ascii="Arial" w:cs="Arial" w:eastAsia="Arial" w:hAnsi="Arial"/>
          <w:sz w:val="14"/>
          <w:szCs w:val="14"/>
          <w:b w:val="1"/>
          <w:bCs w:val="1"/>
          <w:color w:val="auto"/>
        </w:rPr>
        <w:t>MANAGEMENT’S DISCUSSION AND ANALYSIS OF FINANCIAL CONDITION AND RESULTS OF OPERATIONS</w:t>
      </w:r>
    </w:p>
    <w:p>
      <w:pPr>
        <w:spacing w:after="0" w:line="136"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FORWARD-LOOKING STATEMENTS</w:t>
      </w:r>
    </w:p>
    <w:p>
      <w:pPr>
        <w:spacing w:after="0" w:line="140" w:lineRule="exact"/>
        <w:rPr>
          <w:sz w:val="20"/>
          <w:szCs w:val="20"/>
          <w:color w:val="auto"/>
        </w:rPr>
      </w:pPr>
    </w:p>
    <w:p>
      <w:pPr>
        <w:ind w:right="40" w:firstLine="434"/>
        <w:spacing w:after="0" w:line="233" w:lineRule="auto"/>
        <w:rPr>
          <w:sz w:val="20"/>
          <w:szCs w:val="20"/>
          <w:color w:val="auto"/>
        </w:rPr>
      </w:pPr>
      <w:r>
        <w:rPr>
          <w:rFonts w:ascii="Arial" w:cs="Arial" w:eastAsia="Arial" w:hAnsi="Arial"/>
          <w:sz w:val="14"/>
          <w:szCs w:val="14"/>
          <w:color w:val="auto"/>
        </w:rPr>
        <w:t>This Report, including Management’s Discussion and Analysis of Financial Condition and Results of Operations, contains statements that constitute forward-looking statements, which relate to us and our consolidated subsidiaries regarding future events or our future performance or our future financial condition. These forward-looking statements are not historical facts, but rather are based on current expectations, estimates and projections about our Company, our industry, our beliefs and our assumptions. The forward-looking statements contained in this Report involve risks and uncertainties, including statements as to:</w:t>
      </w:r>
    </w:p>
    <w:p>
      <w:pPr>
        <w:spacing w:after="0" w:line="117" w:lineRule="exact"/>
        <w:rPr>
          <w:sz w:val="20"/>
          <w:szCs w:val="20"/>
          <w:color w:val="auto"/>
        </w:rPr>
      </w:pPr>
    </w:p>
    <w:p>
      <w:pPr>
        <w:ind w:left="920" w:hanging="372"/>
        <w:spacing w:after="0"/>
        <w:tabs>
          <w:tab w:leader="none" w:pos="920" w:val="left"/>
        </w:tabs>
        <w:numPr>
          <w:ilvl w:val="0"/>
          <w:numId w:val="19"/>
        </w:numPr>
        <w:rPr>
          <w:rFonts w:ascii="Arial" w:cs="Arial" w:eastAsia="Arial" w:hAnsi="Arial"/>
          <w:sz w:val="14"/>
          <w:szCs w:val="14"/>
          <w:color w:val="auto"/>
        </w:rPr>
      </w:pPr>
      <w:r>
        <w:rPr>
          <w:rFonts w:ascii="Arial" w:cs="Arial" w:eastAsia="Arial" w:hAnsi="Arial"/>
          <w:sz w:val="14"/>
          <w:szCs w:val="14"/>
          <w:color w:val="auto"/>
        </w:rPr>
        <w:t>our future operating results;</w:t>
      </w:r>
    </w:p>
    <w:p>
      <w:pPr>
        <w:spacing w:after="0" w:line="136" w:lineRule="exact"/>
        <w:rPr>
          <w:rFonts w:ascii="Arial" w:cs="Arial" w:eastAsia="Arial" w:hAnsi="Arial"/>
          <w:sz w:val="14"/>
          <w:szCs w:val="14"/>
          <w:color w:val="auto"/>
        </w:rPr>
      </w:pPr>
    </w:p>
    <w:p>
      <w:pPr>
        <w:ind w:left="920" w:hanging="372"/>
        <w:spacing w:after="0"/>
        <w:tabs>
          <w:tab w:leader="none" w:pos="920" w:val="left"/>
        </w:tabs>
        <w:numPr>
          <w:ilvl w:val="0"/>
          <w:numId w:val="19"/>
        </w:numPr>
        <w:rPr>
          <w:rFonts w:ascii="Arial" w:cs="Arial" w:eastAsia="Arial" w:hAnsi="Arial"/>
          <w:sz w:val="14"/>
          <w:szCs w:val="14"/>
          <w:color w:val="auto"/>
        </w:rPr>
      </w:pPr>
      <w:r>
        <w:rPr>
          <w:rFonts w:ascii="Arial" w:cs="Arial" w:eastAsia="Arial" w:hAnsi="Arial"/>
          <w:sz w:val="14"/>
          <w:szCs w:val="14"/>
          <w:color w:val="auto"/>
        </w:rPr>
        <w:t>our business prospects and the prospects of our prospective portfolio companies;</w:t>
      </w:r>
    </w:p>
    <w:p>
      <w:pPr>
        <w:spacing w:after="0" w:line="136" w:lineRule="exact"/>
        <w:rPr>
          <w:rFonts w:ascii="Arial" w:cs="Arial" w:eastAsia="Arial" w:hAnsi="Arial"/>
          <w:sz w:val="14"/>
          <w:szCs w:val="14"/>
          <w:color w:val="auto"/>
        </w:rPr>
      </w:pPr>
    </w:p>
    <w:p>
      <w:pPr>
        <w:ind w:left="920" w:hanging="372"/>
        <w:spacing w:after="0"/>
        <w:tabs>
          <w:tab w:leader="none" w:pos="920" w:val="left"/>
        </w:tabs>
        <w:numPr>
          <w:ilvl w:val="0"/>
          <w:numId w:val="19"/>
        </w:numPr>
        <w:rPr>
          <w:rFonts w:ascii="Arial" w:cs="Arial" w:eastAsia="Arial" w:hAnsi="Arial"/>
          <w:sz w:val="14"/>
          <w:szCs w:val="14"/>
          <w:color w:val="auto"/>
        </w:rPr>
      </w:pPr>
      <w:r>
        <w:rPr>
          <w:rFonts w:ascii="Arial" w:cs="Arial" w:eastAsia="Arial" w:hAnsi="Arial"/>
          <w:sz w:val="14"/>
          <w:szCs w:val="14"/>
          <w:color w:val="auto"/>
        </w:rPr>
        <w:t>the dependence of our future success on the general economy and its impact on the industries in which we invest;</w:t>
      </w:r>
    </w:p>
    <w:p>
      <w:pPr>
        <w:spacing w:after="0" w:line="136" w:lineRule="exact"/>
        <w:rPr>
          <w:rFonts w:ascii="Arial" w:cs="Arial" w:eastAsia="Arial" w:hAnsi="Arial"/>
          <w:sz w:val="14"/>
          <w:szCs w:val="14"/>
          <w:color w:val="auto"/>
        </w:rPr>
      </w:pPr>
    </w:p>
    <w:p>
      <w:pPr>
        <w:ind w:left="920" w:hanging="372"/>
        <w:spacing w:after="0"/>
        <w:tabs>
          <w:tab w:leader="none" w:pos="920" w:val="left"/>
        </w:tabs>
        <w:numPr>
          <w:ilvl w:val="0"/>
          <w:numId w:val="19"/>
        </w:numPr>
        <w:rPr>
          <w:rFonts w:ascii="Arial" w:cs="Arial" w:eastAsia="Arial" w:hAnsi="Arial"/>
          <w:sz w:val="14"/>
          <w:szCs w:val="14"/>
          <w:color w:val="auto"/>
        </w:rPr>
      </w:pPr>
      <w:r>
        <w:rPr>
          <w:rFonts w:ascii="Arial" w:cs="Arial" w:eastAsia="Arial" w:hAnsi="Arial"/>
          <w:sz w:val="14"/>
          <w:szCs w:val="14"/>
          <w:color w:val="auto"/>
        </w:rPr>
        <w:t>the impact of a protracted decline in the liquidity of credit markets on our business;</w:t>
      </w:r>
    </w:p>
    <w:p>
      <w:pPr>
        <w:spacing w:after="0" w:line="136" w:lineRule="exact"/>
        <w:rPr>
          <w:rFonts w:ascii="Arial" w:cs="Arial" w:eastAsia="Arial" w:hAnsi="Arial"/>
          <w:sz w:val="14"/>
          <w:szCs w:val="14"/>
          <w:color w:val="auto"/>
        </w:rPr>
      </w:pPr>
    </w:p>
    <w:p>
      <w:pPr>
        <w:ind w:left="920" w:hanging="372"/>
        <w:spacing w:after="0"/>
        <w:tabs>
          <w:tab w:leader="none" w:pos="920" w:val="left"/>
        </w:tabs>
        <w:numPr>
          <w:ilvl w:val="0"/>
          <w:numId w:val="19"/>
        </w:numPr>
        <w:rPr>
          <w:rFonts w:ascii="Arial" w:cs="Arial" w:eastAsia="Arial" w:hAnsi="Arial"/>
          <w:sz w:val="14"/>
          <w:szCs w:val="14"/>
          <w:color w:val="auto"/>
        </w:rPr>
      </w:pPr>
      <w:r>
        <w:rPr>
          <w:rFonts w:ascii="Arial" w:cs="Arial" w:eastAsia="Arial" w:hAnsi="Arial"/>
          <w:sz w:val="14"/>
          <w:szCs w:val="14"/>
          <w:color w:val="auto"/>
        </w:rPr>
        <w:t>the impact of investments that we expect to make;</w:t>
      </w:r>
    </w:p>
    <w:p>
      <w:pPr>
        <w:spacing w:after="0" w:line="136" w:lineRule="exact"/>
        <w:rPr>
          <w:rFonts w:ascii="Arial" w:cs="Arial" w:eastAsia="Arial" w:hAnsi="Arial"/>
          <w:sz w:val="14"/>
          <w:szCs w:val="14"/>
          <w:color w:val="auto"/>
        </w:rPr>
      </w:pPr>
    </w:p>
    <w:p>
      <w:pPr>
        <w:ind w:left="920" w:hanging="372"/>
        <w:spacing w:after="0"/>
        <w:tabs>
          <w:tab w:leader="none" w:pos="920" w:val="left"/>
        </w:tabs>
        <w:numPr>
          <w:ilvl w:val="0"/>
          <w:numId w:val="19"/>
        </w:numPr>
        <w:rPr>
          <w:rFonts w:ascii="Arial" w:cs="Arial" w:eastAsia="Arial" w:hAnsi="Arial"/>
          <w:sz w:val="14"/>
          <w:szCs w:val="14"/>
          <w:color w:val="auto"/>
        </w:rPr>
      </w:pPr>
      <w:r>
        <w:rPr>
          <w:rFonts w:ascii="Arial" w:cs="Arial" w:eastAsia="Arial" w:hAnsi="Arial"/>
          <w:sz w:val="14"/>
          <w:szCs w:val="14"/>
          <w:color w:val="auto"/>
        </w:rPr>
        <w:t>the impact of fluctuations in interest rates and foreign exchange rates on our business and our portfolio companies;</w:t>
      </w:r>
    </w:p>
    <w:p>
      <w:pPr>
        <w:spacing w:after="0" w:line="136" w:lineRule="exact"/>
        <w:rPr>
          <w:rFonts w:ascii="Arial" w:cs="Arial" w:eastAsia="Arial" w:hAnsi="Arial"/>
          <w:sz w:val="14"/>
          <w:szCs w:val="14"/>
          <w:color w:val="auto"/>
        </w:rPr>
      </w:pPr>
    </w:p>
    <w:p>
      <w:pPr>
        <w:ind w:left="920" w:hanging="372"/>
        <w:spacing w:after="0"/>
        <w:tabs>
          <w:tab w:leader="none" w:pos="920" w:val="left"/>
        </w:tabs>
        <w:numPr>
          <w:ilvl w:val="0"/>
          <w:numId w:val="19"/>
        </w:numPr>
        <w:rPr>
          <w:rFonts w:ascii="Arial" w:cs="Arial" w:eastAsia="Arial" w:hAnsi="Arial"/>
          <w:sz w:val="14"/>
          <w:szCs w:val="14"/>
          <w:color w:val="auto"/>
        </w:rPr>
      </w:pPr>
      <w:r>
        <w:rPr>
          <w:rFonts w:ascii="Arial" w:cs="Arial" w:eastAsia="Arial" w:hAnsi="Arial"/>
          <w:sz w:val="14"/>
          <w:szCs w:val="14"/>
          <w:color w:val="auto"/>
        </w:rPr>
        <w:t>our contractual arrangements and relationships with third parties;</w:t>
      </w:r>
    </w:p>
    <w:p>
      <w:pPr>
        <w:spacing w:after="0" w:line="136" w:lineRule="exact"/>
        <w:rPr>
          <w:rFonts w:ascii="Arial" w:cs="Arial" w:eastAsia="Arial" w:hAnsi="Arial"/>
          <w:sz w:val="14"/>
          <w:szCs w:val="14"/>
          <w:color w:val="auto"/>
        </w:rPr>
      </w:pPr>
    </w:p>
    <w:p>
      <w:pPr>
        <w:ind w:left="920" w:hanging="372"/>
        <w:spacing w:after="0"/>
        <w:tabs>
          <w:tab w:leader="none" w:pos="920" w:val="left"/>
        </w:tabs>
        <w:numPr>
          <w:ilvl w:val="0"/>
          <w:numId w:val="19"/>
        </w:numPr>
        <w:rPr>
          <w:rFonts w:ascii="Arial" w:cs="Arial" w:eastAsia="Arial" w:hAnsi="Arial"/>
          <w:sz w:val="14"/>
          <w:szCs w:val="14"/>
          <w:color w:val="auto"/>
        </w:rPr>
      </w:pPr>
      <w:r>
        <w:rPr>
          <w:rFonts w:ascii="Arial" w:cs="Arial" w:eastAsia="Arial" w:hAnsi="Arial"/>
          <w:sz w:val="14"/>
          <w:szCs w:val="14"/>
          <w:color w:val="auto"/>
        </w:rPr>
        <w:t>the valuation of our investments in portfolio companies, particularly those having no liquid trading market;</w:t>
      </w:r>
    </w:p>
    <w:p>
      <w:pPr>
        <w:spacing w:after="0" w:line="136" w:lineRule="exact"/>
        <w:rPr>
          <w:rFonts w:ascii="Arial" w:cs="Arial" w:eastAsia="Arial" w:hAnsi="Arial"/>
          <w:sz w:val="14"/>
          <w:szCs w:val="14"/>
          <w:color w:val="auto"/>
        </w:rPr>
      </w:pPr>
    </w:p>
    <w:p>
      <w:pPr>
        <w:ind w:left="920" w:hanging="372"/>
        <w:spacing w:after="0"/>
        <w:tabs>
          <w:tab w:leader="none" w:pos="920" w:val="left"/>
        </w:tabs>
        <w:numPr>
          <w:ilvl w:val="0"/>
          <w:numId w:val="19"/>
        </w:numPr>
        <w:rPr>
          <w:rFonts w:ascii="Arial" w:cs="Arial" w:eastAsia="Arial" w:hAnsi="Arial"/>
          <w:sz w:val="14"/>
          <w:szCs w:val="14"/>
          <w:color w:val="auto"/>
        </w:rPr>
      </w:pPr>
      <w:r>
        <w:rPr>
          <w:rFonts w:ascii="Arial" w:cs="Arial" w:eastAsia="Arial" w:hAnsi="Arial"/>
          <w:sz w:val="14"/>
          <w:szCs w:val="14"/>
          <w:color w:val="auto"/>
        </w:rPr>
        <w:t>the ability of our prospective portfolio companies to achieve their objectives;</w:t>
      </w:r>
    </w:p>
    <w:p>
      <w:pPr>
        <w:spacing w:after="0" w:line="136" w:lineRule="exact"/>
        <w:rPr>
          <w:rFonts w:ascii="Arial" w:cs="Arial" w:eastAsia="Arial" w:hAnsi="Arial"/>
          <w:sz w:val="14"/>
          <w:szCs w:val="14"/>
          <w:color w:val="auto"/>
        </w:rPr>
      </w:pPr>
    </w:p>
    <w:p>
      <w:pPr>
        <w:ind w:left="920" w:hanging="372"/>
        <w:spacing w:after="0"/>
        <w:tabs>
          <w:tab w:leader="none" w:pos="920" w:val="left"/>
        </w:tabs>
        <w:numPr>
          <w:ilvl w:val="0"/>
          <w:numId w:val="19"/>
        </w:numPr>
        <w:rPr>
          <w:rFonts w:ascii="Arial" w:cs="Arial" w:eastAsia="Arial" w:hAnsi="Arial"/>
          <w:sz w:val="14"/>
          <w:szCs w:val="14"/>
          <w:color w:val="auto"/>
        </w:rPr>
      </w:pPr>
      <w:r>
        <w:rPr>
          <w:rFonts w:ascii="Arial" w:cs="Arial" w:eastAsia="Arial" w:hAnsi="Arial"/>
          <w:sz w:val="14"/>
          <w:szCs w:val="14"/>
          <w:color w:val="auto"/>
        </w:rPr>
        <w:t>our expected financings and investments;</w:t>
      </w:r>
    </w:p>
    <w:p>
      <w:pPr>
        <w:spacing w:after="0" w:line="136" w:lineRule="exact"/>
        <w:rPr>
          <w:rFonts w:ascii="Arial" w:cs="Arial" w:eastAsia="Arial" w:hAnsi="Arial"/>
          <w:sz w:val="14"/>
          <w:szCs w:val="14"/>
          <w:color w:val="auto"/>
        </w:rPr>
      </w:pPr>
    </w:p>
    <w:p>
      <w:pPr>
        <w:ind w:left="920" w:hanging="372"/>
        <w:spacing w:after="0"/>
        <w:tabs>
          <w:tab w:leader="none" w:pos="920" w:val="left"/>
        </w:tabs>
        <w:numPr>
          <w:ilvl w:val="0"/>
          <w:numId w:val="19"/>
        </w:numPr>
        <w:rPr>
          <w:rFonts w:ascii="Arial" w:cs="Arial" w:eastAsia="Arial" w:hAnsi="Arial"/>
          <w:sz w:val="14"/>
          <w:szCs w:val="14"/>
          <w:color w:val="auto"/>
        </w:rPr>
      </w:pPr>
      <w:r>
        <w:rPr>
          <w:rFonts w:ascii="Arial" w:cs="Arial" w:eastAsia="Arial" w:hAnsi="Arial"/>
          <w:sz w:val="14"/>
          <w:szCs w:val="14"/>
          <w:color w:val="auto"/>
        </w:rPr>
        <w:t>the adequacy of our cash resources and working capital;</w:t>
      </w:r>
    </w:p>
    <w:p>
      <w:pPr>
        <w:spacing w:after="0" w:line="136" w:lineRule="exact"/>
        <w:rPr>
          <w:rFonts w:ascii="Arial" w:cs="Arial" w:eastAsia="Arial" w:hAnsi="Arial"/>
          <w:sz w:val="14"/>
          <w:szCs w:val="14"/>
          <w:color w:val="auto"/>
        </w:rPr>
      </w:pPr>
    </w:p>
    <w:p>
      <w:pPr>
        <w:ind w:left="920" w:hanging="372"/>
        <w:spacing w:after="0"/>
        <w:tabs>
          <w:tab w:leader="none" w:pos="920" w:val="left"/>
        </w:tabs>
        <w:numPr>
          <w:ilvl w:val="0"/>
          <w:numId w:val="19"/>
        </w:numPr>
        <w:rPr>
          <w:rFonts w:ascii="Arial" w:cs="Arial" w:eastAsia="Arial" w:hAnsi="Arial"/>
          <w:sz w:val="14"/>
          <w:szCs w:val="14"/>
          <w:color w:val="auto"/>
        </w:rPr>
      </w:pPr>
      <w:r>
        <w:rPr>
          <w:rFonts w:ascii="Arial" w:cs="Arial" w:eastAsia="Arial" w:hAnsi="Arial"/>
          <w:sz w:val="14"/>
          <w:szCs w:val="14"/>
          <w:color w:val="auto"/>
        </w:rPr>
        <w:t>the timing of cash flows, if any, from the operations of our prospective portfolio companies;</w:t>
      </w:r>
    </w:p>
    <w:p>
      <w:pPr>
        <w:spacing w:after="0" w:line="136" w:lineRule="exact"/>
        <w:rPr>
          <w:rFonts w:ascii="Arial" w:cs="Arial" w:eastAsia="Arial" w:hAnsi="Arial"/>
          <w:sz w:val="14"/>
          <w:szCs w:val="14"/>
          <w:color w:val="auto"/>
        </w:rPr>
      </w:pPr>
    </w:p>
    <w:p>
      <w:pPr>
        <w:ind w:left="920" w:hanging="372"/>
        <w:spacing w:after="0"/>
        <w:tabs>
          <w:tab w:leader="none" w:pos="920" w:val="left"/>
        </w:tabs>
        <w:numPr>
          <w:ilvl w:val="0"/>
          <w:numId w:val="19"/>
        </w:numPr>
        <w:rPr>
          <w:rFonts w:ascii="Arial" w:cs="Arial" w:eastAsia="Arial" w:hAnsi="Arial"/>
          <w:sz w:val="14"/>
          <w:szCs w:val="14"/>
          <w:color w:val="auto"/>
        </w:rPr>
      </w:pPr>
      <w:r>
        <w:rPr>
          <w:rFonts w:ascii="Arial" w:cs="Arial" w:eastAsia="Arial" w:hAnsi="Arial"/>
          <w:sz w:val="14"/>
          <w:szCs w:val="14"/>
          <w:color w:val="auto"/>
        </w:rPr>
        <w:t>the impact of price and volume fluctuations in the stock market;</w:t>
      </w:r>
    </w:p>
    <w:p>
      <w:pPr>
        <w:spacing w:after="0" w:line="136" w:lineRule="exact"/>
        <w:rPr>
          <w:rFonts w:ascii="Arial" w:cs="Arial" w:eastAsia="Arial" w:hAnsi="Arial"/>
          <w:sz w:val="14"/>
          <w:szCs w:val="14"/>
          <w:color w:val="auto"/>
        </w:rPr>
      </w:pPr>
    </w:p>
    <w:p>
      <w:pPr>
        <w:ind w:left="920" w:hanging="372"/>
        <w:spacing w:after="0"/>
        <w:tabs>
          <w:tab w:leader="none" w:pos="920" w:val="left"/>
        </w:tabs>
        <w:numPr>
          <w:ilvl w:val="0"/>
          <w:numId w:val="19"/>
        </w:numPr>
        <w:rPr>
          <w:rFonts w:ascii="Arial" w:cs="Arial" w:eastAsia="Arial" w:hAnsi="Arial"/>
          <w:sz w:val="14"/>
          <w:szCs w:val="14"/>
          <w:color w:val="auto"/>
        </w:rPr>
      </w:pPr>
      <w:r>
        <w:rPr>
          <w:rFonts w:ascii="Arial" w:cs="Arial" w:eastAsia="Arial" w:hAnsi="Arial"/>
          <w:sz w:val="14"/>
          <w:szCs w:val="14"/>
          <w:color w:val="auto"/>
        </w:rPr>
        <w:t>the ability of our Investment Adviser to locate suitable investments for us and to monitor and administer our investments;</w:t>
      </w:r>
    </w:p>
    <w:p>
      <w:pPr>
        <w:spacing w:after="0" w:line="136" w:lineRule="exact"/>
        <w:rPr>
          <w:rFonts w:ascii="Arial" w:cs="Arial" w:eastAsia="Arial" w:hAnsi="Arial"/>
          <w:sz w:val="14"/>
          <w:szCs w:val="14"/>
          <w:color w:val="auto"/>
        </w:rPr>
      </w:pPr>
    </w:p>
    <w:p>
      <w:pPr>
        <w:ind w:left="920" w:hanging="372"/>
        <w:spacing w:after="0"/>
        <w:tabs>
          <w:tab w:leader="none" w:pos="920" w:val="left"/>
        </w:tabs>
        <w:numPr>
          <w:ilvl w:val="0"/>
          <w:numId w:val="19"/>
        </w:numPr>
        <w:rPr>
          <w:rFonts w:ascii="Arial" w:cs="Arial" w:eastAsia="Arial" w:hAnsi="Arial"/>
          <w:sz w:val="14"/>
          <w:szCs w:val="14"/>
          <w:color w:val="auto"/>
        </w:rPr>
      </w:pPr>
      <w:r>
        <w:rPr>
          <w:rFonts w:ascii="Arial" w:cs="Arial" w:eastAsia="Arial" w:hAnsi="Arial"/>
          <w:sz w:val="14"/>
          <w:szCs w:val="14"/>
          <w:color w:val="auto"/>
        </w:rPr>
        <w:t>the impact of future legislation and regulation on our business and our portfolio companies; and</w:t>
      </w:r>
    </w:p>
    <w:p>
      <w:pPr>
        <w:spacing w:after="0" w:line="136" w:lineRule="exact"/>
        <w:rPr>
          <w:rFonts w:ascii="Arial" w:cs="Arial" w:eastAsia="Arial" w:hAnsi="Arial"/>
          <w:sz w:val="14"/>
          <w:szCs w:val="14"/>
          <w:color w:val="auto"/>
        </w:rPr>
      </w:pPr>
    </w:p>
    <w:p>
      <w:pPr>
        <w:ind w:left="920" w:hanging="372"/>
        <w:spacing w:after="0"/>
        <w:tabs>
          <w:tab w:leader="none" w:pos="920" w:val="left"/>
        </w:tabs>
        <w:numPr>
          <w:ilvl w:val="0"/>
          <w:numId w:val="19"/>
        </w:numPr>
        <w:rPr>
          <w:rFonts w:ascii="Arial" w:cs="Arial" w:eastAsia="Arial" w:hAnsi="Arial"/>
          <w:sz w:val="14"/>
          <w:szCs w:val="14"/>
          <w:color w:val="auto"/>
        </w:rPr>
      </w:pPr>
      <w:r>
        <w:rPr>
          <w:rFonts w:ascii="Arial" w:cs="Arial" w:eastAsia="Arial" w:hAnsi="Arial"/>
          <w:sz w:val="14"/>
          <w:szCs w:val="14"/>
          <w:color w:val="auto"/>
        </w:rPr>
        <w:t>the impact of European sovereign debt, Brexit and other world economic and political issues.</w:t>
      </w:r>
    </w:p>
    <w:p>
      <w:pPr>
        <w:spacing w:after="0" w:line="136" w:lineRule="exact"/>
        <w:rPr>
          <w:sz w:val="20"/>
          <w:szCs w:val="20"/>
          <w:color w:val="auto"/>
        </w:rPr>
      </w:pPr>
    </w:p>
    <w:p>
      <w:pPr>
        <w:ind w:firstLine="434"/>
        <w:spacing w:after="0" w:line="253" w:lineRule="auto"/>
        <w:rPr>
          <w:sz w:val="20"/>
          <w:szCs w:val="20"/>
          <w:color w:val="auto"/>
        </w:rPr>
      </w:pPr>
      <w:r>
        <w:rPr>
          <w:rFonts w:ascii="Arial" w:cs="Arial" w:eastAsia="Arial" w:hAnsi="Arial"/>
          <w:sz w:val="14"/>
          <w:szCs w:val="14"/>
          <w:color w:val="auto"/>
        </w:rPr>
        <w:t>We use words such as “anticipates,” “believes,” “expects,” “intends,” “seeks,” “plans,” “estimates” and similar expressions to identify forward-looking statements. You should not place undue influence on the forward-looking statements as our actual results could differ materially from those projected in the forward-looking statements for any reason.</w:t>
      </w:r>
    </w:p>
    <w:p>
      <w:pPr>
        <w:spacing w:after="0" w:line="106" w:lineRule="exact"/>
        <w:rPr>
          <w:sz w:val="20"/>
          <w:szCs w:val="20"/>
          <w:color w:val="auto"/>
        </w:rPr>
      </w:pPr>
    </w:p>
    <w:p>
      <w:pPr>
        <w:jc w:val="both"/>
        <w:ind w:right="280" w:firstLine="434"/>
        <w:spacing w:after="0" w:line="233" w:lineRule="auto"/>
        <w:rPr>
          <w:sz w:val="20"/>
          <w:szCs w:val="20"/>
          <w:color w:val="auto"/>
        </w:rPr>
      </w:pPr>
      <w:r>
        <w:rPr>
          <w:rFonts w:ascii="Arial" w:cs="Arial" w:eastAsia="Arial" w:hAnsi="Arial"/>
          <w:sz w:val="14"/>
          <w:szCs w:val="14"/>
          <w:color w:val="auto"/>
        </w:rPr>
        <w:t>Although we believe that the assumptions on which these forward-looking statements are based are reasonable, any of those assumptions could prove to be inaccurate, and, as a result, the forward-looking statements based on those assumptions also could be inaccurate. Important assumptions include our ability to originate new loans and investments, certain margins and levels of profitability and the availability of additional capital. In light of these and other uncertainties, the inclusion of a projection or forward-looking statement in this Report should not be regarded as a representation by us that our plans and objectives will be achieved.</w:t>
      </w:r>
    </w:p>
    <w:p>
      <w:pPr>
        <w:spacing w:after="0" w:line="117" w:lineRule="exact"/>
        <w:rPr>
          <w:sz w:val="20"/>
          <w:szCs w:val="20"/>
          <w:color w:val="auto"/>
        </w:rPr>
      </w:pPr>
    </w:p>
    <w:p>
      <w:pPr>
        <w:ind w:firstLine="434"/>
        <w:spacing w:after="0" w:line="233" w:lineRule="auto"/>
        <w:rPr>
          <w:sz w:val="20"/>
          <w:szCs w:val="20"/>
          <w:color w:val="auto"/>
        </w:rPr>
      </w:pPr>
      <w:r>
        <w:rPr>
          <w:rFonts w:ascii="Arial" w:cs="Arial" w:eastAsia="Arial" w:hAnsi="Arial"/>
          <w:sz w:val="14"/>
          <w:szCs w:val="14"/>
          <w:color w:val="auto"/>
        </w:rPr>
        <w:t>We have based the forward-looking statements included in this Report on information available to us on the date of this Report, and we assume no obligation to update any such forward-looking statements. Although we undertake no obligation to revise or update any forward-looking statements in this Report, whether as a result of new information, future events or otherwise, you are advised to consult any additional disclosures that we may make directly to you or through reports that we in the future may file with the SEC, including reports on Form 10-Q/K and current reports on Form 8-K.</w:t>
      </w:r>
    </w:p>
    <w:p>
      <w:pPr>
        <w:spacing w:after="0" w:line="117" w:lineRule="exact"/>
        <w:rPr>
          <w:sz w:val="20"/>
          <w:szCs w:val="20"/>
          <w:color w:val="auto"/>
        </w:rPr>
      </w:pPr>
    </w:p>
    <w:p>
      <w:pPr>
        <w:ind w:right="460" w:firstLine="434"/>
        <w:spacing w:after="0" w:line="290" w:lineRule="auto"/>
        <w:rPr>
          <w:sz w:val="20"/>
          <w:szCs w:val="20"/>
          <w:color w:val="auto"/>
        </w:rPr>
      </w:pPr>
      <w:r>
        <w:rPr>
          <w:rFonts w:ascii="Arial" w:cs="Arial" w:eastAsia="Arial" w:hAnsi="Arial"/>
          <w:sz w:val="13"/>
          <w:szCs w:val="13"/>
          <w:color w:val="auto"/>
        </w:rPr>
        <w:t>You should understand that under Section 27A(b)(2)(B) of the Securities Act and Section 21E(b)(2)(B) of the Securities Exchange Act of 1934, or the Exchange Act, the “safe harbor” provisions of the Private Securities Litigation Reform Act of 1995 do not apply to forward-looking statements made in periodic reports we file under the Exchange Act.</w:t>
      </w:r>
    </w:p>
    <w:p>
      <w:pPr>
        <w:spacing w:after="0" w:line="84" w:lineRule="exact"/>
        <w:rPr>
          <w:sz w:val="20"/>
          <w:szCs w:val="20"/>
          <w:color w:val="auto"/>
        </w:rPr>
      </w:pPr>
    </w:p>
    <w:p>
      <w:pPr>
        <w:ind w:right="200" w:firstLine="434"/>
        <w:spacing w:after="0" w:line="253" w:lineRule="auto"/>
        <w:rPr>
          <w:sz w:val="20"/>
          <w:szCs w:val="20"/>
          <w:color w:val="auto"/>
        </w:rPr>
      </w:pPr>
      <w:r>
        <w:rPr>
          <w:rFonts w:ascii="Arial" w:cs="Arial" w:eastAsia="Arial" w:hAnsi="Arial"/>
          <w:sz w:val="14"/>
          <w:szCs w:val="14"/>
          <w:color w:val="auto"/>
        </w:rPr>
        <w:t>The following analysis of our financial condition and results of operations should be read in conjunction with our Consolidated Financial Statements and the related notes thereto contained elsewhere in this Report.</w:t>
      </w:r>
    </w:p>
    <w:p>
      <w:pPr>
        <w:spacing w:after="0" w:line="106"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Overview</w:t>
      </w:r>
    </w:p>
    <w:p>
      <w:pPr>
        <w:spacing w:after="0" w:line="136" w:lineRule="exact"/>
        <w:rPr>
          <w:sz w:val="20"/>
          <w:szCs w:val="20"/>
          <w:color w:val="auto"/>
        </w:rPr>
      </w:pPr>
    </w:p>
    <w:p>
      <w:pPr>
        <w:ind w:right="460" w:firstLine="434"/>
        <w:spacing w:after="0" w:line="253" w:lineRule="auto"/>
        <w:rPr>
          <w:sz w:val="20"/>
          <w:szCs w:val="20"/>
          <w:color w:val="auto"/>
        </w:rPr>
      </w:pPr>
      <w:r>
        <w:rPr>
          <w:rFonts w:ascii="Arial" w:cs="Arial" w:eastAsia="Arial" w:hAnsi="Arial"/>
          <w:sz w:val="14"/>
          <w:szCs w:val="14"/>
          <w:color w:val="auto"/>
        </w:rPr>
        <w:t>PennantPark Investment Corporation is a BDC whose objectives are to generate both current income and capital appreciation while seeking to preserve capital through debt and equity investments primarily made to U.S. middle-market companies in the form of senior secured debt, mezzanine debt and equity investments.</w:t>
      </w:r>
    </w:p>
    <w:p>
      <w:pPr>
        <w:spacing w:after="0" w:line="106" w:lineRule="exact"/>
        <w:rPr>
          <w:sz w:val="20"/>
          <w:szCs w:val="20"/>
          <w:color w:val="auto"/>
        </w:rPr>
      </w:pPr>
    </w:p>
    <w:p>
      <w:pPr>
        <w:ind w:firstLine="434"/>
        <w:spacing w:after="0" w:line="245" w:lineRule="auto"/>
        <w:rPr>
          <w:sz w:val="20"/>
          <w:szCs w:val="20"/>
          <w:color w:val="auto"/>
        </w:rPr>
      </w:pPr>
      <w:r>
        <w:rPr>
          <w:rFonts w:ascii="Arial" w:cs="Arial" w:eastAsia="Arial" w:hAnsi="Arial"/>
          <w:sz w:val="13"/>
          <w:szCs w:val="13"/>
          <w:color w:val="auto"/>
        </w:rPr>
        <w:t>We believe middle-market companies offer attractive risk-reward to investors due to the limited amount of capital available for such companies. We seek to create a diversified portfolio that includes senior secured debt, mezzanine debt and equity investments by investing approximately $10 million to $50 million of capital, on average, in the securities of middle-market companies. We expect this investment size to vary proportionately with the size of our capital base. We use the term “middle-market” to refer to companies with annual revenues between $50 million and $1 billion. The companies in which we invest are typically highly leveraged, and, in most cases, are not rated by national rating agencies. If such companies were rated, we believe that they would typically receive a rating below investment grade (between BB and CCC under the Standard &amp; Poor’s system) from the national rating agencies. Securities rated below investment grade are often referred to as “leveraged loans” or “high yield” securities or “junk bonds” and are often higher risk compared to debt instruments that are rated above investment grade and have speculative characteristics. Our debt investments may generally range in maturity from three to ten years and are made to U.S. and, to a limited extent, non-U.S. corporations, partnerships and other business entities which operate in various industries and geographical regions.</w:t>
      </w:r>
    </w:p>
    <w:p>
      <w:pPr>
        <w:spacing w:after="0" w:line="200" w:lineRule="exact"/>
        <w:rPr>
          <w:sz w:val="20"/>
          <w:szCs w:val="20"/>
          <w:color w:val="auto"/>
        </w:rPr>
      </w:pPr>
    </w:p>
    <w:p>
      <w:pPr>
        <w:spacing w:after="0" w:line="280" w:lineRule="exact"/>
        <w:rPr>
          <w:sz w:val="20"/>
          <w:szCs w:val="20"/>
          <w:color w:val="auto"/>
        </w:rPr>
      </w:pPr>
    </w:p>
    <w:p>
      <w:pPr>
        <w:jc w:val="center"/>
        <w:ind w:right="-119"/>
        <w:spacing w:after="0"/>
        <w:rPr>
          <w:sz w:val="20"/>
          <w:szCs w:val="20"/>
          <w:color w:val="auto"/>
        </w:rPr>
      </w:pPr>
      <w:r>
        <w:rPr>
          <w:rFonts w:ascii="Arial" w:cs="Arial" w:eastAsia="Arial" w:hAnsi="Arial"/>
          <w:sz w:val="14"/>
          <w:szCs w:val="14"/>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72390</wp:posOffset>
            </wp:positionV>
            <wp:extent cx="7149465" cy="1714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120"/>
          </w:cols>
          <w:pgMar w:left="320" w:top="333" w:right="459" w:bottom="1440" w:gutter="0" w:footer="0" w:header="0"/>
        </w:sectPr>
      </w:pPr>
    </w:p>
    <w:bookmarkStart w:id="26" w:name="page27"/>
    <w:bookmarkEnd w:id="26"/>
    <w:p>
      <w:pPr>
        <w:ind w:firstLine="496"/>
        <w:spacing w:after="0" w:line="238" w:lineRule="auto"/>
        <w:rPr>
          <w:sz w:val="20"/>
          <w:szCs w:val="20"/>
          <w:color w:val="auto"/>
        </w:rPr>
      </w:pPr>
      <w:r>
        <w:rPr>
          <w:rFonts w:ascii="Arial" w:cs="Arial" w:eastAsia="Arial" w:hAnsi="Arial"/>
          <w:sz w:val="14"/>
          <w:szCs w:val="14"/>
          <w:color w:val="auto"/>
        </w:rPr>
        <w:t>Our investment activity depends on many factors, including the amount of debt and equity capital available to middle-market companies, the level of merger and acquisition activity for such companies, the general economic environment and the competitive environment for the types of investments we make. We have used, and expect to continue to use our Credit Facility, SBA debentures, proceeds from the rotation of our portfolio and proceeds from public and private offerings of securities to finance our investment objectives.</w:t>
      </w:r>
    </w:p>
    <w:p>
      <w:pPr>
        <w:spacing w:after="0" w:line="115"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Organization and Structure of PennantPark Investment Corporation</w:t>
      </w:r>
    </w:p>
    <w:p>
      <w:pPr>
        <w:spacing w:after="0" w:line="136" w:lineRule="exact"/>
        <w:rPr>
          <w:sz w:val="20"/>
          <w:szCs w:val="20"/>
          <w:color w:val="auto"/>
        </w:rPr>
      </w:pPr>
    </w:p>
    <w:p>
      <w:pPr>
        <w:ind w:right="400" w:firstLine="434"/>
        <w:spacing w:after="0" w:line="290" w:lineRule="auto"/>
        <w:rPr>
          <w:sz w:val="20"/>
          <w:szCs w:val="20"/>
          <w:color w:val="auto"/>
        </w:rPr>
      </w:pPr>
      <w:r>
        <w:rPr>
          <w:rFonts w:ascii="Arial" w:cs="Arial" w:eastAsia="Arial" w:hAnsi="Arial"/>
          <w:sz w:val="13"/>
          <w:szCs w:val="13"/>
          <w:color w:val="auto"/>
        </w:rPr>
        <w:t>PennantPark Investment Corporation, a Maryland corporation organized in January 2007, is a closed-end, externally managed, non-diversified investment company that has elected to be treated as a BDC under the 1940 Act. In addition, for federal income tax purposes we have elected to be treated, and intend to qualify annually, as a RIC under the Code.</w:t>
      </w:r>
    </w:p>
    <w:p>
      <w:pPr>
        <w:spacing w:after="0" w:line="84" w:lineRule="exact"/>
        <w:rPr>
          <w:sz w:val="20"/>
          <w:szCs w:val="20"/>
          <w:color w:val="auto"/>
        </w:rPr>
      </w:pPr>
    </w:p>
    <w:p>
      <w:pPr>
        <w:ind w:right="200" w:firstLine="434"/>
        <w:spacing w:after="0" w:line="238" w:lineRule="auto"/>
        <w:rPr>
          <w:sz w:val="20"/>
          <w:szCs w:val="20"/>
          <w:color w:val="auto"/>
        </w:rPr>
      </w:pPr>
      <w:r>
        <w:rPr>
          <w:rFonts w:ascii="Arial" w:cs="Arial" w:eastAsia="Arial" w:hAnsi="Arial"/>
          <w:sz w:val="14"/>
          <w:szCs w:val="14"/>
          <w:color w:val="auto"/>
        </w:rPr>
        <w:t>Our wholly owned subsidiaries, SBIC I and SBIC II, were organized as Delaware limited partnerships in 2010 and 2012, respectively. SBIC I and SBIC II received licenses from the SBA to operate as SBICs under Section 301(c) of the 1958 Act. Our SBIC Funds’ objectives are to generate both current income and capital appreciation through debt and equity investments generally by investing with us in SBA eligible businesses that meet the investment selection criteria used by PennantPark Investment.</w:t>
      </w:r>
    </w:p>
    <w:p>
      <w:pPr>
        <w:spacing w:after="0" w:line="115" w:lineRule="exact"/>
        <w:rPr>
          <w:sz w:val="20"/>
          <w:szCs w:val="20"/>
          <w:color w:val="auto"/>
        </w:rPr>
      </w:pPr>
    </w:p>
    <w:p>
      <w:pPr>
        <w:ind w:right="120" w:firstLine="434"/>
        <w:spacing w:after="0" w:line="227" w:lineRule="auto"/>
        <w:rPr>
          <w:sz w:val="20"/>
          <w:szCs w:val="20"/>
          <w:color w:val="auto"/>
        </w:rPr>
      </w:pPr>
      <w:r>
        <w:rPr>
          <w:rFonts w:ascii="Arial" w:cs="Arial" w:eastAsia="Arial" w:hAnsi="Arial"/>
          <w:sz w:val="14"/>
          <w:szCs w:val="14"/>
          <w:color w:val="auto"/>
        </w:rPr>
        <w:t>Our investment activities are managed by the Investment Adviser. Under our Investment Management Agreement, we have agreed to pay our Investment Adviser an annual base management fee based on our average adjusted gross assets as well as an incentive fee based on our investment performance. PennantPark Investment, through the Investment Adviser, provides similar services to our SBIC Funds under their investment management agreements. Our SBIC Funds investment management agreements do not affect the management and incentive fees on a consolidated basis. We have also entered into an Administration Agreement with the Administrator. Under our Administration Agreement, we have agreed to reimburse the Administrator for our allocable portion of overhead and other expenses incurred by the Administrator in performing its obligations under our Administration Agreement, including rent and our allocable portion of the costs of compensation and related expenses of our Chief Compliance Officer, Chief Financial Officer and their respective staffs. PennantPark Investment, through the Administrator, provides similar services to our SBIC Funds under their administration agreements with us. Our board of directors, a majority of whom are independent of us, supervises our activities, and the Investment Adviser manages our day-to-day activities.</w:t>
      </w:r>
    </w:p>
    <w:p>
      <w:pPr>
        <w:spacing w:after="0" w:line="118"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Revenues</w:t>
      </w:r>
    </w:p>
    <w:p>
      <w:pPr>
        <w:spacing w:after="0" w:line="136" w:lineRule="exact"/>
        <w:rPr>
          <w:sz w:val="20"/>
          <w:szCs w:val="20"/>
          <w:color w:val="auto"/>
        </w:rPr>
      </w:pPr>
    </w:p>
    <w:p>
      <w:pPr>
        <w:ind w:right="100" w:firstLine="434"/>
        <w:spacing w:after="0" w:line="269" w:lineRule="auto"/>
        <w:rPr>
          <w:sz w:val="20"/>
          <w:szCs w:val="20"/>
          <w:color w:val="auto"/>
        </w:rPr>
      </w:pPr>
      <w:r>
        <w:rPr>
          <w:rFonts w:ascii="Arial" w:cs="Arial" w:eastAsia="Arial" w:hAnsi="Arial"/>
          <w:sz w:val="12"/>
          <w:szCs w:val="12"/>
          <w:color w:val="auto"/>
        </w:rPr>
        <w:t>We generate revenue in the form of interest income on the debt securities we hold and capital gains and distributions, if any, on investment securities that we may acquire in portfolio companies. Our debt investments, whether in the form of senior secured debt or mezzanine debt, typically have terms of three to ten years and bear interest at a fixed or a floating rate. Interest on debt securities is generally payable quarterly or semiannually. In some cases, our investments provide for deferred interest payments and PIK interest. The principal amount of the debt securities and any accrued but unpaid interest generally becomes due at the maturity date. In addition, we may generate revenue in the form of amendment, commitment, origination, structuring or diligence fees, fees for providing managerial assistance and possibly consulting fees. Loan origination fees, OID, market discount or premium and deferred financing costs on liabilities, which we do not fair value, are capitalized and accreted or amortized using the effective interest method as interest income or, in the case of deferred financing cost, as interest expense. Dividend income, if any, is recognized on an accrual basis on the ex-dividend date to the extent that we expect to collect such amounts. From time to time, the Company receives certain fees from portfolio companies, which are non-recurring in nature. Such fees include loan prepayment penalties, structuring fees and amendment fees, and are recorded as other investment income when earned.</w:t>
      </w:r>
    </w:p>
    <w:p>
      <w:pPr>
        <w:spacing w:after="0" w:line="99"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Expenses</w:t>
      </w:r>
    </w:p>
    <w:p>
      <w:pPr>
        <w:spacing w:after="0" w:line="136" w:lineRule="exact"/>
        <w:rPr>
          <w:sz w:val="20"/>
          <w:szCs w:val="20"/>
          <w:color w:val="auto"/>
        </w:rPr>
      </w:pPr>
    </w:p>
    <w:p>
      <w:pPr>
        <w:jc w:val="both"/>
        <w:ind w:right="180" w:firstLine="434"/>
        <w:spacing w:after="0" w:line="233" w:lineRule="auto"/>
        <w:rPr>
          <w:sz w:val="20"/>
          <w:szCs w:val="20"/>
          <w:color w:val="auto"/>
        </w:rPr>
      </w:pPr>
      <w:r>
        <w:rPr>
          <w:rFonts w:ascii="Arial" w:cs="Arial" w:eastAsia="Arial" w:hAnsi="Arial"/>
          <w:sz w:val="14"/>
          <w:szCs w:val="14"/>
          <w:color w:val="auto"/>
        </w:rPr>
        <w:t>Our primary operating expenses include the payment of a management fee and the payment of an incentive fee to our Investment Adviser, if any, our allocable portion of overhead under our Administration Agreement and other operating costs as detailed below. Our management fee compensates our Investment Adviser for its work in identifying, evaluating, negotiating, consummating and monitoring our investments. Additionally, we pay interest expense on the outstanding debt and unused commitment fees on undrawn amounts, under our various debt facilities. We bear all other direct or indirect costs and expenses of our operations and transactions, including:</w:t>
      </w:r>
    </w:p>
    <w:p>
      <w:pPr>
        <w:spacing w:after="0" w:line="117" w:lineRule="exact"/>
        <w:rPr>
          <w:sz w:val="20"/>
          <w:szCs w:val="20"/>
          <w:color w:val="auto"/>
        </w:rPr>
      </w:pPr>
    </w:p>
    <w:p>
      <w:pPr>
        <w:ind w:left="920" w:hanging="372"/>
        <w:spacing w:after="0"/>
        <w:tabs>
          <w:tab w:leader="none" w:pos="920" w:val="left"/>
        </w:tabs>
        <w:numPr>
          <w:ilvl w:val="0"/>
          <w:numId w:val="20"/>
        </w:numPr>
        <w:rPr>
          <w:rFonts w:ascii="Arial" w:cs="Arial" w:eastAsia="Arial" w:hAnsi="Arial"/>
          <w:sz w:val="14"/>
          <w:szCs w:val="14"/>
          <w:color w:val="auto"/>
        </w:rPr>
      </w:pPr>
      <w:r>
        <w:rPr>
          <w:rFonts w:ascii="Arial" w:cs="Arial" w:eastAsia="Arial" w:hAnsi="Arial"/>
          <w:sz w:val="14"/>
          <w:szCs w:val="14"/>
          <w:color w:val="auto"/>
        </w:rPr>
        <w:t>the cost of calculating our net asset value, including the cost of any third-party valuation services;</w:t>
      </w:r>
    </w:p>
    <w:p>
      <w:pPr>
        <w:spacing w:after="0" w:line="136" w:lineRule="exact"/>
        <w:rPr>
          <w:rFonts w:ascii="Arial" w:cs="Arial" w:eastAsia="Arial" w:hAnsi="Arial"/>
          <w:sz w:val="14"/>
          <w:szCs w:val="14"/>
          <w:color w:val="auto"/>
        </w:rPr>
      </w:pPr>
    </w:p>
    <w:p>
      <w:pPr>
        <w:ind w:left="920" w:hanging="372"/>
        <w:spacing w:after="0"/>
        <w:tabs>
          <w:tab w:leader="none" w:pos="920" w:val="left"/>
        </w:tabs>
        <w:numPr>
          <w:ilvl w:val="0"/>
          <w:numId w:val="20"/>
        </w:numPr>
        <w:rPr>
          <w:rFonts w:ascii="Arial" w:cs="Arial" w:eastAsia="Arial" w:hAnsi="Arial"/>
          <w:sz w:val="14"/>
          <w:szCs w:val="14"/>
          <w:color w:val="auto"/>
        </w:rPr>
      </w:pPr>
      <w:r>
        <w:rPr>
          <w:rFonts w:ascii="Arial" w:cs="Arial" w:eastAsia="Arial" w:hAnsi="Arial"/>
          <w:sz w:val="14"/>
          <w:szCs w:val="14"/>
          <w:color w:val="auto"/>
        </w:rPr>
        <w:t>the cost of effecting sales and repurchases of shares of our common stock and other securities;</w:t>
      </w:r>
    </w:p>
    <w:p>
      <w:pPr>
        <w:spacing w:after="0" w:line="136" w:lineRule="exact"/>
        <w:rPr>
          <w:rFonts w:ascii="Arial" w:cs="Arial" w:eastAsia="Arial" w:hAnsi="Arial"/>
          <w:sz w:val="14"/>
          <w:szCs w:val="14"/>
          <w:color w:val="auto"/>
        </w:rPr>
      </w:pPr>
    </w:p>
    <w:p>
      <w:pPr>
        <w:ind w:left="920" w:right="60" w:hanging="372"/>
        <w:spacing w:after="0" w:line="253" w:lineRule="auto"/>
        <w:tabs>
          <w:tab w:leader="none" w:pos="920" w:val="left"/>
        </w:tabs>
        <w:numPr>
          <w:ilvl w:val="0"/>
          <w:numId w:val="20"/>
        </w:numPr>
        <w:rPr>
          <w:rFonts w:ascii="Arial" w:cs="Arial" w:eastAsia="Arial" w:hAnsi="Arial"/>
          <w:sz w:val="14"/>
          <w:szCs w:val="14"/>
          <w:color w:val="auto"/>
        </w:rPr>
      </w:pPr>
      <w:r>
        <w:rPr>
          <w:rFonts w:ascii="Arial" w:cs="Arial" w:eastAsia="Arial" w:hAnsi="Arial"/>
          <w:sz w:val="14"/>
          <w:szCs w:val="14"/>
          <w:color w:val="auto"/>
        </w:rPr>
        <w:t>fees payable to third parties relating to, or associated with, making investments, including fees and expenses associated with performing due diligence and reviews of prospective investments or complementary businesses;</w:t>
      </w:r>
    </w:p>
    <w:p>
      <w:pPr>
        <w:spacing w:after="0" w:line="106" w:lineRule="exact"/>
        <w:rPr>
          <w:rFonts w:ascii="Arial" w:cs="Arial" w:eastAsia="Arial" w:hAnsi="Arial"/>
          <w:sz w:val="14"/>
          <w:szCs w:val="14"/>
          <w:color w:val="auto"/>
        </w:rPr>
      </w:pPr>
    </w:p>
    <w:p>
      <w:pPr>
        <w:ind w:left="920" w:hanging="372"/>
        <w:spacing w:after="0"/>
        <w:tabs>
          <w:tab w:leader="none" w:pos="920" w:val="left"/>
        </w:tabs>
        <w:numPr>
          <w:ilvl w:val="0"/>
          <w:numId w:val="20"/>
        </w:numPr>
        <w:rPr>
          <w:rFonts w:ascii="Arial" w:cs="Arial" w:eastAsia="Arial" w:hAnsi="Arial"/>
          <w:sz w:val="14"/>
          <w:szCs w:val="14"/>
          <w:color w:val="auto"/>
        </w:rPr>
      </w:pPr>
      <w:r>
        <w:rPr>
          <w:rFonts w:ascii="Arial" w:cs="Arial" w:eastAsia="Arial" w:hAnsi="Arial"/>
          <w:sz w:val="14"/>
          <w:szCs w:val="14"/>
          <w:color w:val="auto"/>
        </w:rPr>
        <w:t>expenses incurred by the Investment Adviser in performing due diligence and reviews of investments;</w:t>
      </w:r>
    </w:p>
    <w:p>
      <w:pPr>
        <w:spacing w:after="0" w:line="136" w:lineRule="exact"/>
        <w:rPr>
          <w:rFonts w:ascii="Arial" w:cs="Arial" w:eastAsia="Arial" w:hAnsi="Arial"/>
          <w:sz w:val="14"/>
          <w:szCs w:val="14"/>
          <w:color w:val="auto"/>
        </w:rPr>
      </w:pPr>
    </w:p>
    <w:p>
      <w:pPr>
        <w:ind w:left="920" w:hanging="372"/>
        <w:spacing w:after="0"/>
        <w:tabs>
          <w:tab w:leader="none" w:pos="920" w:val="left"/>
        </w:tabs>
        <w:numPr>
          <w:ilvl w:val="0"/>
          <w:numId w:val="20"/>
        </w:numPr>
        <w:rPr>
          <w:rFonts w:ascii="Arial" w:cs="Arial" w:eastAsia="Arial" w:hAnsi="Arial"/>
          <w:sz w:val="14"/>
          <w:szCs w:val="14"/>
          <w:color w:val="auto"/>
        </w:rPr>
      </w:pPr>
      <w:r>
        <w:rPr>
          <w:rFonts w:ascii="Arial" w:cs="Arial" w:eastAsia="Arial" w:hAnsi="Arial"/>
          <w:sz w:val="14"/>
          <w:szCs w:val="14"/>
          <w:color w:val="auto"/>
        </w:rPr>
        <w:t>transfer agent and custodial fees;</w:t>
      </w:r>
    </w:p>
    <w:p>
      <w:pPr>
        <w:spacing w:after="0" w:line="136" w:lineRule="exact"/>
        <w:rPr>
          <w:rFonts w:ascii="Arial" w:cs="Arial" w:eastAsia="Arial" w:hAnsi="Arial"/>
          <w:sz w:val="14"/>
          <w:szCs w:val="14"/>
          <w:color w:val="auto"/>
        </w:rPr>
      </w:pPr>
    </w:p>
    <w:p>
      <w:pPr>
        <w:ind w:left="920" w:hanging="372"/>
        <w:spacing w:after="0"/>
        <w:tabs>
          <w:tab w:leader="none" w:pos="920" w:val="left"/>
        </w:tabs>
        <w:numPr>
          <w:ilvl w:val="0"/>
          <w:numId w:val="20"/>
        </w:numPr>
        <w:rPr>
          <w:rFonts w:ascii="Arial" w:cs="Arial" w:eastAsia="Arial" w:hAnsi="Arial"/>
          <w:sz w:val="14"/>
          <w:szCs w:val="14"/>
          <w:color w:val="auto"/>
        </w:rPr>
      </w:pPr>
      <w:r>
        <w:rPr>
          <w:rFonts w:ascii="Arial" w:cs="Arial" w:eastAsia="Arial" w:hAnsi="Arial"/>
          <w:sz w:val="14"/>
          <w:szCs w:val="14"/>
          <w:color w:val="auto"/>
        </w:rPr>
        <w:t>fees and expenses associated with marketing efforts;</w:t>
      </w:r>
    </w:p>
    <w:p>
      <w:pPr>
        <w:spacing w:after="0" w:line="136" w:lineRule="exact"/>
        <w:rPr>
          <w:rFonts w:ascii="Arial" w:cs="Arial" w:eastAsia="Arial" w:hAnsi="Arial"/>
          <w:sz w:val="14"/>
          <w:szCs w:val="14"/>
          <w:color w:val="auto"/>
        </w:rPr>
      </w:pPr>
    </w:p>
    <w:p>
      <w:pPr>
        <w:ind w:left="920" w:hanging="372"/>
        <w:spacing w:after="0"/>
        <w:tabs>
          <w:tab w:leader="none" w:pos="920" w:val="left"/>
        </w:tabs>
        <w:numPr>
          <w:ilvl w:val="0"/>
          <w:numId w:val="20"/>
        </w:numPr>
        <w:rPr>
          <w:rFonts w:ascii="Arial" w:cs="Arial" w:eastAsia="Arial" w:hAnsi="Arial"/>
          <w:sz w:val="14"/>
          <w:szCs w:val="14"/>
          <w:color w:val="auto"/>
        </w:rPr>
      </w:pPr>
      <w:r>
        <w:rPr>
          <w:rFonts w:ascii="Arial" w:cs="Arial" w:eastAsia="Arial" w:hAnsi="Arial"/>
          <w:sz w:val="14"/>
          <w:szCs w:val="14"/>
          <w:color w:val="auto"/>
        </w:rPr>
        <w:t>federal and state registration fees and any exchange listing fees;</w:t>
      </w:r>
    </w:p>
    <w:p>
      <w:pPr>
        <w:spacing w:after="0" w:line="136" w:lineRule="exact"/>
        <w:rPr>
          <w:rFonts w:ascii="Arial" w:cs="Arial" w:eastAsia="Arial" w:hAnsi="Arial"/>
          <w:sz w:val="14"/>
          <w:szCs w:val="14"/>
          <w:color w:val="auto"/>
        </w:rPr>
      </w:pPr>
    </w:p>
    <w:p>
      <w:pPr>
        <w:ind w:left="920" w:hanging="372"/>
        <w:spacing w:after="0"/>
        <w:tabs>
          <w:tab w:leader="none" w:pos="920" w:val="left"/>
        </w:tabs>
        <w:numPr>
          <w:ilvl w:val="0"/>
          <w:numId w:val="20"/>
        </w:numPr>
        <w:rPr>
          <w:rFonts w:ascii="Arial" w:cs="Arial" w:eastAsia="Arial" w:hAnsi="Arial"/>
          <w:sz w:val="14"/>
          <w:szCs w:val="14"/>
          <w:color w:val="auto"/>
        </w:rPr>
      </w:pPr>
      <w:r>
        <w:rPr>
          <w:rFonts w:ascii="Arial" w:cs="Arial" w:eastAsia="Arial" w:hAnsi="Arial"/>
          <w:sz w:val="14"/>
          <w:szCs w:val="14"/>
          <w:color w:val="auto"/>
        </w:rPr>
        <w:t>federal, state, local and foreign taxes;</w:t>
      </w:r>
    </w:p>
    <w:p>
      <w:pPr>
        <w:spacing w:after="0" w:line="136" w:lineRule="exact"/>
        <w:rPr>
          <w:rFonts w:ascii="Arial" w:cs="Arial" w:eastAsia="Arial" w:hAnsi="Arial"/>
          <w:sz w:val="14"/>
          <w:szCs w:val="14"/>
          <w:color w:val="auto"/>
        </w:rPr>
      </w:pPr>
    </w:p>
    <w:p>
      <w:pPr>
        <w:ind w:left="920" w:hanging="372"/>
        <w:spacing w:after="0"/>
        <w:tabs>
          <w:tab w:leader="none" w:pos="920" w:val="left"/>
        </w:tabs>
        <w:numPr>
          <w:ilvl w:val="0"/>
          <w:numId w:val="20"/>
        </w:numPr>
        <w:rPr>
          <w:rFonts w:ascii="Arial" w:cs="Arial" w:eastAsia="Arial" w:hAnsi="Arial"/>
          <w:sz w:val="14"/>
          <w:szCs w:val="14"/>
          <w:color w:val="auto"/>
        </w:rPr>
      </w:pPr>
      <w:r>
        <w:rPr>
          <w:rFonts w:ascii="Arial" w:cs="Arial" w:eastAsia="Arial" w:hAnsi="Arial"/>
          <w:sz w:val="14"/>
          <w:szCs w:val="14"/>
          <w:color w:val="auto"/>
        </w:rPr>
        <w:t>independent directors’ fees and expenses;</w:t>
      </w:r>
    </w:p>
    <w:p>
      <w:pPr>
        <w:spacing w:after="0" w:line="136" w:lineRule="exact"/>
        <w:rPr>
          <w:rFonts w:ascii="Arial" w:cs="Arial" w:eastAsia="Arial" w:hAnsi="Arial"/>
          <w:sz w:val="14"/>
          <w:szCs w:val="14"/>
          <w:color w:val="auto"/>
        </w:rPr>
      </w:pPr>
    </w:p>
    <w:p>
      <w:pPr>
        <w:ind w:left="920" w:hanging="372"/>
        <w:spacing w:after="0"/>
        <w:tabs>
          <w:tab w:leader="none" w:pos="920" w:val="left"/>
        </w:tabs>
        <w:numPr>
          <w:ilvl w:val="0"/>
          <w:numId w:val="20"/>
        </w:numPr>
        <w:rPr>
          <w:rFonts w:ascii="Arial" w:cs="Arial" w:eastAsia="Arial" w:hAnsi="Arial"/>
          <w:sz w:val="14"/>
          <w:szCs w:val="14"/>
          <w:color w:val="auto"/>
        </w:rPr>
      </w:pPr>
      <w:r>
        <w:rPr>
          <w:rFonts w:ascii="Arial" w:cs="Arial" w:eastAsia="Arial" w:hAnsi="Arial"/>
          <w:sz w:val="14"/>
          <w:szCs w:val="14"/>
          <w:color w:val="auto"/>
        </w:rPr>
        <w:t>brokerage commissions;</w:t>
      </w:r>
    </w:p>
    <w:p>
      <w:pPr>
        <w:spacing w:after="0" w:line="136" w:lineRule="exact"/>
        <w:rPr>
          <w:rFonts w:ascii="Arial" w:cs="Arial" w:eastAsia="Arial" w:hAnsi="Arial"/>
          <w:sz w:val="14"/>
          <w:szCs w:val="14"/>
          <w:color w:val="auto"/>
        </w:rPr>
      </w:pPr>
    </w:p>
    <w:p>
      <w:pPr>
        <w:ind w:left="920" w:hanging="372"/>
        <w:spacing w:after="0"/>
        <w:tabs>
          <w:tab w:leader="none" w:pos="920" w:val="left"/>
        </w:tabs>
        <w:numPr>
          <w:ilvl w:val="0"/>
          <w:numId w:val="20"/>
        </w:numPr>
        <w:rPr>
          <w:rFonts w:ascii="Arial" w:cs="Arial" w:eastAsia="Arial" w:hAnsi="Arial"/>
          <w:sz w:val="14"/>
          <w:szCs w:val="14"/>
          <w:color w:val="auto"/>
        </w:rPr>
      </w:pPr>
      <w:r>
        <w:rPr>
          <w:rFonts w:ascii="Arial" w:cs="Arial" w:eastAsia="Arial" w:hAnsi="Arial"/>
          <w:sz w:val="14"/>
          <w:szCs w:val="14"/>
          <w:color w:val="auto"/>
        </w:rPr>
        <w:t>fidelity bond, directors and officers, errors and omissions liability insurance and other insurance premiums;</w:t>
      </w:r>
    </w:p>
    <w:p>
      <w:pPr>
        <w:spacing w:after="0" w:line="136" w:lineRule="exact"/>
        <w:rPr>
          <w:rFonts w:ascii="Arial" w:cs="Arial" w:eastAsia="Arial" w:hAnsi="Arial"/>
          <w:sz w:val="14"/>
          <w:szCs w:val="14"/>
          <w:color w:val="auto"/>
        </w:rPr>
      </w:pPr>
    </w:p>
    <w:p>
      <w:pPr>
        <w:ind w:left="920" w:hanging="372"/>
        <w:spacing w:after="0"/>
        <w:tabs>
          <w:tab w:leader="none" w:pos="920" w:val="left"/>
        </w:tabs>
        <w:numPr>
          <w:ilvl w:val="0"/>
          <w:numId w:val="20"/>
        </w:numPr>
        <w:rPr>
          <w:rFonts w:ascii="Arial" w:cs="Arial" w:eastAsia="Arial" w:hAnsi="Arial"/>
          <w:sz w:val="14"/>
          <w:szCs w:val="14"/>
          <w:color w:val="auto"/>
        </w:rPr>
      </w:pPr>
      <w:r>
        <w:rPr>
          <w:rFonts w:ascii="Arial" w:cs="Arial" w:eastAsia="Arial" w:hAnsi="Arial"/>
          <w:sz w:val="14"/>
          <w:szCs w:val="14"/>
          <w:color w:val="auto"/>
        </w:rPr>
        <w:t>direct costs such as printing, mailing, long distance telephone and staff;</w:t>
      </w:r>
    </w:p>
    <w:p>
      <w:pPr>
        <w:spacing w:after="0" w:line="136" w:lineRule="exact"/>
        <w:rPr>
          <w:rFonts w:ascii="Arial" w:cs="Arial" w:eastAsia="Arial" w:hAnsi="Arial"/>
          <w:sz w:val="14"/>
          <w:szCs w:val="14"/>
          <w:color w:val="auto"/>
        </w:rPr>
      </w:pPr>
    </w:p>
    <w:p>
      <w:pPr>
        <w:ind w:left="920" w:hanging="372"/>
        <w:spacing w:after="0"/>
        <w:tabs>
          <w:tab w:leader="none" w:pos="920" w:val="left"/>
        </w:tabs>
        <w:numPr>
          <w:ilvl w:val="0"/>
          <w:numId w:val="20"/>
        </w:numPr>
        <w:rPr>
          <w:rFonts w:ascii="Arial" w:cs="Arial" w:eastAsia="Arial" w:hAnsi="Arial"/>
          <w:sz w:val="14"/>
          <w:szCs w:val="14"/>
          <w:color w:val="auto"/>
        </w:rPr>
      </w:pPr>
      <w:r>
        <w:rPr>
          <w:rFonts w:ascii="Arial" w:cs="Arial" w:eastAsia="Arial" w:hAnsi="Arial"/>
          <w:sz w:val="14"/>
          <w:szCs w:val="14"/>
          <w:color w:val="auto"/>
        </w:rPr>
        <w:t>fees and expenses associated with independent audits and outside legal costs;</w:t>
      </w:r>
    </w:p>
    <w:p>
      <w:pPr>
        <w:spacing w:after="0" w:line="136" w:lineRule="exact"/>
        <w:rPr>
          <w:rFonts w:ascii="Arial" w:cs="Arial" w:eastAsia="Arial" w:hAnsi="Arial"/>
          <w:sz w:val="14"/>
          <w:szCs w:val="14"/>
          <w:color w:val="auto"/>
        </w:rPr>
      </w:pPr>
    </w:p>
    <w:p>
      <w:pPr>
        <w:ind w:left="920" w:hanging="372"/>
        <w:spacing w:after="0"/>
        <w:tabs>
          <w:tab w:leader="none" w:pos="920" w:val="left"/>
        </w:tabs>
        <w:numPr>
          <w:ilvl w:val="0"/>
          <w:numId w:val="20"/>
        </w:numPr>
        <w:rPr>
          <w:rFonts w:ascii="Arial" w:cs="Arial" w:eastAsia="Arial" w:hAnsi="Arial"/>
          <w:sz w:val="14"/>
          <w:szCs w:val="14"/>
          <w:color w:val="auto"/>
        </w:rPr>
      </w:pPr>
      <w:r>
        <w:rPr>
          <w:rFonts w:ascii="Arial" w:cs="Arial" w:eastAsia="Arial" w:hAnsi="Arial"/>
          <w:sz w:val="14"/>
          <w:szCs w:val="14"/>
          <w:color w:val="auto"/>
        </w:rPr>
        <w:t>costs associated with our reporting and compliance obligations under the 1940 Act, the 1958 Act and applicable federal and state securities laws; and</w:t>
      </w:r>
    </w:p>
    <w:p>
      <w:pPr>
        <w:spacing w:after="0" w:line="136" w:lineRule="exact"/>
        <w:rPr>
          <w:rFonts w:ascii="Arial" w:cs="Arial" w:eastAsia="Arial" w:hAnsi="Arial"/>
          <w:sz w:val="14"/>
          <w:szCs w:val="14"/>
          <w:color w:val="auto"/>
        </w:rPr>
      </w:pPr>
    </w:p>
    <w:p>
      <w:pPr>
        <w:jc w:val="both"/>
        <w:ind w:left="920" w:right="40" w:hanging="372"/>
        <w:spacing w:after="0" w:line="264" w:lineRule="auto"/>
        <w:tabs>
          <w:tab w:leader="none" w:pos="920" w:val="left"/>
        </w:tabs>
        <w:numPr>
          <w:ilvl w:val="0"/>
          <w:numId w:val="20"/>
        </w:numPr>
        <w:rPr>
          <w:rFonts w:ascii="Arial" w:cs="Arial" w:eastAsia="Arial" w:hAnsi="Arial"/>
          <w:sz w:val="13"/>
          <w:szCs w:val="13"/>
          <w:color w:val="auto"/>
        </w:rPr>
      </w:pPr>
      <w:r>
        <w:rPr>
          <w:rFonts w:ascii="Arial" w:cs="Arial" w:eastAsia="Arial" w:hAnsi="Arial"/>
          <w:sz w:val="13"/>
          <w:szCs w:val="13"/>
          <w:color w:val="auto"/>
        </w:rPr>
        <w:t>all other expenses incurred by either the Administrator or us in connection with administering our business, including payments under our Administration Agreement that will be based upon our allocable portion of overhead, and other expenses incurred by the Administrator in performing its obligations under our Administration Agreement, including rent and our allocable portion of the costs of compensation and related expenses of our Chief Compliance Officer, Chief Financial Officer and their respective staffs.</w:t>
      </w:r>
    </w:p>
    <w:p>
      <w:pPr>
        <w:spacing w:after="0" w:line="200" w:lineRule="exact"/>
        <w:rPr>
          <w:sz w:val="20"/>
          <w:szCs w:val="20"/>
          <w:color w:val="auto"/>
        </w:rPr>
      </w:pPr>
    </w:p>
    <w:p>
      <w:pPr>
        <w:spacing w:after="0" w:line="265" w:lineRule="exact"/>
        <w:rPr>
          <w:sz w:val="20"/>
          <w:szCs w:val="20"/>
          <w:color w:val="auto"/>
        </w:rPr>
      </w:pPr>
    </w:p>
    <w:p>
      <w:pPr>
        <w:jc w:val="center"/>
        <w:ind w:right="-39"/>
        <w:spacing w:after="0"/>
        <w:rPr>
          <w:sz w:val="20"/>
          <w:szCs w:val="20"/>
          <w:color w:val="auto"/>
        </w:rPr>
      </w:pPr>
      <w:r>
        <w:rPr>
          <w:rFonts w:ascii="Arial" w:cs="Arial" w:eastAsia="Arial" w:hAnsi="Arial"/>
          <w:sz w:val="14"/>
          <w:szCs w:val="14"/>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72390</wp:posOffset>
            </wp:positionV>
            <wp:extent cx="7149465" cy="1714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00"/>
          </w:cols>
          <w:pgMar w:left="320" w:top="337" w:right="379" w:bottom="1440" w:gutter="0" w:footer="0" w:header="0"/>
        </w:sectPr>
      </w:pPr>
    </w:p>
    <w:bookmarkStart w:id="27" w:name="page28"/>
    <w:bookmarkEnd w:id="27"/>
    <w:p>
      <w:pPr>
        <w:ind w:right="120" w:firstLine="434"/>
        <w:spacing w:after="0" w:line="253" w:lineRule="auto"/>
        <w:rPr>
          <w:sz w:val="20"/>
          <w:szCs w:val="20"/>
          <w:color w:val="auto"/>
        </w:rPr>
      </w:pPr>
      <w:r>
        <w:rPr>
          <w:rFonts w:ascii="Arial" w:cs="Arial" w:eastAsia="Arial" w:hAnsi="Arial"/>
          <w:sz w:val="14"/>
          <w:szCs w:val="14"/>
          <w:color w:val="auto"/>
        </w:rPr>
        <w:t>Generally, during periods of asset growth, we expect our general and administrative expenses to be relatively stable or to decline as a percentage of total assets and increase during periods of asset declines. Incentive fees, interest expense and costs relating to future offerings of securities would be additive to the expenses described above.</w:t>
      </w:r>
    </w:p>
    <w:p>
      <w:pPr>
        <w:spacing w:after="0" w:line="102"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PORTFOLIO AND INVESTMENT ACTIVITY</w:t>
      </w:r>
    </w:p>
    <w:p>
      <w:pPr>
        <w:spacing w:after="0" w:line="140" w:lineRule="exact"/>
        <w:rPr>
          <w:sz w:val="20"/>
          <w:szCs w:val="20"/>
          <w:color w:val="auto"/>
        </w:rPr>
      </w:pPr>
    </w:p>
    <w:p>
      <w:pPr>
        <w:ind w:right="120" w:firstLine="434"/>
        <w:spacing w:after="0" w:line="231" w:lineRule="auto"/>
        <w:rPr>
          <w:sz w:val="20"/>
          <w:szCs w:val="20"/>
          <w:color w:val="auto"/>
        </w:rPr>
      </w:pPr>
      <w:r>
        <w:rPr>
          <w:rFonts w:ascii="Arial" w:cs="Arial" w:eastAsia="Arial" w:hAnsi="Arial"/>
          <w:sz w:val="14"/>
          <w:szCs w:val="14"/>
          <w:color w:val="auto"/>
        </w:rPr>
        <w:t>As of June 30, 2017, our portfolio totaled $1,098.9 million and consisted of $464.5 million of senior secured debt, $385.0 million of second lien secured debt, $120.9 million of subordinated debt and $128.5 million of preferred and common equity. Our debt portfolio consisted of 85% variable-rate investments (including 24% where LIBOR was below the floor) and 15% fixed-rate investments. As of June 30, 2017, we had no companies on non-accrual. Overall, the portfolio had net unrealized depreciation of $56.4 million as of June 30, 2017. Our overall portfolio consisted of 53 companies with an average investment size of $20.7 million, had a weighted average yield on interest bearing debt investments of 11.8% and was invested 42% in senior secured debt, 35% in second lien secured debt, 11% in subordinated debt and 12% in preferred and common equity.</w:t>
      </w:r>
    </w:p>
    <w:p>
      <w:pPr>
        <w:spacing w:after="0" w:line="116" w:lineRule="exact"/>
        <w:rPr>
          <w:sz w:val="20"/>
          <w:szCs w:val="20"/>
          <w:color w:val="auto"/>
        </w:rPr>
      </w:pPr>
    </w:p>
    <w:p>
      <w:pPr>
        <w:ind w:right="40" w:firstLine="434"/>
        <w:spacing w:after="0" w:line="229" w:lineRule="auto"/>
        <w:rPr>
          <w:sz w:val="20"/>
          <w:szCs w:val="20"/>
          <w:color w:val="auto"/>
        </w:rPr>
      </w:pPr>
      <w:r>
        <w:rPr>
          <w:rFonts w:ascii="Arial" w:cs="Arial" w:eastAsia="Arial" w:hAnsi="Arial"/>
          <w:sz w:val="14"/>
          <w:szCs w:val="14"/>
          <w:color w:val="auto"/>
        </w:rPr>
        <w:t>As of September 30, 2016, our portfolio totaled $1,153.7 million and consisted of $397.1 million of senior secured debt, $425.4 million of second lien secured debt, $177.6 million of subordinated debt and $153.6 million of preferred and common equity. Our debt portfolio consisted of 78% variable-rate investments (including 72% where LIBOR was below the floor) and 22% fixed-rate investments. As of September 30, 2016, we had four companies on non-accrual, representing 5.3% and 2.8% of our overall portfolio on a cost and fair value basis, respectively. Overall, the portfolio had net unrealized depreciation of $100.3 million as of September 30, 2016. Our overall portfolio consisted of 56 companies with an average investment size of $20.6 million, had a weighted average yield on interest bearing debt investments of 11.9% and was invested 35% in senior secured debt, 37% in second lien secured debt, 15% in subordinated debt and 13% in preferred and common equity.</w:t>
      </w:r>
    </w:p>
    <w:p>
      <w:pPr>
        <w:spacing w:after="0" w:line="118" w:lineRule="exact"/>
        <w:rPr>
          <w:sz w:val="20"/>
          <w:szCs w:val="20"/>
          <w:color w:val="auto"/>
        </w:rPr>
      </w:pPr>
    </w:p>
    <w:p>
      <w:pPr>
        <w:jc w:val="both"/>
        <w:ind w:right="40" w:firstLine="434"/>
        <w:spacing w:after="0" w:line="264" w:lineRule="auto"/>
        <w:rPr>
          <w:sz w:val="20"/>
          <w:szCs w:val="20"/>
          <w:color w:val="auto"/>
        </w:rPr>
      </w:pPr>
      <w:r>
        <w:rPr>
          <w:rFonts w:ascii="Arial" w:cs="Arial" w:eastAsia="Arial" w:hAnsi="Arial"/>
          <w:sz w:val="13"/>
          <w:szCs w:val="13"/>
          <w:color w:val="auto"/>
        </w:rPr>
        <w:t>For the three months ended June 30, 2017, we invested $89.1 million in two new and six existing portfolio companies with a weighted average yield on debt investments of 10.6%. Sales and repayments of investments for the three months ended June 30, 2017 totaled $199.1 million. For the nine months ended June 30, 2017, we invested $378.8 million in 14 new and 20 existing portfolio companies with a weighted average yield on debt investments of 10.8%. Sales and repayments of investments for the nine months ended June 30, 2017 totaled $465.4 million.</w:t>
      </w:r>
    </w:p>
    <w:p>
      <w:pPr>
        <w:spacing w:after="0" w:line="101" w:lineRule="exact"/>
        <w:rPr>
          <w:sz w:val="20"/>
          <w:szCs w:val="20"/>
          <w:color w:val="auto"/>
        </w:rPr>
      </w:pPr>
    </w:p>
    <w:p>
      <w:pPr>
        <w:jc w:val="both"/>
        <w:ind w:right="40" w:firstLine="434"/>
        <w:spacing w:after="0" w:line="264" w:lineRule="auto"/>
        <w:rPr>
          <w:sz w:val="20"/>
          <w:szCs w:val="20"/>
          <w:color w:val="auto"/>
        </w:rPr>
      </w:pPr>
      <w:r>
        <w:rPr>
          <w:rFonts w:ascii="Arial" w:cs="Arial" w:eastAsia="Arial" w:hAnsi="Arial"/>
          <w:sz w:val="13"/>
          <w:szCs w:val="13"/>
          <w:color w:val="auto"/>
        </w:rPr>
        <w:t>For the three months ended June 30, 2016, we invested $90.5 million in eight existing portfolio companies with a weighted average yield on debt investments of 12.4%. Sales and repayments of investments for the three months ended June 30, 2016 totaled $103.1 million. For the nine months ended June 30, 2016, we invested $307.3 million in six new and 18 existing portfolio companies with a weighted average yield on debt investments of 11.9%. Sales and repayments of investments for the nine months ended June 30, 2016 totaled $304.1 million.</w:t>
      </w:r>
    </w:p>
    <w:p>
      <w:pPr>
        <w:spacing w:after="0" w:line="97"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CRITICAL ACCOUNTING POLICIES</w:t>
      </w:r>
    </w:p>
    <w:p>
      <w:pPr>
        <w:spacing w:after="0" w:line="140" w:lineRule="exact"/>
        <w:rPr>
          <w:sz w:val="20"/>
          <w:szCs w:val="20"/>
          <w:color w:val="auto"/>
        </w:rPr>
      </w:pPr>
    </w:p>
    <w:p>
      <w:pPr>
        <w:ind w:firstLine="434"/>
        <w:spacing w:after="0" w:line="247" w:lineRule="auto"/>
        <w:rPr>
          <w:sz w:val="20"/>
          <w:szCs w:val="20"/>
          <w:color w:val="auto"/>
        </w:rPr>
      </w:pPr>
      <w:r>
        <w:rPr>
          <w:rFonts w:ascii="Arial" w:cs="Arial" w:eastAsia="Arial" w:hAnsi="Arial"/>
          <w:sz w:val="13"/>
          <w:szCs w:val="13"/>
          <w:color w:val="auto"/>
        </w:rPr>
        <w:t>The preparation of our Consolidated Financial Statements in conformity with GAAP requires management to make estimates and assumptions that affect the reported amount of our assets and liabilities at the date of the Consolidated Financial Statements and the reported amounts of income and expenses during the reported periods. In the opinion of management, all adjustments, which are of a normal recurring nature, considered necessary for the fair presentation of financial statements have been included. Actual results could differ from these estimates due to changes in the economic and regulatory environment, financial markets and any other parameters used in determining such estimates and assumptions. We may reclassify certain prior period amounts to conform to the current period presentation. We have eliminated all intercompany balances and transactions. References to the ASC serve as a single source of accounting literature. Subsequent events are evaluated and disclosed as appropriate for events occurring through the date the Consolidated Financial Statements are issued. In addition to the discussion below, we describe our critical accounting policies in the notes to our Consolidated Financial Statements.</w:t>
      </w:r>
    </w:p>
    <w:p>
      <w:pPr>
        <w:spacing w:after="0" w:line="111"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Investment Valuations</w:t>
      </w:r>
    </w:p>
    <w:p>
      <w:pPr>
        <w:spacing w:after="0" w:line="136" w:lineRule="exact"/>
        <w:rPr>
          <w:sz w:val="20"/>
          <w:szCs w:val="20"/>
          <w:color w:val="auto"/>
        </w:rPr>
      </w:pPr>
    </w:p>
    <w:p>
      <w:pPr>
        <w:ind w:firstLine="434"/>
        <w:spacing w:after="0" w:line="247" w:lineRule="auto"/>
        <w:rPr>
          <w:sz w:val="20"/>
          <w:szCs w:val="20"/>
          <w:color w:val="auto"/>
        </w:rPr>
      </w:pPr>
      <w:r>
        <w:rPr>
          <w:rFonts w:ascii="Arial" w:cs="Arial" w:eastAsia="Arial" w:hAnsi="Arial"/>
          <w:sz w:val="13"/>
          <w:szCs w:val="13"/>
          <w:color w:val="auto"/>
        </w:rPr>
        <w:t>We expect that there may not be readily available market values for many of our investments which are or will be in our portfolio, and we value such investments at fair value as determined in good faith by or under the direction of our board of directors using a documented valuation policy and a consistently applied valuation process, as described in this Report. With respect to investments for which there is no readily available market value, the factors that the board of directors may take into account in pricing our investments at fair value include, as relevant, the nature and realizable value of any collateral, the portfolio company’s ability to make payments and its earnings and discounted cash flow, the markets in which the portfolio company does business, comparison to publicly traded securities and other relevant factors. When an external event such as a purchase transaction, public offering or subsequent equity sale occurs, we consider the pricing indicated by the external event to corroborate or revise our valuation. Due to the inherent uncertainty of determining the fair value of investments that do not have a readily available market value, the price used in an actual transaction may be different than our valuation and the difference may be material.</w:t>
      </w:r>
    </w:p>
    <w:p>
      <w:pPr>
        <w:spacing w:after="0" w:line="111" w:lineRule="exact"/>
        <w:rPr>
          <w:sz w:val="20"/>
          <w:szCs w:val="20"/>
          <w:color w:val="auto"/>
        </w:rPr>
      </w:pPr>
    </w:p>
    <w:p>
      <w:pPr>
        <w:ind w:right="220" w:firstLine="434"/>
        <w:spacing w:after="0" w:line="290" w:lineRule="auto"/>
        <w:rPr>
          <w:sz w:val="20"/>
          <w:szCs w:val="20"/>
          <w:color w:val="auto"/>
        </w:rPr>
      </w:pPr>
      <w:r>
        <w:rPr>
          <w:rFonts w:ascii="Arial" w:cs="Arial" w:eastAsia="Arial" w:hAnsi="Arial"/>
          <w:sz w:val="13"/>
          <w:szCs w:val="13"/>
          <w:color w:val="auto"/>
        </w:rPr>
        <w:t>Our portfolio generally consists of illiquid securities, including debt and equity investments. With respect to investments for which market quotations are not readily available, or for which market quotations are deemed not reflective of the fair value, our board of directors undertakes a multi-step valuation process each quarter, as described below:</w:t>
      </w:r>
    </w:p>
    <w:p>
      <w:pPr>
        <w:spacing w:after="0" w:line="84" w:lineRule="exact"/>
        <w:rPr>
          <w:sz w:val="20"/>
          <w:szCs w:val="20"/>
          <w:color w:val="auto"/>
        </w:rPr>
      </w:pPr>
    </w:p>
    <w:p>
      <w:pPr>
        <w:ind w:left="820" w:hanging="367"/>
        <w:spacing w:after="0" w:line="253" w:lineRule="auto"/>
        <w:tabs>
          <w:tab w:leader="none" w:pos="820" w:val="left"/>
        </w:tabs>
        <w:numPr>
          <w:ilvl w:val="0"/>
          <w:numId w:val="21"/>
        </w:numPr>
        <w:rPr>
          <w:rFonts w:ascii="Arial" w:cs="Arial" w:eastAsia="Arial" w:hAnsi="Arial"/>
          <w:sz w:val="14"/>
          <w:szCs w:val="14"/>
          <w:color w:val="auto"/>
        </w:rPr>
      </w:pPr>
      <w:r>
        <w:rPr>
          <w:rFonts w:ascii="Arial" w:cs="Arial" w:eastAsia="Arial" w:hAnsi="Arial"/>
          <w:sz w:val="14"/>
          <w:szCs w:val="14"/>
          <w:color w:val="auto"/>
        </w:rPr>
        <w:t>Our quarterly valuation process begins with each portfolio company or investment being initially valued by the investment professionals of our Investment Adviser responsible for the portfolio investment;</w:t>
      </w:r>
    </w:p>
    <w:p>
      <w:pPr>
        <w:spacing w:after="0" w:line="106" w:lineRule="exact"/>
        <w:rPr>
          <w:rFonts w:ascii="Arial" w:cs="Arial" w:eastAsia="Arial" w:hAnsi="Arial"/>
          <w:sz w:val="14"/>
          <w:szCs w:val="14"/>
          <w:color w:val="auto"/>
        </w:rPr>
      </w:pPr>
    </w:p>
    <w:p>
      <w:pPr>
        <w:ind w:left="820" w:hanging="367"/>
        <w:spacing w:after="0"/>
        <w:tabs>
          <w:tab w:leader="none" w:pos="820" w:val="left"/>
        </w:tabs>
        <w:numPr>
          <w:ilvl w:val="0"/>
          <w:numId w:val="21"/>
        </w:numPr>
        <w:rPr>
          <w:rFonts w:ascii="Arial" w:cs="Arial" w:eastAsia="Arial" w:hAnsi="Arial"/>
          <w:sz w:val="14"/>
          <w:szCs w:val="14"/>
          <w:color w:val="auto"/>
        </w:rPr>
      </w:pPr>
      <w:r>
        <w:rPr>
          <w:rFonts w:ascii="Arial" w:cs="Arial" w:eastAsia="Arial" w:hAnsi="Arial"/>
          <w:sz w:val="14"/>
          <w:szCs w:val="14"/>
          <w:color w:val="auto"/>
        </w:rPr>
        <w:t>Preliminary valuation conclusions are then documented and discussed with the management of our Investment Adviser;</w:t>
      </w:r>
    </w:p>
    <w:p>
      <w:pPr>
        <w:spacing w:after="0" w:line="136" w:lineRule="exact"/>
        <w:rPr>
          <w:rFonts w:ascii="Arial" w:cs="Arial" w:eastAsia="Arial" w:hAnsi="Arial"/>
          <w:sz w:val="14"/>
          <w:szCs w:val="14"/>
          <w:color w:val="auto"/>
        </w:rPr>
      </w:pPr>
    </w:p>
    <w:p>
      <w:pPr>
        <w:jc w:val="both"/>
        <w:ind w:left="820" w:right="60" w:hanging="367"/>
        <w:spacing w:after="0" w:line="264" w:lineRule="auto"/>
        <w:tabs>
          <w:tab w:leader="none" w:pos="820" w:val="left"/>
        </w:tabs>
        <w:numPr>
          <w:ilvl w:val="0"/>
          <w:numId w:val="21"/>
        </w:numPr>
        <w:rPr>
          <w:rFonts w:ascii="Arial" w:cs="Arial" w:eastAsia="Arial" w:hAnsi="Arial"/>
          <w:sz w:val="13"/>
          <w:szCs w:val="13"/>
          <w:color w:val="auto"/>
        </w:rPr>
      </w:pPr>
      <w:r>
        <w:rPr>
          <w:rFonts w:ascii="Arial" w:cs="Arial" w:eastAsia="Arial" w:hAnsi="Arial"/>
          <w:sz w:val="13"/>
          <w:szCs w:val="13"/>
          <w:color w:val="auto"/>
        </w:rPr>
        <w:t>Our board of directors also engages independent valuation firms to conduct independent appraisals of our investments for which market quotations are not readily available or are readily available but deemed not reflective of the fair value of the investment. The independent valuation firms review management’s preliminary valuations in light of their own independent assessment and also in light of any market quotations obtained from an independent pricing service, broker, dealer or market maker;</w:t>
      </w:r>
    </w:p>
    <w:p>
      <w:pPr>
        <w:spacing w:after="0" w:line="100" w:lineRule="exact"/>
        <w:rPr>
          <w:rFonts w:ascii="Arial" w:cs="Arial" w:eastAsia="Arial" w:hAnsi="Arial"/>
          <w:sz w:val="13"/>
          <w:szCs w:val="13"/>
          <w:color w:val="auto"/>
        </w:rPr>
      </w:pPr>
    </w:p>
    <w:p>
      <w:pPr>
        <w:ind w:left="820" w:right="300" w:hanging="367"/>
        <w:spacing w:after="0" w:line="238" w:lineRule="auto"/>
        <w:tabs>
          <w:tab w:leader="none" w:pos="820" w:val="left"/>
        </w:tabs>
        <w:numPr>
          <w:ilvl w:val="0"/>
          <w:numId w:val="21"/>
        </w:numPr>
        <w:rPr>
          <w:rFonts w:ascii="Arial" w:cs="Arial" w:eastAsia="Arial" w:hAnsi="Arial"/>
          <w:sz w:val="14"/>
          <w:szCs w:val="14"/>
          <w:color w:val="auto"/>
        </w:rPr>
      </w:pPr>
      <w:r>
        <w:rPr>
          <w:rFonts w:ascii="Arial" w:cs="Arial" w:eastAsia="Arial" w:hAnsi="Arial"/>
          <w:sz w:val="14"/>
          <w:szCs w:val="14"/>
          <w:color w:val="auto"/>
        </w:rPr>
        <w:t>The audit committee of our board of directors reviews the preliminary valuations of our Investment Adviser and those of the independent valuation firms on a quarterly basis, periodically assesses the valuation methodologies of the independent valuation firms, and responds to and supplements the valuation recommendations of the independent valuation firms to reflect any comments; and</w:t>
      </w:r>
    </w:p>
    <w:p>
      <w:pPr>
        <w:spacing w:after="0" w:line="115" w:lineRule="exact"/>
        <w:rPr>
          <w:rFonts w:ascii="Arial" w:cs="Arial" w:eastAsia="Arial" w:hAnsi="Arial"/>
          <w:sz w:val="14"/>
          <w:szCs w:val="14"/>
          <w:color w:val="auto"/>
        </w:rPr>
      </w:pPr>
    </w:p>
    <w:p>
      <w:pPr>
        <w:ind w:left="820" w:right="60" w:hanging="367"/>
        <w:spacing w:after="0" w:line="253" w:lineRule="auto"/>
        <w:tabs>
          <w:tab w:leader="none" w:pos="820" w:val="left"/>
        </w:tabs>
        <w:numPr>
          <w:ilvl w:val="0"/>
          <w:numId w:val="21"/>
        </w:numPr>
        <w:rPr>
          <w:rFonts w:ascii="Arial" w:cs="Arial" w:eastAsia="Arial" w:hAnsi="Arial"/>
          <w:sz w:val="14"/>
          <w:szCs w:val="14"/>
          <w:color w:val="auto"/>
        </w:rPr>
      </w:pPr>
      <w:r>
        <w:rPr>
          <w:rFonts w:ascii="Arial" w:cs="Arial" w:eastAsia="Arial" w:hAnsi="Arial"/>
          <w:sz w:val="14"/>
          <w:szCs w:val="14"/>
          <w:color w:val="auto"/>
        </w:rPr>
        <w:t>Our board of directors discusses these valuations and determines the fair value of each investment in our portfolio in good faith, based on the input of our Investment Adviser, the respective independent valuation firms and the audit committee.</w:t>
      </w:r>
    </w:p>
    <w:p>
      <w:pPr>
        <w:spacing w:after="0" w:line="106" w:lineRule="exact"/>
        <w:rPr>
          <w:sz w:val="20"/>
          <w:szCs w:val="20"/>
          <w:color w:val="auto"/>
        </w:rPr>
      </w:pPr>
    </w:p>
    <w:p>
      <w:pPr>
        <w:ind w:right="420" w:firstLine="434"/>
        <w:spacing w:after="0" w:line="283" w:lineRule="auto"/>
        <w:rPr>
          <w:sz w:val="20"/>
          <w:szCs w:val="20"/>
          <w:color w:val="auto"/>
        </w:rPr>
      </w:pPr>
      <w:r>
        <w:rPr>
          <w:rFonts w:ascii="Arial" w:cs="Arial" w:eastAsia="Arial" w:hAnsi="Arial"/>
          <w:sz w:val="12"/>
          <w:szCs w:val="12"/>
          <w:color w:val="auto"/>
        </w:rPr>
        <w:t>Our board of directors generally uses market quotations to assess the value of our investments for which market quotations are readily available. We obtain these market values from independent pricing services or at the bid prices obtained from at least two brokers or dealers, if available, or otherwise by a principal market maker or a primary market dealer. The Investment Adviser assesses the source and reliability of bids from brokers or dealers. If our board of directors has a bona fide reason to believe any such market quote does not reflect the fair value of an investment, it may independently value such investments by using the valuation procedure that it uses with respect to assets for which market quotations are not readily available.</w:t>
      </w:r>
    </w:p>
    <w:p>
      <w:pPr>
        <w:spacing w:after="0" w:line="200" w:lineRule="exact"/>
        <w:rPr>
          <w:sz w:val="20"/>
          <w:szCs w:val="20"/>
          <w:color w:val="auto"/>
        </w:rPr>
      </w:pPr>
    </w:p>
    <w:p>
      <w:pPr>
        <w:spacing w:after="0" w:line="256" w:lineRule="exact"/>
        <w:rPr>
          <w:sz w:val="20"/>
          <w:szCs w:val="20"/>
          <w:color w:val="auto"/>
        </w:rPr>
      </w:pPr>
    </w:p>
    <w:p>
      <w:pPr>
        <w:jc w:val="center"/>
        <w:ind w:right="-119"/>
        <w:spacing w:after="0"/>
        <w:rPr>
          <w:sz w:val="20"/>
          <w:szCs w:val="20"/>
          <w:color w:val="auto"/>
        </w:rPr>
      </w:pPr>
      <w:r>
        <w:rPr>
          <w:rFonts w:ascii="Arial" w:cs="Arial" w:eastAsia="Arial" w:hAnsi="Arial"/>
          <w:sz w:val="14"/>
          <w:szCs w:val="14"/>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72390</wp:posOffset>
            </wp:positionV>
            <wp:extent cx="7149465" cy="1714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120"/>
          </w:cols>
          <w:pgMar w:left="320" w:top="337" w:right="459" w:bottom="1440" w:gutter="0" w:footer="0" w:header="0"/>
        </w:sectPr>
      </w:pPr>
    </w:p>
    <w:bookmarkStart w:id="28" w:name="page29"/>
    <w:bookmarkEnd w:id="28"/>
    <w:p>
      <w:pPr>
        <w:ind w:firstLine="434"/>
        <w:spacing w:after="0" w:line="251" w:lineRule="auto"/>
        <w:rPr>
          <w:sz w:val="20"/>
          <w:szCs w:val="20"/>
          <w:color w:val="auto"/>
        </w:rPr>
      </w:pPr>
      <w:r>
        <w:rPr>
          <w:rFonts w:ascii="Arial" w:cs="Arial" w:eastAsia="Arial" w:hAnsi="Arial"/>
          <w:sz w:val="13"/>
          <w:szCs w:val="13"/>
          <w:color w:val="auto"/>
        </w:rPr>
        <w:t>Fair value, as defined under ASC 820, is the price that we would receive upon selling an investment or pay to transfer a liability in an orderly transaction to a market participant in the principal or most advantageous market for the investment or liability. ASC 820 emphasizes that valuation techniques maximize the use of observable market inputs and minimize the use of unobservable inputs. Inputs refer broadly to the assumptions that market participants would use in pricing an asset or liability, including assumptions about risk. Inputs may be observable or unobservable. Observable inputs reflect the assumptions market participants would use in pricing an asset or liability based on market data obtained from sources independent of us. Unobservable inputs reflect the assumptions market participants would use in pricing an asset or liability based on the best information available to us on the reporting date.</w:t>
      </w:r>
    </w:p>
    <w:p>
      <w:pPr>
        <w:spacing w:after="0" w:line="109" w:lineRule="exact"/>
        <w:rPr>
          <w:sz w:val="20"/>
          <w:szCs w:val="20"/>
          <w:color w:val="auto"/>
        </w:rPr>
      </w:pPr>
    </w:p>
    <w:p>
      <w:pPr>
        <w:ind w:left="440"/>
        <w:spacing w:after="0"/>
        <w:rPr>
          <w:sz w:val="20"/>
          <w:szCs w:val="20"/>
          <w:color w:val="auto"/>
        </w:rPr>
      </w:pPr>
      <w:r>
        <w:rPr>
          <w:rFonts w:ascii="Arial" w:cs="Arial" w:eastAsia="Arial" w:hAnsi="Arial"/>
          <w:sz w:val="14"/>
          <w:szCs w:val="14"/>
          <w:color w:val="auto"/>
        </w:rPr>
        <w:t>ASC 820 classifies the inputs used to measure these fair values into the following hierarchies:</w:t>
      </w:r>
    </w:p>
    <w:p>
      <w:pPr>
        <w:spacing w:after="0" w:line="136" w:lineRule="exact"/>
        <w:rPr>
          <w:sz w:val="20"/>
          <w:szCs w:val="20"/>
          <w:color w:val="auto"/>
        </w:rPr>
      </w:pPr>
    </w:p>
    <w:p>
      <w:pPr>
        <w:ind w:left="640"/>
        <w:spacing w:after="0"/>
        <w:tabs>
          <w:tab w:leader="none" w:pos="1440" w:val="left"/>
        </w:tabs>
        <w:rPr>
          <w:sz w:val="20"/>
          <w:szCs w:val="20"/>
          <w:color w:val="auto"/>
        </w:rPr>
      </w:pPr>
      <w:r>
        <w:rPr>
          <w:rFonts w:ascii="Arial" w:cs="Arial" w:eastAsia="Arial" w:hAnsi="Arial"/>
          <w:sz w:val="14"/>
          <w:szCs w:val="14"/>
          <w:color w:val="auto"/>
        </w:rPr>
        <w:t>Level 1:</w:t>
      </w:r>
      <w:r>
        <w:rPr>
          <w:sz w:val="20"/>
          <w:szCs w:val="20"/>
          <w:color w:val="auto"/>
        </w:rPr>
        <w:tab/>
      </w:r>
      <w:r>
        <w:rPr>
          <w:rFonts w:ascii="Arial" w:cs="Arial" w:eastAsia="Arial" w:hAnsi="Arial"/>
          <w:sz w:val="12"/>
          <w:szCs w:val="12"/>
          <w:color w:val="auto"/>
        </w:rPr>
        <w:t>Inputs that are quoted prices (unadjusted) in active markets for identical assets or liabilities, accessible by us at the measurement date.</w:t>
      </w:r>
    </w:p>
    <w:p>
      <w:pPr>
        <w:spacing w:after="0" w:line="136" w:lineRule="exact"/>
        <w:rPr>
          <w:sz w:val="20"/>
          <w:szCs w:val="20"/>
          <w:color w:val="auto"/>
        </w:rPr>
      </w:pPr>
    </w:p>
    <w:p>
      <w:pPr>
        <w:ind w:left="1460" w:right="100" w:hanging="809"/>
        <w:spacing w:after="0" w:line="290" w:lineRule="auto"/>
        <w:tabs>
          <w:tab w:leader="none" w:pos="1440" w:val="left"/>
        </w:tabs>
        <w:rPr>
          <w:sz w:val="20"/>
          <w:szCs w:val="20"/>
          <w:color w:val="auto"/>
        </w:rPr>
      </w:pPr>
      <w:r>
        <w:rPr>
          <w:rFonts w:ascii="Arial" w:cs="Arial" w:eastAsia="Arial" w:hAnsi="Arial"/>
          <w:sz w:val="14"/>
          <w:szCs w:val="14"/>
          <w:color w:val="auto"/>
        </w:rPr>
        <w:t>Level 2:</w:t>
      </w:r>
      <w:r>
        <w:rPr>
          <w:sz w:val="20"/>
          <w:szCs w:val="20"/>
          <w:color w:val="auto"/>
        </w:rPr>
        <w:tab/>
      </w:r>
      <w:r>
        <w:rPr>
          <w:rFonts w:ascii="Arial" w:cs="Arial" w:eastAsia="Arial" w:hAnsi="Arial"/>
          <w:sz w:val="13"/>
          <w:szCs w:val="13"/>
          <w:color w:val="auto"/>
        </w:rPr>
        <w:t>Inputs that are quoted prices for similar assets or liabilities in active markets, or that are quoted prices for identical or similar assets or liabilities in markets that are not active and inputs that are observable for the asset or liability, either directly or indirectly, for substantially the full term, if applicable, of the financial instrument.</w:t>
      </w:r>
    </w:p>
    <w:p>
      <w:pPr>
        <w:spacing w:after="0" w:line="84" w:lineRule="exact"/>
        <w:rPr>
          <w:sz w:val="20"/>
          <w:szCs w:val="20"/>
          <w:color w:val="auto"/>
        </w:rPr>
      </w:pPr>
    </w:p>
    <w:p>
      <w:pPr>
        <w:ind w:left="640"/>
        <w:spacing w:after="0"/>
        <w:tabs>
          <w:tab w:leader="none" w:pos="1440" w:val="left"/>
        </w:tabs>
        <w:rPr>
          <w:sz w:val="20"/>
          <w:szCs w:val="20"/>
          <w:color w:val="auto"/>
        </w:rPr>
      </w:pPr>
      <w:r>
        <w:rPr>
          <w:rFonts w:ascii="Arial" w:cs="Arial" w:eastAsia="Arial" w:hAnsi="Arial"/>
          <w:sz w:val="14"/>
          <w:szCs w:val="14"/>
          <w:color w:val="auto"/>
        </w:rPr>
        <w:t>Level 3:</w:t>
      </w:r>
      <w:r>
        <w:rPr>
          <w:sz w:val="20"/>
          <w:szCs w:val="20"/>
          <w:color w:val="auto"/>
        </w:rPr>
        <w:tab/>
      </w:r>
      <w:r>
        <w:rPr>
          <w:rFonts w:ascii="Arial" w:cs="Arial" w:eastAsia="Arial" w:hAnsi="Arial"/>
          <w:sz w:val="12"/>
          <w:szCs w:val="12"/>
          <w:color w:val="auto"/>
        </w:rPr>
        <w:t>Inputs that are unobservable for an asset or liability because they are based on our own assumptions about how market participants would price the asset or liability.</w:t>
      </w:r>
    </w:p>
    <w:p>
      <w:pPr>
        <w:spacing w:after="0" w:line="136" w:lineRule="exact"/>
        <w:rPr>
          <w:sz w:val="20"/>
          <w:szCs w:val="20"/>
          <w:color w:val="auto"/>
        </w:rPr>
      </w:pPr>
    </w:p>
    <w:p>
      <w:pPr>
        <w:ind w:right="220" w:firstLine="434"/>
        <w:spacing w:after="0" w:line="238" w:lineRule="auto"/>
        <w:rPr>
          <w:sz w:val="20"/>
          <w:szCs w:val="20"/>
          <w:color w:val="auto"/>
        </w:rPr>
      </w:pPr>
      <w:r>
        <w:rPr>
          <w:rFonts w:ascii="Arial" w:cs="Arial" w:eastAsia="Arial" w:hAnsi="Arial"/>
          <w:sz w:val="14"/>
          <w:szCs w:val="14"/>
          <w:color w:val="auto"/>
        </w:rPr>
        <w:t>A financial instrument’s categorization within the valuation hierarchy is based upon the lowest level of input that is significant to the fair value measurement. Generally, most of our investments and our Credit Facility are classified as Level 3. Due to the inherent uncertainty of determining the fair value of investments that do not have a readily available market value, the price used in an actual transaction may be different than our valuation and those differences may be material.</w:t>
      </w:r>
    </w:p>
    <w:p>
      <w:pPr>
        <w:spacing w:after="0" w:line="115" w:lineRule="exact"/>
        <w:rPr>
          <w:sz w:val="20"/>
          <w:szCs w:val="20"/>
          <w:color w:val="auto"/>
        </w:rPr>
      </w:pPr>
    </w:p>
    <w:p>
      <w:pPr>
        <w:ind w:right="140" w:firstLine="434"/>
        <w:spacing w:after="0" w:line="290" w:lineRule="auto"/>
        <w:rPr>
          <w:sz w:val="20"/>
          <w:szCs w:val="20"/>
          <w:color w:val="auto"/>
        </w:rPr>
      </w:pPr>
      <w:r>
        <w:rPr>
          <w:rFonts w:ascii="Arial" w:cs="Arial" w:eastAsia="Arial" w:hAnsi="Arial"/>
          <w:sz w:val="13"/>
          <w:szCs w:val="13"/>
          <w:color w:val="auto"/>
        </w:rPr>
        <w:t>In addition to using the above inputs in cash equivalents, investments, our Notes and our Credit Facility valuations, we employ the valuation policy approved by our board of directors that is consistent with ASC 820. Consistent with our valuation policy, we evaluate the source of inputs, including any markets in which our investments are trading, in determining fair value.</w:t>
      </w:r>
    </w:p>
    <w:p>
      <w:pPr>
        <w:spacing w:after="0" w:line="84" w:lineRule="exact"/>
        <w:rPr>
          <w:sz w:val="20"/>
          <w:szCs w:val="20"/>
          <w:color w:val="auto"/>
        </w:rPr>
      </w:pPr>
    </w:p>
    <w:p>
      <w:pPr>
        <w:ind w:right="240" w:firstLine="443"/>
        <w:spacing w:after="0" w:line="242" w:lineRule="auto"/>
        <w:rPr>
          <w:sz w:val="20"/>
          <w:szCs w:val="20"/>
          <w:color w:val="auto"/>
        </w:rPr>
      </w:pPr>
      <w:r>
        <w:rPr>
          <w:rFonts w:ascii="Arial" w:cs="Arial" w:eastAsia="Arial" w:hAnsi="Arial"/>
          <w:sz w:val="13"/>
          <w:szCs w:val="13"/>
          <w:color w:val="auto"/>
        </w:rPr>
        <w:t>The carrying value of our consolidated financial liabilities approximates fair value. We adopted ASC 825-10, which provides companies with an option to report selected financial assets and liabilities at fair value, and made an irrevocable election to apply ASC 825-10 to our Credit Facility and our Notes. We elected to use the fair value option for the Credit Facility and our Notes to align the measurement attributes of both our assets and liabilities while mitigating volatility in earnings from using different measurement attributes. Due to that election and in accordance with GAAP, we had $3.9 million in expenses relating to amendment costs on the Credit Facility during both the three and nine months ended June 30, 2017, respectively. For the same periods in the prior year, we did not incur any expenses relating to amendment costs on the Credit Facility. ASC 825-10 establishes presentation and disclosure requirements designed to facilitate comparisons between companies that choose different measurement attributes for similar types of assets and liabilities and to more easily understand the effect on earnings of a company’s choice to use fair value. ASC 825-10 also requires entities to display the fair value of the selected assets and liabilities on the face of the Consolidated Statements of Assets and Liabilities and changes in fair value of the Credit Facility and our Notes are reported in our Consolidated Statements of Operations. We elected not to apply ASC 825-10 to any other financial assets or liabilities, including the SBA debentures. For the three and nine months ended June 30, 2017, our Credit Facility and our Notes had a net change in unrealized appreciation of $2.1 million and $2.4 million, respectively. For the three and nine months ended June 30, 2016, our Credit Facility and our Notes had a net change in unrealized (appreciation) depreciation of $(2.4) million and $15.6 million, respectively. As of June 30, 2017 and September 30, 2016, net unrealized depreciation on our Credit Facility and our Notes totaled $2.8 million and $5.2 million, respectively. We use a nationally recognized independent valuation service to fair value of our Credit Facility and our 2019 Notes in a manner consistent with the valuation process that the board of directors uses to value investments.</w:t>
      </w:r>
    </w:p>
    <w:p>
      <w:pPr>
        <w:spacing w:after="0" w:line="119"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Revenue Recognition</w:t>
      </w:r>
    </w:p>
    <w:p>
      <w:pPr>
        <w:spacing w:after="0" w:line="136" w:lineRule="exact"/>
        <w:rPr>
          <w:sz w:val="20"/>
          <w:szCs w:val="20"/>
          <w:color w:val="auto"/>
        </w:rPr>
      </w:pPr>
    </w:p>
    <w:p>
      <w:pPr>
        <w:ind w:right="100" w:firstLine="434"/>
        <w:spacing w:after="0" w:line="229" w:lineRule="auto"/>
        <w:rPr>
          <w:sz w:val="20"/>
          <w:szCs w:val="20"/>
          <w:color w:val="auto"/>
        </w:rPr>
      </w:pPr>
      <w:r>
        <w:rPr>
          <w:rFonts w:ascii="Arial" w:cs="Arial" w:eastAsia="Arial" w:hAnsi="Arial"/>
          <w:sz w:val="14"/>
          <w:szCs w:val="14"/>
          <w:color w:val="auto"/>
        </w:rPr>
        <w:t>We record interest income on an accrual basis to the extent that we expect to collect such amounts. For loans and debt investments with contractual PIK interest, which represents interest accrued and added to the loan balance that generally becomes due at maturity, we will generally not accrue PIK interest when the portfolio company valuation indicates that such PIK interest is not collectible. We do not accrue as a receivable interest on loans and debt investments if we have reason to doubt our ability to collect such interest. Loan origination fees, OID, market discount or premium and deferred financing costs on liabilities, which we do not fair value, are capitalized and then accreted or amortized using the effective interest method as interest income or, in the case of deferred financing costs, as interest expense. We record prepayment penalties on loans and debt investments as income. Dividend income, if any, is recognized on an accrual basis on the ex-dividend date to the extent that we expect to collect such amounts.</w:t>
      </w:r>
    </w:p>
    <w:p>
      <w:pPr>
        <w:spacing w:after="0" w:line="118"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Net Realized Gains or Losses and Net Change in Unrealized Appreciation or Depreciation</w:t>
      </w:r>
    </w:p>
    <w:p>
      <w:pPr>
        <w:spacing w:after="0" w:line="136" w:lineRule="exact"/>
        <w:rPr>
          <w:sz w:val="20"/>
          <w:szCs w:val="20"/>
          <w:color w:val="auto"/>
        </w:rPr>
      </w:pPr>
    </w:p>
    <w:p>
      <w:pPr>
        <w:ind w:right="40" w:firstLine="434"/>
        <w:spacing w:after="0" w:line="233" w:lineRule="auto"/>
        <w:rPr>
          <w:sz w:val="20"/>
          <w:szCs w:val="20"/>
          <w:color w:val="auto"/>
        </w:rPr>
      </w:pPr>
      <w:r>
        <w:rPr>
          <w:rFonts w:ascii="Arial" w:cs="Arial" w:eastAsia="Arial" w:hAnsi="Arial"/>
          <w:sz w:val="14"/>
          <w:szCs w:val="14"/>
          <w:color w:val="auto"/>
        </w:rPr>
        <w:t>We measure realized gains or losses by the difference between the net proceeds from the repayment or sale and the amortized cost basis of the investment, using the specific identification method, without regard to unrealized appreciation or depreciation previously recognized, but considering unamortized upfront fees and prepayment penalties. Net change in unrealized appreciation or depreciation reflects the change in the fair values of our portfolio investments, our Credit Facility and our Notes during the reporting period, including any reversal of previously recorded unrealized appreciation or depreciation, when gains or losses are realized.</w:t>
      </w:r>
    </w:p>
    <w:p>
      <w:pPr>
        <w:spacing w:after="0" w:line="117"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Foreign Currency Translation</w:t>
      </w:r>
    </w:p>
    <w:p>
      <w:pPr>
        <w:spacing w:after="0" w:line="136" w:lineRule="exact"/>
        <w:rPr>
          <w:sz w:val="20"/>
          <w:szCs w:val="20"/>
          <w:color w:val="auto"/>
        </w:rPr>
      </w:pPr>
    </w:p>
    <w:p>
      <w:pPr>
        <w:ind w:left="460"/>
        <w:spacing w:after="0"/>
        <w:rPr>
          <w:sz w:val="20"/>
          <w:szCs w:val="20"/>
          <w:color w:val="auto"/>
        </w:rPr>
      </w:pPr>
      <w:r>
        <w:rPr>
          <w:rFonts w:ascii="Arial" w:cs="Arial" w:eastAsia="Arial" w:hAnsi="Arial"/>
          <w:sz w:val="14"/>
          <w:szCs w:val="14"/>
          <w:color w:val="auto"/>
        </w:rPr>
        <w:t>Our books and records are maintained in U.S. dollars. Any foreign currency amounts are translated into U.S. dollars on the following basis:</w:t>
      </w:r>
    </w:p>
    <w:p>
      <w:pPr>
        <w:spacing w:after="0" w:line="136" w:lineRule="exact"/>
        <w:rPr>
          <w:sz w:val="20"/>
          <w:szCs w:val="20"/>
          <w:color w:val="auto"/>
        </w:rPr>
      </w:pPr>
    </w:p>
    <w:p>
      <w:pPr>
        <w:ind w:left="1180" w:hanging="362"/>
        <w:spacing w:after="0"/>
        <w:tabs>
          <w:tab w:leader="none" w:pos="1180" w:val="left"/>
        </w:tabs>
        <w:numPr>
          <w:ilvl w:val="0"/>
          <w:numId w:val="22"/>
        </w:numPr>
        <w:rPr>
          <w:rFonts w:ascii="Arial" w:cs="Arial" w:eastAsia="Arial" w:hAnsi="Arial"/>
          <w:sz w:val="14"/>
          <w:szCs w:val="14"/>
          <w:color w:val="auto"/>
        </w:rPr>
      </w:pPr>
      <w:r>
        <w:rPr>
          <w:rFonts w:ascii="Arial" w:cs="Arial" w:eastAsia="Arial" w:hAnsi="Arial"/>
          <w:sz w:val="14"/>
          <w:szCs w:val="14"/>
          <w:color w:val="auto"/>
        </w:rPr>
        <w:t>Fair value of investment securities, other assets and liabilities – at the exchange rates prevailing at the end of the applicable period; and</w:t>
      </w:r>
    </w:p>
    <w:p>
      <w:pPr>
        <w:spacing w:after="0" w:line="136" w:lineRule="exact"/>
        <w:rPr>
          <w:rFonts w:ascii="Arial" w:cs="Arial" w:eastAsia="Arial" w:hAnsi="Arial"/>
          <w:sz w:val="14"/>
          <w:szCs w:val="14"/>
          <w:color w:val="auto"/>
        </w:rPr>
      </w:pPr>
    </w:p>
    <w:p>
      <w:pPr>
        <w:ind w:left="1180" w:hanging="362"/>
        <w:spacing w:after="0"/>
        <w:tabs>
          <w:tab w:leader="none" w:pos="1180" w:val="left"/>
        </w:tabs>
        <w:numPr>
          <w:ilvl w:val="0"/>
          <w:numId w:val="22"/>
        </w:numPr>
        <w:rPr>
          <w:rFonts w:ascii="Arial" w:cs="Arial" w:eastAsia="Arial" w:hAnsi="Arial"/>
          <w:sz w:val="14"/>
          <w:szCs w:val="14"/>
          <w:color w:val="auto"/>
        </w:rPr>
      </w:pPr>
      <w:r>
        <w:rPr>
          <w:rFonts w:ascii="Arial" w:cs="Arial" w:eastAsia="Arial" w:hAnsi="Arial"/>
          <w:sz w:val="14"/>
          <w:szCs w:val="14"/>
          <w:color w:val="auto"/>
        </w:rPr>
        <w:t>Purchases and sales of investment securities, income and expenses – at the exchange rates prevailing on the respective dates of such transactions.</w:t>
      </w:r>
    </w:p>
    <w:p>
      <w:pPr>
        <w:spacing w:after="0" w:line="136" w:lineRule="exact"/>
        <w:rPr>
          <w:sz w:val="20"/>
          <w:szCs w:val="20"/>
          <w:color w:val="auto"/>
        </w:rPr>
      </w:pPr>
    </w:p>
    <w:p>
      <w:pPr>
        <w:jc w:val="both"/>
        <w:ind w:right="160" w:firstLine="452"/>
        <w:spacing w:after="0" w:line="238" w:lineRule="auto"/>
        <w:rPr>
          <w:sz w:val="20"/>
          <w:szCs w:val="20"/>
          <w:color w:val="auto"/>
        </w:rPr>
      </w:pPr>
      <w:r>
        <w:rPr>
          <w:rFonts w:ascii="Arial" w:cs="Arial" w:eastAsia="Arial" w:hAnsi="Arial"/>
          <w:sz w:val="14"/>
          <w:szCs w:val="14"/>
          <w:color w:val="auto"/>
        </w:rPr>
        <w:t>Although net assets and fair values are presented based on the applicable foreign exchange rates described above, we do not isolate that portion of the results of operations due to changes in foreign exchange rates on investments, other assets and debt from the fluctuations arising from changes in fair values of investments and liabilities held. Such fluctuations are included with the net realized and unrealized gain or loss from investments and liabilities.</w:t>
      </w:r>
    </w:p>
    <w:p>
      <w:pPr>
        <w:spacing w:after="0" w:line="115"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Payment-In-Kind Interest or PIK</w:t>
      </w:r>
    </w:p>
    <w:p>
      <w:pPr>
        <w:spacing w:after="0" w:line="136" w:lineRule="exact"/>
        <w:rPr>
          <w:sz w:val="20"/>
          <w:szCs w:val="20"/>
          <w:color w:val="auto"/>
        </w:rPr>
      </w:pPr>
    </w:p>
    <w:p>
      <w:pPr>
        <w:ind w:right="80" w:firstLine="434"/>
        <w:spacing w:after="0" w:line="238" w:lineRule="auto"/>
        <w:rPr>
          <w:sz w:val="20"/>
          <w:szCs w:val="20"/>
          <w:color w:val="auto"/>
        </w:rPr>
      </w:pPr>
      <w:r>
        <w:rPr>
          <w:rFonts w:ascii="Arial" w:cs="Arial" w:eastAsia="Arial" w:hAnsi="Arial"/>
          <w:sz w:val="14"/>
          <w:szCs w:val="14"/>
          <w:color w:val="auto"/>
        </w:rPr>
        <w:t>We have investments in our portfolio which contain a PIK interest provision. PIK interest is added to the principal balance of the investment and is recorded as income. For us to maintain our ability to be treated as RIC for federal income tax purposes, substantially all of this income must be paid out to stockholders in the form of dividends for U.S. federal income tax purposes, even though we may not have collected any cash with respect to interest on PIK securities.</w:t>
      </w:r>
    </w:p>
    <w:p>
      <w:pPr>
        <w:spacing w:after="0" w:line="200" w:lineRule="exact"/>
        <w:rPr>
          <w:sz w:val="20"/>
          <w:szCs w:val="20"/>
          <w:color w:val="auto"/>
        </w:rPr>
      </w:pPr>
    </w:p>
    <w:p>
      <w:pPr>
        <w:spacing w:after="0" w:line="280" w:lineRule="exact"/>
        <w:rPr>
          <w:sz w:val="20"/>
          <w:szCs w:val="20"/>
          <w:color w:val="auto"/>
        </w:rPr>
      </w:pPr>
    </w:p>
    <w:p>
      <w:pPr>
        <w:jc w:val="center"/>
        <w:ind w:right="-119"/>
        <w:spacing w:after="0"/>
        <w:rPr>
          <w:sz w:val="20"/>
          <w:szCs w:val="20"/>
          <w:color w:val="auto"/>
        </w:rPr>
      </w:pPr>
      <w:r>
        <w:rPr>
          <w:rFonts w:ascii="Arial" w:cs="Arial" w:eastAsia="Arial" w:hAnsi="Arial"/>
          <w:sz w:val="14"/>
          <w:szCs w:val="14"/>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72390</wp:posOffset>
            </wp:positionV>
            <wp:extent cx="7149465" cy="1714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140"/>
          </w:cols>
          <w:pgMar w:left="320" w:top="337" w:right="439" w:bottom="1440" w:gutter="0" w:footer="0" w:header="0"/>
        </w:sectPr>
      </w:pPr>
    </w:p>
    <w:bookmarkStart w:id="29" w:name="page30"/>
    <w:bookmarkEnd w:id="29"/>
    <w:p>
      <w:pPr>
        <w:spacing w:after="0"/>
        <w:rPr>
          <w:sz w:val="20"/>
          <w:szCs w:val="20"/>
          <w:color w:val="auto"/>
        </w:rPr>
      </w:pPr>
      <w:r>
        <w:rPr>
          <w:rFonts w:ascii="Arial" w:cs="Arial" w:eastAsia="Arial" w:hAnsi="Arial"/>
          <w:sz w:val="14"/>
          <w:szCs w:val="14"/>
          <w:b w:val="1"/>
          <w:bCs w:val="1"/>
          <w:i w:val="1"/>
          <w:iCs w:val="1"/>
          <w:color w:val="auto"/>
        </w:rPr>
        <w:t>Federal Income Taxes</w:t>
      </w:r>
    </w:p>
    <w:p>
      <w:pPr>
        <w:spacing w:after="0" w:line="136" w:lineRule="exact"/>
        <w:rPr>
          <w:sz w:val="20"/>
          <w:szCs w:val="20"/>
          <w:color w:val="auto"/>
        </w:rPr>
      </w:pPr>
    </w:p>
    <w:p>
      <w:pPr>
        <w:ind w:right="180" w:firstLine="434"/>
        <w:spacing w:after="0" w:line="255" w:lineRule="auto"/>
        <w:rPr>
          <w:sz w:val="20"/>
          <w:szCs w:val="20"/>
          <w:color w:val="auto"/>
        </w:rPr>
      </w:pPr>
      <w:r>
        <w:rPr>
          <w:rFonts w:ascii="Arial" w:cs="Arial" w:eastAsia="Arial" w:hAnsi="Arial"/>
          <w:sz w:val="13"/>
          <w:szCs w:val="13"/>
          <w:color w:val="auto"/>
        </w:rPr>
        <w:t>We have elected to be treated, and intend to qualify annually to maintain our election to be treated, as a RIC under Subchapter M of the Code. To maintain our RIC tax election, we must, among other requirements, meet certain annual source-of-income and quarterly asset diversification requirements. We also must annually distribute dividends for U.S. federal income tax purposes to our stockholders out of the assets legally available for distribution of an amount generally at least equal to 90% of the sum of our net ordinary income and realized net short-term capital gains in excess of realized net long-term capital losses, or investment company taxable income, determined without regard to any deduction for dividends paid.</w:t>
      </w:r>
    </w:p>
    <w:p>
      <w:pPr>
        <w:spacing w:after="0" w:line="107" w:lineRule="exact"/>
        <w:rPr>
          <w:sz w:val="20"/>
          <w:szCs w:val="20"/>
          <w:color w:val="auto"/>
        </w:rPr>
      </w:pPr>
    </w:p>
    <w:p>
      <w:pPr>
        <w:ind w:right="120" w:firstLine="434"/>
        <w:spacing w:after="0" w:line="247" w:lineRule="auto"/>
        <w:rPr>
          <w:sz w:val="20"/>
          <w:szCs w:val="20"/>
          <w:color w:val="auto"/>
        </w:rPr>
      </w:pPr>
      <w:r>
        <w:rPr>
          <w:rFonts w:ascii="Arial" w:cs="Arial" w:eastAsia="Arial" w:hAnsi="Arial"/>
          <w:sz w:val="13"/>
          <w:szCs w:val="13"/>
          <w:color w:val="auto"/>
        </w:rPr>
        <w:t>Although not required for us to maintain our RIC tax status, in order to preclude the imposition of a 4% nondeductible federal excise tax imposed on RICs, we must distribute dividends for U.S. federal income tax purposes to our stockholders in respect of each calendar year of an amount at least equal to the sum of (1) 98% of our net ordinary income (subject to certain deferrals and elections) for the calendar year, (2) 98.2% of the excess, if any, of our capital gains over our capital losses, or capital net gain income (adjusted for certain ordinary losses) for the one-year period ending on October 31 of the calendar year plus (3) the sum of any net ordinary income plus capital gain net income for preceding years that was not distributed during such years and on which we did not incur any federal income tax. In addition, although we may distribute realized net capital gains (i.e., net long-term capital gains in excess of net short-term capital losses), if any, at least annually, out of the assets legally available for such distributions in the manner described above, we have retained and may continue to retain such net capital gains or investment company taxable income, contingent on maintaining our ability to be subject to tax as a RIC, in order to provide us with additional liquidity.</w:t>
      </w:r>
    </w:p>
    <w:p>
      <w:pPr>
        <w:spacing w:after="0" w:line="111" w:lineRule="exact"/>
        <w:rPr>
          <w:sz w:val="20"/>
          <w:szCs w:val="20"/>
          <w:color w:val="auto"/>
        </w:rPr>
      </w:pPr>
    </w:p>
    <w:p>
      <w:pPr>
        <w:ind w:right="440" w:firstLine="434"/>
        <w:spacing w:after="0" w:line="296" w:lineRule="auto"/>
        <w:rPr>
          <w:sz w:val="20"/>
          <w:szCs w:val="20"/>
          <w:color w:val="auto"/>
        </w:rPr>
      </w:pPr>
      <w:r>
        <w:rPr>
          <w:rFonts w:ascii="Arial" w:cs="Arial" w:eastAsia="Arial" w:hAnsi="Arial"/>
          <w:sz w:val="12"/>
          <w:szCs w:val="12"/>
          <w:color w:val="auto"/>
        </w:rPr>
        <w:t>Because federal income tax regulations differ from GAAP, distributions in accordance with tax regulations may differ from net investment income and net realized gain recognized for financial reporting purposes. Differences between tax regulations and GAAP may be permanent or temporary. Permanent differences are reclassified among capital accounts in the Consolidated Financial Statements to reflect their appropriate tax character. Temporary differences arise when certain items of income, expense, gain or loss are recognized at some time in the future.</w:t>
      </w:r>
    </w:p>
    <w:p>
      <w:pPr>
        <w:spacing w:after="0" w:line="83" w:lineRule="exact"/>
        <w:rPr>
          <w:sz w:val="20"/>
          <w:szCs w:val="20"/>
          <w:color w:val="auto"/>
        </w:rPr>
      </w:pPr>
    </w:p>
    <w:p>
      <w:pPr>
        <w:ind w:right="200" w:firstLine="434"/>
        <w:spacing w:after="0" w:line="290" w:lineRule="auto"/>
        <w:rPr>
          <w:sz w:val="20"/>
          <w:szCs w:val="20"/>
          <w:color w:val="auto"/>
        </w:rPr>
      </w:pPr>
      <w:r>
        <w:rPr>
          <w:rFonts w:ascii="Arial" w:cs="Arial" w:eastAsia="Arial" w:hAnsi="Arial"/>
          <w:sz w:val="13"/>
          <w:szCs w:val="13"/>
          <w:color w:val="auto"/>
        </w:rPr>
        <w:t>We have formed and expect to continue to form certain Taxable Subsidiaries, which are subject to tax as corporations. These Taxable Subsidiaries allow us to hold equity securities of certain portfolio companies treated as pass-through entities for U.S. federal income tax purposes while allowing us to maintain our ability to qualify as a RIC under the Code.</w:t>
      </w:r>
    </w:p>
    <w:p>
      <w:pPr>
        <w:spacing w:after="0" w:line="80"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RESULTS OF OPERATIONS</w:t>
      </w:r>
    </w:p>
    <w:p>
      <w:pPr>
        <w:spacing w:after="0" w:line="140" w:lineRule="exact"/>
        <w:rPr>
          <w:sz w:val="20"/>
          <w:szCs w:val="20"/>
          <w:color w:val="auto"/>
        </w:rPr>
      </w:pPr>
    </w:p>
    <w:p>
      <w:pPr>
        <w:ind w:left="460"/>
        <w:spacing w:after="0"/>
        <w:rPr>
          <w:sz w:val="20"/>
          <w:szCs w:val="20"/>
          <w:color w:val="auto"/>
        </w:rPr>
      </w:pPr>
      <w:r>
        <w:rPr>
          <w:rFonts w:ascii="Arial" w:cs="Arial" w:eastAsia="Arial" w:hAnsi="Arial"/>
          <w:sz w:val="14"/>
          <w:szCs w:val="14"/>
          <w:color w:val="auto"/>
        </w:rPr>
        <w:t>Set forth below are the results of operations for the three and nine months ended June 30, 2017 and 2016.</w:t>
      </w:r>
    </w:p>
    <w:p>
      <w:pPr>
        <w:spacing w:after="0" w:line="136"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Investment Income</w:t>
      </w:r>
    </w:p>
    <w:p>
      <w:pPr>
        <w:spacing w:after="0" w:line="136" w:lineRule="exact"/>
        <w:rPr>
          <w:sz w:val="20"/>
          <w:szCs w:val="20"/>
          <w:color w:val="auto"/>
        </w:rPr>
      </w:pPr>
    </w:p>
    <w:p>
      <w:pPr>
        <w:ind w:right="120" w:firstLine="434"/>
        <w:spacing w:after="0" w:line="231" w:lineRule="auto"/>
        <w:rPr>
          <w:sz w:val="20"/>
          <w:szCs w:val="20"/>
          <w:color w:val="auto"/>
        </w:rPr>
      </w:pPr>
      <w:r>
        <w:rPr>
          <w:rFonts w:ascii="Arial" w:cs="Arial" w:eastAsia="Arial" w:hAnsi="Arial"/>
          <w:sz w:val="14"/>
          <w:szCs w:val="14"/>
          <w:color w:val="auto"/>
        </w:rPr>
        <w:t>Investment income for the three and nine months ended June 30, 2017 was $31.1 million and $96.7 million, respectively, and was attributable to $14.0 million and $42.3 million from senior secured loans, $12.0 million and $37.7 million from second lien secured debt and $5.1 million and $16.7 million from subordinated debt, preferred and common equity, respectively. This compares to investment income for the three and nine months ended June 30, 2016, which was $35.5 million and $109.9 million, respectively, and was attributable to $14.3 million and $46.7 million from senior secured loans, $14.9 million and $46.2 million from second lien secured debt and the remainder from subordinated debt, preferred and common equity, respectively. The decrease in investment income compared with the same periods in the prior year was primarily due to a lower yielding portfolio.</w:t>
      </w:r>
    </w:p>
    <w:p>
      <w:pPr>
        <w:spacing w:after="0" w:line="116"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Expenses</w:t>
      </w:r>
    </w:p>
    <w:p>
      <w:pPr>
        <w:spacing w:after="0" w:line="136" w:lineRule="exact"/>
        <w:rPr>
          <w:sz w:val="20"/>
          <w:szCs w:val="20"/>
          <w:color w:val="auto"/>
        </w:rPr>
      </w:pPr>
    </w:p>
    <w:p>
      <w:pPr>
        <w:ind w:right="80" w:firstLine="434"/>
        <w:spacing w:after="0" w:line="244" w:lineRule="auto"/>
        <w:rPr>
          <w:sz w:val="20"/>
          <w:szCs w:val="20"/>
          <w:color w:val="auto"/>
        </w:rPr>
      </w:pPr>
      <w:r>
        <w:rPr>
          <w:rFonts w:ascii="Arial" w:cs="Arial" w:eastAsia="Arial" w:hAnsi="Arial"/>
          <w:sz w:val="13"/>
          <w:szCs w:val="13"/>
          <w:color w:val="auto"/>
        </w:rPr>
        <w:t>Net expenses for the three and nine months ended June 30, 2017 totaled $18.6 million and $53.0 million, respectively. Base management fee for the same periods totaled $4.9 million (after a base management fee waiver of $0.9 million) and $15.4 million (after a base management fee waiver of $3.0 million), incentive fee totaled $1.2 million (after an incentive fee waiver of $0.2 million) and $7.0 million (after an incentive fee waiver of $1.3 million), debt related interest and expenses totaled $10.6 million (including $3.9 million in amendment costs on the Credit Facility) and $24.5 million (including $3.9 million in amendment costs on the Credit Facility), general and administrative expenses totaled $1.6 million and $4.8 million and provision for taxes totaled $0.4 million and $1.3 million, respectively. This compares to expenses for the three and nine months ended June 30, 2016, which totaled $17.7 million and $54.5 million, respectively. Base management fee for the same periods totaled $5.2 million (after a base management fee waiver of $1.0 million) and $15.8 million (after a base management fee waiver of $3.0 million), incentive fee totaled $3.4 million (after an incentive fee waiver of $0.6 million) and $10.6 million (after an incentive fee waiver of $2.0 million), debt related interest and expenses totaled $7.0 million and $20.7 million, general and administrative expenses totaled $1.7 million and $5.4 million and provision for taxes totaled $0.4 million and $2.0 million, respectively. The increase in expenses when comparing the three months ended June 30, 2017 to the same period in the prior year was primarily due to amendment costs on the Credit Facility. The decrease in expenses when comparing the nine months ended June 30, 2017 to the same period in the prior year was primarily due to lower incentive fees and general and administrative expenses.</w:t>
      </w:r>
    </w:p>
    <w:p>
      <w:pPr>
        <w:spacing w:after="0" w:line="114"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Net Investment Income</w:t>
      </w:r>
    </w:p>
    <w:p>
      <w:pPr>
        <w:spacing w:after="0" w:line="136" w:lineRule="exact"/>
        <w:rPr>
          <w:sz w:val="20"/>
          <w:szCs w:val="20"/>
          <w:color w:val="auto"/>
        </w:rPr>
      </w:pPr>
    </w:p>
    <w:p>
      <w:pPr>
        <w:ind w:right="120" w:firstLine="434"/>
        <w:spacing w:after="0" w:line="238" w:lineRule="auto"/>
        <w:rPr>
          <w:sz w:val="20"/>
          <w:szCs w:val="20"/>
          <w:color w:val="auto"/>
        </w:rPr>
      </w:pPr>
      <w:r>
        <w:rPr>
          <w:rFonts w:ascii="Arial" w:cs="Arial" w:eastAsia="Arial" w:hAnsi="Arial"/>
          <w:sz w:val="14"/>
          <w:szCs w:val="14"/>
          <w:color w:val="auto"/>
        </w:rPr>
        <w:t>Net investment income totaled $12.5 million and $43.7 million, or $0.18 and $0.61 per share, for the three and nine months ended June 30, 2017, respectively. Net investment income totaled $17.8 million and $55.5 million, or $0.25 and $0.77 per share, for the three and nine months ended June 30, 2016, respectively. The decrease in net investment income per share compared to the same periods in the prior year was primarily due to the repayments of higher yielding investments.</w:t>
      </w:r>
    </w:p>
    <w:p>
      <w:pPr>
        <w:spacing w:after="0" w:line="115"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Net Realized Gains or Losses</w:t>
      </w:r>
    </w:p>
    <w:p>
      <w:pPr>
        <w:spacing w:after="0" w:line="136" w:lineRule="exact"/>
        <w:rPr>
          <w:sz w:val="20"/>
          <w:szCs w:val="20"/>
          <w:color w:val="auto"/>
        </w:rPr>
      </w:pPr>
    </w:p>
    <w:p>
      <w:pPr>
        <w:ind w:right="140" w:firstLine="434"/>
        <w:spacing w:after="0" w:line="233" w:lineRule="auto"/>
        <w:rPr>
          <w:sz w:val="20"/>
          <w:szCs w:val="20"/>
          <w:color w:val="auto"/>
        </w:rPr>
      </w:pPr>
      <w:r>
        <w:rPr>
          <w:rFonts w:ascii="Arial" w:cs="Arial" w:eastAsia="Arial" w:hAnsi="Arial"/>
          <w:sz w:val="14"/>
          <w:szCs w:val="14"/>
          <w:color w:val="auto"/>
        </w:rPr>
        <w:t>Sales and repayments of investments for the three and nine months ended June 30, 2017 totaled $199.1 million and $465.4 million, respectively, and realized gains (losses) totaled $10.1 million and $(30.8) million, respectively. Sales and repayments of investments for the three and nine months ended June 30, 2016 totaled $103.1 million and $304.1 million, respectively, and realized losses totaled $45.5 million and $82.1 million, respectively. The change in realized gains (losses) was primarily due to changes in the market conditions of our investments and the values at which they were realized.</w:t>
      </w:r>
    </w:p>
    <w:p>
      <w:pPr>
        <w:spacing w:after="0" w:line="117"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Unrealized Appreciation or Depreciation on Investments, Credit Facility and our Notes</w:t>
      </w:r>
    </w:p>
    <w:p>
      <w:pPr>
        <w:spacing w:after="0" w:line="136" w:lineRule="exact"/>
        <w:rPr>
          <w:sz w:val="20"/>
          <w:szCs w:val="20"/>
          <w:color w:val="auto"/>
        </w:rPr>
      </w:pPr>
    </w:p>
    <w:p>
      <w:pPr>
        <w:ind w:right="80" w:firstLine="456"/>
        <w:spacing w:after="0" w:line="231" w:lineRule="auto"/>
        <w:rPr>
          <w:sz w:val="20"/>
          <w:szCs w:val="20"/>
          <w:color w:val="auto"/>
        </w:rPr>
      </w:pPr>
      <w:r>
        <w:rPr>
          <w:rFonts w:ascii="Arial" w:cs="Arial" w:eastAsia="Arial" w:hAnsi="Arial"/>
          <w:sz w:val="14"/>
          <w:szCs w:val="14"/>
          <w:color w:val="auto"/>
        </w:rPr>
        <w:t>For the three and nine months ended June 30, 2017, we reported a net change in unrealized (depreciation) appreciation on investments of $(1.7) million and $43.8 million, respectively. For the three and nine months ended June 30, 2016, we reported a net change in unrealized appreciation on investments of $58.0 million and $2.1 million, respectively. As of June 30, 2017 and September 30, 2016, our net unrealized depreciation on investments totaled $56.4 million and $100.3 million, respectively. The net change in unrealized (depreciation) appreciation on our investments was driven primarily by changes in the capital market conditions, the financial performance of certain portfolio companies and the reversal of unrealized depreciation (appreciation) of investments that were realized.</w:t>
      </w:r>
    </w:p>
    <w:p>
      <w:pPr>
        <w:spacing w:after="0" w:line="116" w:lineRule="exact"/>
        <w:rPr>
          <w:sz w:val="20"/>
          <w:szCs w:val="20"/>
          <w:color w:val="auto"/>
        </w:rPr>
      </w:pPr>
    </w:p>
    <w:p>
      <w:pPr>
        <w:ind w:firstLine="456"/>
        <w:spacing w:after="0" w:line="238" w:lineRule="auto"/>
        <w:rPr>
          <w:sz w:val="20"/>
          <w:szCs w:val="20"/>
          <w:color w:val="auto"/>
        </w:rPr>
      </w:pPr>
      <w:r>
        <w:rPr>
          <w:rFonts w:ascii="Arial" w:cs="Arial" w:eastAsia="Arial" w:hAnsi="Arial"/>
          <w:sz w:val="14"/>
          <w:szCs w:val="14"/>
          <w:color w:val="auto"/>
        </w:rPr>
        <w:t>For the three and nine months ended June 30, 2017, we reported a net change in unrealized appreciation on our Credit Facility and our 2019 Notes of $2.1 million and $2.4 million, respectively. For the three and nine months ended June 30, 2016, we reported a net change in unrealized (appreciation) depreciation on our Credit Facility and our Notes of $(2.4) million and $15.6 million, respectively. The change compared with the same periods in the prior year was primarily due to changes in the capital markets.</w:t>
      </w:r>
    </w:p>
    <w:p>
      <w:pPr>
        <w:spacing w:after="0" w:line="200" w:lineRule="exact"/>
        <w:rPr>
          <w:sz w:val="20"/>
          <w:szCs w:val="20"/>
          <w:color w:val="auto"/>
        </w:rPr>
      </w:pPr>
    </w:p>
    <w:p>
      <w:pPr>
        <w:spacing w:after="0" w:line="280" w:lineRule="exact"/>
        <w:rPr>
          <w:sz w:val="20"/>
          <w:szCs w:val="20"/>
          <w:color w:val="auto"/>
        </w:rPr>
      </w:pPr>
    </w:p>
    <w:p>
      <w:pPr>
        <w:jc w:val="center"/>
        <w:ind w:right="-39"/>
        <w:spacing w:after="0"/>
        <w:rPr>
          <w:sz w:val="20"/>
          <w:szCs w:val="20"/>
          <w:color w:val="auto"/>
        </w:rPr>
      </w:pPr>
      <w:r>
        <w:rPr>
          <w:rFonts w:ascii="Arial" w:cs="Arial" w:eastAsia="Arial" w:hAnsi="Arial"/>
          <w:sz w:val="14"/>
          <w:szCs w:val="14"/>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72390</wp:posOffset>
            </wp:positionV>
            <wp:extent cx="7149465" cy="1714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20"/>
          </w:cols>
          <w:pgMar w:left="320" w:top="337" w:right="359" w:bottom="1440" w:gutter="0" w:footer="0" w:header="0"/>
        </w:sectPr>
      </w:pPr>
    </w:p>
    <w:bookmarkStart w:id="30" w:name="page31"/>
    <w:bookmarkEnd w:id="30"/>
    <w:p>
      <w:pPr>
        <w:spacing w:after="0"/>
        <w:rPr>
          <w:sz w:val="20"/>
          <w:szCs w:val="20"/>
          <w:color w:val="auto"/>
        </w:rPr>
      </w:pPr>
      <w:r>
        <w:rPr>
          <w:rFonts w:ascii="Arial" w:cs="Arial" w:eastAsia="Arial" w:hAnsi="Arial"/>
          <w:sz w:val="14"/>
          <w:szCs w:val="14"/>
          <w:b w:val="1"/>
          <w:bCs w:val="1"/>
          <w:i w:val="1"/>
          <w:iCs w:val="1"/>
          <w:color w:val="auto"/>
        </w:rPr>
        <w:t>Net Change in Net Assets Resulting from Operations</w:t>
      </w:r>
    </w:p>
    <w:p>
      <w:pPr>
        <w:spacing w:after="0" w:line="136" w:lineRule="exact"/>
        <w:rPr>
          <w:sz w:val="20"/>
          <w:szCs w:val="20"/>
          <w:color w:val="auto"/>
        </w:rPr>
      </w:pPr>
    </w:p>
    <w:p>
      <w:pPr>
        <w:ind w:right="200" w:firstLine="434"/>
        <w:spacing w:after="0" w:line="296" w:lineRule="auto"/>
        <w:rPr>
          <w:sz w:val="20"/>
          <w:szCs w:val="20"/>
          <w:color w:val="auto"/>
        </w:rPr>
      </w:pPr>
      <w:r>
        <w:rPr>
          <w:rFonts w:ascii="Arial" w:cs="Arial" w:eastAsia="Arial" w:hAnsi="Arial"/>
          <w:sz w:val="12"/>
          <w:szCs w:val="12"/>
          <w:color w:val="auto"/>
        </w:rPr>
        <w:t>Net change in net assets resulting from operations totaled $18.8 million and $54.3 million, or $0.26 and $0.77 per share, for the three and nine months ended June 30, 2017, respectively. This compares to a net change in net assets resulting from operations of $27.8 million and $(9.0) million, or $0.39 and $(0.12) per share, for the three and nine months ended June 30, 2016, respectively. The decrease/increase in the net change in net assets from operations compared with the same periods in the prior year reflects the change in portfolio investment values during the reporting periods.</w:t>
      </w:r>
    </w:p>
    <w:p>
      <w:pPr>
        <w:spacing w:after="0" w:line="79"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LIQUIDITY AND CAPITAL RESOURCES</w:t>
      </w:r>
    </w:p>
    <w:p>
      <w:pPr>
        <w:spacing w:after="0" w:line="140" w:lineRule="exact"/>
        <w:rPr>
          <w:sz w:val="20"/>
          <w:szCs w:val="20"/>
          <w:color w:val="auto"/>
        </w:rPr>
      </w:pPr>
    </w:p>
    <w:p>
      <w:pPr>
        <w:ind w:right="340" w:firstLine="434"/>
        <w:spacing w:after="0" w:line="296" w:lineRule="auto"/>
        <w:rPr>
          <w:sz w:val="20"/>
          <w:szCs w:val="20"/>
          <w:color w:val="auto"/>
        </w:rPr>
      </w:pPr>
      <w:r>
        <w:rPr>
          <w:rFonts w:ascii="Arial" w:cs="Arial" w:eastAsia="Arial" w:hAnsi="Arial"/>
          <w:sz w:val="12"/>
          <w:szCs w:val="12"/>
          <w:color w:val="auto"/>
        </w:rPr>
        <w:t>Our liquidity and capital resources are derived primarily from proceeds of securities offerings, debt capital and cash flows from operations, including investment sales and repayments, and income earned. Our primary use of funds from operations includes investments in portfolio companies and payments of fees and other operating expenses we incur. We have used, and expect to continue to use, our debt capital and proceeds from the rotation of our portfolio and proceeds from public and private offerings of securities to finance our investment objectives.</w:t>
      </w:r>
    </w:p>
    <w:p>
      <w:pPr>
        <w:spacing w:after="0" w:line="83" w:lineRule="exact"/>
        <w:rPr>
          <w:sz w:val="20"/>
          <w:szCs w:val="20"/>
          <w:color w:val="auto"/>
        </w:rPr>
      </w:pPr>
    </w:p>
    <w:p>
      <w:pPr>
        <w:ind w:right="120" w:firstLine="434"/>
        <w:spacing w:after="0" w:line="253" w:lineRule="auto"/>
        <w:rPr>
          <w:sz w:val="20"/>
          <w:szCs w:val="20"/>
          <w:color w:val="auto"/>
        </w:rPr>
      </w:pPr>
      <w:r>
        <w:rPr>
          <w:rFonts w:ascii="Arial" w:cs="Arial" w:eastAsia="Arial" w:hAnsi="Arial"/>
          <w:sz w:val="14"/>
          <w:szCs w:val="14"/>
          <w:color w:val="auto"/>
        </w:rPr>
        <w:t>Our annualized weighted average cost of debt for the nine months ended June 30, 2017 and 2016, inclusive of the fee on the undrawn commitment and amendment costs on the Credit Facility, amortized upfront fees on SBA debentures and debt issuance costs, was 4.99% and 4.36%, respectively.</w:t>
      </w:r>
    </w:p>
    <w:p>
      <w:pPr>
        <w:spacing w:after="0" w:line="106" w:lineRule="exact"/>
        <w:rPr>
          <w:sz w:val="20"/>
          <w:szCs w:val="20"/>
          <w:color w:val="auto"/>
        </w:rPr>
      </w:pPr>
    </w:p>
    <w:p>
      <w:pPr>
        <w:ind w:right="100" w:firstLine="452"/>
        <w:spacing w:after="0" w:line="269" w:lineRule="auto"/>
        <w:rPr>
          <w:sz w:val="20"/>
          <w:szCs w:val="20"/>
          <w:color w:val="auto"/>
        </w:rPr>
      </w:pPr>
      <w:r>
        <w:rPr>
          <w:rFonts w:ascii="Arial" w:cs="Arial" w:eastAsia="Arial" w:hAnsi="Arial"/>
          <w:sz w:val="12"/>
          <w:szCs w:val="12"/>
          <w:color w:val="auto"/>
        </w:rPr>
        <w:t>On May 25, 2017, we amended and restated our multi-currency Credit Facility to, among other things, extend the final maturity date from June 25, 2019 to May 25, 2022, adjust the size of the Credit Facility from $545 million to $445 million and increased the size of the accordion provision to permit increases to the Credit Facility up to $750 million if certain conditions are satisfied and to include certain restrictions on the borrowing base with respect to investments located in certain countries and equity interests. This multi-currency Credit Facility is with certain lenders and SunTrust Bank, acting as administrative agent, and JPMorgan Chase Bank, N.A., acting as syndication agent for the lenders. As of June 30, 2017 and September 30, 2016, there was $82.1 million and $50.3 million, respectively, in outstanding borrowings under the Credit Facility. The Credit Facility had a weighted average interest rate of 2.45% and 2.76%, as of June 30, 2017 and September 30, 2016, respectively, excluding the undrawn commitment fees of 0.375%. The Credit Facility is a five-year revolving facility with a stated maturity date of May 25, 2022, with a one-year term-out period following its fourth year and pricing set at 225 basis points over LIBOR. As of June 30, 2017 and September 30, 2016, we had $362.9 million and $494.7 million of unused borrowing capacity under our Credit Facility, respectively, subject to the regulatory restrictions. The Credit Facility is secured by substantially all of our assets excluding assets held by our SBIC Funds.</w:t>
      </w:r>
    </w:p>
    <w:p>
      <w:pPr>
        <w:spacing w:after="0" w:line="99" w:lineRule="exact"/>
        <w:rPr>
          <w:sz w:val="20"/>
          <w:szCs w:val="20"/>
          <w:color w:val="auto"/>
        </w:rPr>
      </w:pPr>
    </w:p>
    <w:p>
      <w:pPr>
        <w:ind w:right="420" w:firstLine="434"/>
        <w:spacing w:after="0" w:line="253" w:lineRule="auto"/>
        <w:rPr>
          <w:sz w:val="20"/>
          <w:szCs w:val="20"/>
          <w:color w:val="auto"/>
        </w:rPr>
      </w:pPr>
      <w:r>
        <w:rPr>
          <w:rFonts w:ascii="Arial" w:cs="Arial" w:eastAsia="Arial" w:hAnsi="Arial"/>
          <w:sz w:val="14"/>
          <w:szCs w:val="14"/>
          <w:color w:val="auto"/>
        </w:rPr>
        <w:t>For a complete list of covenants contained in the Credit Facility, see the Credit Facility agreement filed as Exhibit 10.1 in this Report and incorporated by reference herein. As of June 30, 2017, we were in compliance with the terms of our Credit Facility.</w:t>
      </w:r>
    </w:p>
    <w:p>
      <w:pPr>
        <w:spacing w:after="0" w:line="106" w:lineRule="exact"/>
        <w:rPr>
          <w:sz w:val="20"/>
          <w:szCs w:val="20"/>
          <w:color w:val="auto"/>
        </w:rPr>
      </w:pPr>
    </w:p>
    <w:p>
      <w:pPr>
        <w:ind w:right="140" w:firstLine="452"/>
        <w:spacing w:after="0" w:line="251" w:lineRule="auto"/>
        <w:rPr>
          <w:sz w:val="20"/>
          <w:szCs w:val="20"/>
          <w:color w:val="auto"/>
        </w:rPr>
      </w:pPr>
      <w:r>
        <w:rPr>
          <w:rFonts w:ascii="Arial" w:cs="Arial" w:eastAsia="Arial" w:hAnsi="Arial"/>
          <w:sz w:val="13"/>
          <w:szCs w:val="13"/>
          <w:color w:val="auto"/>
        </w:rPr>
        <w:t>In September 2014, we issued $250.0 million in aggregate principal amount of 2019 Notes, for net proceeds of $245.5 million after underwriting discounts and offering costs. Interest on the 2019 Notes is paid semi-annually on April 1 and October 1, at a rate of 4.50% per year. The 2019 Notes mature on October 1, 2019. The 2019 Notes are general, unsecured obligations and rank equal in right of payment with all of our existing and future senior unsecured indebtedness. The 2019 Notes are structurally subordinated to our SBA debentures and the assets pledged or secured under our Credit Facility. Please see our base indenture filed as Exhibit (d)(8) to our post-effective amendment filed on January 22, 2013, or the Base Indenture, and the supplemental indenture filed as Exhibit (d)(11) to our post-effective amendment filed on September 23, 2014 for more information.</w:t>
      </w:r>
    </w:p>
    <w:p>
      <w:pPr>
        <w:spacing w:after="0" w:line="109" w:lineRule="exact"/>
        <w:rPr>
          <w:sz w:val="20"/>
          <w:szCs w:val="20"/>
          <w:color w:val="auto"/>
        </w:rPr>
      </w:pPr>
    </w:p>
    <w:p>
      <w:pPr>
        <w:ind w:right="140" w:firstLine="452"/>
        <w:spacing w:after="0" w:line="283" w:lineRule="auto"/>
        <w:rPr>
          <w:sz w:val="20"/>
          <w:szCs w:val="20"/>
          <w:color w:val="auto"/>
        </w:rPr>
      </w:pPr>
      <w:r>
        <w:rPr>
          <w:rFonts w:ascii="Arial" w:cs="Arial" w:eastAsia="Arial" w:hAnsi="Arial"/>
          <w:sz w:val="12"/>
          <w:szCs w:val="12"/>
          <w:color w:val="auto"/>
        </w:rPr>
        <w:t>In January 2013, we issued $71.3 million in aggregate principal amount of 2025 Notes. Interest on the 2025 Notes was paid quarterly on February 1, May 1, August 1 and November 1, at a rate of 6.25% per year. On June 29, 2017, the 2025 Notes were redeemed. The 2025 Notes had been scheduled to mature on February 1, 2025. The 2025 Notes were general, unsecured obligations and ranked equal in right of payment with all of our senior unsecured indebtedness. The 2025 Notes were structurally subordinated to our SBA debentures and the assets pledged or secured under our Credit Facility. Please see our Base Indenture and the supplemental indenture filed as Exhibit (d)(9) to our post-effective amendment filed on January 22, 2013 for more information.</w:t>
      </w:r>
    </w:p>
    <w:p>
      <w:pPr>
        <w:spacing w:after="0" w:line="92" w:lineRule="exact"/>
        <w:rPr>
          <w:sz w:val="20"/>
          <w:szCs w:val="20"/>
          <w:color w:val="auto"/>
        </w:rPr>
      </w:pPr>
    </w:p>
    <w:p>
      <w:pPr>
        <w:ind w:right="100" w:firstLine="434"/>
        <w:spacing w:after="0" w:line="231" w:lineRule="auto"/>
        <w:rPr>
          <w:sz w:val="20"/>
          <w:szCs w:val="20"/>
          <w:color w:val="auto"/>
        </w:rPr>
      </w:pPr>
      <w:r>
        <w:rPr>
          <w:rFonts w:ascii="Arial" w:cs="Arial" w:eastAsia="Arial" w:hAnsi="Arial"/>
          <w:sz w:val="14"/>
          <w:szCs w:val="14"/>
          <w:color w:val="auto"/>
        </w:rPr>
        <w:t>We may raise additional equity or debt capital through both registered offerings off our shelf registration statement and private offerings of securities, by securitizing a portion of our investments or borrowing from the SBA, among other sources. Any future additional debt capital we incur, to the extent it is available, may be issued at a higher cost and on less favorable terms and conditions than our current Credit Facility, SBA debentures or our Notes. Furthermore, our Credit Facility availability depends on various covenants and restrictions. The primary use of existing funds and any funds raised in the future is expected to be for repayment of indebtedness, investments in portfolio companies, cash distributions to our stockholders or for other general corporate or strategic purposes such as our stock repurchase program.</w:t>
      </w:r>
    </w:p>
    <w:p>
      <w:pPr>
        <w:spacing w:after="0" w:line="116" w:lineRule="exact"/>
        <w:rPr>
          <w:sz w:val="20"/>
          <w:szCs w:val="20"/>
          <w:color w:val="auto"/>
        </w:rPr>
      </w:pPr>
    </w:p>
    <w:p>
      <w:pPr>
        <w:ind w:right="120" w:firstLine="434"/>
        <w:spacing w:after="0" w:line="229" w:lineRule="auto"/>
        <w:rPr>
          <w:sz w:val="20"/>
          <w:szCs w:val="20"/>
          <w:color w:val="auto"/>
        </w:rPr>
      </w:pPr>
      <w:r>
        <w:rPr>
          <w:rFonts w:ascii="Arial" w:cs="Arial" w:eastAsia="Arial" w:hAnsi="Arial"/>
          <w:sz w:val="14"/>
          <w:szCs w:val="14"/>
          <w:color w:val="auto"/>
        </w:rPr>
        <w:t>Our SBIC Funds are able to borrow funds from the SBA against regulatory capital (which approximates equity capital) that is paid-in and is subject to customary regulatory requirements including an examination by the SBA. We have funded SBIC I with $75.0 million of equity capital and it had SBA debentures outstanding of $150.0 million as of June 30, 2017. We have funded SBIC II with $75.0 million of equity capital and it had SBA debentures outstanding of $75.0 million as of June 30, 2017. SBA debentures are non-recourse to us and may be prepaid at any time without penalty. The interest rate of SBA debentures is fixed at the time of issuance, often referred to as pooling, at a market-driven spread over 10-year U.S. Treasury Notes. Under current SBA regulations, a SBIC may individually borrow to a maximum of $150.0 million, which is up to twice its potential regulatory capital, and as part of a group of SBICs under common control may borrow a maximum of $350.0 million in the aggregate.</w:t>
      </w:r>
    </w:p>
    <w:p>
      <w:pPr>
        <w:spacing w:after="0" w:line="118" w:lineRule="exact"/>
        <w:rPr>
          <w:sz w:val="20"/>
          <w:szCs w:val="20"/>
          <w:color w:val="auto"/>
        </w:rPr>
      </w:pPr>
    </w:p>
    <w:p>
      <w:pPr>
        <w:jc w:val="both"/>
        <w:ind w:right="200" w:firstLine="434"/>
        <w:spacing w:after="0" w:line="238" w:lineRule="auto"/>
        <w:rPr>
          <w:sz w:val="20"/>
          <w:szCs w:val="20"/>
          <w:color w:val="auto"/>
        </w:rPr>
      </w:pPr>
      <w:r>
        <w:rPr>
          <w:rFonts w:ascii="Arial" w:cs="Arial" w:eastAsia="Arial" w:hAnsi="Arial"/>
          <w:sz w:val="14"/>
          <w:szCs w:val="14"/>
          <w:color w:val="auto"/>
        </w:rPr>
        <w:t>As of June 30, 2017 and September 30, 2016, our SBIC Funds had $225.0 million in debt commitments, of which $225.0 million and $197.5 million was drawn, respectively. As of June 30, 2017 and September 30, 2016, the unamortized fees on the SBA debentures was $4.4 million and $4.3 million, respectively. The SBA debentures’ upfront fees of 3.43% consist of a commitment fee of 1.00% and an issuance discount of 2.43%, which are being amortized.</w:t>
      </w:r>
    </w:p>
    <w:p>
      <w:pPr>
        <w:spacing w:after="0" w:line="115" w:lineRule="exact"/>
        <w:rPr>
          <w:sz w:val="20"/>
          <w:szCs w:val="20"/>
          <w:color w:val="auto"/>
        </w:rPr>
      </w:pPr>
    </w:p>
    <w:p>
      <w:pPr>
        <w:ind w:left="440"/>
        <w:spacing w:after="0"/>
        <w:rPr>
          <w:sz w:val="20"/>
          <w:szCs w:val="20"/>
          <w:color w:val="auto"/>
        </w:rPr>
      </w:pPr>
      <w:r>
        <w:rPr>
          <w:rFonts w:ascii="Arial" w:cs="Arial" w:eastAsia="Arial" w:hAnsi="Arial"/>
          <w:sz w:val="14"/>
          <w:szCs w:val="14"/>
          <w:color w:val="auto"/>
        </w:rPr>
        <w:t>Our fixed-rate SBA debentures as of June 30, 2017 and September 30, 2016 were as follows:</w:t>
      </w:r>
    </w:p>
    <w:p>
      <w:pPr>
        <w:spacing w:after="0" w:line="227"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3580" w:type="dxa"/>
            <w:vAlign w:val="bottom"/>
          </w:tcPr>
          <w:p>
            <w:pPr>
              <w:ind w:left="1320"/>
              <w:spacing w:after="0"/>
              <w:rPr>
                <w:sz w:val="20"/>
                <w:szCs w:val="20"/>
                <w:color w:val="auto"/>
              </w:rPr>
            </w:pPr>
            <w:r>
              <w:rPr>
                <w:rFonts w:ascii="Arial" w:cs="Arial" w:eastAsia="Arial" w:hAnsi="Arial"/>
                <w:sz w:val="14"/>
                <w:szCs w:val="14"/>
                <w:b w:val="1"/>
                <w:bCs w:val="1"/>
                <w:color w:val="auto"/>
              </w:rPr>
              <w:t>Issuance Dates</w:t>
            </w:r>
          </w:p>
        </w:tc>
        <w:tc>
          <w:tcPr>
            <w:tcW w:w="220" w:type="dxa"/>
            <w:vAlign w:val="bottom"/>
          </w:tcPr>
          <w:p>
            <w:pPr>
              <w:spacing w:after="0"/>
              <w:rPr>
                <w:sz w:val="14"/>
                <w:szCs w:val="14"/>
                <w:color w:val="auto"/>
              </w:rPr>
            </w:pPr>
          </w:p>
        </w:tc>
        <w:tc>
          <w:tcPr>
            <w:tcW w:w="2400" w:type="dxa"/>
            <w:vAlign w:val="bottom"/>
            <w:gridSpan w:val="2"/>
          </w:tcPr>
          <w:p>
            <w:pPr>
              <w:ind w:left="800"/>
              <w:spacing w:after="0"/>
              <w:rPr>
                <w:sz w:val="20"/>
                <w:szCs w:val="20"/>
                <w:color w:val="auto"/>
              </w:rPr>
            </w:pPr>
            <w:r>
              <w:rPr>
                <w:rFonts w:ascii="Arial" w:cs="Arial" w:eastAsia="Arial" w:hAnsi="Arial"/>
                <w:sz w:val="14"/>
                <w:szCs w:val="14"/>
                <w:b w:val="1"/>
                <w:bCs w:val="1"/>
                <w:color w:val="auto"/>
              </w:rPr>
              <w:t>Maturity</w:t>
            </w:r>
          </w:p>
        </w:tc>
        <w:tc>
          <w:tcPr>
            <w:tcW w:w="2060" w:type="dxa"/>
            <w:vAlign w:val="bottom"/>
          </w:tcPr>
          <w:p>
            <w:pPr>
              <w:jc w:val="right"/>
              <w:ind w:right="28"/>
              <w:spacing w:after="0"/>
              <w:rPr>
                <w:sz w:val="20"/>
                <w:szCs w:val="20"/>
                <w:color w:val="auto"/>
              </w:rPr>
            </w:pPr>
            <w:r>
              <w:rPr>
                <w:rFonts w:ascii="Arial" w:cs="Arial" w:eastAsia="Arial" w:hAnsi="Arial"/>
                <w:sz w:val="14"/>
                <w:szCs w:val="14"/>
                <w:b w:val="1"/>
                <w:bCs w:val="1"/>
                <w:color w:val="auto"/>
                <w:w w:val="97"/>
              </w:rPr>
              <w:t xml:space="preserve">Fixed All-in coupon rate </w:t>
            </w:r>
            <w:r>
              <w:rPr>
                <w:rFonts w:ascii="Arial" w:cs="Arial" w:eastAsia="Arial" w:hAnsi="Arial"/>
                <w:sz w:val="12"/>
                <w:szCs w:val="12"/>
                <w:b w:val="1"/>
                <w:bCs w:val="1"/>
                <w:color w:val="auto"/>
                <w:w w:val="97"/>
              </w:rPr>
              <w:t>(1), (2)</w:t>
            </w:r>
          </w:p>
        </w:tc>
        <w:tc>
          <w:tcPr>
            <w:tcW w:w="56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2080" w:type="dxa"/>
            <w:vAlign w:val="bottom"/>
            <w:gridSpan w:val="2"/>
          </w:tcPr>
          <w:p>
            <w:pPr>
              <w:ind w:left="260"/>
              <w:spacing w:after="0"/>
              <w:rPr>
                <w:sz w:val="20"/>
                <w:szCs w:val="20"/>
                <w:color w:val="auto"/>
              </w:rPr>
            </w:pPr>
            <w:r>
              <w:rPr>
                <w:rFonts w:ascii="Arial" w:cs="Arial" w:eastAsia="Arial" w:hAnsi="Arial"/>
                <w:sz w:val="14"/>
                <w:szCs w:val="14"/>
                <w:b w:val="1"/>
                <w:bCs w:val="1"/>
                <w:color w:val="auto"/>
              </w:rPr>
              <w:t>Principal Balance</w:t>
            </w:r>
          </w:p>
        </w:tc>
      </w:tr>
      <w:tr>
        <w:trPr>
          <w:trHeight w:val="155"/>
        </w:trPr>
        <w:tc>
          <w:tcPr>
            <w:tcW w:w="3580" w:type="dxa"/>
            <w:vAlign w:val="bottom"/>
            <w:tcBorders>
              <w:top w:val="single" w:sz="8" w:color="auto"/>
            </w:tcBorders>
            <w:shd w:val="clear" w:color="auto" w:fill="CCECFF"/>
          </w:tcPr>
          <w:p>
            <w:pPr>
              <w:spacing w:after="0" w:line="155" w:lineRule="exact"/>
              <w:rPr>
                <w:sz w:val="20"/>
                <w:szCs w:val="20"/>
                <w:color w:val="auto"/>
              </w:rPr>
            </w:pPr>
            <w:r>
              <w:rPr>
                <w:rFonts w:ascii="Arial" w:cs="Arial" w:eastAsia="Arial" w:hAnsi="Arial"/>
                <w:sz w:val="14"/>
                <w:szCs w:val="14"/>
                <w:color w:val="auto"/>
              </w:rPr>
              <w:t>September 22, 2010</w:t>
            </w:r>
          </w:p>
        </w:tc>
        <w:tc>
          <w:tcPr>
            <w:tcW w:w="220" w:type="dxa"/>
            <w:vAlign w:val="bottom"/>
            <w:tcBorders>
              <w:top w:val="single" w:sz="8" w:color="CCECFF"/>
            </w:tcBorders>
            <w:shd w:val="clear" w:color="auto" w:fill="CCECFF"/>
          </w:tcPr>
          <w:p>
            <w:pPr>
              <w:spacing w:after="0"/>
              <w:rPr>
                <w:sz w:val="13"/>
                <w:szCs w:val="13"/>
                <w:color w:val="auto"/>
              </w:rPr>
            </w:pPr>
          </w:p>
        </w:tc>
        <w:tc>
          <w:tcPr>
            <w:tcW w:w="2180" w:type="dxa"/>
            <w:vAlign w:val="bottom"/>
            <w:tcBorders>
              <w:top w:val="single" w:sz="8" w:color="auto"/>
            </w:tcBorders>
            <w:shd w:val="clear" w:color="auto" w:fill="CCECFF"/>
          </w:tcPr>
          <w:p>
            <w:pPr>
              <w:spacing w:after="0" w:line="155" w:lineRule="exact"/>
              <w:rPr>
                <w:sz w:val="20"/>
                <w:szCs w:val="20"/>
                <w:color w:val="auto"/>
              </w:rPr>
            </w:pPr>
            <w:r>
              <w:rPr>
                <w:rFonts w:ascii="Arial" w:cs="Arial" w:eastAsia="Arial" w:hAnsi="Arial"/>
                <w:sz w:val="14"/>
                <w:szCs w:val="14"/>
                <w:color w:val="auto"/>
              </w:rPr>
              <w:t>September 1, 2020</w:t>
            </w:r>
          </w:p>
        </w:tc>
        <w:tc>
          <w:tcPr>
            <w:tcW w:w="220" w:type="dxa"/>
            <w:vAlign w:val="bottom"/>
            <w:tcBorders>
              <w:top w:val="single" w:sz="8" w:color="CCECFF"/>
            </w:tcBorders>
            <w:shd w:val="clear" w:color="auto" w:fill="CCECFF"/>
          </w:tcPr>
          <w:p>
            <w:pPr>
              <w:spacing w:after="0"/>
              <w:rPr>
                <w:sz w:val="13"/>
                <w:szCs w:val="13"/>
                <w:color w:val="auto"/>
              </w:rPr>
            </w:pPr>
          </w:p>
        </w:tc>
        <w:tc>
          <w:tcPr>
            <w:tcW w:w="2060" w:type="dxa"/>
            <w:vAlign w:val="bottom"/>
            <w:tcBorders>
              <w:top w:val="single" w:sz="8" w:color="auto"/>
            </w:tcBorders>
            <w:shd w:val="clear" w:color="auto" w:fill="CCECFF"/>
          </w:tcPr>
          <w:p>
            <w:pPr>
              <w:jc w:val="right"/>
              <w:spacing w:after="0" w:line="155" w:lineRule="exact"/>
              <w:rPr>
                <w:sz w:val="20"/>
                <w:szCs w:val="20"/>
                <w:color w:val="auto"/>
              </w:rPr>
            </w:pPr>
            <w:r>
              <w:rPr>
                <w:rFonts w:ascii="Arial" w:cs="Arial" w:eastAsia="Arial" w:hAnsi="Arial"/>
                <w:sz w:val="14"/>
                <w:szCs w:val="14"/>
                <w:color w:val="auto"/>
              </w:rPr>
              <w:t>3.50</w:t>
            </w:r>
          </w:p>
        </w:tc>
        <w:tc>
          <w:tcPr>
            <w:tcW w:w="560" w:type="dxa"/>
            <w:vAlign w:val="bottom"/>
            <w:tcBorders>
              <w:top w:val="single" w:sz="8" w:color="CCECFF"/>
            </w:tcBorders>
            <w:shd w:val="clear" w:color="auto" w:fill="CCECFF"/>
          </w:tcPr>
          <w:p>
            <w:pPr>
              <w:ind w:left="100"/>
              <w:spacing w:after="0" w:line="155" w:lineRule="exact"/>
              <w:rPr>
                <w:sz w:val="20"/>
                <w:szCs w:val="20"/>
                <w:color w:val="auto"/>
              </w:rPr>
            </w:pPr>
            <w:r>
              <w:rPr>
                <w:rFonts w:ascii="Arial" w:cs="Arial" w:eastAsia="Arial" w:hAnsi="Arial"/>
                <w:sz w:val="14"/>
                <w:szCs w:val="14"/>
                <w:color w:val="auto"/>
              </w:rPr>
              <w:t>%</w:t>
            </w:r>
          </w:p>
        </w:tc>
        <w:tc>
          <w:tcPr>
            <w:tcW w:w="340" w:type="dxa"/>
            <w:vAlign w:val="bottom"/>
            <w:tcBorders>
              <w:top w:val="single" w:sz="8" w:color="auto"/>
            </w:tcBorders>
            <w:shd w:val="clear" w:color="auto" w:fill="CCECFF"/>
          </w:tcPr>
          <w:p>
            <w:pPr>
              <w:jc w:val="right"/>
              <w:ind w:right="188"/>
              <w:spacing w:after="0" w:line="155" w:lineRule="exact"/>
              <w:rPr>
                <w:sz w:val="20"/>
                <w:szCs w:val="20"/>
                <w:color w:val="auto"/>
              </w:rPr>
            </w:pPr>
            <w:r>
              <w:rPr>
                <w:rFonts w:ascii="Arial" w:cs="Arial" w:eastAsia="Arial" w:hAnsi="Arial"/>
                <w:sz w:val="14"/>
                <w:szCs w:val="14"/>
                <w:color w:val="auto"/>
                <w:w w:val="76"/>
              </w:rPr>
              <w:t>$</w:t>
            </w:r>
          </w:p>
        </w:tc>
        <w:tc>
          <w:tcPr>
            <w:tcW w:w="1960" w:type="dxa"/>
            <w:vAlign w:val="bottom"/>
            <w:tcBorders>
              <w:top w:val="single" w:sz="8" w:color="auto"/>
            </w:tcBorders>
            <w:shd w:val="clear" w:color="auto" w:fill="CCECFF"/>
          </w:tcPr>
          <w:p>
            <w:pPr>
              <w:jc w:val="right"/>
              <w:spacing w:after="0" w:line="155" w:lineRule="exact"/>
              <w:rPr>
                <w:sz w:val="20"/>
                <w:szCs w:val="20"/>
                <w:color w:val="auto"/>
              </w:rPr>
            </w:pPr>
            <w:r>
              <w:rPr>
                <w:rFonts w:ascii="Arial" w:cs="Arial" w:eastAsia="Arial" w:hAnsi="Arial"/>
                <w:sz w:val="14"/>
                <w:szCs w:val="14"/>
                <w:color w:val="auto"/>
              </w:rPr>
              <w:t>500,000</w:t>
            </w:r>
          </w:p>
        </w:tc>
        <w:tc>
          <w:tcPr>
            <w:tcW w:w="120" w:type="dxa"/>
            <w:vAlign w:val="bottom"/>
            <w:tcBorders>
              <w:top w:val="single" w:sz="8" w:color="CCECFF"/>
            </w:tcBorders>
            <w:shd w:val="clear" w:color="auto" w:fill="CCECFF"/>
          </w:tcPr>
          <w:p>
            <w:pPr>
              <w:spacing w:after="0"/>
              <w:rPr>
                <w:sz w:val="13"/>
                <w:szCs w:val="13"/>
                <w:color w:val="auto"/>
              </w:rPr>
            </w:pPr>
          </w:p>
        </w:tc>
      </w:tr>
      <w:tr>
        <w:trPr>
          <w:trHeight w:val="162"/>
        </w:trPr>
        <w:tc>
          <w:tcPr>
            <w:tcW w:w="3580" w:type="dxa"/>
            <w:vAlign w:val="bottom"/>
          </w:tcPr>
          <w:p>
            <w:pPr>
              <w:spacing w:after="0"/>
              <w:rPr>
                <w:sz w:val="20"/>
                <w:szCs w:val="20"/>
                <w:color w:val="auto"/>
              </w:rPr>
            </w:pPr>
            <w:r>
              <w:rPr>
                <w:rFonts w:ascii="Arial" w:cs="Arial" w:eastAsia="Arial" w:hAnsi="Arial"/>
                <w:sz w:val="14"/>
                <w:szCs w:val="14"/>
                <w:color w:val="auto"/>
              </w:rPr>
              <w:t>March 29, 2011</w:t>
            </w:r>
          </w:p>
        </w:tc>
        <w:tc>
          <w:tcPr>
            <w:tcW w:w="2620" w:type="dxa"/>
            <w:vAlign w:val="bottom"/>
            <w:gridSpan w:val="3"/>
          </w:tcPr>
          <w:p>
            <w:pPr>
              <w:ind w:left="220"/>
              <w:spacing w:after="0"/>
              <w:rPr>
                <w:sz w:val="20"/>
                <w:szCs w:val="20"/>
                <w:color w:val="auto"/>
              </w:rPr>
            </w:pPr>
            <w:r>
              <w:rPr>
                <w:rFonts w:ascii="Arial" w:cs="Arial" w:eastAsia="Arial" w:hAnsi="Arial"/>
                <w:sz w:val="14"/>
                <w:szCs w:val="14"/>
                <w:color w:val="auto"/>
              </w:rPr>
              <w:t>March 1, 2021</w:t>
            </w:r>
          </w:p>
        </w:tc>
        <w:tc>
          <w:tcPr>
            <w:tcW w:w="2060" w:type="dxa"/>
            <w:vAlign w:val="bottom"/>
          </w:tcPr>
          <w:p>
            <w:pPr>
              <w:jc w:val="right"/>
              <w:spacing w:after="0"/>
              <w:rPr>
                <w:sz w:val="20"/>
                <w:szCs w:val="20"/>
                <w:color w:val="auto"/>
              </w:rPr>
            </w:pPr>
            <w:r>
              <w:rPr>
                <w:rFonts w:ascii="Arial" w:cs="Arial" w:eastAsia="Arial" w:hAnsi="Arial"/>
                <w:sz w:val="14"/>
                <w:szCs w:val="14"/>
                <w:color w:val="auto"/>
              </w:rPr>
              <w:t>4.46</w:t>
            </w:r>
          </w:p>
        </w:tc>
        <w:tc>
          <w:tcPr>
            <w:tcW w:w="56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960" w:type="dxa"/>
            <w:vAlign w:val="bottom"/>
          </w:tcPr>
          <w:p>
            <w:pPr>
              <w:jc w:val="right"/>
              <w:spacing w:after="0"/>
              <w:rPr>
                <w:sz w:val="20"/>
                <w:szCs w:val="20"/>
                <w:color w:val="auto"/>
              </w:rPr>
            </w:pPr>
            <w:r>
              <w:rPr>
                <w:rFonts w:ascii="Arial" w:cs="Arial" w:eastAsia="Arial" w:hAnsi="Arial"/>
                <w:sz w:val="14"/>
                <w:szCs w:val="14"/>
                <w:color w:val="auto"/>
              </w:rPr>
              <w:t>44,500,000</w:t>
            </w:r>
          </w:p>
        </w:tc>
        <w:tc>
          <w:tcPr>
            <w:tcW w:w="120" w:type="dxa"/>
            <w:vAlign w:val="bottom"/>
          </w:tcPr>
          <w:p>
            <w:pPr>
              <w:spacing w:after="0"/>
              <w:rPr>
                <w:sz w:val="14"/>
                <w:szCs w:val="14"/>
                <w:color w:val="auto"/>
              </w:rPr>
            </w:pPr>
          </w:p>
        </w:tc>
      </w:tr>
      <w:tr>
        <w:trPr>
          <w:trHeight w:val="162"/>
        </w:trPr>
        <w:tc>
          <w:tcPr>
            <w:tcW w:w="3580" w:type="dxa"/>
            <w:vAlign w:val="bottom"/>
            <w:shd w:val="clear" w:color="auto" w:fill="CCECFF"/>
          </w:tcPr>
          <w:p>
            <w:pPr>
              <w:spacing w:after="0"/>
              <w:rPr>
                <w:sz w:val="20"/>
                <w:szCs w:val="20"/>
                <w:color w:val="auto"/>
              </w:rPr>
            </w:pPr>
            <w:r>
              <w:rPr>
                <w:rFonts w:ascii="Arial" w:cs="Arial" w:eastAsia="Arial" w:hAnsi="Arial"/>
                <w:sz w:val="14"/>
                <w:szCs w:val="14"/>
                <w:color w:val="auto"/>
              </w:rPr>
              <w:t>September 21, 2011</w:t>
            </w:r>
          </w:p>
        </w:tc>
        <w:tc>
          <w:tcPr>
            <w:tcW w:w="2620" w:type="dxa"/>
            <w:vAlign w:val="bottom"/>
            <w:gridSpan w:val="3"/>
            <w:shd w:val="clear" w:color="auto" w:fill="CCECFF"/>
          </w:tcPr>
          <w:p>
            <w:pPr>
              <w:ind w:left="220"/>
              <w:spacing w:after="0"/>
              <w:rPr>
                <w:sz w:val="20"/>
                <w:szCs w:val="20"/>
                <w:color w:val="auto"/>
              </w:rPr>
            </w:pPr>
            <w:r>
              <w:rPr>
                <w:rFonts w:ascii="Arial" w:cs="Arial" w:eastAsia="Arial" w:hAnsi="Arial"/>
                <w:sz w:val="14"/>
                <w:szCs w:val="14"/>
                <w:color w:val="auto"/>
              </w:rPr>
              <w:t>September 1, 2021</w:t>
            </w:r>
          </w:p>
        </w:tc>
        <w:tc>
          <w:tcPr>
            <w:tcW w:w="2060" w:type="dxa"/>
            <w:vAlign w:val="bottom"/>
            <w:shd w:val="clear" w:color="auto" w:fill="CCECFF"/>
          </w:tcPr>
          <w:p>
            <w:pPr>
              <w:jc w:val="right"/>
              <w:spacing w:after="0"/>
              <w:rPr>
                <w:sz w:val="20"/>
                <w:szCs w:val="20"/>
                <w:color w:val="auto"/>
              </w:rPr>
            </w:pPr>
            <w:r>
              <w:rPr>
                <w:rFonts w:ascii="Arial" w:cs="Arial" w:eastAsia="Arial" w:hAnsi="Arial"/>
                <w:sz w:val="14"/>
                <w:szCs w:val="14"/>
                <w:color w:val="auto"/>
              </w:rPr>
              <w:t>3.38</w:t>
            </w:r>
          </w:p>
        </w:tc>
        <w:tc>
          <w:tcPr>
            <w:tcW w:w="560" w:type="dxa"/>
            <w:vAlign w:val="bottom"/>
            <w:shd w:val="clear" w:color="auto" w:fill="CCECFF"/>
          </w:tcPr>
          <w:p>
            <w:pPr>
              <w:spacing w:after="0"/>
              <w:rPr>
                <w:sz w:val="14"/>
                <w:szCs w:val="14"/>
                <w:color w:val="auto"/>
              </w:rPr>
            </w:pPr>
          </w:p>
        </w:tc>
        <w:tc>
          <w:tcPr>
            <w:tcW w:w="340" w:type="dxa"/>
            <w:vAlign w:val="bottom"/>
            <w:shd w:val="clear" w:color="auto" w:fill="CCECFF"/>
          </w:tcPr>
          <w:p>
            <w:pPr>
              <w:spacing w:after="0"/>
              <w:rPr>
                <w:sz w:val="14"/>
                <w:szCs w:val="14"/>
                <w:color w:val="auto"/>
              </w:rPr>
            </w:pPr>
          </w:p>
        </w:tc>
        <w:tc>
          <w:tcPr>
            <w:tcW w:w="1960" w:type="dxa"/>
            <w:vAlign w:val="bottom"/>
            <w:shd w:val="clear" w:color="auto" w:fill="CCECFF"/>
          </w:tcPr>
          <w:p>
            <w:pPr>
              <w:jc w:val="right"/>
              <w:spacing w:after="0"/>
              <w:rPr>
                <w:sz w:val="20"/>
                <w:szCs w:val="20"/>
                <w:color w:val="auto"/>
              </w:rPr>
            </w:pPr>
            <w:r>
              <w:rPr>
                <w:rFonts w:ascii="Arial" w:cs="Arial" w:eastAsia="Arial" w:hAnsi="Arial"/>
                <w:sz w:val="14"/>
                <w:szCs w:val="14"/>
                <w:color w:val="auto"/>
              </w:rPr>
              <w:t>105,000,000</w:t>
            </w:r>
          </w:p>
        </w:tc>
        <w:tc>
          <w:tcPr>
            <w:tcW w:w="120" w:type="dxa"/>
            <w:vAlign w:val="bottom"/>
            <w:shd w:val="clear" w:color="auto" w:fill="CCECFF"/>
          </w:tcPr>
          <w:p>
            <w:pPr>
              <w:spacing w:after="0"/>
              <w:rPr>
                <w:sz w:val="14"/>
                <w:szCs w:val="14"/>
                <w:color w:val="auto"/>
              </w:rPr>
            </w:pPr>
          </w:p>
        </w:tc>
      </w:tr>
      <w:tr>
        <w:trPr>
          <w:trHeight w:val="162"/>
        </w:trPr>
        <w:tc>
          <w:tcPr>
            <w:tcW w:w="3580" w:type="dxa"/>
            <w:vAlign w:val="bottom"/>
          </w:tcPr>
          <w:p>
            <w:pPr>
              <w:spacing w:after="0"/>
              <w:rPr>
                <w:sz w:val="20"/>
                <w:szCs w:val="20"/>
                <w:color w:val="auto"/>
              </w:rPr>
            </w:pPr>
            <w:r>
              <w:rPr>
                <w:rFonts w:ascii="Arial" w:cs="Arial" w:eastAsia="Arial" w:hAnsi="Arial"/>
                <w:sz w:val="14"/>
                <w:szCs w:val="14"/>
                <w:color w:val="auto"/>
              </w:rPr>
              <w:t>March 23, 2016</w:t>
            </w:r>
          </w:p>
        </w:tc>
        <w:tc>
          <w:tcPr>
            <w:tcW w:w="2620" w:type="dxa"/>
            <w:vAlign w:val="bottom"/>
            <w:gridSpan w:val="3"/>
          </w:tcPr>
          <w:p>
            <w:pPr>
              <w:ind w:left="220"/>
              <w:spacing w:after="0"/>
              <w:rPr>
                <w:sz w:val="20"/>
                <w:szCs w:val="20"/>
                <w:color w:val="auto"/>
              </w:rPr>
            </w:pPr>
            <w:r>
              <w:rPr>
                <w:rFonts w:ascii="Arial" w:cs="Arial" w:eastAsia="Arial" w:hAnsi="Arial"/>
                <w:sz w:val="14"/>
                <w:szCs w:val="14"/>
                <w:color w:val="auto"/>
              </w:rPr>
              <w:t>March 1, 2026</w:t>
            </w:r>
          </w:p>
        </w:tc>
        <w:tc>
          <w:tcPr>
            <w:tcW w:w="2060" w:type="dxa"/>
            <w:vAlign w:val="bottom"/>
          </w:tcPr>
          <w:p>
            <w:pPr>
              <w:jc w:val="right"/>
              <w:spacing w:after="0"/>
              <w:rPr>
                <w:sz w:val="20"/>
                <w:szCs w:val="20"/>
                <w:color w:val="auto"/>
              </w:rPr>
            </w:pPr>
            <w:r>
              <w:rPr>
                <w:rFonts w:ascii="Arial" w:cs="Arial" w:eastAsia="Arial" w:hAnsi="Arial"/>
                <w:sz w:val="14"/>
                <w:szCs w:val="14"/>
                <w:color w:val="auto"/>
              </w:rPr>
              <w:t>2.86</w:t>
            </w:r>
          </w:p>
        </w:tc>
        <w:tc>
          <w:tcPr>
            <w:tcW w:w="56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960" w:type="dxa"/>
            <w:vAlign w:val="bottom"/>
          </w:tcPr>
          <w:p>
            <w:pPr>
              <w:jc w:val="right"/>
              <w:spacing w:after="0"/>
              <w:rPr>
                <w:sz w:val="20"/>
                <w:szCs w:val="20"/>
                <w:color w:val="auto"/>
              </w:rPr>
            </w:pPr>
            <w:r>
              <w:rPr>
                <w:rFonts w:ascii="Arial" w:cs="Arial" w:eastAsia="Arial" w:hAnsi="Arial"/>
                <w:sz w:val="14"/>
                <w:szCs w:val="14"/>
                <w:color w:val="auto"/>
              </w:rPr>
              <w:t>22,500,000</w:t>
            </w:r>
          </w:p>
        </w:tc>
        <w:tc>
          <w:tcPr>
            <w:tcW w:w="120" w:type="dxa"/>
            <w:vAlign w:val="bottom"/>
          </w:tcPr>
          <w:p>
            <w:pPr>
              <w:spacing w:after="0"/>
              <w:rPr>
                <w:sz w:val="14"/>
                <w:szCs w:val="14"/>
                <w:color w:val="auto"/>
              </w:rPr>
            </w:pPr>
          </w:p>
        </w:tc>
      </w:tr>
      <w:tr>
        <w:trPr>
          <w:trHeight w:val="162"/>
        </w:trPr>
        <w:tc>
          <w:tcPr>
            <w:tcW w:w="3580" w:type="dxa"/>
            <w:vAlign w:val="bottom"/>
            <w:shd w:val="clear" w:color="auto" w:fill="CCECFF"/>
          </w:tcPr>
          <w:p>
            <w:pPr>
              <w:spacing w:after="0"/>
              <w:rPr>
                <w:sz w:val="20"/>
                <w:szCs w:val="20"/>
                <w:color w:val="auto"/>
              </w:rPr>
            </w:pPr>
            <w:r>
              <w:rPr>
                <w:rFonts w:ascii="Arial" w:cs="Arial" w:eastAsia="Arial" w:hAnsi="Arial"/>
                <w:sz w:val="14"/>
                <w:szCs w:val="14"/>
                <w:color w:val="auto"/>
              </w:rPr>
              <w:t>September 21, 2016</w:t>
            </w:r>
          </w:p>
        </w:tc>
        <w:tc>
          <w:tcPr>
            <w:tcW w:w="2620" w:type="dxa"/>
            <w:vAlign w:val="bottom"/>
            <w:gridSpan w:val="3"/>
            <w:shd w:val="clear" w:color="auto" w:fill="CCECFF"/>
          </w:tcPr>
          <w:p>
            <w:pPr>
              <w:ind w:left="220"/>
              <w:spacing w:after="0"/>
              <w:rPr>
                <w:sz w:val="20"/>
                <w:szCs w:val="20"/>
                <w:color w:val="auto"/>
              </w:rPr>
            </w:pPr>
            <w:r>
              <w:rPr>
                <w:rFonts w:ascii="Arial" w:cs="Arial" w:eastAsia="Arial" w:hAnsi="Arial"/>
                <w:sz w:val="14"/>
                <w:szCs w:val="14"/>
                <w:color w:val="auto"/>
              </w:rPr>
              <w:t>September 1, 2026</w:t>
            </w:r>
          </w:p>
        </w:tc>
        <w:tc>
          <w:tcPr>
            <w:tcW w:w="2060" w:type="dxa"/>
            <w:vAlign w:val="bottom"/>
            <w:shd w:val="clear" w:color="auto" w:fill="CCECFF"/>
          </w:tcPr>
          <w:p>
            <w:pPr>
              <w:jc w:val="right"/>
              <w:spacing w:after="0"/>
              <w:rPr>
                <w:sz w:val="20"/>
                <w:szCs w:val="20"/>
                <w:color w:val="auto"/>
              </w:rPr>
            </w:pPr>
            <w:r>
              <w:rPr>
                <w:rFonts w:ascii="Arial" w:cs="Arial" w:eastAsia="Arial" w:hAnsi="Arial"/>
                <w:sz w:val="14"/>
                <w:szCs w:val="14"/>
                <w:color w:val="auto"/>
              </w:rPr>
              <w:t>2.41</w:t>
            </w:r>
          </w:p>
        </w:tc>
        <w:tc>
          <w:tcPr>
            <w:tcW w:w="560" w:type="dxa"/>
            <w:vAlign w:val="bottom"/>
            <w:shd w:val="clear" w:color="auto" w:fill="CCECFF"/>
          </w:tcPr>
          <w:p>
            <w:pPr>
              <w:spacing w:after="0"/>
              <w:rPr>
                <w:sz w:val="14"/>
                <w:szCs w:val="14"/>
                <w:color w:val="auto"/>
              </w:rPr>
            </w:pPr>
          </w:p>
        </w:tc>
        <w:tc>
          <w:tcPr>
            <w:tcW w:w="340" w:type="dxa"/>
            <w:vAlign w:val="bottom"/>
            <w:shd w:val="clear" w:color="auto" w:fill="CCECFF"/>
          </w:tcPr>
          <w:p>
            <w:pPr>
              <w:spacing w:after="0"/>
              <w:rPr>
                <w:sz w:val="14"/>
                <w:szCs w:val="14"/>
                <w:color w:val="auto"/>
              </w:rPr>
            </w:pPr>
          </w:p>
        </w:tc>
        <w:tc>
          <w:tcPr>
            <w:tcW w:w="1960" w:type="dxa"/>
            <w:vAlign w:val="bottom"/>
            <w:shd w:val="clear" w:color="auto" w:fill="CCECFF"/>
          </w:tcPr>
          <w:p>
            <w:pPr>
              <w:jc w:val="right"/>
              <w:spacing w:after="0"/>
              <w:rPr>
                <w:sz w:val="20"/>
                <w:szCs w:val="20"/>
                <w:color w:val="auto"/>
              </w:rPr>
            </w:pPr>
            <w:r>
              <w:rPr>
                <w:rFonts w:ascii="Arial" w:cs="Arial" w:eastAsia="Arial" w:hAnsi="Arial"/>
                <w:sz w:val="14"/>
                <w:szCs w:val="14"/>
                <w:color w:val="auto"/>
              </w:rPr>
              <w:t>25,000,000</w:t>
            </w:r>
          </w:p>
        </w:tc>
        <w:tc>
          <w:tcPr>
            <w:tcW w:w="120" w:type="dxa"/>
            <w:vAlign w:val="bottom"/>
            <w:shd w:val="clear" w:color="auto" w:fill="CCECFF"/>
          </w:tcPr>
          <w:p>
            <w:pPr>
              <w:spacing w:after="0"/>
              <w:rPr>
                <w:sz w:val="14"/>
                <w:szCs w:val="14"/>
                <w:color w:val="auto"/>
              </w:rPr>
            </w:pPr>
          </w:p>
        </w:tc>
      </w:tr>
      <w:tr>
        <w:trPr>
          <w:trHeight w:val="162"/>
        </w:trPr>
        <w:tc>
          <w:tcPr>
            <w:tcW w:w="3580" w:type="dxa"/>
            <w:vAlign w:val="bottom"/>
            <w:tcBorders>
              <w:bottom w:val="single" w:sz="8" w:color="CCECFF"/>
            </w:tcBorders>
          </w:tcPr>
          <w:p>
            <w:pPr>
              <w:spacing w:after="0"/>
              <w:rPr>
                <w:sz w:val="20"/>
                <w:szCs w:val="20"/>
                <w:color w:val="auto"/>
              </w:rPr>
            </w:pPr>
            <w:r>
              <w:rPr>
                <w:rFonts w:ascii="Arial" w:cs="Arial" w:eastAsia="Arial" w:hAnsi="Arial"/>
                <w:sz w:val="14"/>
                <w:szCs w:val="14"/>
                <w:color w:val="auto"/>
              </w:rPr>
              <w:t xml:space="preserve">September 20, 2017 </w:t>
            </w:r>
            <w:r>
              <w:rPr>
                <w:rFonts w:ascii="Arial" w:cs="Arial" w:eastAsia="Arial" w:hAnsi="Arial"/>
                <w:sz w:val="12"/>
                <w:szCs w:val="12"/>
                <w:color w:val="auto"/>
              </w:rPr>
              <w:t>(3)</w:t>
            </w:r>
          </w:p>
        </w:tc>
        <w:tc>
          <w:tcPr>
            <w:tcW w:w="2620" w:type="dxa"/>
            <w:vAlign w:val="bottom"/>
            <w:tcBorders>
              <w:bottom w:val="single" w:sz="8" w:color="CCECFF"/>
            </w:tcBorders>
            <w:gridSpan w:val="3"/>
          </w:tcPr>
          <w:p>
            <w:pPr>
              <w:ind w:left="220"/>
              <w:spacing w:after="0"/>
              <w:rPr>
                <w:sz w:val="20"/>
                <w:szCs w:val="20"/>
                <w:color w:val="auto"/>
              </w:rPr>
            </w:pPr>
            <w:r>
              <w:rPr>
                <w:rFonts w:ascii="Arial" w:cs="Arial" w:eastAsia="Arial" w:hAnsi="Arial"/>
                <w:sz w:val="14"/>
                <w:szCs w:val="14"/>
                <w:color w:val="auto"/>
              </w:rPr>
              <w:t>September 1, 2027</w:t>
            </w:r>
          </w:p>
        </w:tc>
        <w:tc>
          <w:tcPr>
            <w:tcW w:w="20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1.91</w:t>
            </w:r>
          </w:p>
        </w:tc>
        <w:tc>
          <w:tcPr>
            <w:tcW w:w="560" w:type="dxa"/>
            <w:vAlign w:val="bottom"/>
            <w:tcBorders>
              <w:bottom w:val="single" w:sz="8" w:color="CCECFF"/>
            </w:tcBorders>
          </w:tcPr>
          <w:p>
            <w:pPr>
              <w:ind w:left="100"/>
              <w:spacing w:after="0"/>
              <w:rPr>
                <w:sz w:val="20"/>
                <w:szCs w:val="20"/>
                <w:color w:val="auto"/>
              </w:rPr>
            </w:pPr>
            <w:r>
              <w:rPr>
                <w:rFonts w:ascii="Arial" w:cs="Arial" w:eastAsia="Arial" w:hAnsi="Arial"/>
                <w:sz w:val="12"/>
                <w:szCs w:val="12"/>
                <w:color w:val="auto"/>
              </w:rPr>
              <w:t>(4)</w:t>
            </w:r>
          </w:p>
        </w:tc>
        <w:tc>
          <w:tcPr>
            <w:tcW w:w="340" w:type="dxa"/>
            <w:vAlign w:val="bottom"/>
            <w:tcBorders>
              <w:bottom w:val="single" w:sz="8" w:color="auto"/>
            </w:tcBorders>
          </w:tcPr>
          <w:p>
            <w:pPr>
              <w:spacing w:after="0"/>
              <w:rPr>
                <w:sz w:val="14"/>
                <w:szCs w:val="14"/>
                <w:color w:val="auto"/>
              </w:rPr>
            </w:pPr>
          </w:p>
        </w:tc>
        <w:tc>
          <w:tcPr>
            <w:tcW w:w="19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27,500,000</w:t>
            </w:r>
          </w:p>
        </w:tc>
        <w:tc>
          <w:tcPr>
            <w:tcW w:w="120" w:type="dxa"/>
            <w:vAlign w:val="bottom"/>
            <w:tcBorders>
              <w:bottom w:val="single" w:sz="8" w:color="CCECFF"/>
            </w:tcBorders>
          </w:tcPr>
          <w:p>
            <w:pPr>
              <w:spacing w:after="0"/>
              <w:rPr>
                <w:sz w:val="14"/>
                <w:szCs w:val="14"/>
                <w:color w:val="auto"/>
              </w:rPr>
            </w:pPr>
          </w:p>
        </w:tc>
      </w:tr>
      <w:tr>
        <w:trPr>
          <w:trHeight w:val="155"/>
        </w:trPr>
        <w:tc>
          <w:tcPr>
            <w:tcW w:w="3580" w:type="dxa"/>
            <w:vAlign w:val="bottom"/>
            <w:tcBorders>
              <w:bottom w:val="single" w:sz="8" w:color="CCECFF"/>
            </w:tcBorders>
            <w:shd w:val="clear" w:color="auto" w:fill="CCECFF"/>
          </w:tcPr>
          <w:p>
            <w:pPr>
              <w:spacing w:after="0" w:line="155" w:lineRule="exact"/>
              <w:rPr>
                <w:sz w:val="20"/>
                <w:szCs w:val="20"/>
                <w:color w:val="auto"/>
              </w:rPr>
            </w:pPr>
            <w:r>
              <w:rPr>
                <w:rFonts w:ascii="Arial" w:cs="Arial" w:eastAsia="Arial" w:hAnsi="Arial"/>
                <w:sz w:val="14"/>
                <w:szCs w:val="14"/>
                <w:color w:val="auto"/>
              </w:rPr>
              <w:t>Weighted Average Rate / Total</w:t>
            </w:r>
          </w:p>
        </w:tc>
        <w:tc>
          <w:tcPr>
            <w:tcW w:w="220" w:type="dxa"/>
            <w:vAlign w:val="bottom"/>
            <w:tcBorders>
              <w:bottom w:val="single" w:sz="8" w:color="CCECFF"/>
            </w:tcBorders>
            <w:shd w:val="clear" w:color="auto" w:fill="CCECFF"/>
          </w:tcPr>
          <w:p>
            <w:pPr>
              <w:spacing w:after="0"/>
              <w:rPr>
                <w:sz w:val="13"/>
                <w:szCs w:val="13"/>
                <w:color w:val="auto"/>
              </w:rPr>
            </w:pPr>
          </w:p>
        </w:tc>
        <w:tc>
          <w:tcPr>
            <w:tcW w:w="2180" w:type="dxa"/>
            <w:vAlign w:val="bottom"/>
            <w:tcBorders>
              <w:bottom w:val="single" w:sz="8" w:color="CCECFF"/>
            </w:tcBorders>
            <w:shd w:val="clear" w:color="auto" w:fill="CCECFF"/>
          </w:tcPr>
          <w:p>
            <w:pPr>
              <w:spacing w:after="0"/>
              <w:rPr>
                <w:sz w:val="13"/>
                <w:szCs w:val="13"/>
                <w:color w:val="auto"/>
              </w:rPr>
            </w:pPr>
          </w:p>
        </w:tc>
        <w:tc>
          <w:tcPr>
            <w:tcW w:w="220" w:type="dxa"/>
            <w:vAlign w:val="bottom"/>
            <w:tcBorders>
              <w:bottom w:val="single" w:sz="8" w:color="CCECFF"/>
            </w:tcBorders>
            <w:shd w:val="clear" w:color="auto" w:fill="CCECFF"/>
          </w:tcPr>
          <w:p>
            <w:pPr>
              <w:spacing w:after="0"/>
              <w:rPr>
                <w:sz w:val="13"/>
                <w:szCs w:val="13"/>
                <w:color w:val="auto"/>
              </w:rPr>
            </w:pPr>
          </w:p>
        </w:tc>
        <w:tc>
          <w:tcPr>
            <w:tcW w:w="2060" w:type="dxa"/>
            <w:vAlign w:val="bottom"/>
            <w:tcBorders>
              <w:bottom w:val="single" w:sz="8" w:color="auto"/>
            </w:tcBorders>
            <w:shd w:val="clear" w:color="auto" w:fill="CCECFF"/>
          </w:tcPr>
          <w:p>
            <w:pPr>
              <w:jc w:val="right"/>
              <w:spacing w:after="0" w:line="155" w:lineRule="exact"/>
              <w:rPr>
                <w:sz w:val="20"/>
                <w:szCs w:val="20"/>
                <w:color w:val="auto"/>
              </w:rPr>
            </w:pPr>
            <w:r>
              <w:rPr>
                <w:rFonts w:ascii="Arial" w:cs="Arial" w:eastAsia="Arial" w:hAnsi="Arial"/>
                <w:sz w:val="14"/>
                <w:szCs w:val="14"/>
                <w:color w:val="auto"/>
              </w:rPr>
              <w:t>3.25</w:t>
            </w:r>
          </w:p>
        </w:tc>
        <w:tc>
          <w:tcPr>
            <w:tcW w:w="560" w:type="dxa"/>
            <w:vAlign w:val="bottom"/>
            <w:tcBorders>
              <w:bottom w:val="single" w:sz="8" w:color="CCECFF"/>
            </w:tcBorders>
            <w:shd w:val="clear" w:color="auto" w:fill="CCECFF"/>
          </w:tcPr>
          <w:p>
            <w:pPr>
              <w:ind w:left="100"/>
              <w:spacing w:after="0" w:line="155" w:lineRule="exact"/>
              <w:rPr>
                <w:sz w:val="20"/>
                <w:szCs w:val="20"/>
                <w:color w:val="auto"/>
              </w:rPr>
            </w:pPr>
            <w:r>
              <w:rPr>
                <w:rFonts w:ascii="Arial" w:cs="Arial" w:eastAsia="Arial" w:hAnsi="Arial"/>
                <w:sz w:val="14"/>
                <w:szCs w:val="14"/>
                <w:color w:val="auto"/>
              </w:rPr>
              <w:t>%</w:t>
            </w:r>
          </w:p>
        </w:tc>
        <w:tc>
          <w:tcPr>
            <w:tcW w:w="340" w:type="dxa"/>
            <w:vAlign w:val="bottom"/>
            <w:tcBorders>
              <w:bottom w:val="single" w:sz="8" w:color="auto"/>
            </w:tcBorders>
            <w:shd w:val="clear" w:color="auto" w:fill="CCECFF"/>
          </w:tcPr>
          <w:p>
            <w:pPr>
              <w:jc w:val="right"/>
              <w:ind w:right="188"/>
              <w:spacing w:after="0" w:line="155" w:lineRule="exact"/>
              <w:rPr>
                <w:sz w:val="20"/>
                <w:szCs w:val="20"/>
                <w:color w:val="auto"/>
              </w:rPr>
            </w:pPr>
            <w:r>
              <w:rPr>
                <w:rFonts w:ascii="Arial" w:cs="Arial" w:eastAsia="Arial" w:hAnsi="Arial"/>
                <w:sz w:val="14"/>
                <w:szCs w:val="14"/>
                <w:color w:val="auto"/>
                <w:w w:val="76"/>
              </w:rPr>
              <w:t>$</w:t>
            </w:r>
          </w:p>
        </w:tc>
        <w:tc>
          <w:tcPr>
            <w:tcW w:w="1960" w:type="dxa"/>
            <w:vAlign w:val="bottom"/>
            <w:tcBorders>
              <w:bottom w:val="single" w:sz="8" w:color="auto"/>
            </w:tcBorders>
            <w:shd w:val="clear" w:color="auto" w:fill="CCECFF"/>
          </w:tcPr>
          <w:p>
            <w:pPr>
              <w:jc w:val="right"/>
              <w:spacing w:after="0" w:line="155" w:lineRule="exact"/>
              <w:rPr>
                <w:sz w:val="20"/>
                <w:szCs w:val="20"/>
                <w:color w:val="auto"/>
              </w:rPr>
            </w:pPr>
            <w:r>
              <w:rPr>
                <w:rFonts w:ascii="Arial" w:cs="Arial" w:eastAsia="Arial" w:hAnsi="Arial"/>
                <w:sz w:val="14"/>
                <w:szCs w:val="14"/>
                <w:color w:val="auto"/>
              </w:rPr>
              <w:t>225,000,000</w:t>
            </w:r>
          </w:p>
        </w:tc>
        <w:tc>
          <w:tcPr>
            <w:tcW w:w="120" w:type="dxa"/>
            <w:vAlign w:val="bottom"/>
            <w:tcBorders>
              <w:bottom w:val="single" w:sz="8" w:color="CCECFF"/>
            </w:tcBorders>
            <w:shd w:val="clear" w:color="auto" w:fill="CCECFF"/>
          </w:tcPr>
          <w:p>
            <w:pPr>
              <w:spacing w:after="0"/>
              <w:rPr>
                <w:sz w:val="13"/>
                <w:szCs w:val="13"/>
                <w:color w:val="auto"/>
              </w:rPr>
            </w:pPr>
          </w:p>
        </w:tc>
      </w:tr>
      <w:tr>
        <w:trPr>
          <w:trHeight w:val="20"/>
        </w:trPr>
        <w:tc>
          <w:tcPr>
            <w:tcW w:w="35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1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60" w:type="dxa"/>
            <w:vAlign w:val="bottom"/>
            <w:tcBorders>
              <w:bottom w:val="single" w:sz="8" w:color="auto"/>
            </w:tcBorders>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9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bl>
    <w:p>
      <w:pPr>
        <w:spacing w:after="0" w:line="143" w:lineRule="exact"/>
        <w:rPr>
          <w:sz w:val="20"/>
          <w:szCs w:val="20"/>
          <w:color w:val="auto"/>
        </w:rPr>
      </w:pPr>
    </w:p>
    <w:p>
      <w:pPr>
        <w:ind w:left="380" w:hanging="372"/>
        <w:spacing w:after="0"/>
        <w:tabs>
          <w:tab w:leader="none" w:pos="380" w:val="left"/>
        </w:tabs>
        <w:numPr>
          <w:ilvl w:val="0"/>
          <w:numId w:val="23"/>
        </w:numPr>
        <w:rPr>
          <w:rFonts w:ascii="Arial" w:cs="Arial" w:eastAsia="Arial" w:hAnsi="Arial"/>
          <w:sz w:val="12"/>
          <w:szCs w:val="12"/>
          <w:color w:val="auto"/>
        </w:rPr>
      </w:pPr>
      <w:r>
        <w:rPr>
          <w:rFonts w:ascii="Arial" w:cs="Arial" w:eastAsia="Arial" w:hAnsi="Arial"/>
          <w:sz w:val="14"/>
          <w:szCs w:val="14"/>
          <w:color w:val="auto"/>
        </w:rPr>
        <w:t>Excludes 3.43% of upfront fees.</w:t>
      </w:r>
    </w:p>
    <w:p>
      <w:pPr>
        <w:ind w:left="380" w:hanging="372"/>
        <w:spacing w:after="0" w:line="221" w:lineRule="auto"/>
        <w:tabs>
          <w:tab w:leader="none" w:pos="380" w:val="left"/>
        </w:tabs>
        <w:numPr>
          <w:ilvl w:val="0"/>
          <w:numId w:val="23"/>
        </w:numPr>
        <w:rPr>
          <w:rFonts w:ascii="Arial" w:cs="Arial" w:eastAsia="Arial" w:hAnsi="Arial"/>
          <w:sz w:val="12"/>
          <w:szCs w:val="12"/>
          <w:color w:val="auto"/>
        </w:rPr>
      </w:pPr>
      <w:r>
        <w:rPr>
          <w:rFonts w:ascii="Arial" w:cs="Arial" w:eastAsia="Arial" w:hAnsi="Arial"/>
          <w:sz w:val="14"/>
          <w:szCs w:val="14"/>
          <w:color w:val="auto"/>
        </w:rPr>
        <w:t>As of September 30, 2016, the fixed all-in coupon rate was 3.44%.</w:t>
      </w:r>
    </w:p>
    <w:p>
      <w:pPr>
        <w:ind w:left="380" w:hanging="372"/>
        <w:spacing w:after="0" w:line="221" w:lineRule="auto"/>
        <w:tabs>
          <w:tab w:leader="none" w:pos="380" w:val="left"/>
        </w:tabs>
        <w:numPr>
          <w:ilvl w:val="0"/>
          <w:numId w:val="23"/>
        </w:numPr>
        <w:rPr>
          <w:rFonts w:ascii="Arial" w:cs="Arial" w:eastAsia="Arial" w:hAnsi="Arial"/>
          <w:sz w:val="12"/>
          <w:szCs w:val="12"/>
          <w:color w:val="auto"/>
        </w:rPr>
      </w:pPr>
      <w:r>
        <w:rPr>
          <w:rFonts w:ascii="Arial" w:cs="Arial" w:eastAsia="Arial" w:hAnsi="Arial"/>
          <w:sz w:val="14"/>
          <w:szCs w:val="14"/>
          <w:color w:val="auto"/>
        </w:rPr>
        <w:t>Represents expected next pooling date and maturity date.</w:t>
      </w:r>
    </w:p>
    <w:p>
      <w:pPr>
        <w:ind w:left="380" w:hanging="372"/>
        <w:spacing w:after="0"/>
        <w:tabs>
          <w:tab w:leader="none" w:pos="380" w:val="left"/>
        </w:tabs>
        <w:numPr>
          <w:ilvl w:val="0"/>
          <w:numId w:val="23"/>
        </w:numPr>
        <w:rPr>
          <w:rFonts w:ascii="Arial" w:cs="Arial" w:eastAsia="Arial" w:hAnsi="Arial"/>
          <w:sz w:val="12"/>
          <w:szCs w:val="12"/>
          <w:color w:val="auto"/>
        </w:rPr>
      </w:pPr>
      <w:r>
        <w:rPr>
          <w:rFonts w:ascii="Arial" w:cs="Arial" w:eastAsia="Arial" w:hAnsi="Arial"/>
          <w:sz w:val="14"/>
          <w:szCs w:val="14"/>
          <w:color w:val="auto"/>
        </w:rPr>
        <w:t>Represents a temporary financing that will reset to a market-driven rate in September 2017 and remain fixed thereafter for ten years.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-388620</wp:posOffset>
            </wp:positionV>
            <wp:extent cx="1345565" cy="825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1345565" cy="8255"/>
                    </a:xfrm>
                    <a:prstGeom prst="rect">
                      <a:avLst/>
                    </a:prstGeom>
                    <a:noFill/>
                  </pic:spPr>
                </pic:pic>
              </a:graphicData>
            </a:graphic>
          </wp:anchor>
        </w:drawing>
      </w:r>
    </w:p>
    <w:p>
      <w:pPr>
        <w:spacing w:after="0" w:line="200" w:lineRule="exact"/>
        <w:rPr>
          <w:sz w:val="20"/>
          <w:szCs w:val="20"/>
          <w:color w:val="auto"/>
        </w:rPr>
      </w:pPr>
    </w:p>
    <w:p>
      <w:pPr>
        <w:spacing w:after="0" w:line="255"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72390</wp:posOffset>
            </wp:positionV>
            <wp:extent cx="7149465" cy="1714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31" w:name="page32"/>
    <w:bookmarkEnd w:id="31"/>
    <w:p>
      <w:pPr>
        <w:ind w:right="220" w:firstLine="434"/>
        <w:spacing w:after="0" w:line="231" w:lineRule="auto"/>
        <w:rPr>
          <w:sz w:val="20"/>
          <w:szCs w:val="20"/>
          <w:color w:val="auto"/>
        </w:rPr>
      </w:pPr>
      <w:r>
        <w:rPr>
          <w:rFonts w:ascii="Arial" w:cs="Arial" w:eastAsia="Arial" w:hAnsi="Arial"/>
          <w:sz w:val="14"/>
          <w:szCs w:val="14"/>
          <w:color w:val="auto"/>
        </w:rPr>
        <w:t>The SBIC program is designed to stimulate the flow of capital into eligible businesses. Under SBA regulations, our SBIC Funds are subject to regulatory requirements, including making investments in SBA eligible businesses, investing at least 25% of regulatory capital in eligible smaller businesses, as defined under the 1958 Act, placing certain limitations on the financing terms of investments, prohibiting investment in certain industries and requiring capitalization thresholds that limit distributions to us, and are subject to periodic audits and examinations of their financial statements that are prepared on a basis of accounting other than GAAP (for example, fair value, as defined under ASC 820, is not required to be used for assets or liabilities for such compliance reporting). As of June 30, 2017, our SBIC Funds were in compliance with their regulatory requirements.</w:t>
      </w:r>
    </w:p>
    <w:p>
      <w:pPr>
        <w:spacing w:after="0" w:line="116" w:lineRule="exact"/>
        <w:rPr>
          <w:sz w:val="20"/>
          <w:szCs w:val="20"/>
          <w:color w:val="auto"/>
        </w:rPr>
      </w:pPr>
    </w:p>
    <w:p>
      <w:pPr>
        <w:ind w:right="100" w:firstLine="434"/>
        <w:spacing w:after="0" w:line="255" w:lineRule="auto"/>
        <w:rPr>
          <w:sz w:val="20"/>
          <w:szCs w:val="20"/>
          <w:color w:val="auto"/>
        </w:rPr>
      </w:pPr>
      <w:r>
        <w:rPr>
          <w:rFonts w:ascii="Arial" w:cs="Arial" w:eastAsia="Arial" w:hAnsi="Arial"/>
          <w:sz w:val="13"/>
          <w:szCs w:val="13"/>
          <w:color w:val="auto"/>
        </w:rPr>
        <w:t>In accordance with the 1940 Act, with certain limited exceptions, PennantPark Investment is only allowed to borrow amounts such that our asset coverage ratio is met after such borrowing. As of June 30, 2017 and September 30, 2016, we excluded the principal amounts of our SBA debentures from our asset coverage ratio pursuant to SEC exemptive relief. In 2011, we received exemptive relief from the SEC allowing us to modify the asset coverage ratio requirement to exclude the SBA debentures from the calculation. Accordingly, our ratio of total assets on a consolidated basis to outstanding indebtedness may be less than 200% which, while providing increased investment flexibility, also increases our exposure to risks associated with leverage.</w:t>
      </w:r>
    </w:p>
    <w:p>
      <w:pPr>
        <w:spacing w:after="0" w:line="107" w:lineRule="exact"/>
        <w:rPr>
          <w:sz w:val="20"/>
          <w:szCs w:val="20"/>
          <w:color w:val="auto"/>
        </w:rPr>
      </w:pPr>
    </w:p>
    <w:p>
      <w:pPr>
        <w:ind w:right="400" w:firstLine="434"/>
        <w:spacing w:after="0" w:line="253" w:lineRule="auto"/>
        <w:rPr>
          <w:sz w:val="20"/>
          <w:szCs w:val="20"/>
          <w:color w:val="auto"/>
        </w:rPr>
      </w:pPr>
      <w:r>
        <w:rPr>
          <w:rFonts w:ascii="Arial" w:cs="Arial" w:eastAsia="Arial" w:hAnsi="Arial"/>
          <w:sz w:val="14"/>
          <w:szCs w:val="14"/>
          <w:color w:val="auto"/>
        </w:rPr>
        <w:t>At June 30, 2017 and September 30, 2016, we had cash and cash equivalents of $103.2 million and $75.6 million, respectively, available for investing and general corporate purposes. We believe our liquidity and capital resources are sufficient to take advantage of market opportunities.</w:t>
      </w:r>
    </w:p>
    <w:p>
      <w:pPr>
        <w:spacing w:after="0" w:line="106" w:lineRule="exact"/>
        <w:rPr>
          <w:sz w:val="20"/>
          <w:szCs w:val="20"/>
          <w:color w:val="auto"/>
        </w:rPr>
      </w:pPr>
    </w:p>
    <w:p>
      <w:pPr>
        <w:ind w:right="360" w:firstLine="434"/>
        <w:spacing w:after="0" w:line="253" w:lineRule="auto"/>
        <w:rPr>
          <w:sz w:val="20"/>
          <w:szCs w:val="20"/>
          <w:color w:val="auto"/>
        </w:rPr>
      </w:pPr>
      <w:r>
        <w:rPr>
          <w:rFonts w:ascii="Arial" w:cs="Arial" w:eastAsia="Arial" w:hAnsi="Arial"/>
          <w:sz w:val="14"/>
          <w:szCs w:val="14"/>
          <w:color w:val="auto"/>
        </w:rPr>
        <w:t>Our operating activities provided cash of $92.2 million for the nine months ended June 30, 2017, and our financing activities used cash of $65.2 million for the same period. Our operating activities provided cash from sales and repayments on our investments and our financing activities used cash primarily to redeem our 2025 Notes.</w:t>
      </w:r>
    </w:p>
    <w:p>
      <w:pPr>
        <w:spacing w:after="0" w:line="106" w:lineRule="exact"/>
        <w:rPr>
          <w:sz w:val="20"/>
          <w:szCs w:val="20"/>
          <w:color w:val="auto"/>
        </w:rPr>
      </w:pPr>
    </w:p>
    <w:p>
      <w:pPr>
        <w:ind w:right="360" w:firstLine="434"/>
        <w:spacing w:after="0" w:line="253" w:lineRule="auto"/>
        <w:rPr>
          <w:sz w:val="20"/>
          <w:szCs w:val="20"/>
          <w:color w:val="auto"/>
        </w:rPr>
      </w:pPr>
      <w:r>
        <w:rPr>
          <w:rFonts w:ascii="Arial" w:cs="Arial" w:eastAsia="Arial" w:hAnsi="Arial"/>
          <w:sz w:val="14"/>
          <w:szCs w:val="14"/>
          <w:color w:val="auto"/>
        </w:rPr>
        <w:t>Our operating activities provided cash of $34.2 million for the nine months ended June 30, 2016, and our financing activities used cash of $46.0 million for the same period. Our operating activities provided cash from sales and repayments on our investments and our financing activities used cash primarily for our stock repurchase plan.</w:t>
      </w:r>
    </w:p>
    <w:p>
      <w:pPr>
        <w:spacing w:after="0" w:line="106"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Contractual Obligations</w:t>
      </w:r>
    </w:p>
    <w:p>
      <w:pPr>
        <w:spacing w:after="0" w:line="136" w:lineRule="exact"/>
        <w:rPr>
          <w:sz w:val="20"/>
          <w:szCs w:val="20"/>
          <w:color w:val="auto"/>
        </w:rPr>
      </w:pPr>
    </w:p>
    <w:p>
      <w:pPr>
        <w:ind w:right="560" w:firstLine="434"/>
        <w:spacing w:after="0" w:line="253" w:lineRule="auto"/>
        <w:rPr>
          <w:sz w:val="20"/>
          <w:szCs w:val="20"/>
          <w:color w:val="auto"/>
        </w:rPr>
      </w:pPr>
      <w:r>
        <w:rPr>
          <w:rFonts w:ascii="Arial" w:cs="Arial" w:eastAsia="Arial" w:hAnsi="Arial"/>
          <w:sz w:val="14"/>
          <w:szCs w:val="14"/>
          <w:color w:val="auto"/>
        </w:rPr>
        <w:t>A summary of our significant contractual payment obligations at cost as of June 30, 2017, including borrowings under our various debt facilities and other contractual obligations, is as follows:</w:t>
      </w:r>
    </w:p>
    <w:p>
      <w:pPr>
        <w:spacing w:after="0" w:line="197"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380" w:type="dxa"/>
            <w:vAlign w:val="bottom"/>
          </w:tcPr>
          <w:p>
            <w:pPr>
              <w:spacing w:after="0"/>
              <w:rPr>
                <w:sz w:val="14"/>
                <w:szCs w:val="14"/>
                <w:color w:val="auto"/>
              </w:rPr>
            </w:pPr>
          </w:p>
        </w:tc>
        <w:tc>
          <w:tcPr>
            <w:tcW w:w="236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280" w:type="dxa"/>
            <w:vAlign w:val="bottom"/>
            <w:gridSpan w:val="6"/>
          </w:tcPr>
          <w:p>
            <w:pPr>
              <w:jc w:val="right"/>
              <w:spacing w:after="0"/>
              <w:rPr>
                <w:sz w:val="20"/>
                <w:szCs w:val="20"/>
                <w:color w:val="auto"/>
              </w:rPr>
            </w:pPr>
            <w:r>
              <w:rPr>
                <w:rFonts w:ascii="Arial" w:cs="Arial" w:eastAsia="Arial" w:hAnsi="Arial"/>
                <w:sz w:val="14"/>
                <w:szCs w:val="14"/>
                <w:b w:val="1"/>
                <w:bCs w:val="1"/>
                <w:color w:val="auto"/>
              </w:rPr>
              <w:t>Payments due by period (in millions)</w:t>
            </w:r>
          </w:p>
        </w:tc>
        <w:tc>
          <w:tcPr>
            <w:tcW w:w="9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120" w:type="dxa"/>
            <w:vAlign w:val="bottom"/>
          </w:tcPr>
          <w:p>
            <w:pPr>
              <w:spacing w:after="0"/>
              <w:rPr>
                <w:sz w:val="14"/>
                <w:szCs w:val="14"/>
                <w:color w:val="auto"/>
              </w:rPr>
            </w:pPr>
          </w:p>
        </w:tc>
      </w:tr>
      <w:tr>
        <w:trPr>
          <w:trHeight w:val="171"/>
        </w:trPr>
        <w:tc>
          <w:tcPr>
            <w:tcW w:w="380" w:type="dxa"/>
            <w:vAlign w:val="bottom"/>
          </w:tcPr>
          <w:p>
            <w:pPr>
              <w:spacing w:after="0"/>
              <w:rPr>
                <w:sz w:val="14"/>
                <w:szCs w:val="14"/>
                <w:color w:val="auto"/>
              </w:rPr>
            </w:pPr>
          </w:p>
        </w:tc>
        <w:tc>
          <w:tcPr>
            <w:tcW w:w="236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860" w:type="dxa"/>
            <w:vAlign w:val="bottom"/>
          </w:tcPr>
          <w:p>
            <w:pPr>
              <w:jc w:val="right"/>
              <w:ind w:right="8"/>
              <w:spacing w:after="0"/>
              <w:rPr>
                <w:sz w:val="20"/>
                <w:szCs w:val="20"/>
                <w:color w:val="auto"/>
              </w:rPr>
            </w:pPr>
            <w:r>
              <w:rPr>
                <w:rFonts w:ascii="Arial" w:cs="Arial" w:eastAsia="Arial" w:hAnsi="Arial"/>
                <w:sz w:val="14"/>
                <w:szCs w:val="14"/>
                <w:b w:val="1"/>
                <w:bCs w:val="1"/>
                <w:color w:val="auto"/>
              </w:rPr>
              <w:t>Total</w:t>
            </w:r>
          </w:p>
        </w:tc>
        <w:tc>
          <w:tcPr>
            <w:tcW w:w="4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80" w:type="dxa"/>
            <w:vAlign w:val="bottom"/>
          </w:tcPr>
          <w:p>
            <w:pPr>
              <w:jc w:val="right"/>
              <w:ind w:right="68"/>
              <w:spacing w:after="0"/>
              <w:rPr>
                <w:sz w:val="20"/>
                <w:szCs w:val="20"/>
                <w:color w:val="auto"/>
              </w:rPr>
            </w:pPr>
            <w:r>
              <w:rPr>
                <w:rFonts w:ascii="Arial" w:cs="Arial" w:eastAsia="Arial" w:hAnsi="Arial"/>
                <w:sz w:val="14"/>
                <w:szCs w:val="14"/>
                <w:b w:val="1"/>
                <w:bCs w:val="1"/>
                <w:color w:val="auto"/>
                <w:w w:val="92"/>
              </w:rPr>
              <w:t>Less than 1 year</w:t>
            </w:r>
          </w:p>
        </w:tc>
        <w:tc>
          <w:tcPr>
            <w:tcW w:w="2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60" w:type="dxa"/>
            <w:vAlign w:val="bottom"/>
          </w:tcPr>
          <w:p>
            <w:pPr>
              <w:jc w:val="right"/>
              <w:ind w:right="288"/>
              <w:spacing w:after="0"/>
              <w:rPr>
                <w:sz w:val="20"/>
                <w:szCs w:val="20"/>
                <w:color w:val="auto"/>
              </w:rPr>
            </w:pPr>
            <w:r>
              <w:rPr>
                <w:rFonts w:ascii="Arial" w:cs="Arial" w:eastAsia="Arial" w:hAnsi="Arial"/>
                <w:sz w:val="14"/>
                <w:szCs w:val="14"/>
                <w:b w:val="1"/>
                <w:bCs w:val="1"/>
                <w:color w:val="auto"/>
              </w:rPr>
              <w:t>1-3 years</w:t>
            </w:r>
          </w:p>
        </w:tc>
        <w:tc>
          <w:tcPr>
            <w:tcW w:w="2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240" w:type="dxa"/>
            <w:vAlign w:val="bottom"/>
            <w:gridSpan w:val="2"/>
          </w:tcPr>
          <w:p>
            <w:pPr>
              <w:ind w:left="60"/>
              <w:spacing w:after="0"/>
              <w:rPr>
                <w:sz w:val="20"/>
                <w:szCs w:val="20"/>
                <w:color w:val="auto"/>
              </w:rPr>
            </w:pPr>
            <w:r>
              <w:rPr>
                <w:rFonts w:ascii="Arial" w:cs="Arial" w:eastAsia="Arial" w:hAnsi="Arial"/>
                <w:sz w:val="14"/>
                <w:szCs w:val="14"/>
                <w:b w:val="1"/>
                <w:bCs w:val="1"/>
                <w:color w:val="auto"/>
              </w:rPr>
              <w:t>3-5 years</w:t>
            </w: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340" w:type="dxa"/>
            <w:vAlign w:val="bottom"/>
            <w:gridSpan w:val="2"/>
          </w:tcPr>
          <w:p>
            <w:pPr>
              <w:spacing w:after="0"/>
              <w:rPr>
                <w:sz w:val="20"/>
                <w:szCs w:val="20"/>
                <w:color w:val="auto"/>
              </w:rPr>
            </w:pPr>
            <w:r>
              <w:rPr>
                <w:rFonts w:ascii="Arial" w:cs="Arial" w:eastAsia="Arial" w:hAnsi="Arial"/>
                <w:sz w:val="14"/>
                <w:szCs w:val="14"/>
                <w:b w:val="1"/>
                <w:bCs w:val="1"/>
                <w:color w:val="auto"/>
              </w:rPr>
              <w:t>More than 5 years</w:t>
            </w:r>
          </w:p>
        </w:tc>
      </w:tr>
      <w:tr>
        <w:trPr>
          <w:trHeight w:val="155"/>
        </w:trPr>
        <w:tc>
          <w:tcPr>
            <w:tcW w:w="3680" w:type="dxa"/>
            <w:vAlign w:val="bottom"/>
            <w:tcBorders>
              <w:top w:val="single" w:sz="8" w:color="CCECFF"/>
            </w:tcBorders>
            <w:gridSpan w:val="3"/>
            <w:shd w:val="clear" w:color="auto" w:fill="CCECFF"/>
          </w:tcPr>
          <w:p>
            <w:pPr>
              <w:spacing w:after="0" w:line="155" w:lineRule="exact"/>
              <w:rPr>
                <w:sz w:val="20"/>
                <w:szCs w:val="20"/>
                <w:color w:val="auto"/>
              </w:rPr>
            </w:pPr>
            <w:r>
              <w:rPr>
                <w:rFonts w:ascii="Arial" w:cs="Arial" w:eastAsia="Arial" w:hAnsi="Arial"/>
                <w:sz w:val="14"/>
                <w:szCs w:val="14"/>
                <w:color w:val="auto"/>
              </w:rPr>
              <w:t>Credit Facility</w:t>
            </w:r>
          </w:p>
        </w:tc>
        <w:tc>
          <w:tcPr>
            <w:tcW w:w="860" w:type="dxa"/>
            <w:vAlign w:val="bottom"/>
            <w:tcBorders>
              <w:top w:val="single" w:sz="8" w:color="auto"/>
            </w:tcBorders>
            <w:shd w:val="clear" w:color="auto" w:fill="CCECFF"/>
          </w:tcPr>
          <w:p>
            <w:pPr>
              <w:jc w:val="right"/>
              <w:ind w:right="708"/>
              <w:spacing w:after="0" w:line="155" w:lineRule="exact"/>
              <w:rPr>
                <w:sz w:val="20"/>
                <w:szCs w:val="20"/>
                <w:color w:val="auto"/>
              </w:rPr>
            </w:pPr>
            <w:r>
              <w:rPr>
                <w:rFonts w:ascii="Arial" w:cs="Arial" w:eastAsia="Arial" w:hAnsi="Arial"/>
                <w:sz w:val="14"/>
                <w:szCs w:val="14"/>
                <w:color w:val="auto"/>
                <w:w w:val="76"/>
              </w:rPr>
              <w:t>$</w:t>
            </w:r>
          </w:p>
        </w:tc>
        <w:tc>
          <w:tcPr>
            <w:tcW w:w="400" w:type="dxa"/>
            <w:vAlign w:val="bottom"/>
            <w:tcBorders>
              <w:top w:val="single" w:sz="8" w:color="auto"/>
            </w:tcBorders>
            <w:shd w:val="clear" w:color="auto" w:fill="CCECFF"/>
          </w:tcPr>
          <w:p>
            <w:pPr>
              <w:jc w:val="right"/>
              <w:spacing w:after="0" w:line="155" w:lineRule="exact"/>
              <w:rPr>
                <w:sz w:val="20"/>
                <w:szCs w:val="20"/>
                <w:color w:val="auto"/>
              </w:rPr>
            </w:pPr>
            <w:r>
              <w:rPr>
                <w:rFonts w:ascii="Arial" w:cs="Arial" w:eastAsia="Arial" w:hAnsi="Arial"/>
                <w:sz w:val="14"/>
                <w:szCs w:val="14"/>
                <w:color w:val="auto"/>
              </w:rPr>
              <w:t>82.1</w:t>
            </w:r>
          </w:p>
        </w:tc>
        <w:tc>
          <w:tcPr>
            <w:tcW w:w="260" w:type="dxa"/>
            <w:vAlign w:val="bottom"/>
            <w:tcBorders>
              <w:top w:val="single" w:sz="8" w:color="CCECFF"/>
            </w:tcBorders>
            <w:shd w:val="clear" w:color="auto" w:fill="CCECFF"/>
          </w:tcPr>
          <w:p>
            <w:pPr>
              <w:spacing w:after="0"/>
              <w:rPr>
                <w:sz w:val="13"/>
                <w:szCs w:val="13"/>
                <w:color w:val="auto"/>
              </w:rPr>
            </w:pPr>
          </w:p>
        </w:tc>
        <w:tc>
          <w:tcPr>
            <w:tcW w:w="100" w:type="dxa"/>
            <w:vAlign w:val="bottom"/>
            <w:tcBorders>
              <w:top w:val="single" w:sz="8" w:color="auto"/>
            </w:tcBorders>
            <w:shd w:val="clear" w:color="auto" w:fill="CCECFF"/>
          </w:tcPr>
          <w:p>
            <w:pPr>
              <w:jc w:val="right"/>
              <w:spacing w:after="0" w:line="155" w:lineRule="exact"/>
              <w:rPr>
                <w:sz w:val="20"/>
                <w:szCs w:val="20"/>
                <w:color w:val="auto"/>
              </w:rPr>
            </w:pPr>
            <w:r>
              <w:rPr>
                <w:rFonts w:ascii="Arial" w:cs="Arial" w:eastAsia="Arial" w:hAnsi="Arial"/>
                <w:sz w:val="14"/>
                <w:szCs w:val="14"/>
                <w:color w:val="auto"/>
                <w:w w:val="76"/>
              </w:rPr>
              <w:t>$</w:t>
            </w:r>
          </w:p>
        </w:tc>
        <w:tc>
          <w:tcPr>
            <w:tcW w:w="1180" w:type="dxa"/>
            <w:vAlign w:val="bottom"/>
            <w:tcBorders>
              <w:top w:val="single" w:sz="8" w:color="auto"/>
            </w:tcBorders>
            <w:shd w:val="clear" w:color="auto" w:fill="CCECFF"/>
          </w:tcPr>
          <w:p>
            <w:pPr>
              <w:jc w:val="right"/>
              <w:spacing w:after="0" w:line="155" w:lineRule="exact"/>
              <w:rPr>
                <w:sz w:val="20"/>
                <w:szCs w:val="20"/>
                <w:color w:val="auto"/>
              </w:rPr>
            </w:pPr>
            <w:r>
              <w:rPr>
                <w:rFonts w:ascii="Arial" w:cs="Arial" w:eastAsia="Arial" w:hAnsi="Arial"/>
                <w:sz w:val="14"/>
                <w:szCs w:val="14"/>
                <w:color w:val="auto"/>
              </w:rPr>
              <w:t>—</w:t>
            </w:r>
          </w:p>
        </w:tc>
        <w:tc>
          <w:tcPr>
            <w:tcW w:w="260" w:type="dxa"/>
            <w:vAlign w:val="bottom"/>
            <w:tcBorders>
              <w:top w:val="single" w:sz="8" w:color="CCECFF"/>
            </w:tcBorders>
            <w:shd w:val="clear" w:color="auto" w:fill="CCECFF"/>
          </w:tcPr>
          <w:p>
            <w:pPr>
              <w:spacing w:after="0"/>
              <w:rPr>
                <w:sz w:val="13"/>
                <w:szCs w:val="13"/>
                <w:color w:val="auto"/>
              </w:rPr>
            </w:pPr>
          </w:p>
        </w:tc>
        <w:tc>
          <w:tcPr>
            <w:tcW w:w="220" w:type="dxa"/>
            <w:vAlign w:val="bottom"/>
            <w:tcBorders>
              <w:top w:val="single" w:sz="8" w:color="auto"/>
            </w:tcBorders>
            <w:shd w:val="clear" w:color="auto" w:fill="CCECFF"/>
          </w:tcPr>
          <w:p>
            <w:pPr>
              <w:jc w:val="right"/>
              <w:ind w:right="68"/>
              <w:spacing w:after="0" w:line="155" w:lineRule="exact"/>
              <w:rPr>
                <w:sz w:val="20"/>
                <w:szCs w:val="20"/>
                <w:color w:val="auto"/>
              </w:rPr>
            </w:pPr>
            <w:r>
              <w:rPr>
                <w:rFonts w:ascii="Arial" w:cs="Arial" w:eastAsia="Arial" w:hAnsi="Arial"/>
                <w:sz w:val="14"/>
                <w:szCs w:val="14"/>
                <w:color w:val="auto"/>
                <w:w w:val="76"/>
              </w:rPr>
              <w:t>$</w:t>
            </w:r>
          </w:p>
        </w:tc>
        <w:tc>
          <w:tcPr>
            <w:tcW w:w="1060" w:type="dxa"/>
            <w:vAlign w:val="bottom"/>
            <w:tcBorders>
              <w:top w:val="single" w:sz="8" w:color="auto"/>
            </w:tcBorders>
            <w:shd w:val="clear" w:color="auto" w:fill="CCECFF"/>
          </w:tcPr>
          <w:p>
            <w:pPr>
              <w:jc w:val="right"/>
              <w:spacing w:after="0" w:line="155" w:lineRule="exact"/>
              <w:rPr>
                <w:sz w:val="20"/>
                <w:szCs w:val="20"/>
                <w:color w:val="auto"/>
              </w:rPr>
            </w:pPr>
            <w:r>
              <w:rPr>
                <w:rFonts w:ascii="Arial" w:cs="Arial" w:eastAsia="Arial" w:hAnsi="Arial"/>
                <w:sz w:val="14"/>
                <w:szCs w:val="14"/>
                <w:color w:val="auto"/>
              </w:rPr>
              <w:t>—</w:t>
            </w:r>
          </w:p>
        </w:tc>
        <w:tc>
          <w:tcPr>
            <w:tcW w:w="260" w:type="dxa"/>
            <w:vAlign w:val="bottom"/>
            <w:tcBorders>
              <w:top w:val="single" w:sz="8" w:color="CCECFF"/>
            </w:tcBorders>
            <w:shd w:val="clear" w:color="auto" w:fill="CCECFF"/>
          </w:tcPr>
          <w:p>
            <w:pPr>
              <w:spacing w:after="0"/>
              <w:rPr>
                <w:sz w:val="13"/>
                <w:szCs w:val="13"/>
                <w:color w:val="auto"/>
              </w:rPr>
            </w:pPr>
          </w:p>
        </w:tc>
        <w:tc>
          <w:tcPr>
            <w:tcW w:w="300" w:type="dxa"/>
            <w:vAlign w:val="bottom"/>
            <w:tcBorders>
              <w:top w:val="single" w:sz="8" w:color="auto"/>
            </w:tcBorders>
            <w:shd w:val="clear" w:color="auto" w:fill="CCECFF"/>
          </w:tcPr>
          <w:p>
            <w:pPr>
              <w:jc w:val="right"/>
              <w:ind w:right="148"/>
              <w:spacing w:after="0" w:line="155" w:lineRule="exact"/>
              <w:rPr>
                <w:sz w:val="20"/>
                <w:szCs w:val="20"/>
                <w:color w:val="auto"/>
              </w:rPr>
            </w:pPr>
            <w:r>
              <w:rPr>
                <w:rFonts w:ascii="Arial" w:cs="Arial" w:eastAsia="Arial" w:hAnsi="Arial"/>
                <w:sz w:val="14"/>
                <w:szCs w:val="14"/>
                <w:color w:val="auto"/>
                <w:w w:val="76"/>
              </w:rPr>
              <w:t>$</w:t>
            </w:r>
          </w:p>
        </w:tc>
        <w:tc>
          <w:tcPr>
            <w:tcW w:w="980" w:type="dxa"/>
            <w:vAlign w:val="bottom"/>
            <w:tcBorders>
              <w:top w:val="single" w:sz="8" w:color="auto"/>
            </w:tcBorders>
            <w:shd w:val="clear" w:color="auto" w:fill="CCECFF"/>
          </w:tcPr>
          <w:p>
            <w:pPr>
              <w:jc w:val="right"/>
              <w:spacing w:after="0" w:line="155" w:lineRule="exact"/>
              <w:rPr>
                <w:sz w:val="20"/>
                <w:szCs w:val="20"/>
                <w:color w:val="auto"/>
              </w:rPr>
            </w:pPr>
            <w:r>
              <w:rPr>
                <w:rFonts w:ascii="Arial" w:cs="Arial" w:eastAsia="Arial" w:hAnsi="Arial"/>
                <w:sz w:val="14"/>
                <w:szCs w:val="14"/>
                <w:color w:val="auto"/>
              </w:rPr>
              <w:t>82.1</w:t>
            </w:r>
          </w:p>
        </w:tc>
        <w:tc>
          <w:tcPr>
            <w:tcW w:w="260" w:type="dxa"/>
            <w:vAlign w:val="bottom"/>
            <w:tcBorders>
              <w:top w:val="single" w:sz="8" w:color="CCECFF"/>
            </w:tcBorders>
            <w:shd w:val="clear" w:color="auto" w:fill="CCECFF"/>
          </w:tcPr>
          <w:p>
            <w:pPr>
              <w:spacing w:after="0"/>
              <w:rPr>
                <w:sz w:val="13"/>
                <w:szCs w:val="13"/>
                <w:color w:val="auto"/>
              </w:rPr>
            </w:pPr>
          </w:p>
        </w:tc>
        <w:tc>
          <w:tcPr>
            <w:tcW w:w="20" w:type="dxa"/>
            <w:vAlign w:val="bottom"/>
            <w:tcBorders>
              <w:top w:val="single" w:sz="8" w:color="CCECFF"/>
            </w:tcBorders>
            <w:shd w:val="clear" w:color="auto" w:fill="CCECFF"/>
          </w:tcPr>
          <w:p>
            <w:pPr>
              <w:spacing w:after="0"/>
              <w:rPr>
                <w:sz w:val="13"/>
                <w:szCs w:val="13"/>
                <w:color w:val="auto"/>
              </w:rPr>
            </w:pPr>
          </w:p>
        </w:tc>
        <w:tc>
          <w:tcPr>
            <w:tcW w:w="60" w:type="dxa"/>
            <w:vAlign w:val="bottom"/>
            <w:tcBorders>
              <w:top w:val="single" w:sz="8" w:color="auto"/>
            </w:tcBorders>
            <w:shd w:val="clear" w:color="auto" w:fill="CCECFF"/>
          </w:tcPr>
          <w:p>
            <w:pPr>
              <w:jc w:val="right"/>
              <w:spacing w:after="0"/>
              <w:rPr>
                <w:sz w:val="20"/>
                <w:szCs w:val="20"/>
                <w:color w:val="auto"/>
              </w:rPr>
            </w:pPr>
            <w:r>
              <w:rPr>
                <w:rFonts w:ascii="Arial" w:cs="Arial" w:eastAsia="Arial" w:hAnsi="Arial"/>
                <w:sz w:val="10"/>
                <w:szCs w:val="10"/>
                <w:color w:val="auto"/>
                <w:w w:val="71"/>
              </w:rPr>
              <w:t>$</w:t>
            </w:r>
          </w:p>
        </w:tc>
        <w:tc>
          <w:tcPr>
            <w:tcW w:w="1220" w:type="dxa"/>
            <w:vAlign w:val="bottom"/>
            <w:tcBorders>
              <w:top w:val="single" w:sz="8" w:color="auto"/>
            </w:tcBorders>
            <w:shd w:val="clear" w:color="auto" w:fill="CCECFF"/>
          </w:tcPr>
          <w:p>
            <w:pPr>
              <w:jc w:val="right"/>
              <w:spacing w:after="0" w:line="155" w:lineRule="exact"/>
              <w:rPr>
                <w:sz w:val="20"/>
                <w:szCs w:val="20"/>
                <w:color w:val="auto"/>
              </w:rPr>
            </w:pPr>
            <w:r>
              <w:rPr>
                <w:rFonts w:ascii="Arial" w:cs="Arial" w:eastAsia="Arial" w:hAnsi="Arial"/>
                <w:sz w:val="14"/>
                <w:szCs w:val="14"/>
                <w:color w:val="auto"/>
              </w:rPr>
              <w:t>—</w:t>
            </w:r>
          </w:p>
        </w:tc>
        <w:tc>
          <w:tcPr>
            <w:tcW w:w="120" w:type="dxa"/>
            <w:vAlign w:val="bottom"/>
            <w:tcBorders>
              <w:top w:val="single" w:sz="8" w:color="CCECFF"/>
            </w:tcBorders>
            <w:shd w:val="clear" w:color="auto" w:fill="CCECFF"/>
          </w:tcPr>
          <w:p>
            <w:pPr>
              <w:spacing w:after="0"/>
              <w:rPr>
                <w:sz w:val="13"/>
                <w:szCs w:val="13"/>
                <w:color w:val="auto"/>
              </w:rPr>
            </w:pPr>
          </w:p>
        </w:tc>
      </w:tr>
      <w:tr>
        <w:trPr>
          <w:trHeight w:val="162"/>
        </w:trPr>
        <w:tc>
          <w:tcPr>
            <w:tcW w:w="3680" w:type="dxa"/>
            <w:vAlign w:val="bottom"/>
            <w:gridSpan w:val="3"/>
          </w:tcPr>
          <w:p>
            <w:pPr>
              <w:spacing w:after="0"/>
              <w:rPr>
                <w:sz w:val="20"/>
                <w:szCs w:val="20"/>
                <w:color w:val="auto"/>
              </w:rPr>
            </w:pPr>
            <w:r>
              <w:rPr>
                <w:rFonts w:ascii="Arial" w:cs="Arial" w:eastAsia="Arial" w:hAnsi="Arial"/>
                <w:sz w:val="14"/>
                <w:szCs w:val="14"/>
                <w:color w:val="auto"/>
              </w:rPr>
              <w:t>SBA debentures</w:t>
            </w:r>
          </w:p>
        </w:tc>
        <w:tc>
          <w:tcPr>
            <w:tcW w:w="860" w:type="dxa"/>
            <w:vAlign w:val="bottom"/>
          </w:tcPr>
          <w:p>
            <w:pPr>
              <w:spacing w:after="0"/>
              <w:rPr>
                <w:sz w:val="14"/>
                <w:szCs w:val="14"/>
                <w:color w:val="auto"/>
              </w:rPr>
            </w:pPr>
          </w:p>
        </w:tc>
        <w:tc>
          <w:tcPr>
            <w:tcW w:w="400" w:type="dxa"/>
            <w:vAlign w:val="bottom"/>
          </w:tcPr>
          <w:p>
            <w:pPr>
              <w:jc w:val="right"/>
              <w:spacing w:after="0"/>
              <w:rPr>
                <w:sz w:val="20"/>
                <w:szCs w:val="20"/>
                <w:color w:val="auto"/>
              </w:rPr>
            </w:pPr>
            <w:r>
              <w:rPr>
                <w:rFonts w:ascii="Arial" w:cs="Arial" w:eastAsia="Arial" w:hAnsi="Arial"/>
                <w:sz w:val="14"/>
                <w:szCs w:val="14"/>
                <w:color w:val="auto"/>
              </w:rPr>
              <w:t>225.0</w:t>
            </w:r>
          </w:p>
        </w:tc>
        <w:tc>
          <w:tcPr>
            <w:tcW w:w="2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80" w:type="dxa"/>
            <w:vAlign w:val="bottom"/>
          </w:tcPr>
          <w:p>
            <w:pPr>
              <w:jc w:val="right"/>
              <w:spacing w:after="0"/>
              <w:rPr>
                <w:sz w:val="20"/>
                <w:szCs w:val="20"/>
                <w:color w:val="auto"/>
              </w:rPr>
            </w:pPr>
            <w:r>
              <w:rPr>
                <w:rFonts w:ascii="Arial" w:cs="Arial" w:eastAsia="Arial" w:hAnsi="Arial"/>
                <w:sz w:val="14"/>
                <w:szCs w:val="14"/>
                <w:color w:val="auto"/>
              </w:rPr>
              <w:t>—</w:t>
            </w:r>
          </w:p>
        </w:tc>
        <w:tc>
          <w:tcPr>
            <w:tcW w:w="2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60" w:type="dxa"/>
            <w:vAlign w:val="bottom"/>
          </w:tcPr>
          <w:p>
            <w:pPr>
              <w:jc w:val="right"/>
              <w:spacing w:after="0"/>
              <w:rPr>
                <w:sz w:val="20"/>
                <w:szCs w:val="20"/>
                <w:color w:val="auto"/>
              </w:rPr>
            </w:pPr>
            <w:r>
              <w:rPr>
                <w:rFonts w:ascii="Arial" w:cs="Arial" w:eastAsia="Arial" w:hAnsi="Arial"/>
                <w:sz w:val="14"/>
                <w:szCs w:val="14"/>
                <w:color w:val="auto"/>
              </w:rPr>
              <w:t>—</w:t>
            </w:r>
          </w:p>
        </w:tc>
        <w:tc>
          <w:tcPr>
            <w:tcW w:w="2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980" w:type="dxa"/>
            <w:vAlign w:val="bottom"/>
          </w:tcPr>
          <w:p>
            <w:pPr>
              <w:jc w:val="right"/>
              <w:spacing w:after="0"/>
              <w:rPr>
                <w:sz w:val="20"/>
                <w:szCs w:val="20"/>
                <w:color w:val="auto"/>
              </w:rPr>
            </w:pPr>
            <w:r>
              <w:rPr>
                <w:rFonts w:ascii="Arial" w:cs="Arial" w:eastAsia="Arial" w:hAnsi="Arial"/>
                <w:sz w:val="14"/>
                <w:szCs w:val="14"/>
                <w:color w:val="auto"/>
              </w:rPr>
              <w:t>150.0</w:t>
            </w:r>
          </w:p>
        </w:tc>
        <w:tc>
          <w:tcPr>
            <w:tcW w:w="2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220" w:type="dxa"/>
            <w:vAlign w:val="bottom"/>
          </w:tcPr>
          <w:p>
            <w:pPr>
              <w:jc w:val="right"/>
              <w:spacing w:after="0"/>
              <w:rPr>
                <w:sz w:val="20"/>
                <w:szCs w:val="20"/>
                <w:color w:val="auto"/>
              </w:rPr>
            </w:pPr>
            <w:r>
              <w:rPr>
                <w:rFonts w:ascii="Arial" w:cs="Arial" w:eastAsia="Arial" w:hAnsi="Arial"/>
                <w:sz w:val="14"/>
                <w:szCs w:val="14"/>
                <w:color w:val="auto"/>
              </w:rPr>
              <w:t>75.0</w:t>
            </w:r>
          </w:p>
        </w:tc>
        <w:tc>
          <w:tcPr>
            <w:tcW w:w="120" w:type="dxa"/>
            <w:vAlign w:val="bottom"/>
          </w:tcPr>
          <w:p>
            <w:pPr>
              <w:spacing w:after="0"/>
              <w:rPr>
                <w:sz w:val="14"/>
                <w:szCs w:val="14"/>
                <w:color w:val="auto"/>
              </w:rPr>
            </w:pPr>
          </w:p>
        </w:tc>
      </w:tr>
      <w:tr>
        <w:trPr>
          <w:trHeight w:val="162"/>
        </w:trPr>
        <w:tc>
          <w:tcPr>
            <w:tcW w:w="3680" w:type="dxa"/>
            <w:vAlign w:val="bottom"/>
            <w:gridSpan w:val="3"/>
            <w:shd w:val="clear" w:color="auto" w:fill="CCECFF"/>
          </w:tcPr>
          <w:p>
            <w:pPr>
              <w:spacing w:after="0"/>
              <w:rPr>
                <w:sz w:val="20"/>
                <w:szCs w:val="20"/>
                <w:color w:val="auto"/>
              </w:rPr>
            </w:pPr>
            <w:r>
              <w:rPr>
                <w:rFonts w:ascii="Arial" w:cs="Arial" w:eastAsia="Arial" w:hAnsi="Arial"/>
                <w:sz w:val="14"/>
                <w:szCs w:val="14"/>
                <w:color w:val="auto"/>
              </w:rPr>
              <w:t>2019 Notes</w:t>
            </w:r>
          </w:p>
        </w:tc>
        <w:tc>
          <w:tcPr>
            <w:tcW w:w="860" w:type="dxa"/>
            <w:vAlign w:val="bottom"/>
            <w:shd w:val="clear" w:color="auto" w:fill="CCECFF"/>
          </w:tcPr>
          <w:p>
            <w:pPr>
              <w:spacing w:after="0"/>
              <w:rPr>
                <w:sz w:val="14"/>
                <w:szCs w:val="14"/>
                <w:color w:val="auto"/>
              </w:rPr>
            </w:pPr>
          </w:p>
        </w:tc>
        <w:tc>
          <w:tcPr>
            <w:tcW w:w="400" w:type="dxa"/>
            <w:vAlign w:val="bottom"/>
            <w:shd w:val="clear" w:color="auto" w:fill="CCECFF"/>
          </w:tcPr>
          <w:p>
            <w:pPr>
              <w:jc w:val="right"/>
              <w:spacing w:after="0"/>
              <w:rPr>
                <w:sz w:val="20"/>
                <w:szCs w:val="20"/>
                <w:color w:val="auto"/>
              </w:rPr>
            </w:pPr>
            <w:r>
              <w:rPr>
                <w:rFonts w:ascii="Arial" w:cs="Arial" w:eastAsia="Arial" w:hAnsi="Arial"/>
                <w:sz w:val="14"/>
                <w:szCs w:val="14"/>
                <w:color w:val="auto"/>
              </w:rPr>
              <w:t>250.0</w:t>
            </w:r>
          </w:p>
        </w:tc>
        <w:tc>
          <w:tcPr>
            <w:tcW w:w="260" w:type="dxa"/>
            <w:vAlign w:val="bottom"/>
            <w:shd w:val="clear" w:color="auto" w:fill="CCECFF"/>
          </w:tcPr>
          <w:p>
            <w:pPr>
              <w:spacing w:after="0"/>
              <w:rPr>
                <w:sz w:val="14"/>
                <w:szCs w:val="14"/>
                <w:color w:val="auto"/>
              </w:rPr>
            </w:pPr>
          </w:p>
        </w:tc>
        <w:tc>
          <w:tcPr>
            <w:tcW w:w="100" w:type="dxa"/>
            <w:vAlign w:val="bottom"/>
            <w:shd w:val="clear" w:color="auto" w:fill="CCECFF"/>
          </w:tcPr>
          <w:p>
            <w:pPr>
              <w:spacing w:after="0"/>
              <w:rPr>
                <w:sz w:val="14"/>
                <w:szCs w:val="14"/>
                <w:color w:val="auto"/>
              </w:rPr>
            </w:pPr>
          </w:p>
        </w:tc>
        <w:tc>
          <w:tcPr>
            <w:tcW w:w="1180" w:type="dxa"/>
            <w:vAlign w:val="bottom"/>
            <w:shd w:val="clear" w:color="auto" w:fill="CCECFF"/>
          </w:tcPr>
          <w:p>
            <w:pPr>
              <w:jc w:val="right"/>
              <w:spacing w:after="0"/>
              <w:rPr>
                <w:sz w:val="20"/>
                <w:szCs w:val="20"/>
                <w:color w:val="auto"/>
              </w:rPr>
            </w:pPr>
            <w:r>
              <w:rPr>
                <w:rFonts w:ascii="Arial" w:cs="Arial" w:eastAsia="Arial" w:hAnsi="Arial"/>
                <w:sz w:val="14"/>
                <w:szCs w:val="14"/>
                <w:color w:val="auto"/>
              </w:rPr>
              <w:t>—</w:t>
            </w:r>
          </w:p>
        </w:tc>
        <w:tc>
          <w:tcPr>
            <w:tcW w:w="260" w:type="dxa"/>
            <w:vAlign w:val="bottom"/>
            <w:shd w:val="clear" w:color="auto" w:fill="CCECFF"/>
          </w:tcPr>
          <w:p>
            <w:pPr>
              <w:spacing w:after="0"/>
              <w:rPr>
                <w:sz w:val="14"/>
                <w:szCs w:val="14"/>
                <w:color w:val="auto"/>
              </w:rPr>
            </w:pPr>
          </w:p>
        </w:tc>
        <w:tc>
          <w:tcPr>
            <w:tcW w:w="220" w:type="dxa"/>
            <w:vAlign w:val="bottom"/>
            <w:shd w:val="clear" w:color="auto" w:fill="CCECFF"/>
          </w:tcPr>
          <w:p>
            <w:pPr>
              <w:spacing w:after="0"/>
              <w:rPr>
                <w:sz w:val="14"/>
                <w:szCs w:val="14"/>
                <w:color w:val="auto"/>
              </w:rPr>
            </w:pPr>
          </w:p>
        </w:tc>
        <w:tc>
          <w:tcPr>
            <w:tcW w:w="1060" w:type="dxa"/>
            <w:vAlign w:val="bottom"/>
            <w:shd w:val="clear" w:color="auto" w:fill="CCECFF"/>
          </w:tcPr>
          <w:p>
            <w:pPr>
              <w:jc w:val="right"/>
              <w:spacing w:after="0"/>
              <w:rPr>
                <w:sz w:val="20"/>
                <w:szCs w:val="20"/>
                <w:color w:val="auto"/>
              </w:rPr>
            </w:pPr>
            <w:r>
              <w:rPr>
                <w:rFonts w:ascii="Arial" w:cs="Arial" w:eastAsia="Arial" w:hAnsi="Arial"/>
                <w:sz w:val="14"/>
                <w:szCs w:val="14"/>
                <w:color w:val="auto"/>
              </w:rPr>
              <w:t>250.0</w:t>
            </w:r>
          </w:p>
        </w:tc>
        <w:tc>
          <w:tcPr>
            <w:tcW w:w="260" w:type="dxa"/>
            <w:vAlign w:val="bottom"/>
            <w:shd w:val="clear" w:color="auto" w:fill="CCECFF"/>
          </w:tcPr>
          <w:p>
            <w:pPr>
              <w:spacing w:after="0"/>
              <w:rPr>
                <w:sz w:val="14"/>
                <w:szCs w:val="14"/>
                <w:color w:val="auto"/>
              </w:rPr>
            </w:pPr>
          </w:p>
        </w:tc>
        <w:tc>
          <w:tcPr>
            <w:tcW w:w="300" w:type="dxa"/>
            <w:vAlign w:val="bottom"/>
            <w:shd w:val="clear" w:color="auto" w:fill="CCECFF"/>
          </w:tcPr>
          <w:p>
            <w:pPr>
              <w:spacing w:after="0"/>
              <w:rPr>
                <w:sz w:val="14"/>
                <w:szCs w:val="14"/>
                <w:color w:val="auto"/>
              </w:rPr>
            </w:pPr>
          </w:p>
        </w:tc>
        <w:tc>
          <w:tcPr>
            <w:tcW w:w="1240" w:type="dxa"/>
            <w:vAlign w:val="bottom"/>
            <w:gridSpan w:val="2"/>
            <w:shd w:val="clear" w:color="auto" w:fill="CCECFF"/>
          </w:tcPr>
          <w:p>
            <w:pPr>
              <w:jc w:val="right"/>
              <w:ind w:right="260"/>
              <w:spacing w:after="0"/>
              <w:rPr>
                <w:sz w:val="20"/>
                <w:szCs w:val="20"/>
                <w:color w:val="auto"/>
              </w:rPr>
            </w:pPr>
            <w:r>
              <w:rPr>
                <w:rFonts w:ascii="Arial" w:cs="Arial" w:eastAsia="Arial" w:hAnsi="Arial"/>
                <w:sz w:val="14"/>
                <w:szCs w:val="14"/>
                <w:color w:val="auto"/>
              </w:rPr>
              <w:t>—</w:t>
            </w:r>
          </w:p>
        </w:tc>
        <w:tc>
          <w:tcPr>
            <w:tcW w:w="20" w:type="dxa"/>
            <w:vAlign w:val="bottom"/>
            <w:shd w:val="clear" w:color="auto" w:fill="CCECFF"/>
          </w:tcPr>
          <w:p>
            <w:pPr>
              <w:spacing w:after="0"/>
              <w:rPr>
                <w:sz w:val="14"/>
                <w:szCs w:val="14"/>
                <w:color w:val="auto"/>
              </w:rPr>
            </w:pPr>
          </w:p>
        </w:tc>
        <w:tc>
          <w:tcPr>
            <w:tcW w:w="60" w:type="dxa"/>
            <w:vAlign w:val="bottom"/>
            <w:shd w:val="clear" w:color="auto" w:fill="CCECFF"/>
          </w:tcPr>
          <w:p>
            <w:pPr>
              <w:spacing w:after="0"/>
              <w:rPr>
                <w:sz w:val="14"/>
                <w:szCs w:val="14"/>
                <w:color w:val="auto"/>
              </w:rPr>
            </w:pPr>
          </w:p>
        </w:tc>
        <w:tc>
          <w:tcPr>
            <w:tcW w:w="1340" w:type="dxa"/>
            <w:vAlign w:val="bottom"/>
            <w:gridSpan w:val="2"/>
            <w:shd w:val="clear" w:color="auto" w:fill="CCECFF"/>
          </w:tcPr>
          <w:p>
            <w:pPr>
              <w:jc w:val="right"/>
              <w:ind w:right="140"/>
              <w:spacing w:after="0"/>
              <w:rPr>
                <w:sz w:val="20"/>
                <w:szCs w:val="20"/>
                <w:color w:val="auto"/>
              </w:rPr>
            </w:pPr>
            <w:r>
              <w:rPr>
                <w:rFonts w:ascii="Arial" w:cs="Arial" w:eastAsia="Arial" w:hAnsi="Arial"/>
                <w:sz w:val="14"/>
                <w:szCs w:val="14"/>
                <w:color w:val="auto"/>
              </w:rPr>
              <w:t>—</w:t>
            </w:r>
          </w:p>
        </w:tc>
      </w:tr>
      <w:tr>
        <w:trPr>
          <w:trHeight w:val="156"/>
        </w:trPr>
        <w:tc>
          <w:tcPr>
            <w:tcW w:w="3680" w:type="dxa"/>
            <w:vAlign w:val="bottom"/>
            <w:gridSpan w:val="3"/>
          </w:tcPr>
          <w:p>
            <w:pPr>
              <w:spacing w:after="0" w:line="155" w:lineRule="exact"/>
              <w:rPr>
                <w:sz w:val="20"/>
                <w:szCs w:val="20"/>
                <w:color w:val="auto"/>
              </w:rPr>
            </w:pPr>
            <w:r>
              <w:rPr>
                <w:rFonts w:ascii="Arial" w:cs="Arial" w:eastAsia="Arial" w:hAnsi="Arial"/>
                <w:sz w:val="14"/>
                <w:szCs w:val="14"/>
                <w:color w:val="auto"/>
              </w:rPr>
              <w:t xml:space="preserve">Total debt outstanding </w:t>
            </w:r>
            <w:r>
              <w:rPr>
                <w:rFonts w:ascii="Arial" w:cs="Arial" w:eastAsia="Arial" w:hAnsi="Arial"/>
                <w:sz w:val="12"/>
                <w:szCs w:val="12"/>
                <w:color w:val="auto"/>
              </w:rPr>
              <w:t>(1)</w:t>
            </w:r>
          </w:p>
        </w:tc>
        <w:tc>
          <w:tcPr>
            <w:tcW w:w="860" w:type="dxa"/>
            <w:vAlign w:val="bottom"/>
            <w:tcBorders>
              <w:top w:val="single" w:sz="8" w:color="auto"/>
            </w:tcBorders>
          </w:tcPr>
          <w:p>
            <w:pPr>
              <w:spacing w:after="0"/>
              <w:rPr>
                <w:sz w:val="13"/>
                <w:szCs w:val="13"/>
                <w:color w:val="auto"/>
              </w:rPr>
            </w:pPr>
          </w:p>
        </w:tc>
        <w:tc>
          <w:tcPr>
            <w:tcW w:w="400" w:type="dxa"/>
            <w:vAlign w:val="bottom"/>
            <w:tcBorders>
              <w:top w:val="single" w:sz="8" w:color="auto"/>
            </w:tcBorders>
          </w:tcPr>
          <w:p>
            <w:pPr>
              <w:jc w:val="right"/>
              <w:spacing w:after="0" w:line="155" w:lineRule="exact"/>
              <w:rPr>
                <w:sz w:val="20"/>
                <w:szCs w:val="20"/>
                <w:color w:val="auto"/>
              </w:rPr>
            </w:pPr>
            <w:r>
              <w:rPr>
                <w:rFonts w:ascii="Arial" w:cs="Arial" w:eastAsia="Arial" w:hAnsi="Arial"/>
                <w:sz w:val="14"/>
                <w:szCs w:val="14"/>
                <w:color w:val="auto"/>
              </w:rPr>
              <w:t>557.1</w:t>
            </w:r>
          </w:p>
        </w:tc>
        <w:tc>
          <w:tcPr>
            <w:tcW w:w="260" w:type="dxa"/>
            <w:vAlign w:val="bottom"/>
          </w:tcPr>
          <w:p>
            <w:pPr>
              <w:spacing w:after="0"/>
              <w:rPr>
                <w:sz w:val="13"/>
                <w:szCs w:val="13"/>
                <w:color w:val="auto"/>
              </w:rPr>
            </w:pPr>
          </w:p>
        </w:tc>
        <w:tc>
          <w:tcPr>
            <w:tcW w:w="100" w:type="dxa"/>
            <w:vAlign w:val="bottom"/>
            <w:tcBorders>
              <w:top w:val="single" w:sz="8" w:color="auto"/>
            </w:tcBorders>
          </w:tcPr>
          <w:p>
            <w:pPr>
              <w:spacing w:after="0"/>
              <w:rPr>
                <w:sz w:val="13"/>
                <w:szCs w:val="13"/>
                <w:color w:val="auto"/>
              </w:rPr>
            </w:pPr>
          </w:p>
        </w:tc>
        <w:tc>
          <w:tcPr>
            <w:tcW w:w="1180" w:type="dxa"/>
            <w:vAlign w:val="bottom"/>
            <w:tcBorders>
              <w:top w:val="single" w:sz="8" w:color="auto"/>
            </w:tcBorders>
          </w:tcPr>
          <w:p>
            <w:pPr>
              <w:jc w:val="right"/>
              <w:spacing w:after="0" w:line="155" w:lineRule="exact"/>
              <w:rPr>
                <w:sz w:val="20"/>
                <w:szCs w:val="20"/>
                <w:color w:val="auto"/>
              </w:rPr>
            </w:pPr>
            <w:r>
              <w:rPr>
                <w:rFonts w:ascii="Arial" w:cs="Arial" w:eastAsia="Arial" w:hAnsi="Arial"/>
                <w:sz w:val="14"/>
                <w:szCs w:val="14"/>
                <w:color w:val="auto"/>
              </w:rPr>
              <w:t>—</w:t>
            </w:r>
          </w:p>
        </w:tc>
        <w:tc>
          <w:tcPr>
            <w:tcW w:w="260" w:type="dxa"/>
            <w:vAlign w:val="bottom"/>
          </w:tcPr>
          <w:p>
            <w:pPr>
              <w:spacing w:after="0"/>
              <w:rPr>
                <w:sz w:val="13"/>
                <w:szCs w:val="13"/>
                <w:color w:val="auto"/>
              </w:rPr>
            </w:pPr>
          </w:p>
        </w:tc>
        <w:tc>
          <w:tcPr>
            <w:tcW w:w="220" w:type="dxa"/>
            <w:vAlign w:val="bottom"/>
            <w:tcBorders>
              <w:top w:val="single" w:sz="8" w:color="auto"/>
            </w:tcBorders>
          </w:tcPr>
          <w:p>
            <w:pPr>
              <w:spacing w:after="0"/>
              <w:rPr>
                <w:sz w:val="13"/>
                <w:szCs w:val="13"/>
                <w:color w:val="auto"/>
              </w:rPr>
            </w:pPr>
          </w:p>
        </w:tc>
        <w:tc>
          <w:tcPr>
            <w:tcW w:w="1060" w:type="dxa"/>
            <w:vAlign w:val="bottom"/>
            <w:tcBorders>
              <w:top w:val="single" w:sz="8" w:color="auto"/>
            </w:tcBorders>
          </w:tcPr>
          <w:p>
            <w:pPr>
              <w:jc w:val="right"/>
              <w:spacing w:after="0" w:line="155" w:lineRule="exact"/>
              <w:rPr>
                <w:sz w:val="20"/>
                <w:szCs w:val="20"/>
                <w:color w:val="auto"/>
              </w:rPr>
            </w:pPr>
            <w:r>
              <w:rPr>
                <w:rFonts w:ascii="Arial" w:cs="Arial" w:eastAsia="Arial" w:hAnsi="Arial"/>
                <w:sz w:val="14"/>
                <w:szCs w:val="14"/>
                <w:color w:val="auto"/>
              </w:rPr>
              <w:t>250.0</w:t>
            </w:r>
          </w:p>
        </w:tc>
        <w:tc>
          <w:tcPr>
            <w:tcW w:w="260" w:type="dxa"/>
            <w:vAlign w:val="bottom"/>
          </w:tcPr>
          <w:p>
            <w:pPr>
              <w:spacing w:after="0"/>
              <w:rPr>
                <w:sz w:val="13"/>
                <w:szCs w:val="13"/>
                <w:color w:val="auto"/>
              </w:rPr>
            </w:pPr>
          </w:p>
        </w:tc>
        <w:tc>
          <w:tcPr>
            <w:tcW w:w="300" w:type="dxa"/>
            <w:vAlign w:val="bottom"/>
            <w:tcBorders>
              <w:top w:val="single" w:sz="8" w:color="auto"/>
            </w:tcBorders>
          </w:tcPr>
          <w:p>
            <w:pPr>
              <w:spacing w:after="0"/>
              <w:rPr>
                <w:sz w:val="13"/>
                <w:szCs w:val="13"/>
                <w:color w:val="auto"/>
              </w:rPr>
            </w:pPr>
          </w:p>
        </w:tc>
        <w:tc>
          <w:tcPr>
            <w:tcW w:w="980" w:type="dxa"/>
            <w:vAlign w:val="bottom"/>
            <w:tcBorders>
              <w:top w:val="single" w:sz="8" w:color="auto"/>
            </w:tcBorders>
          </w:tcPr>
          <w:p>
            <w:pPr>
              <w:jc w:val="right"/>
              <w:spacing w:after="0" w:line="155" w:lineRule="exact"/>
              <w:rPr>
                <w:sz w:val="20"/>
                <w:szCs w:val="20"/>
                <w:color w:val="auto"/>
              </w:rPr>
            </w:pPr>
            <w:r>
              <w:rPr>
                <w:rFonts w:ascii="Arial" w:cs="Arial" w:eastAsia="Arial" w:hAnsi="Arial"/>
                <w:sz w:val="14"/>
                <w:szCs w:val="14"/>
                <w:color w:val="auto"/>
              </w:rPr>
              <w:t>232.1</w:t>
            </w:r>
          </w:p>
        </w:tc>
        <w:tc>
          <w:tcPr>
            <w:tcW w:w="2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tcBorders>
              <w:top w:val="single" w:sz="8" w:color="auto"/>
            </w:tcBorders>
          </w:tcPr>
          <w:p>
            <w:pPr>
              <w:spacing w:after="0"/>
              <w:rPr>
                <w:sz w:val="13"/>
                <w:szCs w:val="13"/>
                <w:color w:val="auto"/>
              </w:rPr>
            </w:pPr>
          </w:p>
        </w:tc>
        <w:tc>
          <w:tcPr>
            <w:tcW w:w="1220" w:type="dxa"/>
            <w:vAlign w:val="bottom"/>
            <w:tcBorders>
              <w:top w:val="single" w:sz="8" w:color="auto"/>
            </w:tcBorders>
          </w:tcPr>
          <w:p>
            <w:pPr>
              <w:jc w:val="right"/>
              <w:spacing w:after="0" w:line="155" w:lineRule="exact"/>
              <w:rPr>
                <w:sz w:val="20"/>
                <w:szCs w:val="20"/>
                <w:color w:val="auto"/>
              </w:rPr>
            </w:pPr>
            <w:r>
              <w:rPr>
                <w:rFonts w:ascii="Arial" w:cs="Arial" w:eastAsia="Arial" w:hAnsi="Arial"/>
                <w:sz w:val="14"/>
                <w:szCs w:val="14"/>
                <w:color w:val="auto"/>
              </w:rPr>
              <w:t>75.0</w:t>
            </w:r>
          </w:p>
        </w:tc>
        <w:tc>
          <w:tcPr>
            <w:tcW w:w="120" w:type="dxa"/>
            <w:vAlign w:val="bottom"/>
          </w:tcPr>
          <w:p>
            <w:pPr>
              <w:spacing w:after="0"/>
              <w:rPr>
                <w:sz w:val="13"/>
                <w:szCs w:val="13"/>
                <w:color w:val="auto"/>
              </w:rPr>
            </w:pPr>
          </w:p>
        </w:tc>
      </w:tr>
      <w:tr>
        <w:trPr>
          <w:trHeight w:val="162"/>
        </w:trPr>
        <w:tc>
          <w:tcPr>
            <w:tcW w:w="3680" w:type="dxa"/>
            <w:vAlign w:val="bottom"/>
            <w:gridSpan w:val="3"/>
            <w:shd w:val="clear" w:color="auto" w:fill="CCECFF"/>
          </w:tcPr>
          <w:p>
            <w:pPr>
              <w:spacing w:after="0"/>
              <w:rPr>
                <w:sz w:val="20"/>
                <w:szCs w:val="20"/>
                <w:color w:val="auto"/>
              </w:rPr>
            </w:pPr>
            <w:r>
              <w:rPr>
                <w:rFonts w:ascii="Arial" w:cs="Arial" w:eastAsia="Arial" w:hAnsi="Arial"/>
                <w:sz w:val="14"/>
                <w:szCs w:val="14"/>
                <w:color w:val="auto"/>
              </w:rPr>
              <w:t xml:space="preserve">Unfunded investments </w:t>
            </w:r>
            <w:r>
              <w:rPr>
                <w:rFonts w:ascii="Arial" w:cs="Arial" w:eastAsia="Arial" w:hAnsi="Arial"/>
                <w:sz w:val="12"/>
                <w:szCs w:val="12"/>
                <w:color w:val="auto"/>
              </w:rPr>
              <w:t>(2)</w:t>
            </w:r>
          </w:p>
        </w:tc>
        <w:tc>
          <w:tcPr>
            <w:tcW w:w="860" w:type="dxa"/>
            <w:vAlign w:val="bottom"/>
            <w:tcBorders>
              <w:bottom w:val="single" w:sz="8" w:color="auto"/>
            </w:tcBorders>
            <w:shd w:val="clear" w:color="auto" w:fill="CCECFF"/>
          </w:tcPr>
          <w:p>
            <w:pPr>
              <w:spacing w:after="0"/>
              <w:rPr>
                <w:sz w:val="14"/>
                <w:szCs w:val="14"/>
                <w:color w:val="auto"/>
              </w:rPr>
            </w:pPr>
          </w:p>
        </w:tc>
        <w:tc>
          <w:tcPr>
            <w:tcW w:w="400" w:type="dxa"/>
            <w:vAlign w:val="bottom"/>
            <w:tcBorders>
              <w:bottom w:val="single" w:sz="8" w:color="auto"/>
            </w:tcBorders>
            <w:shd w:val="clear" w:color="auto" w:fill="CCECFF"/>
          </w:tcPr>
          <w:p>
            <w:pPr>
              <w:jc w:val="right"/>
              <w:spacing w:after="0"/>
              <w:rPr>
                <w:sz w:val="20"/>
                <w:szCs w:val="20"/>
                <w:color w:val="auto"/>
              </w:rPr>
            </w:pPr>
            <w:r>
              <w:rPr>
                <w:rFonts w:ascii="Arial" w:cs="Arial" w:eastAsia="Arial" w:hAnsi="Arial"/>
                <w:sz w:val="14"/>
                <w:szCs w:val="14"/>
                <w:color w:val="auto"/>
              </w:rPr>
              <w:t>7.8</w:t>
            </w:r>
          </w:p>
        </w:tc>
        <w:tc>
          <w:tcPr>
            <w:tcW w:w="260" w:type="dxa"/>
            <w:vAlign w:val="bottom"/>
            <w:shd w:val="clear" w:color="auto" w:fill="CCECFF"/>
          </w:tcPr>
          <w:p>
            <w:pPr>
              <w:spacing w:after="0"/>
              <w:rPr>
                <w:sz w:val="14"/>
                <w:szCs w:val="14"/>
                <w:color w:val="auto"/>
              </w:rPr>
            </w:pPr>
          </w:p>
        </w:tc>
        <w:tc>
          <w:tcPr>
            <w:tcW w:w="100" w:type="dxa"/>
            <w:vAlign w:val="bottom"/>
            <w:tcBorders>
              <w:bottom w:val="single" w:sz="8" w:color="auto"/>
            </w:tcBorders>
            <w:shd w:val="clear" w:color="auto" w:fill="CCECFF"/>
          </w:tcPr>
          <w:p>
            <w:pPr>
              <w:spacing w:after="0"/>
              <w:rPr>
                <w:sz w:val="14"/>
                <w:szCs w:val="14"/>
                <w:color w:val="auto"/>
              </w:rPr>
            </w:pPr>
          </w:p>
        </w:tc>
        <w:tc>
          <w:tcPr>
            <w:tcW w:w="1180" w:type="dxa"/>
            <w:vAlign w:val="bottom"/>
            <w:tcBorders>
              <w:bottom w:val="single" w:sz="8" w:color="auto"/>
            </w:tcBorders>
            <w:shd w:val="clear" w:color="auto" w:fill="CCECFF"/>
          </w:tcPr>
          <w:p>
            <w:pPr>
              <w:jc w:val="right"/>
              <w:spacing w:after="0"/>
              <w:rPr>
                <w:sz w:val="20"/>
                <w:szCs w:val="20"/>
                <w:color w:val="auto"/>
              </w:rPr>
            </w:pPr>
            <w:r>
              <w:rPr>
                <w:rFonts w:ascii="Arial" w:cs="Arial" w:eastAsia="Arial" w:hAnsi="Arial"/>
                <w:sz w:val="14"/>
                <w:szCs w:val="14"/>
                <w:color w:val="auto"/>
              </w:rPr>
              <w:t>0.9</w:t>
            </w:r>
          </w:p>
        </w:tc>
        <w:tc>
          <w:tcPr>
            <w:tcW w:w="260" w:type="dxa"/>
            <w:vAlign w:val="bottom"/>
            <w:shd w:val="clear" w:color="auto" w:fill="CCECFF"/>
          </w:tcPr>
          <w:p>
            <w:pPr>
              <w:spacing w:after="0"/>
              <w:rPr>
                <w:sz w:val="14"/>
                <w:szCs w:val="14"/>
                <w:color w:val="auto"/>
              </w:rPr>
            </w:pPr>
          </w:p>
        </w:tc>
        <w:tc>
          <w:tcPr>
            <w:tcW w:w="220" w:type="dxa"/>
            <w:vAlign w:val="bottom"/>
            <w:tcBorders>
              <w:bottom w:val="single" w:sz="8" w:color="auto"/>
            </w:tcBorders>
            <w:shd w:val="clear" w:color="auto" w:fill="CCECFF"/>
          </w:tcPr>
          <w:p>
            <w:pPr>
              <w:spacing w:after="0"/>
              <w:rPr>
                <w:sz w:val="14"/>
                <w:szCs w:val="14"/>
                <w:color w:val="auto"/>
              </w:rPr>
            </w:pPr>
          </w:p>
        </w:tc>
        <w:tc>
          <w:tcPr>
            <w:tcW w:w="1060" w:type="dxa"/>
            <w:vAlign w:val="bottom"/>
            <w:tcBorders>
              <w:bottom w:val="single" w:sz="8" w:color="auto"/>
            </w:tcBorders>
            <w:shd w:val="clear" w:color="auto" w:fill="CCECFF"/>
          </w:tcPr>
          <w:p>
            <w:pPr>
              <w:jc w:val="right"/>
              <w:spacing w:after="0"/>
              <w:rPr>
                <w:sz w:val="20"/>
                <w:szCs w:val="20"/>
                <w:color w:val="auto"/>
              </w:rPr>
            </w:pPr>
            <w:r>
              <w:rPr>
                <w:rFonts w:ascii="Arial" w:cs="Arial" w:eastAsia="Arial" w:hAnsi="Arial"/>
                <w:sz w:val="14"/>
                <w:szCs w:val="14"/>
                <w:color w:val="auto"/>
              </w:rPr>
              <w:t>—</w:t>
            </w:r>
          </w:p>
        </w:tc>
        <w:tc>
          <w:tcPr>
            <w:tcW w:w="260" w:type="dxa"/>
            <w:vAlign w:val="bottom"/>
            <w:shd w:val="clear" w:color="auto" w:fill="CCECFF"/>
          </w:tcPr>
          <w:p>
            <w:pPr>
              <w:spacing w:after="0"/>
              <w:rPr>
                <w:sz w:val="14"/>
                <w:szCs w:val="14"/>
                <w:color w:val="auto"/>
              </w:rPr>
            </w:pPr>
          </w:p>
        </w:tc>
        <w:tc>
          <w:tcPr>
            <w:tcW w:w="300" w:type="dxa"/>
            <w:vAlign w:val="bottom"/>
            <w:tcBorders>
              <w:bottom w:val="single" w:sz="8" w:color="auto"/>
            </w:tcBorders>
            <w:shd w:val="clear" w:color="auto" w:fill="CCECFF"/>
          </w:tcPr>
          <w:p>
            <w:pPr>
              <w:spacing w:after="0"/>
              <w:rPr>
                <w:sz w:val="14"/>
                <w:szCs w:val="14"/>
                <w:color w:val="auto"/>
              </w:rPr>
            </w:pPr>
          </w:p>
        </w:tc>
        <w:tc>
          <w:tcPr>
            <w:tcW w:w="980" w:type="dxa"/>
            <w:vAlign w:val="bottom"/>
            <w:tcBorders>
              <w:bottom w:val="single" w:sz="8" w:color="auto"/>
            </w:tcBorders>
            <w:shd w:val="clear" w:color="auto" w:fill="CCECFF"/>
          </w:tcPr>
          <w:p>
            <w:pPr>
              <w:jc w:val="right"/>
              <w:spacing w:after="0"/>
              <w:rPr>
                <w:sz w:val="20"/>
                <w:szCs w:val="20"/>
                <w:color w:val="auto"/>
              </w:rPr>
            </w:pPr>
            <w:r>
              <w:rPr>
                <w:rFonts w:ascii="Arial" w:cs="Arial" w:eastAsia="Arial" w:hAnsi="Arial"/>
                <w:sz w:val="14"/>
                <w:szCs w:val="14"/>
                <w:color w:val="auto"/>
              </w:rPr>
              <w:t>5.8</w:t>
            </w:r>
          </w:p>
        </w:tc>
        <w:tc>
          <w:tcPr>
            <w:tcW w:w="260" w:type="dxa"/>
            <w:vAlign w:val="bottom"/>
            <w:shd w:val="clear" w:color="auto" w:fill="CCECFF"/>
          </w:tcPr>
          <w:p>
            <w:pPr>
              <w:spacing w:after="0"/>
              <w:rPr>
                <w:sz w:val="14"/>
                <w:szCs w:val="14"/>
                <w:color w:val="auto"/>
              </w:rPr>
            </w:pPr>
          </w:p>
        </w:tc>
        <w:tc>
          <w:tcPr>
            <w:tcW w:w="20" w:type="dxa"/>
            <w:vAlign w:val="bottom"/>
            <w:shd w:val="clear" w:color="auto" w:fill="CCECFF"/>
          </w:tcPr>
          <w:p>
            <w:pPr>
              <w:spacing w:after="0"/>
              <w:rPr>
                <w:sz w:val="14"/>
                <w:szCs w:val="14"/>
                <w:color w:val="auto"/>
              </w:rPr>
            </w:pPr>
          </w:p>
        </w:tc>
        <w:tc>
          <w:tcPr>
            <w:tcW w:w="60" w:type="dxa"/>
            <w:vAlign w:val="bottom"/>
            <w:tcBorders>
              <w:bottom w:val="single" w:sz="8" w:color="auto"/>
            </w:tcBorders>
            <w:shd w:val="clear" w:color="auto" w:fill="CCECFF"/>
          </w:tcPr>
          <w:p>
            <w:pPr>
              <w:spacing w:after="0"/>
              <w:rPr>
                <w:sz w:val="14"/>
                <w:szCs w:val="14"/>
                <w:color w:val="auto"/>
              </w:rPr>
            </w:pPr>
          </w:p>
        </w:tc>
        <w:tc>
          <w:tcPr>
            <w:tcW w:w="1220" w:type="dxa"/>
            <w:vAlign w:val="bottom"/>
            <w:tcBorders>
              <w:bottom w:val="single" w:sz="8" w:color="auto"/>
            </w:tcBorders>
            <w:shd w:val="clear" w:color="auto" w:fill="CCECFF"/>
          </w:tcPr>
          <w:p>
            <w:pPr>
              <w:jc w:val="right"/>
              <w:spacing w:after="0"/>
              <w:rPr>
                <w:sz w:val="20"/>
                <w:szCs w:val="20"/>
                <w:color w:val="auto"/>
              </w:rPr>
            </w:pPr>
            <w:r>
              <w:rPr>
                <w:rFonts w:ascii="Arial" w:cs="Arial" w:eastAsia="Arial" w:hAnsi="Arial"/>
                <w:sz w:val="14"/>
                <w:szCs w:val="14"/>
                <w:color w:val="auto"/>
              </w:rPr>
              <w:t>1.1</w:t>
            </w:r>
          </w:p>
        </w:tc>
        <w:tc>
          <w:tcPr>
            <w:tcW w:w="120" w:type="dxa"/>
            <w:vAlign w:val="bottom"/>
            <w:shd w:val="clear" w:color="auto" w:fill="CCECFF"/>
          </w:tcPr>
          <w:p>
            <w:pPr>
              <w:spacing w:after="0"/>
              <w:rPr>
                <w:sz w:val="14"/>
                <w:szCs w:val="14"/>
                <w:color w:val="auto"/>
              </w:rPr>
            </w:pPr>
          </w:p>
        </w:tc>
      </w:tr>
      <w:tr>
        <w:trPr>
          <w:trHeight w:val="156"/>
        </w:trPr>
        <w:tc>
          <w:tcPr>
            <w:tcW w:w="3680" w:type="dxa"/>
            <w:vAlign w:val="bottom"/>
            <w:gridSpan w:val="3"/>
          </w:tcPr>
          <w:p>
            <w:pPr>
              <w:spacing w:after="0" w:line="155" w:lineRule="exact"/>
              <w:rPr>
                <w:sz w:val="20"/>
                <w:szCs w:val="20"/>
                <w:color w:val="auto"/>
              </w:rPr>
            </w:pPr>
            <w:r>
              <w:rPr>
                <w:rFonts w:ascii="Arial" w:cs="Arial" w:eastAsia="Arial" w:hAnsi="Arial"/>
                <w:sz w:val="14"/>
                <w:szCs w:val="14"/>
                <w:color w:val="auto"/>
              </w:rPr>
              <w:t>Total contractual obligations</w:t>
            </w:r>
          </w:p>
        </w:tc>
        <w:tc>
          <w:tcPr>
            <w:tcW w:w="860" w:type="dxa"/>
            <w:vAlign w:val="bottom"/>
            <w:tcBorders>
              <w:bottom w:val="single" w:sz="8" w:color="auto"/>
            </w:tcBorders>
          </w:tcPr>
          <w:p>
            <w:pPr>
              <w:jc w:val="right"/>
              <w:ind w:right="708"/>
              <w:spacing w:after="0" w:line="155" w:lineRule="exact"/>
              <w:rPr>
                <w:sz w:val="20"/>
                <w:szCs w:val="20"/>
                <w:color w:val="auto"/>
              </w:rPr>
            </w:pPr>
            <w:r>
              <w:rPr>
                <w:rFonts w:ascii="Arial" w:cs="Arial" w:eastAsia="Arial" w:hAnsi="Arial"/>
                <w:sz w:val="14"/>
                <w:szCs w:val="14"/>
                <w:color w:val="auto"/>
                <w:w w:val="76"/>
              </w:rPr>
              <w:t>$</w:t>
            </w:r>
          </w:p>
        </w:tc>
        <w:tc>
          <w:tcPr>
            <w:tcW w:w="400" w:type="dxa"/>
            <w:vAlign w:val="bottom"/>
            <w:tcBorders>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564.9</w:t>
            </w:r>
          </w:p>
        </w:tc>
        <w:tc>
          <w:tcPr>
            <w:tcW w:w="260" w:type="dxa"/>
            <w:vAlign w:val="bottom"/>
          </w:tcPr>
          <w:p>
            <w:pPr>
              <w:spacing w:after="0"/>
              <w:rPr>
                <w:sz w:val="13"/>
                <w:szCs w:val="13"/>
                <w:color w:val="auto"/>
              </w:rPr>
            </w:pPr>
          </w:p>
        </w:tc>
        <w:tc>
          <w:tcPr>
            <w:tcW w:w="100" w:type="dxa"/>
            <w:vAlign w:val="bottom"/>
            <w:tcBorders>
              <w:bottom w:val="single" w:sz="8" w:color="auto"/>
            </w:tcBorders>
          </w:tcPr>
          <w:p>
            <w:pPr>
              <w:jc w:val="right"/>
              <w:spacing w:after="0" w:line="155" w:lineRule="exact"/>
              <w:rPr>
                <w:sz w:val="20"/>
                <w:szCs w:val="20"/>
                <w:color w:val="auto"/>
              </w:rPr>
            </w:pPr>
            <w:r>
              <w:rPr>
                <w:rFonts w:ascii="Arial" w:cs="Arial" w:eastAsia="Arial" w:hAnsi="Arial"/>
                <w:sz w:val="14"/>
                <w:szCs w:val="14"/>
                <w:color w:val="auto"/>
                <w:w w:val="76"/>
              </w:rPr>
              <w:t>$</w:t>
            </w:r>
          </w:p>
        </w:tc>
        <w:tc>
          <w:tcPr>
            <w:tcW w:w="1180" w:type="dxa"/>
            <w:vAlign w:val="bottom"/>
            <w:tcBorders>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0.9</w:t>
            </w:r>
          </w:p>
        </w:tc>
        <w:tc>
          <w:tcPr>
            <w:tcW w:w="260" w:type="dxa"/>
            <w:vAlign w:val="bottom"/>
          </w:tcPr>
          <w:p>
            <w:pPr>
              <w:spacing w:after="0"/>
              <w:rPr>
                <w:sz w:val="13"/>
                <w:szCs w:val="13"/>
                <w:color w:val="auto"/>
              </w:rPr>
            </w:pPr>
          </w:p>
        </w:tc>
        <w:tc>
          <w:tcPr>
            <w:tcW w:w="220" w:type="dxa"/>
            <w:vAlign w:val="bottom"/>
            <w:tcBorders>
              <w:bottom w:val="single" w:sz="8" w:color="auto"/>
            </w:tcBorders>
          </w:tcPr>
          <w:p>
            <w:pPr>
              <w:jc w:val="right"/>
              <w:ind w:right="68"/>
              <w:spacing w:after="0" w:line="155" w:lineRule="exact"/>
              <w:rPr>
                <w:sz w:val="20"/>
                <w:szCs w:val="20"/>
                <w:color w:val="auto"/>
              </w:rPr>
            </w:pPr>
            <w:r>
              <w:rPr>
                <w:rFonts w:ascii="Arial" w:cs="Arial" w:eastAsia="Arial" w:hAnsi="Arial"/>
                <w:sz w:val="14"/>
                <w:szCs w:val="14"/>
                <w:color w:val="auto"/>
                <w:w w:val="76"/>
              </w:rPr>
              <w:t>$</w:t>
            </w:r>
          </w:p>
        </w:tc>
        <w:tc>
          <w:tcPr>
            <w:tcW w:w="1060" w:type="dxa"/>
            <w:vAlign w:val="bottom"/>
            <w:tcBorders>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250.0</w:t>
            </w:r>
          </w:p>
        </w:tc>
        <w:tc>
          <w:tcPr>
            <w:tcW w:w="260" w:type="dxa"/>
            <w:vAlign w:val="bottom"/>
          </w:tcPr>
          <w:p>
            <w:pPr>
              <w:spacing w:after="0"/>
              <w:rPr>
                <w:sz w:val="13"/>
                <w:szCs w:val="13"/>
                <w:color w:val="auto"/>
              </w:rPr>
            </w:pPr>
          </w:p>
        </w:tc>
        <w:tc>
          <w:tcPr>
            <w:tcW w:w="300" w:type="dxa"/>
            <w:vAlign w:val="bottom"/>
            <w:tcBorders>
              <w:bottom w:val="single" w:sz="8" w:color="auto"/>
            </w:tcBorders>
          </w:tcPr>
          <w:p>
            <w:pPr>
              <w:jc w:val="right"/>
              <w:ind w:right="148"/>
              <w:spacing w:after="0" w:line="155" w:lineRule="exact"/>
              <w:rPr>
                <w:sz w:val="20"/>
                <w:szCs w:val="20"/>
                <w:color w:val="auto"/>
              </w:rPr>
            </w:pPr>
            <w:r>
              <w:rPr>
                <w:rFonts w:ascii="Arial" w:cs="Arial" w:eastAsia="Arial" w:hAnsi="Arial"/>
                <w:sz w:val="14"/>
                <w:szCs w:val="14"/>
                <w:color w:val="auto"/>
                <w:w w:val="76"/>
              </w:rPr>
              <w:t>$</w:t>
            </w:r>
          </w:p>
        </w:tc>
        <w:tc>
          <w:tcPr>
            <w:tcW w:w="980" w:type="dxa"/>
            <w:vAlign w:val="bottom"/>
            <w:tcBorders>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237.9</w:t>
            </w:r>
          </w:p>
        </w:tc>
        <w:tc>
          <w:tcPr>
            <w:tcW w:w="260" w:type="dxa"/>
            <w:vAlign w:val="bottom"/>
          </w:tcPr>
          <w:p>
            <w:pPr>
              <w:spacing w:after="0"/>
              <w:rPr>
                <w:sz w:val="13"/>
                <w:szCs w:val="13"/>
                <w:color w:val="auto"/>
              </w:rPr>
            </w:pPr>
          </w:p>
        </w:tc>
        <w:tc>
          <w:tcPr>
            <w:tcW w:w="20" w:type="dxa"/>
            <w:vAlign w:val="bottom"/>
            <w:tcBorders>
              <w:bottom w:val="single" w:sz="8" w:color="auto"/>
            </w:tcBorders>
          </w:tcPr>
          <w:p>
            <w:pPr>
              <w:spacing w:after="0"/>
              <w:rPr>
                <w:sz w:val="13"/>
                <w:szCs w:val="13"/>
                <w:color w:val="auto"/>
              </w:rPr>
            </w:pPr>
          </w:p>
        </w:tc>
        <w:tc>
          <w:tcPr>
            <w:tcW w:w="60" w:type="dxa"/>
            <w:vAlign w:val="bottom"/>
            <w:tcBorders>
              <w:bottom w:val="single" w:sz="8" w:color="auto"/>
            </w:tcBorders>
          </w:tcPr>
          <w:p>
            <w:pPr>
              <w:jc w:val="right"/>
              <w:spacing w:after="0"/>
              <w:rPr>
                <w:sz w:val="20"/>
                <w:szCs w:val="20"/>
                <w:color w:val="auto"/>
              </w:rPr>
            </w:pPr>
            <w:r>
              <w:rPr>
                <w:rFonts w:ascii="Arial" w:cs="Arial" w:eastAsia="Arial" w:hAnsi="Arial"/>
                <w:sz w:val="10"/>
                <w:szCs w:val="10"/>
                <w:color w:val="auto"/>
                <w:w w:val="71"/>
              </w:rPr>
              <w:t>$</w:t>
            </w:r>
          </w:p>
        </w:tc>
        <w:tc>
          <w:tcPr>
            <w:tcW w:w="1220" w:type="dxa"/>
            <w:vAlign w:val="bottom"/>
            <w:tcBorders>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76.1</w:t>
            </w:r>
          </w:p>
        </w:tc>
        <w:tc>
          <w:tcPr>
            <w:tcW w:w="120" w:type="dxa"/>
            <w:vAlign w:val="bottom"/>
          </w:tcPr>
          <w:p>
            <w:pPr>
              <w:spacing w:after="0"/>
              <w:rPr>
                <w:sz w:val="13"/>
                <w:szCs w:val="13"/>
                <w:color w:val="auto"/>
              </w:rPr>
            </w:pPr>
          </w:p>
        </w:tc>
      </w:tr>
      <w:tr>
        <w:trPr>
          <w:trHeight w:val="20"/>
        </w:trPr>
        <w:tc>
          <w:tcPr>
            <w:tcW w:w="380" w:type="dxa"/>
            <w:vAlign w:val="bottom"/>
          </w:tcPr>
          <w:p>
            <w:pPr>
              <w:spacing w:after="0" w:line="20" w:lineRule="exact"/>
              <w:rPr>
                <w:sz w:val="1"/>
                <w:szCs w:val="1"/>
                <w:color w:val="auto"/>
              </w:rPr>
            </w:pPr>
          </w:p>
        </w:tc>
        <w:tc>
          <w:tcPr>
            <w:tcW w:w="236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r>
        <w:trPr>
          <w:trHeight w:val="143"/>
        </w:trPr>
        <w:tc>
          <w:tcPr>
            <w:tcW w:w="380" w:type="dxa"/>
            <w:vAlign w:val="bottom"/>
          </w:tcPr>
          <w:p>
            <w:pPr>
              <w:spacing w:after="0"/>
              <w:rPr>
                <w:sz w:val="12"/>
                <w:szCs w:val="12"/>
                <w:color w:val="auto"/>
              </w:rPr>
            </w:pPr>
          </w:p>
        </w:tc>
        <w:tc>
          <w:tcPr>
            <w:tcW w:w="2360" w:type="dxa"/>
            <w:vAlign w:val="bottom"/>
            <w:tcBorders>
              <w:bottom w:val="single" w:sz="8" w:color="auto"/>
            </w:tcBorders>
          </w:tcPr>
          <w:p>
            <w:pPr>
              <w:spacing w:after="0"/>
              <w:rPr>
                <w:sz w:val="12"/>
                <w:szCs w:val="12"/>
                <w:color w:val="auto"/>
              </w:rPr>
            </w:pPr>
          </w:p>
        </w:tc>
        <w:tc>
          <w:tcPr>
            <w:tcW w:w="94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8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220" w:type="dxa"/>
            <w:vAlign w:val="bottom"/>
          </w:tcPr>
          <w:p>
            <w:pPr>
              <w:spacing w:after="0"/>
              <w:rPr>
                <w:sz w:val="12"/>
                <w:szCs w:val="12"/>
                <w:color w:val="auto"/>
              </w:rPr>
            </w:pPr>
          </w:p>
        </w:tc>
        <w:tc>
          <w:tcPr>
            <w:tcW w:w="120" w:type="dxa"/>
            <w:vAlign w:val="bottom"/>
          </w:tcPr>
          <w:p>
            <w:pPr>
              <w:spacing w:after="0"/>
              <w:rPr>
                <w:sz w:val="12"/>
                <w:szCs w:val="12"/>
                <w:color w:val="auto"/>
              </w:rPr>
            </w:pPr>
          </w:p>
        </w:tc>
      </w:tr>
    </w:tbl>
    <w:p>
      <w:pPr>
        <w:spacing w:after="0" w:line="89" w:lineRule="exact"/>
        <w:rPr>
          <w:sz w:val="20"/>
          <w:szCs w:val="20"/>
          <w:color w:val="auto"/>
        </w:rPr>
      </w:pPr>
    </w:p>
    <w:p>
      <w:pPr>
        <w:ind w:left="380" w:right="240" w:hanging="372"/>
        <w:spacing w:after="0" w:line="230" w:lineRule="auto"/>
        <w:tabs>
          <w:tab w:leader="none" w:pos="380" w:val="left"/>
        </w:tabs>
        <w:numPr>
          <w:ilvl w:val="0"/>
          <w:numId w:val="24"/>
        </w:numPr>
        <w:rPr>
          <w:rFonts w:ascii="Arial" w:cs="Arial" w:eastAsia="Arial" w:hAnsi="Arial"/>
          <w:sz w:val="12"/>
          <w:szCs w:val="12"/>
          <w:color w:val="auto"/>
        </w:rPr>
      </w:pPr>
      <w:r>
        <w:rPr>
          <w:rFonts w:ascii="Arial" w:cs="Arial" w:eastAsia="Arial" w:hAnsi="Arial"/>
          <w:sz w:val="14"/>
          <w:szCs w:val="14"/>
          <w:color w:val="auto"/>
        </w:rPr>
        <w:t>The annualized weighted average cost of debt as of June 30, 2017, excluding debt issuance costs, was 3.70% exclusive of the fee on the undrawn commitment on the Credit Facility and 3.43% of upfront fees on SBA debentures.</w:t>
      </w:r>
    </w:p>
    <w:p>
      <w:pPr>
        <w:ind w:left="380" w:hanging="372"/>
        <w:spacing w:after="0"/>
        <w:tabs>
          <w:tab w:leader="none" w:pos="380" w:val="left"/>
        </w:tabs>
        <w:numPr>
          <w:ilvl w:val="0"/>
          <w:numId w:val="24"/>
        </w:numPr>
        <w:rPr>
          <w:rFonts w:ascii="Arial" w:cs="Arial" w:eastAsia="Arial" w:hAnsi="Arial"/>
          <w:sz w:val="12"/>
          <w:szCs w:val="12"/>
          <w:color w:val="auto"/>
        </w:rPr>
      </w:pPr>
      <w:r>
        <w:rPr>
          <w:rFonts w:ascii="Arial" w:cs="Arial" w:eastAsia="Arial" w:hAnsi="Arial"/>
          <w:sz w:val="14"/>
          <w:szCs w:val="14"/>
          <w:color w:val="auto"/>
        </w:rPr>
        <w:t>Unfunded debt and equity investments are disclosed in the Consolidated Schedule of Investments and Note 11 of our Consolidated Financial Statements</w:t>
      </w:r>
    </w:p>
    <w:p>
      <w:pPr>
        <w:spacing w:after="0" w:line="111" w:lineRule="exact"/>
        <w:rPr>
          <w:sz w:val="20"/>
          <w:szCs w:val="20"/>
          <w:color w:val="auto"/>
        </w:rPr>
      </w:pPr>
    </w:p>
    <w:p>
      <w:pPr>
        <w:ind w:right="140" w:firstLine="434"/>
        <w:spacing w:after="0" w:line="277" w:lineRule="auto"/>
        <w:rPr>
          <w:sz w:val="20"/>
          <w:szCs w:val="20"/>
          <w:color w:val="auto"/>
        </w:rPr>
      </w:pPr>
      <w:r>
        <w:rPr>
          <w:rFonts w:ascii="Arial" w:cs="Arial" w:eastAsia="Arial" w:hAnsi="Arial"/>
          <w:sz w:val="12"/>
          <w:szCs w:val="12"/>
          <w:color w:val="auto"/>
        </w:rPr>
        <w:t>We have entered into certain contracts under which we have material future commitments. Under our Investment Management Agreement, which was most recently reapproved by our board of directors, including a majority of our directors who are not interested persons of us or the Investment Adviser, in February 2017, PennantPark Investment Advisers serves as our Investment Adviser. PennantPark Investment, through the Investment Adviser, provides similar services to our SBIC Funds under their investment management agreements with us. Our SBIC Funds’ investment management agreements do not affect the management or incentive fees that we pay to the Investment Adviser on a consolidated basis. Payments under our Investment Management Agreement in each reporting period are equal to (1) a management fee equal to a percentage of the value of our average adjusted gross assets and (2) an incentive fee based on our performance.</w:t>
      </w:r>
    </w:p>
    <w:p>
      <w:pPr>
        <w:spacing w:after="0" w:line="95" w:lineRule="exact"/>
        <w:rPr>
          <w:sz w:val="20"/>
          <w:szCs w:val="20"/>
          <w:color w:val="auto"/>
        </w:rPr>
      </w:pPr>
    </w:p>
    <w:p>
      <w:pPr>
        <w:ind w:right="160" w:firstLine="434"/>
        <w:spacing w:after="0" w:line="229" w:lineRule="auto"/>
        <w:rPr>
          <w:sz w:val="20"/>
          <w:szCs w:val="20"/>
          <w:color w:val="auto"/>
        </w:rPr>
      </w:pPr>
      <w:r>
        <w:rPr>
          <w:rFonts w:ascii="Arial" w:cs="Arial" w:eastAsia="Arial" w:hAnsi="Arial"/>
          <w:sz w:val="14"/>
          <w:szCs w:val="14"/>
          <w:color w:val="auto"/>
        </w:rPr>
        <w:t>Under our Administration Agreement, which was most recently reapproved by our board of directors, including a majority of our directors who are not interested persons of us, in February 2017, PennantPark Investment Administration furnishes us with office facilities and administrative services necessary to conduct our day-to-day operations. PennantPark Investment, through the Administrator, provides similar services to our SBIC Funds under their administration agreements, which are intended to have no effect on the consolidated administration fee. If requested to provide managerial assistance to our portfolio companies, we or the Administrator will be paid an additional amount based on the services provided. Payment under our Administration Agreement is based upon our allocable portion of the Administrator’s overhead in performing its obligations under our Administration Agreement, including rent and our allocable portion of the costs of our Chief Compliance Officer, Chief Financial Officer and their respective staffs.</w:t>
      </w:r>
    </w:p>
    <w:p>
      <w:pPr>
        <w:spacing w:after="0" w:line="118" w:lineRule="exact"/>
        <w:rPr>
          <w:sz w:val="20"/>
          <w:szCs w:val="20"/>
          <w:color w:val="auto"/>
        </w:rPr>
      </w:pPr>
    </w:p>
    <w:p>
      <w:pPr>
        <w:ind w:right="500" w:firstLine="434"/>
        <w:spacing w:after="0" w:line="238" w:lineRule="auto"/>
        <w:rPr>
          <w:sz w:val="20"/>
          <w:szCs w:val="20"/>
          <w:color w:val="auto"/>
        </w:rPr>
      </w:pPr>
      <w:r>
        <w:rPr>
          <w:rFonts w:ascii="Arial" w:cs="Arial" w:eastAsia="Arial" w:hAnsi="Arial"/>
          <w:sz w:val="14"/>
          <w:szCs w:val="14"/>
          <w:color w:val="auto"/>
        </w:rPr>
        <w:t>If any of our contractual obligations discussed above is terminated, our costs under new agreements that we enter into may increase. In addition, we will likely incur significant time and expense in locating alternative parties to provide the services we expect to receive under our Investment Management Agreement and our Administration Agreement. Any new investment management agreement would also be subject to approval by our stockholders.</w:t>
      </w:r>
    </w:p>
    <w:p>
      <w:pPr>
        <w:spacing w:after="0" w:line="115"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Off-Balance-Sheet Arrangements</w:t>
      </w:r>
    </w:p>
    <w:p>
      <w:pPr>
        <w:spacing w:after="0" w:line="136" w:lineRule="exact"/>
        <w:rPr>
          <w:sz w:val="20"/>
          <w:szCs w:val="20"/>
          <w:color w:val="auto"/>
        </w:rPr>
      </w:pPr>
    </w:p>
    <w:p>
      <w:pPr>
        <w:ind w:left="440"/>
        <w:spacing w:after="0"/>
        <w:rPr>
          <w:sz w:val="20"/>
          <w:szCs w:val="20"/>
          <w:color w:val="auto"/>
        </w:rPr>
      </w:pPr>
      <w:r>
        <w:rPr>
          <w:rFonts w:ascii="Arial" w:cs="Arial" w:eastAsia="Arial" w:hAnsi="Arial"/>
          <w:sz w:val="14"/>
          <w:szCs w:val="14"/>
          <w:color w:val="auto"/>
        </w:rPr>
        <w:t>We currently engage in no off-balance-sheet arrangements other than our funding requirements for the unfunded investments described above.</w:t>
      </w:r>
    </w:p>
    <w:p>
      <w:pPr>
        <w:spacing w:after="0" w:line="136"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Distributions</w:t>
      </w:r>
    </w:p>
    <w:p>
      <w:pPr>
        <w:spacing w:after="0" w:line="136" w:lineRule="exact"/>
        <w:rPr>
          <w:sz w:val="20"/>
          <w:szCs w:val="20"/>
          <w:color w:val="auto"/>
        </w:rPr>
      </w:pPr>
    </w:p>
    <w:p>
      <w:pPr>
        <w:ind w:right="160" w:firstLine="434"/>
        <w:spacing w:after="0" w:line="238" w:lineRule="auto"/>
        <w:rPr>
          <w:sz w:val="20"/>
          <w:szCs w:val="20"/>
          <w:color w:val="auto"/>
        </w:rPr>
      </w:pPr>
      <w:r>
        <w:rPr>
          <w:rFonts w:ascii="Arial" w:cs="Arial" w:eastAsia="Arial" w:hAnsi="Arial"/>
          <w:sz w:val="14"/>
          <w:szCs w:val="14"/>
          <w:color w:val="auto"/>
        </w:rPr>
        <w:t>In order to be treated as a RIC for federal income tax purposes and to not be subject to corporate-level tax on undistributed income or gains, we are required, under Subchapter M of the Code, to annually distribute dividends for U.S. federal income tax purposes to our stockholders out of the assets legally available for distribution of an amount generally at least equal to 90% of our investment company taxable income, determined without regard to any deduction for dividends paid.</w:t>
      </w:r>
    </w:p>
    <w:p>
      <w:pPr>
        <w:spacing w:after="0" w:line="115" w:lineRule="exact"/>
        <w:rPr>
          <w:sz w:val="20"/>
          <w:szCs w:val="20"/>
          <w:color w:val="auto"/>
        </w:rPr>
      </w:pPr>
    </w:p>
    <w:p>
      <w:pPr>
        <w:ind w:right="120" w:firstLine="434"/>
        <w:spacing w:after="0" w:line="228" w:lineRule="auto"/>
        <w:rPr>
          <w:sz w:val="20"/>
          <w:szCs w:val="20"/>
          <w:color w:val="auto"/>
        </w:rPr>
      </w:pPr>
      <w:r>
        <w:rPr>
          <w:rFonts w:ascii="Arial" w:cs="Arial" w:eastAsia="Arial" w:hAnsi="Arial"/>
          <w:sz w:val="14"/>
          <w:szCs w:val="14"/>
          <w:color w:val="auto"/>
        </w:rPr>
        <w:t>Although not required for us to maintain our RIC tax status, in order to preclude the imposition of a 4% nondeductible federal excise tax imposed on RICs, we must distribute dividends for U.S. federal income tax purposes to our stockholders in respect of each calendar year of an amount at least equal to the sum of (1) 98% of our net ordinary income (subject to certain deferrals and elections) for the calendar year, (2) 98.2% of our capital gain net income (adjusted for certain ordinary losses) for the one-year period ending on October 31 of the calendar year plus (3) the sum of any net ordinary income plus capital gain net income for preceding years that was not distributed during such years and on which we did not incur any federal income tax. In addition, although we may distribute realized net capital gains (i.e., net long-term capital gains in excess of net short-term capital losses), if any, at least annually, out of the assets legally available for such distributions in the manner described above, we have retained and may continue to retain such net capital gains or investment company taxable income, contingent on our ability to be subject to tax as a RIC, in order to provide us with additional liquidity.</w:t>
      </w:r>
    </w:p>
    <w:p>
      <w:pPr>
        <w:spacing w:after="0" w:line="333"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72390</wp:posOffset>
            </wp:positionV>
            <wp:extent cx="7149465" cy="1714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32" w:name="page33"/>
    <w:bookmarkEnd w:id="32"/>
    <w:p>
      <w:pPr>
        <w:ind w:right="380" w:firstLine="434"/>
        <w:spacing w:after="0" w:line="251" w:lineRule="auto"/>
        <w:rPr>
          <w:sz w:val="20"/>
          <w:szCs w:val="20"/>
          <w:color w:val="auto"/>
        </w:rPr>
      </w:pPr>
      <w:r>
        <w:rPr>
          <w:rFonts w:ascii="Arial" w:cs="Arial" w:eastAsia="Arial" w:hAnsi="Arial"/>
          <w:sz w:val="13"/>
          <w:szCs w:val="13"/>
          <w:color w:val="auto"/>
        </w:rPr>
        <w:t>During the three and nine months ended June 30, 2017, we declared distributions of $0.18 and $0.64 per share, respectively, for total distributions of $12.8 million and $45.5 million, respectively. For the same periods in the prior year, we declared distributions of $0.28 and $0.84 per share, respectively, for total distributions of $19.9 million and $59.9 million, respectively. We monitor available net investment income to determine if a return of capital for taxation purposes may occur for the fiscal year. To the extent our taxable earnings fall below the total amount of our distributions for any given fiscal year, common stockholders will be notified of the portion of those distributions deemed to be a return of capital. Tax characteristics of all distributions will be reported to stockholders subject to information reporting on Form 1099-DIV after the end of the calendar year and in our periodic reports filed with the SEC.</w:t>
      </w:r>
    </w:p>
    <w:p>
      <w:pPr>
        <w:spacing w:after="0" w:line="109" w:lineRule="exact"/>
        <w:rPr>
          <w:sz w:val="20"/>
          <w:szCs w:val="20"/>
          <w:color w:val="auto"/>
        </w:rPr>
      </w:pPr>
    </w:p>
    <w:p>
      <w:pPr>
        <w:ind w:left="440"/>
        <w:spacing w:after="0"/>
        <w:rPr>
          <w:sz w:val="20"/>
          <w:szCs w:val="20"/>
          <w:color w:val="auto"/>
        </w:rPr>
      </w:pPr>
      <w:r>
        <w:rPr>
          <w:rFonts w:ascii="Arial" w:cs="Arial" w:eastAsia="Arial" w:hAnsi="Arial"/>
          <w:sz w:val="14"/>
          <w:szCs w:val="14"/>
          <w:color w:val="auto"/>
        </w:rPr>
        <w:t>We intend to continue to make quarterly distributions to our stockholders. Our quarterly distributions, if any, are determined by the board of directors.</w:t>
      </w:r>
    </w:p>
    <w:p>
      <w:pPr>
        <w:spacing w:after="0" w:line="136" w:lineRule="exact"/>
        <w:rPr>
          <w:sz w:val="20"/>
          <w:szCs w:val="20"/>
          <w:color w:val="auto"/>
        </w:rPr>
      </w:pPr>
    </w:p>
    <w:p>
      <w:pPr>
        <w:ind w:right="600" w:firstLine="434"/>
        <w:spacing w:after="0" w:line="253" w:lineRule="auto"/>
        <w:rPr>
          <w:sz w:val="20"/>
          <w:szCs w:val="20"/>
          <w:color w:val="auto"/>
        </w:rPr>
      </w:pPr>
      <w:r>
        <w:rPr>
          <w:rFonts w:ascii="Arial" w:cs="Arial" w:eastAsia="Arial" w:hAnsi="Arial"/>
          <w:sz w:val="14"/>
          <w:szCs w:val="14"/>
          <w:color w:val="auto"/>
        </w:rPr>
        <w:t>We maintain an “opt out” dividend reinvestment plan for our common stockholders. As a result, if we declare a distribution, then stockholders’ cash distributions will be automatically reinvested in additional shares of our common stock, unless they specifically “opt out” of the dividend reinvestment plan so as to receive cash distributions.</w:t>
      </w:r>
    </w:p>
    <w:p>
      <w:pPr>
        <w:spacing w:after="0" w:line="106" w:lineRule="exact"/>
        <w:rPr>
          <w:sz w:val="20"/>
          <w:szCs w:val="20"/>
          <w:color w:val="auto"/>
        </w:rPr>
      </w:pPr>
    </w:p>
    <w:p>
      <w:pPr>
        <w:ind w:right="140" w:firstLine="434"/>
        <w:spacing w:after="0" w:line="233" w:lineRule="auto"/>
        <w:rPr>
          <w:sz w:val="20"/>
          <w:szCs w:val="20"/>
          <w:color w:val="auto"/>
        </w:rPr>
      </w:pPr>
      <w:r>
        <w:rPr>
          <w:rFonts w:ascii="Arial" w:cs="Arial" w:eastAsia="Arial" w:hAnsi="Arial"/>
          <w:sz w:val="14"/>
          <w:szCs w:val="14"/>
          <w:color w:val="auto"/>
        </w:rPr>
        <w:t>We may not be able to achieve operating results that will allow us to make distributions at a specific level or to increase the amount of these distributions from time to time. In addition, we may be limited in our ability to make distributions due to the asset coverage ratio for borrowings applicable to us as a BDC under the 1940 Act and/or due to provisions in future credit facilities. If we do not distribute a certain percentage of our income annually, we will suffer adverse tax consequences, including possible loss of our ability to be subject to tax as a RIC. We cannot assure stockholders that they will receive any distributions at a particular level.</w:t>
      </w:r>
    </w:p>
    <w:p>
      <w:pPr>
        <w:spacing w:after="0" w:line="113" w:lineRule="exact"/>
        <w:rPr>
          <w:sz w:val="20"/>
          <w:szCs w:val="20"/>
          <w:color w:val="auto"/>
        </w:rPr>
      </w:pPr>
    </w:p>
    <w:p>
      <w:pPr>
        <w:spacing w:after="0"/>
        <w:tabs>
          <w:tab w:leader="none" w:pos="880" w:val="left"/>
        </w:tabs>
        <w:rPr>
          <w:sz w:val="20"/>
          <w:szCs w:val="20"/>
          <w:color w:val="auto"/>
        </w:rPr>
      </w:pPr>
      <w:r>
        <w:rPr>
          <w:rFonts w:ascii="Arial" w:cs="Arial" w:eastAsia="Arial" w:hAnsi="Arial"/>
          <w:sz w:val="14"/>
          <w:szCs w:val="14"/>
          <w:b w:val="1"/>
          <w:bCs w:val="1"/>
          <w:color w:val="auto"/>
        </w:rPr>
        <w:t>Item 3.</w:t>
      </w:r>
      <w:r>
        <w:rPr>
          <w:sz w:val="20"/>
          <w:szCs w:val="20"/>
          <w:color w:val="auto"/>
        </w:rPr>
        <w:tab/>
      </w:r>
      <w:r>
        <w:rPr>
          <w:rFonts w:ascii="Arial" w:cs="Arial" w:eastAsia="Arial" w:hAnsi="Arial"/>
          <w:sz w:val="13"/>
          <w:szCs w:val="13"/>
          <w:b w:val="1"/>
          <w:bCs w:val="1"/>
          <w:color w:val="auto"/>
        </w:rPr>
        <w:t>Quantitative And Qualitative Disclosures About Market Risk</w:t>
      </w:r>
    </w:p>
    <w:p>
      <w:pPr>
        <w:spacing w:after="0" w:line="140" w:lineRule="exact"/>
        <w:rPr>
          <w:sz w:val="20"/>
          <w:szCs w:val="20"/>
          <w:color w:val="auto"/>
        </w:rPr>
      </w:pPr>
    </w:p>
    <w:p>
      <w:pPr>
        <w:ind w:right="120" w:firstLine="434"/>
        <w:spacing w:after="0" w:line="231" w:lineRule="auto"/>
        <w:rPr>
          <w:sz w:val="20"/>
          <w:szCs w:val="20"/>
          <w:color w:val="auto"/>
        </w:rPr>
      </w:pPr>
      <w:r>
        <w:rPr>
          <w:rFonts w:ascii="Arial" w:cs="Arial" w:eastAsia="Arial" w:hAnsi="Arial"/>
          <w:sz w:val="14"/>
          <w:szCs w:val="14"/>
          <w:color w:val="auto"/>
        </w:rPr>
        <w:t>We are subject to financial market risks, including changes in interest rates. As of June 30, 2017, our debt portfolio consisted of 85% variable-rate investments (including 24% where LIBOR was below the floor) and 15% fixed-rate investments. The variable-rate loans are usually based on a LIBOR rate and typically have durations of three months after which they reset to current market interest rates. Variable-rate investments subject to a floor generally reset by reference to the current market index after one to nine months only if the index exceeds the floor. In regards to variable-rate instruments with a floor, we do not benefit from increases in interest rates until such rates exceed the floor and thereafter benefit from market rates above any such floor. In contrast, our cost of funds, to the extent it is not fixed, will fluctuate with changes in interest rates since it has no floor.</w:t>
      </w:r>
    </w:p>
    <w:p>
      <w:pPr>
        <w:spacing w:after="0" w:line="116" w:lineRule="exact"/>
        <w:rPr>
          <w:sz w:val="20"/>
          <w:szCs w:val="20"/>
          <w:color w:val="auto"/>
        </w:rPr>
      </w:pPr>
    </w:p>
    <w:p>
      <w:pPr>
        <w:ind w:right="440" w:firstLine="434"/>
        <w:spacing w:after="0" w:line="253" w:lineRule="auto"/>
        <w:rPr>
          <w:sz w:val="20"/>
          <w:szCs w:val="20"/>
          <w:color w:val="auto"/>
        </w:rPr>
      </w:pPr>
      <w:r>
        <w:rPr>
          <w:rFonts w:ascii="Arial" w:cs="Arial" w:eastAsia="Arial" w:hAnsi="Arial"/>
          <w:sz w:val="14"/>
          <w:szCs w:val="14"/>
          <w:color w:val="auto"/>
        </w:rPr>
        <w:t>Assuming that the most recent Consolidated Statements of Assets and Liabilities was to remain constant, and no actions were taken to alter the interest rate sensitivity, the following table shows the annualized impact of hypothetical base rate changes in interest rates:</w:t>
      </w:r>
    </w:p>
    <w:p>
      <w:pPr>
        <w:spacing w:after="0" w:line="10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6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3000" w:type="dxa"/>
            <w:vAlign w:val="bottom"/>
          </w:tcPr>
          <w:p>
            <w:pPr>
              <w:jc w:val="center"/>
              <w:ind w:right="408"/>
              <w:spacing w:after="0"/>
              <w:rPr>
                <w:sz w:val="20"/>
                <w:szCs w:val="20"/>
                <w:color w:val="auto"/>
              </w:rPr>
            </w:pPr>
            <w:r>
              <w:rPr>
                <w:rFonts w:ascii="Arial" w:cs="Arial" w:eastAsia="Arial" w:hAnsi="Arial"/>
                <w:sz w:val="14"/>
                <w:szCs w:val="14"/>
                <w:b w:val="1"/>
                <w:bCs w:val="1"/>
                <w:color w:val="auto"/>
                <w:w w:val="93"/>
              </w:rPr>
              <w:t>Change In Interest Income,</w:t>
            </w:r>
          </w:p>
        </w:tc>
        <w:tc>
          <w:tcPr>
            <w:tcW w:w="34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3120" w:type="dxa"/>
            <w:vAlign w:val="bottom"/>
            <w:gridSpan w:val="2"/>
          </w:tcPr>
          <w:p>
            <w:pPr>
              <w:jc w:val="center"/>
              <w:ind w:right="620"/>
              <w:spacing w:after="0"/>
              <w:rPr>
                <w:sz w:val="20"/>
                <w:szCs w:val="20"/>
                <w:color w:val="auto"/>
              </w:rPr>
            </w:pPr>
            <w:r>
              <w:rPr>
                <w:rFonts w:ascii="Arial" w:cs="Arial" w:eastAsia="Arial" w:hAnsi="Arial"/>
                <w:sz w:val="14"/>
                <w:szCs w:val="14"/>
                <w:b w:val="1"/>
                <w:bCs w:val="1"/>
                <w:color w:val="auto"/>
                <w:w w:val="94"/>
              </w:rPr>
              <w:t>Change In Interest Income,</w:t>
            </w:r>
          </w:p>
        </w:tc>
        <w:tc>
          <w:tcPr>
            <w:tcW w:w="0" w:type="dxa"/>
            <w:vAlign w:val="bottom"/>
          </w:tcPr>
          <w:p>
            <w:pPr>
              <w:spacing w:after="0"/>
              <w:rPr>
                <w:sz w:val="1"/>
                <w:szCs w:val="1"/>
                <w:color w:val="auto"/>
              </w:rPr>
            </w:pPr>
          </w:p>
        </w:tc>
      </w:tr>
      <w:tr>
        <w:trPr>
          <w:trHeight w:val="148"/>
        </w:trPr>
        <w:tc>
          <w:tcPr>
            <w:tcW w:w="360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3"/>
              </w:rPr>
              <w:t>Change In Interest Rates</w:t>
            </w:r>
          </w:p>
        </w:tc>
        <w:tc>
          <w:tcPr>
            <w:tcW w:w="22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3000" w:type="dxa"/>
            <w:vAlign w:val="bottom"/>
          </w:tcPr>
          <w:p>
            <w:pPr>
              <w:jc w:val="center"/>
              <w:ind w:right="408"/>
              <w:spacing w:after="0" w:line="149" w:lineRule="exact"/>
              <w:rPr>
                <w:sz w:val="20"/>
                <w:szCs w:val="20"/>
                <w:color w:val="auto"/>
              </w:rPr>
            </w:pPr>
            <w:r>
              <w:rPr>
                <w:rFonts w:ascii="Arial" w:cs="Arial" w:eastAsia="Arial" w:hAnsi="Arial"/>
                <w:sz w:val="14"/>
                <w:szCs w:val="14"/>
                <w:b w:val="1"/>
                <w:bCs w:val="1"/>
                <w:color w:val="auto"/>
                <w:w w:val="93"/>
              </w:rPr>
              <w:t>Net Of Interest Expense</w:t>
            </w:r>
          </w:p>
        </w:tc>
        <w:tc>
          <w:tcPr>
            <w:tcW w:w="34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3120" w:type="dxa"/>
            <w:vAlign w:val="bottom"/>
            <w:gridSpan w:val="2"/>
          </w:tcPr>
          <w:p>
            <w:pPr>
              <w:jc w:val="center"/>
              <w:ind w:right="620"/>
              <w:spacing w:after="0" w:line="149" w:lineRule="exact"/>
              <w:rPr>
                <w:sz w:val="20"/>
                <w:szCs w:val="20"/>
                <w:color w:val="auto"/>
              </w:rPr>
            </w:pPr>
            <w:r>
              <w:rPr>
                <w:rFonts w:ascii="Arial" w:cs="Arial" w:eastAsia="Arial" w:hAnsi="Arial"/>
                <w:sz w:val="14"/>
                <w:szCs w:val="14"/>
                <w:b w:val="1"/>
                <w:bCs w:val="1"/>
                <w:color w:val="auto"/>
                <w:w w:val="97"/>
              </w:rPr>
              <w:t>Net Of Interest</w:t>
            </w:r>
          </w:p>
        </w:tc>
        <w:tc>
          <w:tcPr>
            <w:tcW w:w="0" w:type="dxa"/>
            <w:vAlign w:val="bottom"/>
          </w:tcPr>
          <w:p>
            <w:pPr>
              <w:spacing w:after="0"/>
              <w:rPr>
                <w:sz w:val="1"/>
                <w:szCs w:val="1"/>
                <w:color w:val="auto"/>
              </w:rPr>
            </w:pPr>
          </w:p>
        </w:tc>
      </w:tr>
      <w:tr>
        <w:trPr>
          <w:trHeight w:val="171"/>
        </w:trPr>
        <w:tc>
          <w:tcPr>
            <w:tcW w:w="3600" w:type="dxa"/>
            <w:vAlign w:val="bottom"/>
            <w:vMerge w:val="continue"/>
          </w:tcPr>
          <w:p>
            <w:pPr>
              <w:spacing w:after="0"/>
              <w:rPr>
                <w:sz w:val="14"/>
                <w:szCs w:val="14"/>
                <w:color w:val="auto"/>
              </w:rPr>
            </w:pPr>
          </w:p>
        </w:tc>
        <w:tc>
          <w:tcPr>
            <w:tcW w:w="22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3000" w:type="dxa"/>
            <w:vAlign w:val="bottom"/>
          </w:tcPr>
          <w:p>
            <w:pPr>
              <w:jc w:val="center"/>
              <w:ind w:right="428"/>
              <w:spacing w:after="0"/>
              <w:rPr>
                <w:sz w:val="20"/>
                <w:szCs w:val="20"/>
                <w:color w:val="auto"/>
              </w:rPr>
            </w:pPr>
            <w:r>
              <w:rPr>
                <w:rFonts w:ascii="Arial" w:cs="Arial" w:eastAsia="Arial" w:hAnsi="Arial"/>
                <w:sz w:val="14"/>
                <w:szCs w:val="14"/>
                <w:b w:val="1"/>
                <w:bCs w:val="1"/>
                <w:color w:val="auto"/>
                <w:w w:val="93"/>
              </w:rPr>
              <w:t>(In Thousands)</w:t>
            </w:r>
          </w:p>
        </w:tc>
        <w:tc>
          <w:tcPr>
            <w:tcW w:w="34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3120" w:type="dxa"/>
            <w:vAlign w:val="bottom"/>
            <w:gridSpan w:val="2"/>
          </w:tcPr>
          <w:p>
            <w:pPr>
              <w:jc w:val="center"/>
              <w:ind w:right="620"/>
              <w:spacing w:after="0"/>
              <w:rPr>
                <w:sz w:val="20"/>
                <w:szCs w:val="20"/>
                <w:color w:val="auto"/>
              </w:rPr>
            </w:pPr>
            <w:r>
              <w:rPr>
                <w:rFonts w:ascii="Arial" w:cs="Arial" w:eastAsia="Arial" w:hAnsi="Arial"/>
                <w:sz w:val="14"/>
                <w:szCs w:val="14"/>
                <w:b w:val="1"/>
                <w:bCs w:val="1"/>
                <w:color w:val="auto"/>
                <w:w w:val="89"/>
              </w:rPr>
              <w:t>Expense Per Share</w:t>
            </w:r>
          </w:p>
        </w:tc>
        <w:tc>
          <w:tcPr>
            <w:tcW w:w="0" w:type="dxa"/>
            <w:vAlign w:val="bottom"/>
          </w:tcPr>
          <w:p>
            <w:pPr>
              <w:spacing w:after="0"/>
              <w:rPr>
                <w:sz w:val="1"/>
                <w:szCs w:val="1"/>
                <w:color w:val="auto"/>
              </w:rPr>
            </w:pPr>
          </w:p>
        </w:tc>
      </w:tr>
      <w:tr>
        <w:trPr>
          <w:trHeight w:val="156"/>
        </w:trPr>
        <w:tc>
          <w:tcPr>
            <w:tcW w:w="3600" w:type="dxa"/>
            <w:vAlign w:val="bottom"/>
            <w:tcBorders>
              <w:top w:val="single" w:sz="8" w:color="auto"/>
            </w:tcBorders>
            <w:shd w:val="clear" w:color="auto" w:fill="CCECFF"/>
          </w:tcPr>
          <w:p>
            <w:pPr>
              <w:jc w:val="center"/>
              <w:spacing w:after="0" w:line="155" w:lineRule="exact"/>
              <w:rPr>
                <w:sz w:val="20"/>
                <w:szCs w:val="20"/>
                <w:color w:val="auto"/>
              </w:rPr>
            </w:pPr>
            <w:r>
              <w:rPr>
                <w:rFonts w:ascii="Arial" w:cs="Arial" w:eastAsia="Arial" w:hAnsi="Arial"/>
                <w:sz w:val="14"/>
                <w:szCs w:val="14"/>
                <w:color w:val="auto"/>
                <w:w w:val="95"/>
              </w:rPr>
              <w:t>Up 1%</w:t>
            </w:r>
          </w:p>
        </w:tc>
        <w:tc>
          <w:tcPr>
            <w:tcW w:w="220" w:type="dxa"/>
            <w:vAlign w:val="bottom"/>
            <w:tcBorders>
              <w:top w:val="single" w:sz="8" w:color="CCECFF"/>
            </w:tcBorders>
            <w:shd w:val="clear" w:color="auto" w:fill="CCECFF"/>
          </w:tcPr>
          <w:p>
            <w:pPr>
              <w:spacing w:after="0"/>
              <w:rPr>
                <w:sz w:val="13"/>
                <w:szCs w:val="13"/>
                <w:color w:val="auto"/>
              </w:rPr>
            </w:pPr>
          </w:p>
        </w:tc>
        <w:tc>
          <w:tcPr>
            <w:tcW w:w="480" w:type="dxa"/>
            <w:vAlign w:val="bottom"/>
            <w:tcBorders>
              <w:top w:val="single" w:sz="8" w:color="auto"/>
            </w:tcBorders>
            <w:shd w:val="clear" w:color="auto" w:fill="CCECFF"/>
          </w:tcPr>
          <w:p>
            <w:pPr>
              <w:jc w:val="right"/>
              <w:ind w:right="328"/>
              <w:spacing w:after="0" w:line="155" w:lineRule="exact"/>
              <w:rPr>
                <w:sz w:val="20"/>
                <w:szCs w:val="20"/>
                <w:color w:val="auto"/>
              </w:rPr>
            </w:pPr>
            <w:r>
              <w:rPr>
                <w:rFonts w:ascii="Arial" w:cs="Arial" w:eastAsia="Arial" w:hAnsi="Arial"/>
                <w:sz w:val="14"/>
                <w:szCs w:val="14"/>
                <w:color w:val="auto"/>
                <w:w w:val="76"/>
              </w:rPr>
              <w:t>$</w:t>
            </w:r>
          </w:p>
        </w:tc>
        <w:tc>
          <w:tcPr>
            <w:tcW w:w="3000" w:type="dxa"/>
            <w:vAlign w:val="bottom"/>
            <w:tcBorders>
              <w:top w:val="single" w:sz="8" w:color="auto"/>
            </w:tcBorders>
            <w:shd w:val="clear" w:color="auto" w:fill="CCECFF"/>
          </w:tcPr>
          <w:p>
            <w:pPr>
              <w:jc w:val="right"/>
              <w:spacing w:after="0" w:line="155" w:lineRule="exact"/>
              <w:rPr>
                <w:sz w:val="20"/>
                <w:szCs w:val="20"/>
                <w:color w:val="auto"/>
              </w:rPr>
            </w:pPr>
            <w:r>
              <w:rPr>
                <w:rFonts w:ascii="Arial" w:cs="Arial" w:eastAsia="Arial" w:hAnsi="Arial"/>
                <w:sz w:val="14"/>
                <w:szCs w:val="14"/>
                <w:color w:val="auto"/>
              </w:rPr>
              <w:t>6,401</w:t>
            </w:r>
          </w:p>
        </w:tc>
        <w:tc>
          <w:tcPr>
            <w:tcW w:w="340" w:type="dxa"/>
            <w:vAlign w:val="bottom"/>
            <w:tcBorders>
              <w:top w:val="single" w:sz="8" w:color="CCECFF"/>
            </w:tcBorders>
            <w:shd w:val="clear" w:color="auto" w:fill="CCECFF"/>
          </w:tcPr>
          <w:p>
            <w:pPr>
              <w:spacing w:after="0"/>
              <w:rPr>
                <w:sz w:val="13"/>
                <w:szCs w:val="13"/>
                <w:color w:val="auto"/>
              </w:rPr>
            </w:pPr>
          </w:p>
        </w:tc>
        <w:tc>
          <w:tcPr>
            <w:tcW w:w="480" w:type="dxa"/>
            <w:vAlign w:val="bottom"/>
            <w:tcBorders>
              <w:top w:val="single" w:sz="8" w:color="auto"/>
            </w:tcBorders>
            <w:shd w:val="clear" w:color="auto" w:fill="CCECFF"/>
          </w:tcPr>
          <w:p>
            <w:pPr>
              <w:jc w:val="right"/>
              <w:ind w:right="369"/>
              <w:spacing w:after="0"/>
              <w:rPr>
                <w:sz w:val="20"/>
                <w:szCs w:val="20"/>
                <w:color w:val="auto"/>
              </w:rPr>
            </w:pPr>
            <w:r>
              <w:rPr>
                <w:rFonts w:ascii="Arial" w:cs="Arial" w:eastAsia="Arial" w:hAnsi="Arial"/>
                <w:sz w:val="10"/>
                <w:szCs w:val="10"/>
                <w:color w:val="auto"/>
                <w:w w:val="71"/>
              </w:rPr>
              <w:t>$</w:t>
            </w:r>
          </w:p>
        </w:tc>
        <w:tc>
          <w:tcPr>
            <w:tcW w:w="3000" w:type="dxa"/>
            <w:vAlign w:val="bottom"/>
            <w:tcBorders>
              <w:top w:val="single" w:sz="8" w:color="auto"/>
            </w:tcBorders>
            <w:shd w:val="clear" w:color="auto" w:fill="CCECFF"/>
          </w:tcPr>
          <w:p>
            <w:pPr>
              <w:jc w:val="right"/>
              <w:spacing w:after="0" w:line="155" w:lineRule="exact"/>
              <w:rPr>
                <w:sz w:val="20"/>
                <w:szCs w:val="20"/>
                <w:color w:val="auto"/>
              </w:rPr>
            </w:pPr>
            <w:r>
              <w:rPr>
                <w:rFonts w:ascii="Arial" w:cs="Arial" w:eastAsia="Arial" w:hAnsi="Arial"/>
                <w:sz w:val="14"/>
                <w:szCs w:val="14"/>
                <w:color w:val="auto"/>
              </w:rPr>
              <w:t>0.09</w:t>
            </w:r>
          </w:p>
        </w:tc>
        <w:tc>
          <w:tcPr>
            <w:tcW w:w="120" w:type="dxa"/>
            <w:vAlign w:val="bottom"/>
            <w:tcBorders>
              <w:top w:val="single" w:sz="8" w:color="CCECFF"/>
            </w:tcBorders>
            <w:shd w:val="clear" w:color="auto" w:fill="CCECFF"/>
          </w:tcPr>
          <w:p>
            <w:pPr>
              <w:spacing w:after="0"/>
              <w:rPr>
                <w:sz w:val="13"/>
                <w:szCs w:val="13"/>
                <w:color w:val="auto"/>
              </w:rPr>
            </w:pPr>
          </w:p>
        </w:tc>
        <w:tc>
          <w:tcPr>
            <w:tcW w:w="0" w:type="dxa"/>
            <w:vAlign w:val="bottom"/>
          </w:tcPr>
          <w:p>
            <w:pPr>
              <w:spacing w:after="0"/>
              <w:rPr>
                <w:sz w:val="1"/>
                <w:szCs w:val="1"/>
                <w:color w:val="auto"/>
              </w:rPr>
            </w:pPr>
          </w:p>
        </w:tc>
      </w:tr>
      <w:tr>
        <w:trPr>
          <w:trHeight w:val="162"/>
        </w:trPr>
        <w:tc>
          <w:tcPr>
            <w:tcW w:w="3600" w:type="dxa"/>
            <w:vAlign w:val="bottom"/>
          </w:tcPr>
          <w:p>
            <w:pPr>
              <w:jc w:val="center"/>
              <w:spacing w:after="0"/>
              <w:rPr>
                <w:sz w:val="20"/>
                <w:szCs w:val="20"/>
                <w:color w:val="auto"/>
              </w:rPr>
            </w:pPr>
            <w:r>
              <w:rPr>
                <w:rFonts w:ascii="Arial" w:cs="Arial" w:eastAsia="Arial" w:hAnsi="Arial"/>
                <w:sz w:val="14"/>
                <w:szCs w:val="14"/>
                <w:color w:val="auto"/>
                <w:w w:val="95"/>
              </w:rPr>
              <w:t>Up 2%</w:t>
            </w:r>
          </w:p>
        </w:tc>
        <w:tc>
          <w:tcPr>
            <w:tcW w:w="700" w:type="dxa"/>
            <w:vAlign w:val="bottom"/>
            <w:gridSpan w:val="2"/>
          </w:tcPr>
          <w:p>
            <w:pPr>
              <w:jc w:val="right"/>
              <w:ind w:right="328"/>
              <w:spacing w:after="0"/>
              <w:rPr>
                <w:sz w:val="20"/>
                <w:szCs w:val="20"/>
                <w:color w:val="auto"/>
              </w:rPr>
            </w:pPr>
            <w:r>
              <w:rPr>
                <w:rFonts w:ascii="Arial" w:cs="Arial" w:eastAsia="Arial" w:hAnsi="Arial"/>
                <w:sz w:val="14"/>
                <w:szCs w:val="14"/>
                <w:color w:val="auto"/>
              </w:rPr>
              <w:t>$</w:t>
            </w:r>
          </w:p>
        </w:tc>
        <w:tc>
          <w:tcPr>
            <w:tcW w:w="3000" w:type="dxa"/>
            <w:vAlign w:val="bottom"/>
          </w:tcPr>
          <w:p>
            <w:pPr>
              <w:jc w:val="right"/>
              <w:spacing w:after="0"/>
              <w:rPr>
                <w:sz w:val="20"/>
                <w:szCs w:val="20"/>
                <w:color w:val="auto"/>
              </w:rPr>
            </w:pPr>
            <w:r>
              <w:rPr>
                <w:rFonts w:ascii="Arial" w:cs="Arial" w:eastAsia="Arial" w:hAnsi="Arial"/>
                <w:sz w:val="14"/>
                <w:szCs w:val="14"/>
                <w:color w:val="auto"/>
              </w:rPr>
              <w:t>13,861</w:t>
            </w:r>
          </w:p>
        </w:tc>
        <w:tc>
          <w:tcPr>
            <w:tcW w:w="820" w:type="dxa"/>
            <w:vAlign w:val="bottom"/>
            <w:gridSpan w:val="2"/>
          </w:tcPr>
          <w:p>
            <w:pPr>
              <w:jc w:val="right"/>
              <w:ind w:right="369"/>
              <w:spacing w:after="0"/>
              <w:rPr>
                <w:sz w:val="20"/>
                <w:szCs w:val="20"/>
                <w:color w:val="auto"/>
              </w:rPr>
            </w:pPr>
            <w:r>
              <w:rPr>
                <w:rFonts w:ascii="Arial" w:cs="Arial" w:eastAsia="Arial" w:hAnsi="Arial"/>
                <w:sz w:val="14"/>
                <w:szCs w:val="14"/>
                <w:color w:val="auto"/>
              </w:rPr>
              <w:t>$</w:t>
            </w:r>
          </w:p>
        </w:tc>
        <w:tc>
          <w:tcPr>
            <w:tcW w:w="3000" w:type="dxa"/>
            <w:vAlign w:val="bottom"/>
          </w:tcPr>
          <w:p>
            <w:pPr>
              <w:jc w:val="right"/>
              <w:spacing w:after="0"/>
              <w:rPr>
                <w:sz w:val="20"/>
                <w:szCs w:val="20"/>
                <w:color w:val="auto"/>
              </w:rPr>
            </w:pPr>
            <w:r>
              <w:rPr>
                <w:rFonts w:ascii="Arial" w:cs="Arial" w:eastAsia="Arial" w:hAnsi="Arial"/>
                <w:sz w:val="14"/>
                <w:szCs w:val="14"/>
                <w:color w:val="auto"/>
              </w:rPr>
              <w:t>0.20</w:t>
            </w: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3600" w:type="dxa"/>
            <w:vAlign w:val="bottom"/>
            <w:shd w:val="clear" w:color="auto" w:fill="CCECFF"/>
          </w:tcPr>
          <w:p>
            <w:pPr>
              <w:jc w:val="center"/>
              <w:spacing w:after="0"/>
              <w:rPr>
                <w:sz w:val="20"/>
                <w:szCs w:val="20"/>
                <w:color w:val="auto"/>
              </w:rPr>
            </w:pPr>
            <w:r>
              <w:rPr>
                <w:rFonts w:ascii="Arial" w:cs="Arial" w:eastAsia="Arial" w:hAnsi="Arial"/>
                <w:sz w:val="14"/>
                <w:szCs w:val="14"/>
                <w:color w:val="auto"/>
                <w:w w:val="95"/>
              </w:rPr>
              <w:t>Up 3%</w:t>
            </w:r>
          </w:p>
        </w:tc>
        <w:tc>
          <w:tcPr>
            <w:tcW w:w="700" w:type="dxa"/>
            <w:vAlign w:val="bottom"/>
            <w:gridSpan w:val="2"/>
            <w:shd w:val="clear" w:color="auto" w:fill="CCECFF"/>
          </w:tcPr>
          <w:p>
            <w:pPr>
              <w:jc w:val="right"/>
              <w:ind w:right="328"/>
              <w:spacing w:after="0"/>
              <w:rPr>
                <w:sz w:val="20"/>
                <w:szCs w:val="20"/>
                <w:color w:val="auto"/>
              </w:rPr>
            </w:pPr>
            <w:r>
              <w:rPr>
                <w:rFonts w:ascii="Arial" w:cs="Arial" w:eastAsia="Arial" w:hAnsi="Arial"/>
                <w:sz w:val="14"/>
                <w:szCs w:val="14"/>
                <w:color w:val="auto"/>
              </w:rPr>
              <w:t>$</w:t>
            </w:r>
          </w:p>
        </w:tc>
        <w:tc>
          <w:tcPr>
            <w:tcW w:w="3000" w:type="dxa"/>
            <w:vAlign w:val="bottom"/>
            <w:shd w:val="clear" w:color="auto" w:fill="CCECFF"/>
          </w:tcPr>
          <w:p>
            <w:pPr>
              <w:jc w:val="right"/>
              <w:spacing w:after="0"/>
              <w:rPr>
                <w:sz w:val="20"/>
                <w:szCs w:val="20"/>
                <w:color w:val="auto"/>
              </w:rPr>
            </w:pPr>
            <w:r>
              <w:rPr>
                <w:rFonts w:ascii="Arial" w:cs="Arial" w:eastAsia="Arial" w:hAnsi="Arial"/>
                <w:sz w:val="14"/>
                <w:szCs w:val="14"/>
                <w:color w:val="auto"/>
              </w:rPr>
              <w:t>21,321</w:t>
            </w:r>
          </w:p>
        </w:tc>
        <w:tc>
          <w:tcPr>
            <w:tcW w:w="820" w:type="dxa"/>
            <w:vAlign w:val="bottom"/>
            <w:gridSpan w:val="2"/>
            <w:shd w:val="clear" w:color="auto" w:fill="CCECFF"/>
          </w:tcPr>
          <w:p>
            <w:pPr>
              <w:jc w:val="right"/>
              <w:ind w:right="369"/>
              <w:spacing w:after="0"/>
              <w:rPr>
                <w:sz w:val="20"/>
                <w:szCs w:val="20"/>
                <w:color w:val="auto"/>
              </w:rPr>
            </w:pPr>
            <w:r>
              <w:rPr>
                <w:rFonts w:ascii="Arial" w:cs="Arial" w:eastAsia="Arial" w:hAnsi="Arial"/>
                <w:sz w:val="14"/>
                <w:szCs w:val="14"/>
                <w:color w:val="auto"/>
              </w:rPr>
              <w:t>$</w:t>
            </w:r>
          </w:p>
        </w:tc>
        <w:tc>
          <w:tcPr>
            <w:tcW w:w="3000" w:type="dxa"/>
            <w:vAlign w:val="bottom"/>
            <w:shd w:val="clear" w:color="auto" w:fill="CCECFF"/>
          </w:tcPr>
          <w:p>
            <w:pPr>
              <w:jc w:val="right"/>
              <w:spacing w:after="0"/>
              <w:rPr>
                <w:sz w:val="20"/>
                <w:szCs w:val="20"/>
                <w:color w:val="auto"/>
              </w:rPr>
            </w:pPr>
            <w:r>
              <w:rPr>
                <w:rFonts w:ascii="Arial" w:cs="Arial" w:eastAsia="Arial" w:hAnsi="Arial"/>
                <w:sz w:val="14"/>
                <w:szCs w:val="14"/>
                <w:color w:val="auto"/>
              </w:rPr>
              <w:t>0.30</w:t>
            </w:r>
          </w:p>
        </w:tc>
        <w:tc>
          <w:tcPr>
            <w:tcW w:w="120" w:type="dxa"/>
            <w:vAlign w:val="bottom"/>
            <w:shd w:val="clear" w:color="auto" w:fill="CCECFF"/>
          </w:tcPr>
          <w:p>
            <w:pPr>
              <w:spacing w:after="0"/>
              <w:rPr>
                <w:sz w:val="14"/>
                <w:szCs w:val="14"/>
                <w:color w:val="auto"/>
              </w:rPr>
            </w:pPr>
          </w:p>
        </w:tc>
        <w:tc>
          <w:tcPr>
            <w:tcW w:w="0" w:type="dxa"/>
            <w:vAlign w:val="bottom"/>
          </w:tcPr>
          <w:p>
            <w:pPr>
              <w:spacing w:after="0"/>
              <w:rPr>
                <w:sz w:val="1"/>
                <w:szCs w:val="1"/>
                <w:color w:val="auto"/>
              </w:rPr>
            </w:pPr>
          </w:p>
        </w:tc>
      </w:tr>
      <w:tr>
        <w:trPr>
          <w:trHeight w:val="182"/>
        </w:trPr>
        <w:tc>
          <w:tcPr>
            <w:tcW w:w="3600" w:type="dxa"/>
            <w:vAlign w:val="bottom"/>
          </w:tcPr>
          <w:p>
            <w:pPr>
              <w:jc w:val="center"/>
              <w:spacing w:after="0"/>
              <w:rPr>
                <w:sz w:val="20"/>
                <w:szCs w:val="20"/>
                <w:color w:val="auto"/>
              </w:rPr>
            </w:pPr>
            <w:r>
              <w:rPr>
                <w:rFonts w:ascii="Arial" w:cs="Arial" w:eastAsia="Arial" w:hAnsi="Arial"/>
                <w:sz w:val="14"/>
                <w:szCs w:val="14"/>
                <w:color w:val="auto"/>
                <w:w w:val="95"/>
              </w:rPr>
              <w:t>Up 4%</w:t>
            </w:r>
          </w:p>
        </w:tc>
        <w:tc>
          <w:tcPr>
            <w:tcW w:w="700" w:type="dxa"/>
            <w:vAlign w:val="bottom"/>
            <w:gridSpan w:val="2"/>
          </w:tcPr>
          <w:p>
            <w:pPr>
              <w:jc w:val="right"/>
              <w:ind w:right="328"/>
              <w:spacing w:after="0"/>
              <w:rPr>
                <w:sz w:val="20"/>
                <w:szCs w:val="20"/>
                <w:color w:val="auto"/>
              </w:rPr>
            </w:pPr>
            <w:r>
              <w:rPr>
                <w:rFonts w:ascii="Arial" w:cs="Arial" w:eastAsia="Arial" w:hAnsi="Arial"/>
                <w:sz w:val="14"/>
                <w:szCs w:val="14"/>
                <w:color w:val="auto"/>
              </w:rPr>
              <w:t>$</w:t>
            </w:r>
          </w:p>
        </w:tc>
        <w:tc>
          <w:tcPr>
            <w:tcW w:w="3000" w:type="dxa"/>
            <w:vAlign w:val="bottom"/>
          </w:tcPr>
          <w:p>
            <w:pPr>
              <w:jc w:val="right"/>
              <w:spacing w:after="0"/>
              <w:rPr>
                <w:sz w:val="20"/>
                <w:szCs w:val="20"/>
                <w:color w:val="auto"/>
              </w:rPr>
            </w:pPr>
            <w:r>
              <w:rPr>
                <w:rFonts w:ascii="Arial" w:cs="Arial" w:eastAsia="Arial" w:hAnsi="Arial"/>
                <w:sz w:val="14"/>
                <w:szCs w:val="14"/>
                <w:color w:val="auto"/>
              </w:rPr>
              <w:t>28,781</w:t>
            </w:r>
          </w:p>
        </w:tc>
        <w:tc>
          <w:tcPr>
            <w:tcW w:w="820" w:type="dxa"/>
            <w:vAlign w:val="bottom"/>
            <w:gridSpan w:val="2"/>
          </w:tcPr>
          <w:p>
            <w:pPr>
              <w:jc w:val="right"/>
              <w:ind w:right="369"/>
              <w:spacing w:after="0"/>
              <w:rPr>
                <w:sz w:val="20"/>
                <w:szCs w:val="20"/>
                <w:color w:val="auto"/>
              </w:rPr>
            </w:pPr>
            <w:r>
              <w:rPr>
                <w:rFonts w:ascii="Arial" w:cs="Arial" w:eastAsia="Arial" w:hAnsi="Arial"/>
                <w:sz w:val="14"/>
                <w:szCs w:val="14"/>
                <w:color w:val="auto"/>
              </w:rPr>
              <w:t>$</w:t>
            </w:r>
          </w:p>
        </w:tc>
        <w:tc>
          <w:tcPr>
            <w:tcW w:w="3000" w:type="dxa"/>
            <w:vAlign w:val="bottom"/>
          </w:tcPr>
          <w:p>
            <w:pPr>
              <w:jc w:val="right"/>
              <w:spacing w:after="0"/>
              <w:rPr>
                <w:sz w:val="20"/>
                <w:szCs w:val="20"/>
                <w:color w:val="auto"/>
              </w:rPr>
            </w:pPr>
            <w:r>
              <w:rPr>
                <w:rFonts w:ascii="Arial" w:cs="Arial" w:eastAsia="Arial" w:hAnsi="Arial"/>
                <w:sz w:val="14"/>
                <w:szCs w:val="14"/>
                <w:color w:val="auto"/>
              </w:rPr>
              <w:t>0.41</w:t>
            </w:r>
          </w:p>
        </w:tc>
        <w:tc>
          <w:tcPr>
            <w:tcW w:w="120" w:type="dxa"/>
            <w:vAlign w:val="bottom"/>
          </w:tcPr>
          <w:p>
            <w:pPr>
              <w:spacing w:after="0"/>
              <w:rPr>
                <w:sz w:val="15"/>
                <w:szCs w:val="15"/>
                <w:color w:val="auto"/>
              </w:rPr>
            </w:pPr>
          </w:p>
        </w:tc>
        <w:tc>
          <w:tcPr>
            <w:tcW w:w="0" w:type="dxa"/>
            <w:vAlign w:val="bottom"/>
          </w:tcPr>
          <w:p>
            <w:pPr>
              <w:spacing w:after="0"/>
              <w:rPr>
                <w:sz w:val="1"/>
                <w:szCs w:val="1"/>
                <w:color w:val="auto"/>
              </w:rPr>
            </w:pPr>
          </w:p>
        </w:tc>
      </w:tr>
    </w:tbl>
    <w:p>
      <w:pPr>
        <w:spacing w:after="0" w:line="110" w:lineRule="exact"/>
        <w:rPr>
          <w:sz w:val="20"/>
          <w:szCs w:val="20"/>
          <w:color w:val="auto"/>
        </w:rPr>
      </w:pPr>
    </w:p>
    <w:p>
      <w:pPr>
        <w:ind w:right="400" w:firstLine="434"/>
        <w:spacing w:after="0" w:line="264" w:lineRule="auto"/>
        <w:rPr>
          <w:sz w:val="20"/>
          <w:szCs w:val="20"/>
          <w:color w:val="auto"/>
        </w:rPr>
      </w:pPr>
      <w:r>
        <w:rPr>
          <w:rFonts w:ascii="Arial" w:cs="Arial" w:eastAsia="Arial" w:hAnsi="Arial"/>
          <w:sz w:val="13"/>
          <w:szCs w:val="13"/>
          <w:color w:val="auto"/>
        </w:rPr>
        <w:t>Although management believes that this measure is indicative of our sensitivity to interest rate changes, it does not adjust for potential changes in the credit market, credit quality, size and composition of the assets on the Consolidated Statements of Assets and Liabilities and other business developments that could affect net increase in net assets resulting from operations, or net investment income. Accordingly, no assurances can be given that actual results would not differ materially from those shown above.</w:t>
      </w:r>
    </w:p>
    <w:p>
      <w:pPr>
        <w:spacing w:after="0" w:line="101" w:lineRule="exact"/>
        <w:rPr>
          <w:sz w:val="20"/>
          <w:szCs w:val="20"/>
          <w:color w:val="auto"/>
        </w:rPr>
      </w:pPr>
    </w:p>
    <w:p>
      <w:pPr>
        <w:jc w:val="both"/>
        <w:ind w:right="100" w:firstLine="434"/>
        <w:spacing w:after="0" w:line="238" w:lineRule="auto"/>
        <w:rPr>
          <w:sz w:val="20"/>
          <w:szCs w:val="20"/>
          <w:color w:val="auto"/>
        </w:rPr>
      </w:pPr>
      <w:r>
        <w:rPr>
          <w:rFonts w:ascii="Arial" w:cs="Arial" w:eastAsia="Arial" w:hAnsi="Arial"/>
          <w:sz w:val="14"/>
          <w:szCs w:val="14"/>
          <w:color w:val="auto"/>
        </w:rPr>
        <w:t>Because we borrow money to make investments, our net investment income is dependent upon the difference between the rate at which we borrow funds and the rate at which we invest these funds as well as our level of leverage. As a result, there can be no assurance that a significant change in market interest rates will not have a material adverse effect on our net investment income or net assets.</w:t>
      </w:r>
    </w:p>
    <w:p>
      <w:pPr>
        <w:spacing w:after="0" w:line="115" w:lineRule="exact"/>
        <w:rPr>
          <w:sz w:val="20"/>
          <w:szCs w:val="20"/>
          <w:color w:val="auto"/>
        </w:rPr>
      </w:pPr>
    </w:p>
    <w:p>
      <w:pPr>
        <w:ind w:right="200" w:firstLine="434"/>
        <w:spacing w:after="0" w:line="233" w:lineRule="auto"/>
        <w:rPr>
          <w:sz w:val="20"/>
          <w:szCs w:val="20"/>
          <w:color w:val="auto"/>
        </w:rPr>
      </w:pPr>
      <w:r>
        <w:rPr>
          <w:rFonts w:ascii="Arial" w:cs="Arial" w:eastAsia="Arial" w:hAnsi="Arial"/>
          <w:sz w:val="14"/>
          <w:szCs w:val="14"/>
          <w:color w:val="auto"/>
        </w:rPr>
        <w:t>We may hedge against interest rate and foreign currency fluctuations by using standard hedging instruments such as futures, options and forward contracts or our Credit Facility subject to the requirements of the 1940 Act and applicable commodities laws. While hedging activities may insulate us against adverse changes in interest rates and foreign currencies, they may also limit our ability to participate in benefits of lower interest rates or higher exchange rates with respect to our portfolio of investments with fixed interest rates. During the periods covered by this Report, we did not engage in interest rate hedging activities.</w:t>
      </w:r>
    </w:p>
    <w:p>
      <w:pPr>
        <w:spacing w:after="0" w:line="113" w:lineRule="exact"/>
        <w:rPr>
          <w:sz w:val="20"/>
          <w:szCs w:val="20"/>
          <w:color w:val="auto"/>
        </w:rPr>
      </w:pPr>
    </w:p>
    <w:p>
      <w:pPr>
        <w:spacing w:after="0"/>
        <w:tabs>
          <w:tab w:leader="none" w:pos="1060" w:val="left"/>
        </w:tabs>
        <w:rPr>
          <w:sz w:val="20"/>
          <w:szCs w:val="20"/>
          <w:color w:val="auto"/>
        </w:rPr>
      </w:pPr>
      <w:r>
        <w:rPr>
          <w:rFonts w:ascii="Arial" w:cs="Arial" w:eastAsia="Arial" w:hAnsi="Arial"/>
          <w:sz w:val="14"/>
          <w:szCs w:val="14"/>
          <w:b w:val="1"/>
          <w:bCs w:val="1"/>
          <w:color w:val="auto"/>
        </w:rPr>
        <w:t>Item 4.</w:t>
      </w:r>
      <w:r>
        <w:rPr>
          <w:sz w:val="20"/>
          <w:szCs w:val="20"/>
          <w:color w:val="auto"/>
        </w:rPr>
        <w:tab/>
      </w:r>
      <w:r>
        <w:rPr>
          <w:rFonts w:ascii="Arial" w:cs="Arial" w:eastAsia="Arial" w:hAnsi="Arial"/>
          <w:sz w:val="12"/>
          <w:szCs w:val="12"/>
          <w:b w:val="1"/>
          <w:bCs w:val="1"/>
          <w:color w:val="auto"/>
        </w:rPr>
        <w:t>Controls and Procedures</w:t>
      </w:r>
    </w:p>
    <w:p>
      <w:pPr>
        <w:spacing w:after="0" w:line="140" w:lineRule="exact"/>
        <w:rPr>
          <w:sz w:val="20"/>
          <w:szCs w:val="20"/>
          <w:color w:val="auto"/>
        </w:rPr>
      </w:pPr>
    </w:p>
    <w:p>
      <w:pPr>
        <w:ind w:right="180" w:firstLine="434"/>
        <w:spacing w:after="0" w:line="247" w:lineRule="auto"/>
        <w:rPr>
          <w:sz w:val="20"/>
          <w:szCs w:val="20"/>
          <w:color w:val="auto"/>
        </w:rPr>
      </w:pPr>
      <w:r>
        <w:rPr>
          <w:rFonts w:ascii="Arial" w:cs="Arial" w:eastAsia="Arial" w:hAnsi="Arial"/>
          <w:sz w:val="13"/>
          <w:szCs w:val="13"/>
          <w:color w:val="auto"/>
        </w:rPr>
        <w:t>As of the period covered by this Report, we, including our Chief Executive Officer and Chief Financial Officer, evaluated the effectiveness of the design and operation of our disclosure controls and procedures (as defined in Rule 13a-15(e) of the Exchange Act). Based on that evaluation, our management, including the Chief Executive Officer and Chief Financial Officer, concluded that our disclosure controls and procedures were effective and provided reasonable assurance that information required to be disclosed in our periodic filings with the SEC is recorded, processed, summarized and reported within the time periods specified in the SEC’s rules and forms, and that such information is accumulated and communicated to our management, including our Chief Executive Officer and Chief Financial Officer, as appropriate, to allow timely decisions regarding required disclosure. However, in evaluating the disclosure controls and procedures, management recognized that any controls and procedures, no matter how well designed and operated can provide only reasonable assurance of achieving the desired control objectives, and management necessarily was required to apply its judgment in evaluating the cost-benefit relationship of such possible controls and procedures.</w:t>
      </w:r>
    </w:p>
    <w:p>
      <w:pPr>
        <w:spacing w:after="0" w:line="111" w:lineRule="exact"/>
        <w:rPr>
          <w:sz w:val="20"/>
          <w:szCs w:val="20"/>
          <w:color w:val="auto"/>
        </w:rPr>
      </w:pPr>
    </w:p>
    <w:p>
      <w:pPr>
        <w:ind w:right="500" w:firstLine="434"/>
        <w:spacing w:after="0" w:line="253" w:lineRule="auto"/>
        <w:rPr>
          <w:sz w:val="20"/>
          <w:szCs w:val="20"/>
          <w:color w:val="auto"/>
        </w:rPr>
      </w:pPr>
      <w:r>
        <w:rPr>
          <w:rFonts w:ascii="Arial" w:cs="Arial" w:eastAsia="Arial" w:hAnsi="Arial"/>
          <w:sz w:val="14"/>
          <w:szCs w:val="14"/>
          <w:color w:val="auto"/>
        </w:rPr>
        <w:t>There have been no changes in our internal control over financial reporting that occurred during the quarter ended June 30, 2017 that have materially affected, or are reasonably likely to materially affect, our internal control over financial reporting.</w:t>
      </w:r>
    </w:p>
    <w:p>
      <w:pPr>
        <w:spacing w:after="0" w:line="200" w:lineRule="exact"/>
        <w:rPr>
          <w:sz w:val="20"/>
          <w:szCs w:val="20"/>
          <w:color w:val="auto"/>
        </w:rPr>
      </w:pPr>
    </w:p>
    <w:p>
      <w:pPr>
        <w:spacing w:after="0" w:line="271"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72390</wp:posOffset>
            </wp:positionV>
            <wp:extent cx="7149465" cy="1714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485" w:right="339" w:bottom="1440" w:gutter="0" w:footer="0" w:header="0"/>
        </w:sectPr>
      </w:pPr>
    </w:p>
    <w:bookmarkStart w:id="33" w:name="page34"/>
    <w:bookmarkEnd w:id="33"/>
    <w:p>
      <w:pPr>
        <w:spacing w:after="0"/>
        <w:rPr>
          <w:sz w:val="20"/>
          <w:szCs w:val="20"/>
          <w:color w:val="auto"/>
        </w:rPr>
      </w:pPr>
      <w:r>
        <w:rPr>
          <w:rFonts w:ascii="Arial" w:cs="Arial" w:eastAsia="Arial" w:hAnsi="Arial"/>
          <w:sz w:val="14"/>
          <w:szCs w:val="14"/>
          <w:b w:val="1"/>
          <w:bCs w:val="1"/>
          <w:color w:val="auto"/>
        </w:rPr>
        <w:t>PART II – OTHER INFORMATION</w:t>
      </w:r>
    </w:p>
    <w:p>
      <w:pPr>
        <w:spacing w:after="0" w:line="136" w:lineRule="exact"/>
        <w:rPr>
          <w:sz w:val="20"/>
          <w:szCs w:val="20"/>
          <w:color w:val="auto"/>
        </w:rPr>
      </w:pPr>
    </w:p>
    <w:p>
      <w:pPr>
        <w:spacing w:after="0"/>
        <w:tabs>
          <w:tab w:leader="none" w:pos="1060" w:val="left"/>
        </w:tabs>
        <w:rPr>
          <w:sz w:val="20"/>
          <w:szCs w:val="20"/>
          <w:color w:val="auto"/>
        </w:rPr>
      </w:pPr>
      <w:r>
        <w:rPr>
          <w:rFonts w:ascii="Arial" w:cs="Arial" w:eastAsia="Arial" w:hAnsi="Arial"/>
          <w:sz w:val="14"/>
          <w:szCs w:val="14"/>
          <w:b w:val="1"/>
          <w:bCs w:val="1"/>
          <w:color w:val="auto"/>
        </w:rPr>
        <w:t>Item 1.</w:t>
      </w:r>
      <w:r>
        <w:rPr>
          <w:sz w:val="20"/>
          <w:szCs w:val="20"/>
          <w:color w:val="auto"/>
        </w:rPr>
        <w:tab/>
      </w:r>
      <w:r>
        <w:rPr>
          <w:rFonts w:ascii="Arial" w:cs="Arial" w:eastAsia="Arial" w:hAnsi="Arial"/>
          <w:sz w:val="12"/>
          <w:szCs w:val="12"/>
          <w:b w:val="1"/>
          <w:bCs w:val="1"/>
          <w:color w:val="auto"/>
        </w:rPr>
        <w:t>Legal Proceedings</w:t>
      </w:r>
    </w:p>
    <w:p>
      <w:pPr>
        <w:spacing w:after="0" w:line="140" w:lineRule="exact"/>
        <w:rPr>
          <w:sz w:val="20"/>
          <w:szCs w:val="20"/>
          <w:color w:val="auto"/>
        </w:rPr>
      </w:pPr>
    </w:p>
    <w:p>
      <w:pPr>
        <w:jc w:val="both"/>
        <w:ind w:right="40" w:firstLine="434"/>
        <w:spacing w:after="0" w:line="233" w:lineRule="auto"/>
        <w:rPr>
          <w:sz w:val="20"/>
          <w:szCs w:val="20"/>
          <w:color w:val="auto"/>
        </w:rPr>
      </w:pPr>
      <w:r>
        <w:rPr>
          <w:rFonts w:ascii="Arial" w:cs="Arial" w:eastAsia="Arial" w:hAnsi="Arial"/>
          <w:sz w:val="14"/>
          <w:szCs w:val="14"/>
          <w:color w:val="auto"/>
        </w:rPr>
        <w:t>None of us, our Investment Adviser or our Administrator, is currently subject to any material legal proceedings, nor, to our knowledge, is any material legal proceeding threatened against us, or against our Investment Adviser or Administrator. From time to time, we, our Investment Adviser or Administrator may be a party to certain legal proceedings, including proceedings relating to the enforcement of our rights under contracts with our portfolio companies. While the outcome of these legal proceedings cannot be predicted with certainty, we do not expect that these proceedings will have a material effect upon our financial condition or results of operations.</w:t>
      </w:r>
    </w:p>
    <w:p>
      <w:pPr>
        <w:spacing w:after="0" w:line="113" w:lineRule="exact"/>
        <w:rPr>
          <w:sz w:val="20"/>
          <w:szCs w:val="20"/>
          <w:color w:val="auto"/>
        </w:rPr>
      </w:pPr>
    </w:p>
    <w:p>
      <w:pPr>
        <w:spacing w:after="0"/>
        <w:tabs>
          <w:tab w:leader="none" w:pos="1180" w:val="left"/>
        </w:tabs>
        <w:rPr>
          <w:sz w:val="20"/>
          <w:szCs w:val="20"/>
          <w:color w:val="auto"/>
        </w:rPr>
      </w:pPr>
      <w:r>
        <w:rPr>
          <w:rFonts w:ascii="Arial" w:cs="Arial" w:eastAsia="Arial" w:hAnsi="Arial"/>
          <w:sz w:val="14"/>
          <w:szCs w:val="14"/>
          <w:b w:val="1"/>
          <w:bCs w:val="1"/>
          <w:color w:val="auto"/>
        </w:rPr>
        <w:t>Item 1A.</w:t>
      </w:r>
      <w:r>
        <w:rPr>
          <w:sz w:val="20"/>
          <w:szCs w:val="20"/>
          <w:color w:val="auto"/>
        </w:rPr>
        <w:tab/>
      </w:r>
      <w:r>
        <w:rPr>
          <w:rFonts w:ascii="Arial" w:cs="Arial" w:eastAsia="Arial" w:hAnsi="Arial"/>
          <w:sz w:val="12"/>
          <w:szCs w:val="12"/>
          <w:b w:val="1"/>
          <w:bCs w:val="1"/>
          <w:color w:val="auto"/>
        </w:rPr>
        <w:t>Risk Factors</w:t>
      </w:r>
    </w:p>
    <w:p>
      <w:pPr>
        <w:spacing w:after="0" w:line="140" w:lineRule="exact"/>
        <w:rPr>
          <w:sz w:val="20"/>
          <w:szCs w:val="20"/>
          <w:color w:val="auto"/>
        </w:rPr>
      </w:pPr>
    </w:p>
    <w:p>
      <w:pPr>
        <w:ind w:firstLine="434"/>
        <w:spacing w:after="0" w:line="233" w:lineRule="auto"/>
        <w:rPr>
          <w:sz w:val="20"/>
          <w:szCs w:val="20"/>
          <w:color w:val="auto"/>
        </w:rPr>
      </w:pPr>
      <w:r>
        <w:rPr>
          <w:rFonts w:ascii="Arial" w:cs="Arial" w:eastAsia="Arial" w:hAnsi="Arial"/>
          <w:sz w:val="14"/>
          <w:szCs w:val="14"/>
          <w:color w:val="auto"/>
        </w:rPr>
        <w:t>In addition to the other information set forth in this Report, you should consider carefully the factors discussed in Part I “Item 1A. Risk Factors” in our Annual Report on Form 10-K for the fiscal year ended September 30, 2016, which could materially affect our business, financial condition and/or operating results. The risks described in our Annual Report on Form 10-K are not the only risks facing PennantPark Investment. Additional risks and uncertainties not currently known to us or that we currently deem to be immaterial also may materially and adversely affect our business, financial condition and/or operating results.</w:t>
      </w:r>
    </w:p>
    <w:p>
      <w:pPr>
        <w:spacing w:after="0" w:line="113" w:lineRule="exact"/>
        <w:rPr>
          <w:sz w:val="20"/>
          <w:szCs w:val="20"/>
          <w:color w:val="auto"/>
        </w:rPr>
      </w:pPr>
    </w:p>
    <w:p>
      <w:pPr>
        <w:spacing w:after="0"/>
        <w:tabs>
          <w:tab w:leader="none" w:pos="1060" w:val="left"/>
        </w:tabs>
        <w:rPr>
          <w:sz w:val="20"/>
          <w:szCs w:val="20"/>
          <w:color w:val="auto"/>
        </w:rPr>
      </w:pPr>
      <w:r>
        <w:rPr>
          <w:rFonts w:ascii="Arial" w:cs="Arial" w:eastAsia="Arial" w:hAnsi="Arial"/>
          <w:sz w:val="14"/>
          <w:szCs w:val="14"/>
          <w:b w:val="1"/>
          <w:bCs w:val="1"/>
          <w:color w:val="auto"/>
        </w:rPr>
        <w:t>Item 2.</w:t>
      </w:r>
      <w:r>
        <w:rPr>
          <w:sz w:val="20"/>
          <w:szCs w:val="20"/>
          <w:color w:val="auto"/>
        </w:rPr>
        <w:tab/>
      </w:r>
      <w:r>
        <w:rPr>
          <w:rFonts w:ascii="Arial" w:cs="Arial" w:eastAsia="Arial" w:hAnsi="Arial"/>
          <w:sz w:val="12"/>
          <w:szCs w:val="12"/>
          <w:b w:val="1"/>
          <w:bCs w:val="1"/>
          <w:color w:val="auto"/>
        </w:rPr>
        <w:t>Unregistered Sales of Equity Securities and Use of Proceeds</w:t>
      </w:r>
    </w:p>
    <w:p>
      <w:pPr>
        <w:spacing w:after="0" w:line="140" w:lineRule="exact"/>
        <w:rPr>
          <w:sz w:val="20"/>
          <w:szCs w:val="20"/>
          <w:color w:val="auto"/>
        </w:rPr>
      </w:pPr>
    </w:p>
    <w:p>
      <w:pPr>
        <w:ind w:left="440"/>
        <w:spacing w:after="0"/>
        <w:rPr>
          <w:sz w:val="20"/>
          <w:szCs w:val="20"/>
          <w:color w:val="auto"/>
        </w:rPr>
      </w:pPr>
      <w:r>
        <w:rPr>
          <w:rFonts w:ascii="Arial" w:cs="Arial" w:eastAsia="Arial" w:hAnsi="Arial"/>
          <w:sz w:val="14"/>
          <w:szCs w:val="14"/>
          <w:color w:val="auto"/>
        </w:rPr>
        <w:t>None.</w:t>
      </w:r>
    </w:p>
    <w:p>
      <w:pPr>
        <w:spacing w:after="0" w:line="132" w:lineRule="exact"/>
        <w:rPr>
          <w:sz w:val="20"/>
          <w:szCs w:val="20"/>
          <w:color w:val="auto"/>
        </w:rPr>
      </w:pPr>
    </w:p>
    <w:p>
      <w:pPr>
        <w:spacing w:after="0"/>
        <w:tabs>
          <w:tab w:leader="none" w:pos="1060" w:val="left"/>
        </w:tabs>
        <w:rPr>
          <w:sz w:val="20"/>
          <w:szCs w:val="20"/>
          <w:color w:val="auto"/>
        </w:rPr>
      </w:pPr>
      <w:r>
        <w:rPr>
          <w:rFonts w:ascii="Arial" w:cs="Arial" w:eastAsia="Arial" w:hAnsi="Arial"/>
          <w:sz w:val="14"/>
          <w:szCs w:val="14"/>
          <w:b w:val="1"/>
          <w:bCs w:val="1"/>
          <w:color w:val="auto"/>
        </w:rPr>
        <w:t>Item 3.</w:t>
      </w:r>
      <w:r>
        <w:rPr>
          <w:sz w:val="20"/>
          <w:szCs w:val="20"/>
          <w:color w:val="auto"/>
        </w:rPr>
        <w:tab/>
      </w:r>
      <w:r>
        <w:rPr>
          <w:rFonts w:ascii="Arial" w:cs="Arial" w:eastAsia="Arial" w:hAnsi="Arial"/>
          <w:sz w:val="12"/>
          <w:szCs w:val="12"/>
          <w:b w:val="1"/>
          <w:bCs w:val="1"/>
          <w:color w:val="auto"/>
        </w:rPr>
        <w:t>Defaults Upon Senior Securities</w:t>
      </w:r>
    </w:p>
    <w:p>
      <w:pPr>
        <w:spacing w:after="0" w:line="140" w:lineRule="exact"/>
        <w:rPr>
          <w:sz w:val="20"/>
          <w:szCs w:val="20"/>
          <w:color w:val="auto"/>
        </w:rPr>
      </w:pPr>
    </w:p>
    <w:p>
      <w:pPr>
        <w:ind w:left="440"/>
        <w:spacing w:after="0"/>
        <w:rPr>
          <w:sz w:val="20"/>
          <w:szCs w:val="20"/>
          <w:color w:val="auto"/>
        </w:rPr>
      </w:pPr>
      <w:r>
        <w:rPr>
          <w:rFonts w:ascii="Arial" w:cs="Arial" w:eastAsia="Arial" w:hAnsi="Arial"/>
          <w:sz w:val="14"/>
          <w:szCs w:val="14"/>
          <w:color w:val="auto"/>
        </w:rPr>
        <w:t>None.</w:t>
      </w:r>
    </w:p>
    <w:p>
      <w:pPr>
        <w:spacing w:after="0" w:line="132" w:lineRule="exact"/>
        <w:rPr>
          <w:sz w:val="20"/>
          <w:szCs w:val="20"/>
          <w:color w:val="auto"/>
        </w:rPr>
      </w:pPr>
    </w:p>
    <w:p>
      <w:pPr>
        <w:spacing w:after="0"/>
        <w:tabs>
          <w:tab w:leader="none" w:pos="1060" w:val="left"/>
        </w:tabs>
        <w:rPr>
          <w:sz w:val="20"/>
          <w:szCs w:val="20"/>
          <w:color w:val="auto"/>
        </w:rPr>
      </w:pPr>
      <w:r>
        <w:rPr>
          <w:rFonts w:ascii="Arial" w:cs="Arial" w:eastAsia="Arial" w:hAnsi="Arial"/>
          <w:sz w:val="14"/>
          <w:szCs w:val="14"/>
          <w:b w:val="1"/>
          <w:bCs w:val="1"/>
          <w:color w:val="auto"/>
        </w:rPr>
        <w:t>Item 4.</w:t>
      </w:r>
      <w:r>
        <w:rPr>
          <w:sz w:val="20"/>
          <w:szCs w:val="20"/>
          <w:color w:val="auto"/>
        </w:rPr>
        <w:tab/>
      </w:r>
      <w:r>
        <w:rPr>
          <w:rFonts w:ascii="Arial" w:cs="Arial" w:eastAsia="Arial" w:hAnsi="Arial"/>
          <w:sz w:val="12"/>
          <w:szCs w:val="12"/>
          <w:b w:val="1"/>
          <w:bCs w:val="1"/>
          <w:color w:val="auto"/>
        </w:rPr>
        <w:t>Mine Safety Disclosures</w:t>
      </w:r>
    </w:p>
    <w:p>
      <w:pPr>
        <w:spacing w:after="0" w:line="140" w:lineRule="exact"/>
        <w:rPr>
          <w:sz w:val="20"/>
          <w:szCs w:val="20"/>
          <w:color w:val="auto"/>
        </w:rPr>
      </w:pPr>
    </w:p>
    <w:p>
      <w:pPr>
        <w:ind w:left="440"/>
        <w:spacing w:after="0"/>
        <w:rPr>
          <w:sz w:val="20"/>
          <w:szCs w:val="20"/>
          <w:color w:val="auto"/>
        </w:rPr>
      </w:pPr>
      <w:r>
        <w:rPr>
          <w:rFonts w:ascii="Arial" w:cs="Arial" w:eastAsia="Arial" w:hAnsi="Arial"/>
          <w:sz w:val="14"/>
          <w:szCs w:val="14"/>
          <w:color w:val="auto"/>
        </w:rPr>
        <w:t>Not applicable.</w:t>
      </w:r>
    </w:p>
    <w:p>
      <w:pPr>
        <w:spacing w:after="0" w:line="132" w:lineRule="exact"/>
        <w:rPr>
          <w:sz w:val="20"/>
          <w:szCs w:val="20"/>
          <w:color w:val="auto"/>
        </w:rPr>
      </w:pPr>
    </w:p>
    <w:p>
      <w:pPr>
        <w:spacing w:after="0"/>
        <w:tabs>
          <w:tab w:leader="none" w:pos="1060" w:val="left"/>
        </w:tabs>
        <w:rPr>
          <w:sz w:val="20"/>
          <w:szCs w:val="20"/>
          <w:color w:val="auto"/>
        </w:rPr>
      </w:pPr>
      <w:r>
        <w:rPr>
          <w:rFonts w:ascii="Arial" w:cs="Arial" w:eastAsia="Arial" w:hAnsi="Arial"/>
          <w:sz w:val="14"/>
          <w:szCs w:val="14"/>
          <w:b w:val="1"/>
          <w:bCs w:val="1"/>
          <w:color w:val="auto"/>
        </w:rPr>
        <w:t>Item 5.</w:t>
      </w:r>
      <w:r>
        <w:rPr>
          <w:sz w:val="20"/>
          <w:szCs w:val="20"/>
          <w:color w:val="auto"/>
        </w:rPr>
        <w:tab/>
      </w:r>
      <w:r>
        <w:rPr>
          <w:rFonts w:ascii="Arial" w:cs="Arial" w:eastAsia="Arial" w:hAnsi="Arial"/>
          <w:sz w:val="13"/>
          <w:szCs w:val="13"/>
          <w:b w:val="1"/>
          <w:bCs w:val="1"/>
          <w:color w:val="auto"/>
        </w:rPr>
        <w:t>Other Information</w:t>
      </w:r>
    </w:p>
    <w:p>
      <w:pPr>
        <w:spacing w:after="0" w:line="140" w:lineRule="exact"/>
        <w:rPr>
          <w:sz w:val="20"/>
          <w:szCs w:val="20"/>
          <w:color w:val="auto"/>
        </w:rPr>
      </w:pPr>
    </w:p>
    <w:p>
      <w:pPr>
        <w:ind w:left="440"/>
        <w:spacing w:after="0"/>
        <w:rPr>
          <w:sz w:val="20"/>
          <w:szCs w:val="20"/>
          <w:color w:val="auto"/>
        </w:rPr>
      </w:pPr>
      <w:r>
        <w:rPr>
          <w:rFonts w:ascii="Arial" w:cs="Arial" w:eastAsia="Arial" w:hAnsi="Arial"/>
          <w:sz w:val="14"/>
          <w:szCs w:val="14"/>
          <w:color w:val="auto"/>
        </w:rPr>
        <w:t>None.</w:t>
      </w:r>
    </w:p>
    <w:p>
      <w:pPr>
        <w:spacing w:after="0" w:line="200" w:lineRule="exact"/>
        <w:rPr>
          <w:sz w:val="20"/>
          <w:szCs w:val="20"/>
          <w:color w:val="auto"/>
        </w:rPr>
      </w:pPr>
    </w:p>
    <w:p>
      <w:pPr>
        <w:spacing w:after="0" w:line="301" w:lineRule="exact"/>
        <w:rPr>
          <w:sz w:val="20"/>
          <w:szCs w:val="20"/>
          <w:color w:val="auto"/>
        </w:rPr>
      </w:pPr>
    </w:p>
    <w:p>
      <w:pPr>
        <w:jc w:val="center"/>
        <w:ind w:right="-119"/>
        <w:spacing w:after="0"/>
        <w:rPr>
          <w:sz w:val="20"/>
          <w:szCs w:val="20"/>
          <w:color w:val="auto"/>
        </w:rPr>
      </w:pPr>
      <w:r>
        <w:rPr>
          <w:rFonts w:ascii="Arial" w:cs="Arial" w:eastAsia="Arial" w:hAnsi="Arial"/>
          <w:sz w:val="14"/>
          <w:szCs w:val="14"/>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72390</wp:posOffset>
            </wp:positionV>
            <wp:extent cx="7149465" cy="1714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120"/>
          </w:cols>
          <w:pgMar w:left="320" w:top="333" w:right="459" w:bottom="1440" w:gutter="0" w:footer="0" w:header="0"/>
        </w:sectPr>
      </w:pPr>
    </w:p>
    <w:bookmarkStart w:id="34" w:name="page35"/>
    <w:bookmarkEnd w:id="34"/>
    <w:p>
      <w:pPr>
        <w:spacing w:after="0"/>
        <w:tabs>
          <w:tab w:leader="none" w:pos="1060" w:val="left"/>
        </w:tabs>
        <w:rPr>
          <w:sz w:val="20"/>
          <w:szCs w:val="20"/>
          <w:color w:val="auto"/>
        </w:rPr>
      </w:pPr>
      <w:r>
        <w:rPr>
          <w:rFonts w:ascii="Arial" w:cs="Arial" w:eastAsia="Arial" w:hAnsi="Arial"/>
          <w:sz w:val="14"/>
          <w:szCs w:val="14"/>
          <w:b w:val="1"/>
          <w:bCs w:val="1"/>
          <w:color w:val="auto"/>
        </w:rPr>
        <w:t>Item 6.</w:t>
      </w:r>
      <w:r>
        <w:rPr>
          <w:sz w:val="20"/>
          <w:szCs w:val="20"/>
          <w:color w:val="auto"/>
        </w:rPr>
        <w:tab/>
      </w:r>
      <w:r>
        <w:rPr>
          <w:rFonts w:ascii="Arial" w:cs="Arial" w:eastAsia="Arial" w:hAnsi="Arial"/>
          <w:sz w:val="13"/>
          <w:szCs w:val="13"/>
          <w:b w:val="1"/>
          <w:bCs w:val="1"/>
          <w:color w:val="auto"/>
        </w:rPr>
        <w:t>Exhibits</w:t>
      </w:r>
    </w:p>
    <w:p>
      <w:pPr>
        <w:spacing w:after="0" w:line="140" w:lineRule="exact"/>
        <w:rPr>
          <w:sz w:val="20"/>
          <w:szCs w:val="20"/>
          <w:color w:val="auto"/>
        </w:rPr>
      </w:pPr>
    </w:p>
    <w:p>
      <w:pPr>
        <w:spacing w:after="0"/>
        <w:rPr>
          <w:sz w:val="20"/>
          <w:szCs w:val="20"/>
          <w:color w:val="auto"/>
        </w:rPr>
      </w:pPr>
      <w:r>
        <w:rPr>
          <w:rFonts w:ascii="Arial" w:cs="Arial" w:eastAsia="Arial" w:hAnsi="Arial"/>
          <w:sz w:val="14"/>
          <w:szCs w:val="14"/>
          <w:color w:val="auto"/>
        </w:rPr>
        <w:t>Unless specifically indicated otherwise, the following exhibits are incorporated by reference to exhibits previously filed with the SEC:</w:t>
      </w:r>
    </w:p>
    <w:p>
      <w:pPr>
        <w:spacing w:after="0" w:line="284" w:lineRule="exact"/>
        <w:rPr>
          <w:sz w:val="20"/>
          <w:szCs w:val="20"/>
          <w:color w:val="auto"/>
        </w:rPr>
      </w:pPr>
    </w:p>
    <w:p>
      <w:pPr>
        <w:spacing w:after="0"/>
        <w:tabs>
          <w:tab w:leader="none" w:pos="520" w:val="left"/>
        </w:tabs>
        <w:rPr>
          <w:sz w:val="20"/>
          <w:szCs w:val="20"/>
          <w:color w:val="auto"/>
        </w:rPr>
      </w:pPr>
      <w:r>
        <w:rPr>
          <w:rFonts w:ascii="Arial" w:cs="Arial" w:eastAsia="Arial" w:hAnsi="Arial"/>
          <w:sz w:val="14"/>
          <w:szCs w:val="14"/>
          <w:color w:val="auto"/>
        </w:rPr>
        <w:t>3.1</w:t>
      </w:r>
      <w:r>
        <w:rPr>
          <w:sz w:val="20"/>
          <w:szCs w:val="20"/>
          <w:color w:val="auto"/>
        </w:rPr>
        <w:tab/>
      </w:r>
      <w:r>
        <w:rPr>
          <w:rFonts w:ascii="Arial" w:cs="Arial" w:eastAsia="Arial" w:hAnsi="Arial"/>
          <w:sz w:val="13"/>
          <w:szCs w:val="13"/>
          <w:color w:val="auto"/>
        </w:rPr>
        <w:t>Articles of Incorporation (Incorporated by reference to Exhibit 99(a) to the Registrant’s Pre-Effective Amendment No. 3 to the Registration Statement on Form N-2/A (File No. 333-</w:t>
      </w:r>
    </w:p>
    <w:p>
      <w:pPr>
        <w:ind w:left="540"/>
        <w:spacing w:after="0"/>
        <w:rPr>
          <w:sz w:val="20"/>
          <w:szCs w:val="20"/>
          <w:color w:val="auto"/>
        </w:rPr>
      </w:pPr>
      <w:r>
        <w:rPr>
          <w:rFonts w:ascii="Arial" w:cs="Arial" w:eastAsia="Arial" w:hAnsi="Arial"/>
          <w:sz w:val="14"/>
          <w:szCs w:val="14"/>
          <w:color w:val="auto"/>
        </w:rPr>
        <w:t>140092), filed on April 5, 2007).</w:t>
      </w:r>
    </w:p>
    <w:p>
      <w:pPr>
        <w:spacing w:after="0" w:line="124" w:lineRule="exact"/>
        <w:rPr>
          <w:sz w:val="20"/>
          <w:szCs w:val="20"/>
          <w:color w:val="auto"/>
        </w:rPr>
      </w:pPr>
    </w:p>
    <w:p>
      <w:pPr>
        <w:ind w:left="540" w:right="960" w:hanging="539"/>
        <w:spacing w:after="0" w:line="253" w:lineRule="auto"/>
        <w:tabs>
          <w:tab w:leader="none" w:pos="520" w:val="left"/>
        </w:tabs>
        <w:rPr>
          <w:sz w:val="20"/>
          <w:szCs w:val="20"/>
          <w:color w:val="auto"/>
        </w:rPr>
      </w:pPr>
      <w:r>
        <w:rPr>
          <w:rFonts w:ascii="Arial" w:cs="Arial" w:eastAsia="Arial" w:hAnsi="Arial"/>
          <w:sz w:val="14"/>
          <w:szCs w:val="14"/>
          <w:color w:val="auto"/>
        </w:rPr>
        <w:t>3.2</w:t>
      </w:r>
      <w:r>
        <w:rPr>
          <w:sz w:val="20"/>
          <w:szCs w:val="20"/>
          <w:color w:val="auto"/>
        </w:rPr>
        <w:tab/>
      </w:r>
      <w:r>
        <w:rPr>
          <w:rFonts w:ascii="Arial" w:cs="Arial" w:eastAsia="Arial" w:hAnsi="Arial"/>
          <w:sz w:val="14"/>
          <w:szCs w:val="14"/>
          <w:color w:val="auto"/>
        </w:rPr>
        <w:t>Amended and Restated Bylaws of the Registrant (Incorporated by reference to Exhibit 3.1 to the Registrant’s Current Report on Form 8-K (File No. 814-00736), filed on December 2, 2015).</w:t>
      </w:r>
    </w:p>
    <w:p>
      <w:pPr>
        <w:spacing w:after="0" w:line="106" w:lineRule="exact"/>
        <w:rPr>
          <w:sz w:val="20"/>
          <w:szCs w:val="20"/>
          <w:color w:val="auto"/>
        </w:rPr>
      </w:pPr>
    </w:p>
    <w:p>
      <w:pPr>
        <w:spacing w:after="0"/>
        <w:tabs>
          <w:tab w:leader="none" w:pos="520" w:val="left"/>
        </w:tabs>
        <w:rPr>
          <w:sz w:val="20"/>
          <w:szCs w:val="20"/>
          <w:color w:val="auto"/>
        </w:rPr>
      </w:pPr>
      <w:r>
        <w:rPr>
          <w:rFonts w:ascii="Arial" w:cs="Arial" w:eastAsia="Arial" w:hAnsi="Arial"/>
          <w:sz w:val="14"/>
          <w:szCs w:val="14"/>
          <w:color w:val="auto"/>
        </w:rPr>
        <w:t>4.1</w:t>
      </w:r>
      <w:r>
        <w:rPr>
          <w:sz w:val="20"/>
          <w:szCs w:val="20"/>
          <w:color w:val="auto"/>
        </w:rPr>
        <w:tab/>
      </w:r>
      <w:r>
        <w:rPr>
          <w:rFonts w:ascii="Arial" w:cs="Arial" w:eastAsia="Arial" w:hAnsi="Arial"/>
          <w:sz w:val="13"/>
          <w:szCs w:val="13"/>
          <w:color w:val="auto"/>
        </w:rPr>
        <w:t>Form of Share Certificate (Incorporated by reference to Exhibit 99(d)(1) to the Registrant’s Registration Statement on Form N-2 (File No. 333-150033), filed on April 2, 2008).</w:t>
      </w:r>
    </w:p>
    <w:p>
      <w:pPr>
        <w:spacing w:after="0" w:line="136" w:lineRule="exact"/>
        <w:rPr>
          <w:sz w:val="20"/>
          <w:szCs w:val="20"/>
          <w:color w:val="auto"/>
        </w:rPr>
      </w:pPr>
    </w:p>
    <w:p>
      <w:pPr>
        <w:ind w:left="540" w:hanging="539"/>
        <w:spacing w:after="0" w:line="253" w:lineRule="auto"/>
        <w:tabs>
          <w:tab w:leader="none" w:pos="520" w:val="left"/>
        </w:tabs>
        <w:rPr>
          <w:sz w:val="20"/>
          <w:szCs w:val="20"/>
          <w:color w:val="auto"/>
        </w:rPr>
      </w:pPr>
      <w:r>
        <w:rPr>
          <w:rFonts w:ascii="Arial" w:cs="Arial" w:eastAsia="Arial" w:hAnsi="Arial"/>
          <w:sz w:val="14"/>
          <w:szCs w:val="14"/>
          <w:color w:val="auto"/>
        </w:rPr>
        <w:t>10.1*</w:t>
        <w:tab/>
        <w:t>First Omnibus Amendment to Second Amended and Restated Senior Secured Revolving Credit Agreement and Second Amended and Restated Guarantee and Security Agreement, dated as of May 25, 2017, among PennantPark Investment Corporation, the lenders party thereto and SunTrust Bank, as administrative agent for the lenders.</w:t>
      </w:r>
    </w:p>
    <w:p>
      <w:pPr>
        <w:spacing w:after="0" w:line="106" w:lineRule="exact"/>
        <w:rPr>
          <w:sz w:val="20"/>
          <w:szCs w:val="20"/>
          <w:color w:val="auto"/>
        </w:rPr>
      </w:pPr>
    </w:p>
    <w:p>
      <w:pPr>
        <w:ind w:right="3480" w:firstLine="8"/>
        <w:spacing w:after="0" w:line="476" w:lineRule="auto"/>
        <w:tabs>
          <w:tab w:leader="none" w:pos="540" w:val="left"/>
        </w:tabs>
        <w:numPr>
          <w:ilvl w:val="0"/>
          <w:numId w:val="25"/>
        </w:numPr>
        <w:rPr>
          <w:rFonts w:ascii="Arial" w:cs="Arial" w:eastAsia="Arial" w:hAnsi="Arial"/>
          <w:sz w:val="13"/>
          <w:szCs w:val="13"/>
          <w:color w:val="auto"/>
        </w:rPr>
      </w:pPr>
      <w:r>
        <w:rPr>
          <w:rFonts w:ascii="Arial" w:cs="Arial" w:eastAsia="Arial" w:hAnsi="Arial"/>
          <w:sz w:val="13"/>
          <w:szCs w:val="13"/>
          <w:color w:val="auto"/>
        </w:rPr>
        <w:t>Computation of Per Share Earnings (included in the notes to the Consolidated Financial Statements contained in this Report). 31.1* Certification of Chief Executive Officer pursuant to Rule 13a-14 of the Securities Exchange Act of 1934, as amended.</w:t>
      </w:r>
    </w:p>
    <w:p>
      <w:pPr>
        <w:spacing w:after="0" w:line="1" w:lineRule="exact"/>
        <w:rPr>
          <w:rFonts w:ascii="Arial" w:cs="Arial" w:eastAsia="Arial" w:hAnsi="Arial"/>
          <w:sz w:val="13"/>
          <w:szCs w:val="13"/>
          <w:color w:val="auto"/>
        </w:rPr>
      </w:pPr>
    </w:p>
    <w:p>
      <w:pPr>
        <w:spacing w:after="0"/>
        <w:rPr>
          <w:rFonts w:ascii="Arial" w:cs="Arial" w:eastAsia="Arial" w:hAnsi="Arial"/>
          <w:sz w:val="13"/>
          <w:szCs w:val="13"/>
          <w:color w:val="auto"/>
        </w:rPr>
      </w:pPr>
      <w:r>
        <w:rPr>
          <w:rFonts w:ascii="Arial" w:cs="Arial" w:eastAsia="Arial" w:hAnsi="Arial"/>
          <w:sz w:val="14"/>
          <w:szCs w:val="14"/>
          <w:color w:val="auto"/>
        </w:rPr>
        <w:t>31.2*   Certification of Chief Financial Officer pursuant to Rule 13a-14 of the Securities Exchange Act of 1934, as amended.</w:t>
      </w:r>
    </w:p>
    <w:p>
      <w:pPr>
        <w:spacing w:after="0" w:line="136" w:lineRule="exact"/>
        <w:rPr>
          <w:rFonts w:ascii="Arial" w:cs="Arial" w:eastAsia="Arial" w:hAnsi="Arial"/>
          <w:sz w:val="13"/>
          <w:szCs w:val="13"/>
          <w:color w:val="auto"/>
        </w:rPr>
      </w:pPr>
    </w:p>
    <w:p>
      <w:pPr>
        <w:spacing w:after="0"/>
        <w:rPr>
          <w:rFonts w:ascii="Arial" w:cs="Arial" w:eastAsia="Arial" w:hAnsi="Arial"/>
          <w:sz w:val="13"/>
          <w:szCs w:val="13"/>
          <w:color w:val="auto"/>
        </w:rPr>
      </w:pPr>
      <w:r>
        <w:rPr>
          <w:rFonts w:ascii="Arial" w:cs="Arial" w:eastAsia="Arial" w:hAnsi="Arial"/>
          <w:sz w:val="14"/>
          <w:szCs w:val="14"/>
          <w:color w:val="auto"/>
        </w:rPr>
        <w:t>32.1*   Certification of Chief Executive Officer pursuant to Section 906 of the Sarbanes-Oxley Act of 2002.</w:t>
      </w:r>
    </w:p>
    <w:p>
      <w:pPr>
        <w:spacing w:after="0" w:line="136" w:lineRule="exact"/>
        <w:rPr>
          <w:rFonts w:ascii="Arial" w:cs="Arial" w:eastAsia="Arial" w:hAnsi="Arial"/>
          <w:sz w:val="13"/>
          <w:szCs w:val="13"/>
          <w:color w:val="auto"/>
        </w:rPr>
      </w:pPr>
    </w:p>
    <w:p>
      <w:pPr>
        <w:spacing w:after="0"/>
        <w:rPr>
          <w:rFonts w:ascii="Arial" w:cs="Arial" w:eastAsia="Arial" w:hAnsi="Arial"/>
          <w:sz w:val="13"/>
          <w:szCs w:val="13"/>
          <w:color w:val="auto"/>
        </w:rPr>
      </w:pPr>
      <w:r>
        <w:rPr>
          <w:rFonts w:ascii="Arial" w:cs="Arial" w:eastAsia="Arial" w:hAnsi="Arial"/>
          <w:sz w:val="14"/>
          <w:szCs w:val="14"/>
          <w:color w:val="auto"/>
        </w:rPr>
        <w:t>32.2*   Certification of Chief Financial Officer pursuant to Section 906 of the Sarbanes-Oxley Act of 2002.</w:t>
      </w:r>
    </w:p>
    <w:p>
      <w:pPr>
        <w:spacing w:after="0" w:line="136" w:lineRule="exact"/>
        <w:rPr>
          <w:rFonts w:ascii="Arial" w:cs="Arial" w:eastAsia="Arial" w:hAnsi="Arial"/>
          <w:sz w:val="13"/>
          <w:szCs w:val="13"/>
          <w:color w:val="auto"/>
        </w:rPr>
      </w:pPr>
    </w:p>
    <w:p>
      <w:pPr>
        <w:ind w:right="520"/>
        <w:spacing w:after="0" w:line="514" w:lineRule="auto"/>
        <w:rPr>
          <w:rFonts w:ascii="Arial" w:cs="Arial" w:eastAsia="Arial" w:hAnsi="Arial"/>
          <w:sz w:val="13"/>
          <w:szCs w:val="13"/>
          <w:color w:val="auto"/>
        </w:rPr>
      </w:pPr>
      <w:r>
        <w:rPr>
          <w:rFonts w:ascii="Arial" w:cs="Arial" w:eastAsia="Arial" w:hAnsi="Arial"/>
          <w:sz w:val="14"/>
          <w:szCs w:val="14"/>
          <w:color w:val="auto"/>
        </w:rPr>
        <w:t>99.1 Privacy Policy of the Registrant (Incorporated by reference to Exhibit 99.1 to the Registrant’s Annual Report on Form 10-K (File No. 814-00736), filed on November 16, 2011). * Filed herewith.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-227965</wp:posOffset>
            </wp:positionV>
            <wp:extent cx="1345565" cy="825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1345565" cy="8255"/>
                    </a:xfrm>
                    <a:prstGeom prst="rect">
                      <a:avLst/>
                    </a:prstGeom>
                    <a:noFill/>
                  </pic:spPr>
                </pic:pic>
              </a:graphicData>
            </a:graphic>
          </wp:anchor>
        </w:drawing>
      </w:r>
    </w:p>
    <w:p>
      <w:pPr>
        <w:spacing w:after="0" w:line="127"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72390</wp:posOffset>
            </wp:positionV>
            <wp:extent cx="7149465" cy="1714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333" w:right="339" w:bottom="1440" w:gutter="0" w:footer="0" w:header="0"/>
        </w:sectPr>
      </w:pPr>
    </w:p>
    <w:bookmarkStart w:id="35" w:name="page36"/>
    <w:bookmarkEnd w:id="35"/>
    <w:p>
      <w:pPr>
        <w:jc w:val="center"/>
        <w:ind w:right="-319"/>
        <w:spacing w:after="0"/>
        <w:rPr>
          <w:sz w:val="20"/>
          <w:szCs w:val="20"/>
          <w:color w:val="auto"/>
        </w:rPr>
      </w:pPr>
      <w:r>
        <w:rPr>
          <w:rFonts w:ascii="Arial" w:cs="Arial" w:eastAsia="Arial" w:hAnsi="Arial"/>
          <w:sz w:val="14"/>
          <w:szCs w:val="14"/>
          <w:b w:val="1"/>
          <w:bCs w:val="1"/>
          <w:color w:val="auto"/>
        </w:rPr>
        <w:t>SIGNATURES</w:t>
      </w:r>
    </w:p>
    <w:p>
      <w:pPr>
        <w:spacing w:after="0" w:line="289" w:lineRule="exact"/>
        <w:rPr>
          <w:sz w:val="20"/>
          <w:szCs w:val="20"/>
          <w:color w:val="auto"/>
        </w:rPr>
      </w:pPr>
    </w:p>
    <w:p>
      <w:pPr>
        <w:ind w:firstLine="436"/>
        <w:spacing w:after="0" w:line="253" w:lineRule="auto"/>
        <w:rPr>
          <w:sz w:val="20"/>
          <w:szCs w:val="20"/>
          <w:color w:val="auto"/>
        </w:rPr>
      </w:pPr>
      <w:r>
        <w:rPr>
          <w:rFonts w:ascii="Arial" w:cs="Arial" w:eastAsia="Arial" w:hAnsi="Arial"/>
          <w:sz w:val="14"/>
          <w:szCs w:val="14"/>
          <w:color w:val="auto"/>
        </w:rPr>
        <w:t>Pursuant to the requirements of the Securities Exchange Act of 1934, the registrant has duly caused this Report on Form 10-Q to be signed on its behalf by the undersigned, thereunto duly authorized.</w:t>
      </w:r>
    </w:p>
    <w:p>
      <w:pPr>
        <w:spacing w:after="0" w:line="268" w:lineRule="exact"/>
        <w:rPr>
          <w:sz w:val="20"/>
          <w:szCs w:val="20"/>
          <w:color w:val="auto"/>
        </w:rPr>
      </w:pPr>
    </w:p>
    <w:tbl>
      <w:tblPr>
        <w:tblLayout w:type="fixed"/>
        <w:tblInd w:w="640" w:type="dxa"/>
        <w:tblCellMar>
          <w:top w:w="0" w:type="dxa"/>
          <w:left w:w="0" w:type="dxa"/>
          <w:bottom w:w="0" w:type="dxa"/>
          <w:right w:w="0" w:type="dxa"/>
        </w:tblCellMar>
      </w:tblPr>
      <w:tr>
        <w:trPr>
          <w:trHeight w:val="182"/>
        </w:trPr>
        <w:tc>
          <w:tcPr>
            <w:tcW w:w="2920" w:type="dxa"/>
            <w:vAlign w:val="bottom"/>
          </w:tcPr>
          <w:p>
            <w:pPr>
              <w:spacing w:after="0"/>
              <w:rPr>
                <w:sz w:val="15"/>
                <w:szCs w:val="15"/>
                <w:color w:val="auto"/>
              </w:rPr>
            </w:pPr>
          </w:p>
        </w:tc>
        <w:tc>
          <w:tcPr>
            <w:tcW w:w="196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4580" w:type="dxa"/>
            <w:vAlign w:val="bottom"/>
          </w:tcPr>
          <w:p>
            <w:pPr>
              <w:ind w:left="380"/>
              <w:spacing w:after="0"/>
              <w:rPr>
                <w:sz w:val="20"/>
                <w:szCs w:val="20"/>
                <w:color w:val="auto"/>
              </w:rPr>
            </w:pPr>
            <w:r>
              <w:rPr>
                <w:rFonts w:ascii="Arial" w:cs="Arial" w:eastAsia="Arial" w:hAnsi="Arial"/>
                <w:sz w:val="14"/>
                <w:szCs w:val="14"/>
                <w:color w:val="auto"/>
              </w:rPr>
              <w:t>PENNANTPARK INVESTMENT CORPORATION</w:t>
            </w:r>
          </w:p>
        </w:tc>
        <w:tc>
          <w:tcPr>
            <w:tcW w:w="0" w:type="dxa"/>
            <w:vAlign w:val="bottom"/>
          </w:tcPr>
          <w:p>
            <w:pPr>
              <w:spacing w:after="0"/>
              <w:rPr>
                <w:sz w:val="1"/>
                <w:szCs w:val="1"/>
                <w:color w:val="auto"/>
              </w:rPr>
            </w:pPr>
          </w:p>
        </w:tc>
      </w:tr>
      <w:tr>
        <w:trPr>
          <w:trHeight w:val="324"/>
        </w:trPr>
        <w:tc>
          <w:tcPr>
            <w:tcW w:w="2920" w:type="dxa"/>
            <w:vAlign w:val="bottom"/>
          </w:tcPr>
          <w:p>
            <w:pPr>
              <w:spacing w:after="0"/>
              <w:rPr>
                <w:sz w:val="20"/>
                <w:szCs w:val="20"/>
                <w:color w:val="auto"/>
              </w:rPr>
            </w:pPr>
            <w:r>
              <w:rPr>
                <w:rFonts w:ascii="Arial" w:cs="Arial" w:eastAsia="Arial" w:hAnsi="Arial"/>
                <w:sz w:val="14"/>
                <w:szCs w:val="14"/>
                <w:color w:val="auto"/>
              </w:rPr>
              <w:t>Date: August 7, 2017</w:t>
            </w:r>
          </w:p>
        </w:tc>
        <w:tc>
          <w:tcPr>
            <w:tcW w:w="1960" w:type="dxa"/>
            <w:vAlign w:val="bottom"/>
            <w:vMerge w:val="restart"/>
          </w:tcPr>
          <w:p>
            <w:pPr>
              <w:ind w:left="1700"/>
              <w:spacing w:after="0"/>
              <w:rPr>
                <w:sz w:val="20"/>
                <w:szCs w:val="20"/>
                <w:color w:val="auto"/>
              </w:rPr>
            </w:pPr>
            <w:r>
              <w:rPr>
                <w:rFonts w:ascii="Arial" w:cs="Arial" w:eastAsia="Arial" w:hAnsi="Arial"/>
                <w:sz w:val="14"/>
                <w:szCs w:val="14"/>
                <w:color w:val="auto"/>
              </w:rPr>
              <w:t>By:</w:t>
            </w:r>
          </w:p>
        </w:tc>
        <w:tc>
          <w:tcPr>
            <w:tcW w:w="520" w:type="dxa"/>
            <w:vAlign w:val="bottom"/>
          </w:tcPr>
          <w:p>
            <w:pPr>
              <w:spacing w:after="0"/>
              <w:rPr>
                <w:sz w:val="24"/>
                <w:szCs w:val="24"/>
                <w:color w:val="auto"/>
              </w:rPr>
            </w:pPr>
          </w:p>
        </w:tc>
        <w:tc>
          <w:tcPr>
            <w:tcW w:w="4580" w:type="dxa"/>
            <w:vAlign w:val="bottom"/>
            <w:vMerge w:val="restart"/>
          </w:tcPr>
          <w:p>
            <w:pPr>
              <w:jc w:val="center"/>
              <w:spacing w:after="0"/>
              <w:rPr>
                <w:sz w:val="20"/>
                <w:szCs w:val="20"/>
                <w:color w:val="auto"/>
              </w:rPr>
            </w:pPr>
            <w:r>
              <w:rPr>
                <w:rFonts w:ascii="Arial" w:cs="Arial" w:eastAsia="Arial" w:hAnsi="Arial"/>
                <w:sz w:val="14"/>
                <w:szCs w:val="14"/>
                <w:color w:val="auto"/>
                <w:w w:val="95"/>
              </w:rPr>
              <w:t>/s/ Arthur H. Penn</w:t>
            </w:r>
          </w:p>
        </w:tc>
        <w:tc>
          <w:tcPr>
            <w:tcW w:w="0" w:type="dxa"/>
            <w:vAlign w:val="bottom"/>
          </w:tcPr>
          <w:p>
            <w:pPr>
              <w:spacing w:after="0"/>
              <w:rPr>
                <w:sz w:val="1"/>
                <w:szCs w:val="1"/>
                <w:color w:val="auto"/>
              </w:rPr>
            </w:pPr>
          </w:p>
        </w:tc>
      </w:tr>
      <w:tr>
        <w:trPr>
          <w:trHeight w:val="58"/>
        </w:trPr>
        <w:tc>
          <w:tcPr>
            <w:tcW w:w="2920" w:type="dxa"/>
            <w:vAlign w:val="bottom"/>
          </w:tcPr>
          <w:p>
            <w:pPr>
              <w:spacing w:after="0"/>
              <w:rPr>
                <w:sz w:val="4"/>
                <w:szCs w:val="4"/>
                <w:color w:val="auto"/>
              </w:rPr>
            </w:pPr>
          </w:p>
        </w:tc>
        <w:tc>
          <w:tcPr>
            <w:tcW w:w="1960" w:type="dxa"/>
            <w:vAlign w:val="bottom"/>
            <w:vMerge w:val="continue"/>
          </w:tcPr>
          <w:p>
            <w:pPr>
              <w:spacing w:after="0"/>
              <w:rPr>
                <w:sz w:val="4"/>
                <w:szCs w:val="4"/>
                <w:color w:val="auto"/>
              </w:rPr>
            </w:pPr>
          </w:p>
        </w:tc>
        <w:tc>
          <w:tcPr>
            <w:tcW w:w="520" w:type="dxa"/>
            <w:vAlign w:val="bottom"/>
          </w:tcPr>
          <w:p>
            <w:pPr>
              <w:spacing w:after="0"/>
              <w:rPr>
                <w:sz w:val="4"/>
                <w:szCs w:val="4"/>
                <w:color w:val="auto"/>
              </w:rPr>
            </w:pPr>
          </w:p>
        </w:tc>
        <w:tc>
          <w:tcPr>
            <w:tcW w:w="4580" w:type="dxa"/>
            <w:vAlign w:val="bottom"/>
            <w:tcBorders>
              <w:bottom w:val="single" w:sz="8" w:color="auto"/>
            </w:tcBorders>
            <w:vMerge w:val="continue"/>
          </w:tcPr>
          <w:p>
            <w:pPr>
              <w:spacing w:after="0"/>
              <w:rPr>
                <w:sz w:val="4"/>
                <w:szCs w:val="4"/>
                <w:color w:val="auto"/>
              </w:rPr>
            </w:pPr>
          </w:p>
        </w:tc>
        <w:tc>
          <w:tcPr>
            <w:tcW w:w="0" w:type="dxa"/>
            <w:vAlign w:val="bottom"/>
          </w:tcPr>
          <w:p>
            <w:pPr>
              <w:spacing w:after="0"/>
              <w:rPr>
                <w:sz w:val="1"/>
                <w:szCs w:val="1"/>
                <w:color w:val="auto"/>
              </w:rPr>
            </w:pPr>
          </w:p>
        </w:tc>
      </w:tr>
      <w:tr>
        <w:trPr>
          <w:trHeight w:val="160"/>
        </w:trPr>
        <w:tc>
          <w:tcPr>
            <w:tcW w:w="2920" w:type="dxa"/>
            <w:vAlign w:val="bottom"/>
          </w:tcPr>
          <w:p>
            <w:pPr>
              <w:spacing w:after="0"/>
              <w:rPr>
                <w:sz w:val="13"/>
                <w:szCs w:val="13"/>
                <w:color w:val="auto"/>
              </w:rPr>
            </w:pPr>
          </w:p>
        </w:tc>
        <w:tc>
          <w:tcPr>
            <w:tcW w:w="196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4580" w:type="dxa"/>
            <w:vAlign w:val="bottom"/>
          </w:tcPr>
          <w:p>
            <w:pPr>
              <w:jc w:val="center"/>
              <w:spacing w:after="0" w:line="160" w:lineRule="exact"/>
              <w:rPr>
                <w:sz w:val="20"/>
                <w:szCs w:val="20"/>
                <w:color w:val="auto"/>
              </w:rPr>
            </w:pPr>
            <w:r>
              <w:rPr>
                <w:rFonts w:ascii="Arial" w:cs="Arial" w:eastAsia="Arial" w:hAnsi="Arial"/>
                <w:sz w:val="14"/>
                <w:szCs w:val="14"/>
                <w:b w:val="1"/>
                <w:bCs w:val="1"/>
                <w:color w:val="auto"/>
                <w:w w:val="97"/>
              </w:rPr>
              <w:t>Arthur H. Penn</w:t>
            </w:r>
          </w:p>
        </w:tc>
        <w:tc>
          <w:tcPr>
            <w:tcW w:w="0" w:type="dxa"/>
            <w:vAlign w:val="bottom"/>
          </w:tcPr>
          <w:p>
            <w:pPr>
              <w:spacing w:after="0"/>
              <w:rPr>
                <w:sz w:val="1"/>
                <w:szCs w:val="1"/>
                <w:color w:val="auto"/>
              </w:rPr>
            </w:pPr>
          </w:p>
        </w:tc>
      </w:tr>
      <w:tr>
        <w:trPr>
          <w:trHeight w:val="148"/>
        </w:trPr>
        <w:tc>
          <w:tcPr>
            <w:tcW w:w="2920" w:type="dxa"/>
            <w:vAlign w:val="bottom"/>
          </w:tcPr>
          <w:p>
            <w:pPr>
              <w:spacing w:after="0"/>
              <w:rPr>
                <w:sz w:val="12"/>
                <w:szCs w:val="12"/>
                <w:color w:val="auto"/>
              </w:rPr>
            </w:pPr>
          </w:p>
        </w:tc>
        <w:tc>
          <w:tcPr>
            <w:tcW w:w="196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458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4"/>
              </w:rPr>
              <w:t>Chief Executive Officer and Chairman of the Board of Directors</w:t>
            </w:r>
          </w:p>
        </w:tc>
        <w:tc>
          <w:tcPr>
            <w:tcW w:w="0" w:type="dxa"/>
            <w:vAlign w:val="bottom"/>
          </w:tcPr>
          <w:p>
            <w:pPr>
              <w:spacing w:after="0"/>
              <w:rPr>
                <w:sz w:val="1"/>
                <w:szCs w:val="1"/>
                <w:color w:val="auto"/>
              </w:rPr>
            </w:pPr>
          </w:p>
        </w:tc>
      </w:tr>
      <w:tr>
        <w:trPr>
          <w:trHeight w:val="186"/>
        </w:trPr>
        <w:tc>
          <w:tcPr>
            <w:tcW w:w="2920" w:type="dxa"/>
            <w:vAlign w:val="bottom"/>
          </w:tcPr>
          <w:p>
            <w:pPr>
              <w:spacing w:after="0"/>
              <w:rPr>
                <w:sz w:val="16"/>
                <w:szCs w:val="16"/>
                <w:color w:val="auto"/>
              </w:rPr>
            </w:pPr>
          </w:p>
        </w:tc>
        <w:tc>
          <w:tcPr>
            <w:tcW w:w="196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4580" w:type="dxa"/>
            <w:vAlign w:val="bottom"/>
          </w:tcPr>
          <w:p>
            <w:pPr>
              <w:jc w:val="center"/>
              <w:spacing w:after="0"/>
              <w:rPr>
                <w:sz w:val="20"/>
                <w:szCs w:val="20"/>
                <w:color w:val="auto"/>
              </w:rPr>
            </w:pPr>
            <w:r>
              <w:rPr>
                <w:rFonts w:ascii="Arial" w:cs="Arial" w:eastAsia="Arial" w:hAnsi="Arial"/>
                <w:sz w:val="14"/>
                <w:szCs w:val="14"/>
                <w:b w:val="1"/>
                <w:bCs w:val="1"/>
                <w:color w:val="auto"/>
                <w:w w:val="95"/>
              </w:rPr>
              <w:t>(Principal Executive Officer)</w:t>
            </w:r>
          </w:p>
        </w:tc>
        <w:tc>
          <w:tcPr>
            <w:tcW w:w="0" w:type="dxa"/>
            <w:vAlign w:val="bottom"/>
          </w:tcPr>
          <w:p>
            <w:pPr>
              <w:spacing w:after="0"/>
              <w:rPr>
                <w:sz w:val="1"/>
                <w:szCs w:val="1"/>
                <w:color w:val="auto"/>
              </w:rPr>
            </w:pPr>
          </w:p>
        </w:tc>
      </w:tr>
      <w:tr>
        <w:trPr>
          <w:trHeight w:val="297"/>
        </w:trPr>
        <w:tc>
          <w:tcPr>
            <w:tcW w:w="2920" w:type="dxa"/>
            <w:vAlign w:val="bottom"/>
          </w:tcPr>
          <w:p>
            <w:pPr>
              <w:spacing w:after="0"/>
              <w:rPr>
                <w:sz w:val="20"/>
                <w:szCs w:val="20"/>
                <w:color w:val="auto"/>
              </w:rPr>
            </w:pPr>
            <w:r>
              <w:rPr>
                <w:rFonts w:ascii="Arial" w:cs="Arial" w:eastAsia="Arial" w:hAnsi="Arial"/>
                <w:sz w:val="14"/>
                <w:szCs w:val="14"/>
                <w:color w:val="auto"/>
              </w:rPr>
              <w:t>Date: August 7, 2017</w:t>
            </w:r>
          </w:p>
        </w:tc>
        <w:tc>
          <w:tcPr>
            <w:tcW w:w="1960" w:type="dxa"/>
            <w:vAlign w:val="bottom"/>
            <w:vMerge w:val="restart"/>
          </w:tcPr>
          <w:p>
            <w:pPr>
              <w:ind w:left="1700"/>
              <w:spacing w:after="0"/>
              <w:rPr>
                <w:sz w:val="20"/>
                <w:szCs w:val="20"/>
                <w:color w:val="auto"/>
              </w:rPr>
            </w:pPr>
            <w:r>
              <w:rPr>
                <w:rFonts w:ascii="Arial" w:cs="Arial" w:eastAsia="Arial" w:hAnsi="Arial"/>
                <w:sz w:val="14"/>
                <w:szCs w:val="14"/>
                <w:color w:val="auto"/>
              </w:rPr>
              <w:t>By:</w:t>
            </w:r>
          </w:p>
        </w:tc>
        <w:tc>
          <w:tcPr>
            <w:tcW w:w="520" w:type="dxa"/>
            <w:vAlign w:val="bottom"/>
          </w:tcPr>
          <w:p>
            <w:pPr>
              <w:spacing w:after="0"/>
              <w:rPr>
                <w:sz w:val="24"/>
                <w:szCs w:val="24"/>
                <w:color w:val="auto"/>
              </w:rPr>
            </w:pPr>
          </w:p>
        </w:tc>
        <w:tc>
          <w:tcPr>
            <w:tcW w:w="4580" w:type="dxa"/>
            <w:vAlign w:val="bottom"/>
            <w:vMerge w:val="restart"/>
          </w:tcPr>
          <w:p>
            <w:pPr>
              <w:jc w:val="center"/>
              <w:spacing w:after="0"/>
              <w:rPr>
                <w:sz w:val="20"/>
                <w:szCs w:val="20"/>
                <w:color w:val="auto"/>
              </w:rPr>
            </w:pPr>
            <w:r>
              <w:rPr>
                <w:rFonts w:ascii="Arial" w:cs="Arial" w:eastAsia="Arial" w:hAnsi="Arial"/>
                <w:sz w:val="14"/>
                <w:szCs w:val="14"/>
                <w:color w:val="auto"/>
                <w:w w:val="99"/>
              </w:rPr>
              <w:t>/s/ Aviv Efrat</w:t>
            </w:r>
          </w:p>
        </w:tc>
        <w:tc>
          <w:tcPr>
            <w:tcW w:w="0" w:type="dxa"/>
            <w:vAlign w:val="bottom"/>
          </w:tcPr>
          <w:p>
            <w:pPr>
              <w:spacing w:after="0"/>
              <w:rPr>
                <w:sz w:val="1"/>
                <w:szCs w:val="1"/>
                <w:color w:val="auto"/>
              </w:rPr>
            </w:pPr>
          </w:p>
        </w:tc>
      </w:tr>
      <w:tr>
        <w:trPr>
          <w:trHeight w:val="58"/>
        </w:trPr>
        <w:tc>
          <w:tcPr>
            <w:tcW w:w="2920" w:type="dxa"/>
            <w:vAlign w:val="bottom"/>
          </w:tcPr>
          <w:p>
            <w:pPr>
              <w:spacing w:after="0"/>
              <w:rPr>
                <w:sz w:val="4"/>
                <w:szCs w:val="4"/>
                <w:color w:val="auto"/>
              </w:rPr>
            </w:pPr>
          </w:p>
        </w:tc>
        <w:tc>
          <w:tcPr>
            <w:tcW w:w="1960" w:type="dxa"/>
            <w:vAlign w:val="bottom"/>
            <w:vMerge w:val="continue"/>
          </w:tcPr>
          <w:p>
            <w:pPr>
              <w:spacing w:after="0"/>
              <w:rPr>
                <w:sz w:val="4"/>
                <w:szCs w:val="4"/>
                <w:color w:val="auto"/>
              </w:rPr>
            </w:pPr>
          </w:p>
        </w:tc>
        <w:tc>
          <w:tcPr>
            <w:tcW w:w="520" w:type="dxa"/>
            <w:vAlign w:val="bottom"/>
          </w:tcPr>
          <w:p>
            <w:pPr>
              <w:spacing w:after="0"/>
              <w:rPr>
                <w:sz w:val="4"/>
                <w:szCs w:val="4"/>
                <w:color w:val="auto"/>
              </w:rPr>
            </w:pPr>
          </w:p>
        </w:tc>
        <w:tc>
          <w:tcPr>
            <w:tcW w:w="4580" w:type="dxa"/>
            <w:vAlign w:val="bottom"/>
            <w:tcBorders>
              <w:bottom w:val="single" w:sz="8" w:color="auto"/>
            </w:tcBorders>
            <w:vMerge w:val="continue"/>
          </w:tcPr>
          <w:p>
            <w:pPr>
              <w:spacing w:after="0"/>
              <w:rPr>
                <w:sz w:val="4"/>
                <w:szCs w:val="4"/>
                <w:color w:val="auto"/>
              </w:rPr>
            </w:pPr>
          </w:p>
        </w:tc>
        <w:tc>
          <w:tcPr>
            <w:tcW w:w="0" w:type="dxa"/>
            <w:vAlign w:val="bottom"/>
          </w:tcPr>
          <w:p>
            <w:pPr>
              <w:spacing w:after="0"/>
              <w:rPr>
                <w:sz w:val="1"/>
                <w:szCs w:val="1"/>
                <w:color w:val="auto"/>
              </w:rPr>
            </w:pPr>
          </w:p>
        </w:tc>
      </w:tr>
      <w:tr>
        <w:trPr>
          <w:trHeight w:val="197"/>
        </w:trPr>
        <w:tc>
          <w:tcPr>
            <w:tcW w:w="2920" w:type="dxa"/>
            <w:vAlign w:val="bottom"/>
          </w:tcPr>
          <w:p>
            <w:pPr>
              <w:spacing w:after="0"/>
              <w:rPr>
                <w:sz w:val="17"/>
                <w:szCs w:val="17"/>
                <w:color w:val="auto"/>
              </w:rPr>
            </w:pPr>
          </w:p>
        </w:tc>
        <w:tc>
          <w:tcPr>
            <w:tcW w:w="196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4580" w:type="dxa"/>
            <w:vAlign w:val="bottom"/>
          </w:tcPr>
          <w:p>
            <w:pPr>
              <w:jc w:val="center"/>
              <w:spacing w:after="0"/>
              <w:rPr>
                <w:sz w:val="20"/>
                <w:szCs w:val="20"/>
                <w:color w:val="auto"/>
              </w:rPr>
            </w:pPr>
            <w:r>
              <w:rPr>
                <w:rFonts w:ascii="Arial" w:cs="Arial" w:eastAsia="Arial" w:hAnsi="Arial"/>
                <w:sz w:val="14"/>
                <w:szCs w:val="14"/>
                <w:b w:val="1"/>
                <w:bCs w:val="1"/>
                <w:color w:val="auto"/>
                <w:w w:val="97"/>
              </w:rPr>
              <w:t>Aviv Efrat</w:t>
            </w:r>
          </w:p>
        </w:tc>
        <w:tc>
          <w:tcPr>
            <w:tcW w:w="0" w:type="dxa"/>
            <w:vAlign w:val="bottom"/>
          </w:tcPr>
          <w:p>
            <w:pPr>
              <w:spacing w:after="0"/>
              <w:rPr>
                <w:sz w:val="1"/>
                <w:szCs w:val="1"/>
                <w:color w:val="auto"/>
              </w:rPr>
            </w:pPr>
          </w:p>
        </w:tc>
      </w:tr>
      <w:tr>
        <w:trPr>
          <w:trHeight w:val="205"/>
        </w:trPr>
        <w:tc>
          <w:tcPr>
            <w:tcW w:w="2920" w:type="dxa"/>
            <w:vAlign w:val="bottom"/>
          </w:tcPr>
          <w:p>
            <w:pPr>
              <w:spacing w:after="0"/>
              <w:rPr>
                <w:sz w:val="17"/>
                <w:szCs w:val="17"/>
                <w:color w:val="auto"/>
              </w:rPr>
            </w:pPr>
          </w:p>
        </w:tc>
        <w:tc>
          <w:tcPr>
            <w:tcW w:w="196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4580" w:type="dxa"/>
            <w:vAlign w:val="bottom"/>
          </w:tcPr>
          <w:p>
            <w:pPr>
              <w:jc w:val="center"/>
              <w:spacing w:after="0"/>
              <w:rPr>
                <w:sz w:val="20"/>
                <w:szCs w:val="20"/>
                <w:color w:val="auto"/>
              </w:rPr>
            </w:pPr>
            <w:r>
              <w:rPr>
                <w:rFonts w:ascii="Arial" w:cs="Arial" w:eastAsia="Arial" w:hAnsi="Arial"/>
                <w:sz w:val="14"/>
                <w:szCs w:val="14"/>
                <w:b w:val="1"/>
                <w:bCs w:val="1"/>
                <w:color w:val="auto"/>
                <w:w w:val="95"/>
              </w:rPr>
              <w:t>Chief Financial Officer and Treasurer</w:t>
            </w:r>
          </w:p>
        </w:tc>
        <w:tc>
          <w:tcPr>
            <w:tcW w:w="0" w:type="dxa"/>
            <w:vAlign w:val="bottom"/>
          </w:tcPr>
          <w:p>
            <w:pPr>
              <w:spacing w:after="0"/>
              <w:rPr>
                <w:sz w:val="1"/>
                <w:szCs w:val="1"/>
                <w:color w:val="auto"/>
              </w:rPr>
            </w:pPr>
          </w:p>
        </w:tc>
      </w:tr>
      <w:tr>
        <w:trPr>
          <w:trHeight w:val="186"/>
        </w:trPr>
        <w:tc>
          <w:tcPr>
            <w:tcW w:w="2920" w:type="dxa"/>
            <w:vAlign w:val="bottom"/>
          </w:tcPr>
          <w:p>
            <w:pPr>
              <w:spacing w:after="0"/>
              <w:rPr>
                <w:sz w:val="16"/>
                <w:szCs w:val="16"/>
                <w:color w:val="auto"/>
              </w:rPr>
            </w:pPr>
          </w:p>
        </w:tc>
        <w:tc>
          <w:tcPr>
            <w:tcW w:w="196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4580" w:type="dxa"/>
            <w:vAlign w:val="bottom"/>
          </w:tcPr>
          <w:p>
            <w:pPr>
              <w:jc w:val="center"/>
              <w:spacing w:after="0"/>
              <w:rPr>
                <w:sz w:val="20"/>
                <w:szCs w:val="20"/>
                <w:color w:val="auto"/>
              </w:rPr>
            </w:pPr>
            <w:r>
              <w:rPr>
                <w:rFonts w:ascii="Arial" w:cs="Arial" w:eastAsia="Arial" w:hAnsi="Arial"/>
                <w:sz w:val="14"/>
                <w:szCs w:val="14"/>
                <w:b w:val="1"/>
                <w:bCs w:val="1"/>
                <w:color w:val="auto"/>
                <w:w w:val="94"/>
              </w:rPr>
              <w:t>(Principal Financial and Accounting Officer)</w:t>
            </w:r>
          </w:p>
        </w:tc>
        <w:tc>
          <w:tcPr>
            <w:tcW w:w="0" w:type="dxa"/>
            <w:vAlign w:val="bottom"/>
          </w:tcPr>
          <w:p>
            <w:pPr>
              <w:spacing w:after="0"/>
              <w:rPr>
                <w:sz w:val="1"/>
                <w:szCs w:val="1"/>
                <w:color w:val="auto"/>
              </w:rPr>
            </w:pPr>
          </w:p>
        </w:tc>
      </w:tr>
      <w:tr>
        <w:trPr>
          <w:trHeight w:val="810"/>
        </w:trPr>
        <w:tc>
          <w:tcPr>
            <w:tcW w:w="2920" w:type="dxa"/>
            <w:vAlign w:val="bottom"/>
          </w:tcPr>
          <w:p>
            <w:pPr>
              <w:spacing w:after="0"/>
              <w:rPr>
                <w:sz w:val="24"/>
                <w:szCs w:val="24"/>
                <w:color w:val="auto"/>
              </w:rPr>
            </w:pPr>
          </w:p>
        </w:tc>
        <w:tc>
          <w:tcPr>
            <w:tcW w:w="1960" w:type="dxa"/>
            <w:vAlign w:val="bottom"/>
          </w:tcPr>
          <w:p>
            <w:pPr>
              <w:spacing w:after="0"/>
              <w:rPr>
                <w:sz w:val="24"/>
                <w:szCs w:val="24"/>
                <w:color w:val="auto"/>
              </w:rPr>
            </w:pPr>
          </w:p>
        </w:tc>
        <w:tc>
          <w:tcPr>
            <w:tcW w:w="520" w:type="dxa"/>
            <w:vAlign w:val="bottom"/>
          </w:tcPr>
          <w:p>
            <w:pPr>
              <w:jc w:val="right"/>
              <w:ind w:right="268"/>
              <w:spacing w:after="0"/>
              <w:rPr>
                <w:sz w:val="20"/>
                <w:szCs w:val="20"/>
                <w:color w:val="auto"/>
              </w:rPr>
            </w:pPr>
            <w:r>
              <w:rPr>
                <w:rFonts w:ascii="Arial" w:cs="Arial" w:eastAsia="Arial" w:hAnsi="Arial"/>
                <w:sz w:val="14"/>
                <w:szCs w:val="14"/>
                <w:color w:val="auto"/>
              </w:rPr>
              <w:t>36</w:t>
            </w:r>
          </w:p>
        </w:tc>
        <w:tc>
          <w:tcPr>
            <w:tcW w:w="458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0940"/>
          </w:cols>
          <w:pgMar w:left="320" w:top="333" w:right="639" w:bottom="1440" w:gutter="0" w:footer="0" w:header="0"/>
        </w:sectPr>
      </w:pPr>
    </w:p>
    <w:bookmarkStart w:id="36" w:name="page37"/>
    <w:bookmarkEnd w:id="36"/>
    <w:p>
      <w:pPr>
        <w:jc w:val="right"/>
        <w:spacing w:after="0"/>
        <w:rPr>
          <w:sz w:val="20"/>
          <w:szCs w:val="20"/>
          <w:color w:val="auto"/>
        </w:rPr>
      </w:pPr>
      <w:r>
        <w:rPr>
          <w:rFonts w:ascii="Arial" w:cs="Arial" w:eastAsia="Arial" w:hAnsi="Arial"/>
          <w:sz w:val="14"/>
          <w:szCs w:val="14"/>
          <w:b w:val="1"/>
          <w:bCs w:val="1"/>
          <w:color w:val="auto"/>
        </w:rPr>
        <w:t>Exhibit 10.1</w:t>
      </w:r>
    </w:p>
    <w:p>
      <w:pPr>
        <w:spacing w:after="0" w:line="206"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FIRST OMNIBUS AMENDMENT TO SECOND AMENDED AND RESTATED SENIOR</w:t>
      </w:r>
    </w:p>
    <w:p>
      <w:pPr>
        <w:jc w:val="center"/>
        <w:spacing w:after="0" w:line="221" w:lineRule="auto"/>
        <w:rPr>
          <w:sz w:val="20"/>
          <w:szCs w:val="20"/>
          <w:color w:val="auto"/>
        </w:rPr>
      </w:pPr>
      <w:r>
        <w:rPr>
          <w:rFonts w:ascii="Arial" w:cs="Arial" w:eastAsia="Arial" w:hAnsi="Arial"/>
          <w:sz w:val="14"/>
          <w:szCs w:val="14"/>
          <w:color w:val="auto"/>
        </w:rPr>
        <w:t>SECURED REVOLVING CREDIT AGREEMENT AND SECOND AMENDED AND</w:t>
      </w:r>
    </w:p>
    <w:p>
      <w:pPr>
        <w:jc w:val="center"/>
        <w:spacing w:after="0"/>
        <w:rPr>
          <w:sz w:val="20"/>
          <w:szCs w:val="20"/>
          <w:color w:val="auto"/>
        </w:rPr>
      </w:pPr>
      <w:r>
        <w:rPr>
          <w:rFonts w:ascii="Arial" w:cs="Arial" w:eastAsia="Arial" w:hAnsi="Arial"/>
          <w:sz w:val="14"/>
          <w:szCs w:val="14"/>
          <w:color w:val="auto"/>
        </w:rPr>
        <w:t>RESTATED GUARANTEE AND SECURITY AGREEMENT</w:t>
      </w:r>
    </w:p>
    <w:p>
      <w:pPr>
        <w:spacing w:after="0" w:line="192" w:lineRule="exact"/>
        <w:rPr>
          <w:sz w:val="20"/>
          <w:szCs w:val="20"/>
          <w:color w:val="auto"/>
        </w:rPr>
      </w:pPr>
    </w:p>
    <w:p>
      <w:pPr>
        <w:jc w:val="both"/>
        <w:ind w:firstLine="864"/>
        <w:spacing w:after="0" w:line="227" w:lineRule="auto"/>
        <w:rPr>
          <w:sz w:val="20"/>
          <w:szCs w:val="20"/>
          <w:color w:val="auto"/>
        </w:rPr>
      </w:pPr>
      <w:r>
        <w:rPr>
          <w:rFonts w:ascii="Arial" w:cs="Arial" w:eastAsia="Arial" w:hAnsi="Arial"/>
          <w:sz w:val="14"/>
          <w:szCs w:val="14"/>
          <w:color w:val="auto"/>
        </w:rPr>
        <w:t>This FIRST OMNIBUS AMENDMENT TO SECOND AMENDED AND RESTATED SENIOR SECURED REVOLVING CREDIT AGREEMENT AND SECOND AMENDED AND RESTATED GUARANTEE AND SECURITY AGREEMENT, dated as of May 25, 2017 (this “</w:t>
      </w:r>
      <w:r>
        <w:rPr>
          <w:rFonts w:ascii="Arial" w:cs="Arial" w:eastAsia="Arial" w:hAnsi="Arial"/>
          <w:sz w:val="14"/>
          <w:szCs w:val="14"/>
          <w:u w:val="single" w:color="auto"/>
          <w:color w:val="auto"/>
        </w:rPr>
        <w:t>Amendment</w:t>
      </w:r>
      <w:r>
        <w:rPr>
          <w:rFonts w:ascii="Arial" w:cs="Arial" w:eastAsia="Arial" w:hAnsi="Arial"/>
          <w:sz w:val="14"/>
          <w:szCs w:val="14"/>
          <w:color w:val="auto"/>
        </w:rPr>
        <w:t>”), is entered into among PENNANTPARK INVESTMENT CORPORATION, a Maryland corporation (the “</w:t>
      </w:r>
      <w:r>
        <w:rPr>
          <w:rFonts w:ascii="Arial" w:cs="Arial" w:eastAsia="Arial" w:hAnsi="Arial"/>
          <w:sz w:val="14"/>
          <w:szCs w:val="14"/>
          <w:u w:val="single" w:color="auto"/>
          <w:color w:val="auto"/>
        </w:rPr>
        <w:t>Borrower</w:t>
      </w:r>
      <w:r>
        <w:rPr>
          <w:rFonts w:ascii="Arial" w:cs="Arial" w:eastAsia="Arial" w:hAnsi="Arial"/>
          <w:sz w:val="14"/>
          <w:szCs w:val="14"/>
          <w:color w:val="auto"/>
        </w:rPr>
        <w:t>”), PNNT CI (GALLS) PRIME INVESTMENT HOLDINGS, LLC, a Delaware limited liability company, PNNT INVESTMENT HOLDINGS, LLC (F/K/A PNNT TRANSPORTATION 100 HOLDCO, LLC), a Delaware limited liability company (“</w:t>
      </w:r>
      <w:r>
        <w:rPr>
          <w:rFonts w:ascii="Arial" w:cs="Arial" w:eastAsia="Arial" w:hAnsi="Arial"/>
          <w:sz w:val="14"/>
          <w:szCs w:val="14"/>
          <w:u w:val="single" w:color="auto"/>
          <w:color w:val="auto"/>
        </w:rPr>
        <w:t>PNNT Investment Holdings</w:t>
      </w:r>
      <w:r>
        <w:rPr>
          <w:rFonts w:ascii="Arial" w:cs="Arial" w:eastAsia="Arial" w:hAnsi="Arial"/>
          <w:sz w:val="14"/>
          <w:szCs w:val="14"/>
          <w:color w:val="auto"/>
        </w:rPr>
        <w:t>”), PNNT NEW GULF RESOURCES, LLC, a Delaware limited liability company, PNNT ECOSERVE, LLC, a Delaware limited liability company, PNNT CASCADE ENVIRONMENTAL HOLDINGS, LLC, a Delaware limited liability company, as Subsidiary Guarantors (collectively, the “</w:t>
      </w:r>
      <w:r>
        <w:rPr>
          <w:rFonts w:ascii="Arial" w:cs="Arial" w:eastAsia="Arial" w:hAnsi="Arial"/>
          <w:sz w:val="14"/>
          <w:szCs w:val="14"/>
          <w:u w:val="single" w:color="auto"/>
          <w:color w:val="auto"/>
        </w:rPr>
        <w:t>Specified Subsidiary Guarantors</w:t>
      </w:r>
      <w:r>
        <w:rPr>
          <w:rFonts w:ascii="Arial" w:cs="Arial" w:eastAsia="Arial" w:hAnsi="Arial"/>
          <w:sz w:val="14"/>
          <w:szCs w:val="14"/>
          <w:color w:val="auto"/>
        </w:rPr>
        <w:t>”), the LENDERS (as defined below) party hereto, SUNTRUST BANK, as Administrative Agent (the “</w:t>
      </w:r>
      <w:r>
        <w:rPr>
          <w:rFonts w:ascii="Arial" w:cs="Arial" w:eastAsia="Arial" w:hAnsi="Arial"/>
          <w:sz w:val="14"/>
          <w:szCs w:val="14"/>
          <w:u w:val="single" w:color="auto"/>
          <w:color w:val="auto"/>
        </w:rPr>
        <w:t>Administrative</w:t>
      </w:r>
      <w:r>
        <w:rPr>
          <w:rFonts w:ascii="Arial" w:cs="Arial" w:eastAsia="Arial" w:hAnsi="Arial"/>
          <w:sz w:val="14"/>
          <w:szCs w:val="14"/>
          <w:color w:val="auto"/>
        </w:rPr>
        <w:t xml:space="preserve"> </w:t>
      </w:r>
      <w:r>
        <w:rPr>
          <w:rFonts w:ascii="Arial" w:cs="Arial" w:eastAsia="Arial" w:hAnsi="Arial"/>
          <w:sz w:val="14"/>
          <w:szCs w:val="14"/>
          <w:u w:val="single" w:color="auto"/>
          <w:color w:val="auto"/>
        </w:rPr>
        <w:t>Agent</w:t>
      </w:r>
      <w:r>
        <w:rPr>
          <w:rFonts w:ascii="Arial" w:cs="Arial" w:eastAsia="Arial" w:hAnsi="Arial"/>
          <w:sz w:val="14"/>
          <w:szCs w:val="14"/>
          <w:color w:val="auto"/>
        </w:rPr>
        <w:t>”) and as Collateral Agent (the “</w:t>
      </w:r>
      <w:r>
        <w:rPr>
          <w:rFonts w:ascii="Arial" w:cs="Arial" w:eastAsia="Arial" w:hAnsi="Arial"/>
          <w:sz w:val="14"/>
          <w:szCs w:val="14"/>
          <w:u w:val="single" w:color="auto"/>
          <w:color w:val="auto"/>
        </w:rPr>
        <w:t>Collateral Agent</w:t>
      </w:r>
      <w:r>
        <w:rPr>
          <w:rFonts w:ascii="Arial" w:cs="Arial" w:eastAsia="Arial" w:hAnsi="Arial"/>
          <w:sz w:val="14"/>
          <w:szCs w:val="14"/>
          <w:color w:val="auto"/>
        </w:rPr>
        <w:t xml:space="preserve">”) and, solely with respect to </w:t>
      </w:r>
      <w:r>
        <w:rPr>
          <w:rFonts w:ascii="Arial" w:cs="Arial" w:eastAsia="Arial" w:hAnsi="Arial"/>
          <w:sz w:val="14"/>
          <w:szCs w:val="14"/>
          <w:u w:val="single" w:color="auto"/>
          <w:color w:val="auto"/>
        </w:rPr>
        <w:t>Section 2.2</w:t>
      </w:r>
      <w:r>
        <w:rPr>
          <w:rFonts w:ascii="Arial" w:cs="Arial" w:eastAsia="Arial" w:hAnsi="Arial"/>
          <w:sz w:val="14"/>
          <w:szCs w:val="14"/>
          <w:color w:val="auto"/>
        </w:rPr>
        <w:t>, PNNT POWER PRODUCTS HOLDINGS, LLC, a Delaware limited liability company (“</w:t>
      </w:r>
      <w:r>
        <w:rPr>
          <w:rFonts w:ascii="Arial" w:cs="Arial" w:eastAsia="Arial" w:hAnsi="Arial"/>
          <w:sz w:val="14"/>
          <w:szCs w:val="14"/>
          <w:u w:val="single" w:color="auto"/>
          <w:color w:val="auto"/>
        </w:rPr>
        <w:t>PNNT</w:t>
      </w:r>
      <w:r>
        <w:rPr>
          <w:rFonts w:ascii="Arial" w:cs="Arial" w:eastAsia="Arial" w:hAnsi="Arial"/>
          <w:sz w:val="14"/>
          <w:szCs w:val="14"/>
          <w:color w:val="auto"/>
        </w:rPr>
        <w:t xml:space="preserve"> </w:t>
      </w:r>
      <w:r>
        <w:rPr>
          <w:rFonts w:ascii="Arial" w:cs="Arial" w:eastAsia="Arial" w:hAnsi="Arial"/>
          <w:sz w:val="14"/>
          <w:szCs w:val="14"/>
          <w:u w:val="single" w:color="auto"/>
          <w:color w:val="auto"/>
        </w:rPr>
        <w:t>Power</w:t>
      </w:r>
      <w:r>
        <w:rPr>
          <w:rFonts w:ascii="Arial" w:cs="Arial" w:eastAsia="Arial" w:hAnsi="Arial"/>
          <w:sz w:val="14"/>
          <w:szCs w:val="14"/>
          <w:color w:val="auto"/>
        </w:rPr>
        <w:t>”), and PNNT ALABAMA HOLDINGS INC., a Delaware corporation (“</w:t>
      </w:r>
      <w:r>
        <w:rPr>
          <w:rFonts w:ascii="Arial" w:cs="Arial" w:eastAsia="Arial" w:hAnsi="Arial"/>
          <w:sz w:val="14"/>
          <w:szCs w:val="14"/>
          <w:u w:val="single" w:color="auto"/>
          <w:color w:val="auto"/>
        </w:rPr>
        <w:t>PNNT Alabama</w:t>
      </w:r>
      <w:r>
        <w:rPr>
          <w:rFonts w:ascii="Arial" w:cs="Arial" w:eastAsia="Arial" w:hAnsi="Arial"/>
          <w:sz w:val="14"/>
          <w:szCs w:val="14"/>
          <w:color w:val="auto"/>
        </w:rPr>
        <w:t>”).</w:t>
      </w:r>
    </w:p>
    <w:p>
      <w:pPr>
        <w:spacing w:after="0" w:line="186" w:lineRule="exact"/>
        <w:rPr>
          <w:sz w:val="20"/>
          <w:szCs w:val="20"/>
          <w:color w:val="auto"/>
        </w:rPr>
      </w:pPr>
    </w:p>
    <w:p>
      <w:pPr>
        <w:jc w:val="center"/>
        <w:spacing w:after="0"/>
        <w:rPr>
          <w:sz w:val="20"/>
          <w:szCs w:val="20"/>
          <w:color w:val="auto"/>
        </w:rPr>
      </w:pPr>
      <w:r>
        <w:rPr>
          <w:rFonts w:ascii="Arial" w:cs="Arial" w:eastAsia="Arial" w:hAnsi="Arial"/>
          <w:sz w:val="14"/>
          <w:szCs w:val="14"/>
          <w:u w:val="single" w:color="auto"/>
          <w:color w:val="auto"/>
        </w:rPr>
        <w:t>RECITALS</w:t>
      </w:r>
    </w:p>
    <w:p>
      <w:pPr>
        <w:spacing w:after="0" w:line="204" w:lineRule="exact"/>
        <w:rPr>
          <w:sz w:val="20"/>
          <w:szCs w:val="20"/>
          <w:color w:val="auto"/>
        </w:rPr>
      </w:pPr>
    </w:p>
    <w:p>
      <w:pPr>
        <w:jc w:val="both"/>
        <w:ind w:firstLine="864"/>
        <w:spacing w:after="0" w:line="238" w:lineRule="auto"/>
        <w:rPr>
          <w:sz w:val="20"/>
          <w:szCs w:val="20"/>
          <w:color w:val="auto"/>
        </w:rPr>
      </w:pPr>
      <w:r>
        <w:rPr>
          <w:rFonts w:ascii="Arial" w:cs="Arial" w:eastAsia="Arial" w:hAnsi="Arial"/>
          <w:sz w:val="14"/>
          <w:szCs w:val="14"/>
          <w:color w:val="auto"/>
        </w:rPr>
        <w:t>WHEREAS, the Borrower and the Administrative Agent entered into that certain Second Amended and Restated Senior Secured Revolving Credit Agreement dated as of June 25, 2014 (as amended or otherwise modified prior to the Effective Date, the “</w:t>
      </w:r>
      <w:r>
        <w:rPr>
          <w:rFonts w:ascii="Arial" w:cs="Arial" w:eastAsia="Arial" w:hAnsi="Arial"/>
          <w:sz w:val="14"/>
          <w:szCs w:val="14"/>
          <w:u w:val="single" w:color="auto"/>
          <w:color w:val="auto"/>
        </w:rPr>
        <w:t>Credit Agreement</w:t>
      </w:r>
      <w:r>
        <w:rPr>
          <w:rFonts w:ascii="Arial" w:cs="Arial" w:eastAsia="Arial" w:hAnsi="Arial"/>
          <w:sz w:val="14"/>
          <w:szCs w:val="14"/>
          <w:color w:val="auto"/>
        </w:rPr>
        <w:t>”) with the lenders party thereto (the “</w:t>
      </w:r>
      <w:r>
        <w:rPr>
          <w:rFonts w:ascii="Arial" w:cs="Arial" w:eastAsia="Arial" w:hAnsi="Arial"/>
          <w:sz w:val="14"/>
          <w:szCs w:val="14"/>
          <w:u w:val="single" w:color="auto"/>
          <w:color w:val="auto"/>
        </w:rPr>
        <w:t>Lenders</w:t>
      </w:r>
      <w:r>
        <w:rPr>
          <w:rFonts w:ascii="Arial" w:cs="Arial" w:eastAsia="Arial" w:hAnsi="Arial"/>
          <w:sz w:val="14"/>
          <w:szCs w:val="14"/>
          <w:color w:val="auto"/>
        </w:rPr>
        <w:t>”), pursuant to which the Lenders extended certain commitments and made certain loans to the Borrower;</w:t>
      </w:r>
    </w:p>
    <w:p>
      <w:pPr>
        <w:spacing w:after="0" w:line="183" w:lineRule="exact"/>
        <w:rPr>
          <w:sz w:val="20"/>
          <w:szCs w:val="20"/>
          <w:color w:val="auto"/>
        </w:rPr>
      </w:pPr>
    </w:p>
    <w:p>
      <w:pPr>
        <w:ind w:left="880"/>
        <w:spacing w:after="0"/>
        <w:rPr>
          <w:sz w:val="20"/>
          <w:szCs w:val="20"/>
          <w:color w:val="auto"/>
        </w:rPr>
      </w:pPr>
      <w:r>
        <w:rPr>
          <w:rFonts w:ascii="Arial" w:cs="Arial" w:eastAsia="Arial" w:hAnsi="Arial"/>
          <w:sz w:val="13"/>
          <w:szCs w:val="13"/>
          <w:color w:val="auto"/>
        </w:rPr>
        <w:t>WHEREAS, the Borrower, the Lenders, the Administrative Agent and the Collateral Agent desire to amend the Credit Agreement to make certain changes, including to extend the</w:t>
      </w:r>
    </w:p>
    <w:p>
      <w:pPr>
        <w:spacing w:after="0" w:line="11" w:lineRule="exact"/>
        <w:rPr>
          <w:sz w:val="20"/>
          <w:szCs w:val="20"/>
          <w:color w:val="auto"/>
        </w:rPr>
      </w:pPr>
    </w:p>
    <w:p>
      <w:pPr>
        <w:spacing w:after="0"/>
        <w:rPr>
          <w:sz w:val="20"/>
          <w:szCs w:val="20"/>
          <w:color w:val="auto"/>
        </w:rPr>
      </w:pPr>
      <w:r>
        <w:rPr>
          <w:rFonts w:ascii="Arial" w:cs="Arial" w:eastAsia="Arial" w:hAnsi="Arial"/>
          <w:sz w:val="14"/>
          <w:szCs w:val="14"/>
          <w:color w:val="auto"/>
        </w:rPr>
        <w:t>maturity date;</w:t>
      </w:r>
    </w:p>
    <w:p>
      <w:pPr>
        <w:spacing w:after="0" w:line="192" w:lineRule="exact"/>
        <w:rPr>
          <w:sz w:val="20"/>
          <w:szCs w:val="20"/>
          <w:color w:val="auto"/>
        </w:rPr>
      </w:pPr>
    </w:p>
    <w:p>
      <w:pPr>
        <w:jc w:val="both"/>
        <w:ind w:firstLine="864"/>
        <w:spacing w:after="0" w:line="253" w:lineRule="auto"/>
        <w:rPr>
          <w:sz w:val="20"/>
          <w:szCs w:val="20"/>
          <w:color w:val="auto"/>
        </w:rPr>
      </w:pPr>
      <w:r>
        <w:rPr>
          <w:rFonts w:ascii="Arial" w:cs="Arial" w:eastAsia="Arial" w:hAnsi="Arial"/>
          <w:sz w:val="14"/>
          <w:szCs w:val="14"/>
          <w:color w:val="auto"/>
        </w:rPr>
        <w:t>WHEREAS, the Borrower, the Subsidiary Guarantors party thereto, the Administrative Agent and the Collateral Agent are parties to the Second Amended and Restated Guarantee and Security Agreement, dated as of June 25, 2014 (the “</w:t>
      </w:r>
      <w:r>
        <w:rPr>
          <w:rFonts w:ascii="Arial" w:cs="Arial" w:eastAsia="Arial" w:hAnsi="Arial"/>
          <w:sz w:val="14"/>
          <w:szCs w:val="14"/>
          <w:u w:val="single" w:color="auto"/>
          <w:color w:val="auto"/>
        </w:rPr>
        <w:t>Guarantee and Security Agreement</w:t>
      </w:r>
      <w:r>
        <w:rPr>
          <w:rFonts w:ascii="Arial" w:cs="Arial" w:eastAsia="Arial" w:hAnsi="Arial"/>
          <w:sz w:val="14"/>
          <w:szCs w:val="14"/>
          <w:color w:val="auto"/>
        </w:rPr>
        <w:t>”; and together with the Credit Agreement, the “</w:t>
      </w:r>
      <w:r>
        <w:rPr>
          <w:rFonts w:ascii="Arial" w:cs="Arial" w:eastAsia="Arial" w:hAnsi="Arial"/>
          <w:sz w:val="14"/>
          <w:szCs w:val="14"/>
          <w:u w:val="single" w:color="auto"/>
          <w:color w:val="auto"/>
        </w:rPr>
        <w:t>Agreements</w:t>
      </w:r>
      <w:r>
        <w:rPr>
          <w:rFonts w:ascii="Arial" w:cs="Arial" w:eastAsia="Arial" w:hAnsi="Arial"/>
          <w:sz w:val="14"/>
          <w:szCs w:val="14"/>
          <w:color w:val="auto"/>
        </w:rPr>
        <w:t>”); and</w:t>
      </w:r>
    </w:p>
    <w:p>
      <w:pPr>
        <w:spacing w:after="0" w:line="174" w:lineRule="exact"/>
        <w:rPr>
          <w:sz w:val="20"/>
          <w:szCs w:val="20"/>
          <w:color w:val="auto"/>
        </w:rPr>
      </w:pPr>
    </w:p>
    <w:p>
      <w:pPr>
        <w:jc w:val="both"/>
        <w:ind w:firstLine="864"/>
        <w:spacing w:after="0" w:line="253" w:lineRule="auto"/>
        <w:rPr>
          <w:sz w:val="20"/>
          <w:szCs w:val="20"/>
          <w:color w:val="auto"/>
        </w:rPr>
      </w:pPr>
      <w:r>
        <w:rPr>
          <w:rFonts w:ascii="Arial" w:cs="Arial" w:eastAsia="Arial" w:hAnsi="Arial"/>
          <w:sz w:val="14"/>
          <w:szCs w:val="14"/>
          <w:color w:val="auto"/>
        </w:rPr>
        <w:t>WHEREAS, PNNT Power and PNNT Alabama desire to be released from their respective obligations under the Guarantee and Security Agreement and the Borrower, the Specified Subsidiary Guarantors, the Administrative Agent and the Collateral Agent desire to amend the Guarantee and Security Agreement to make certain changes.</w:t>
      </w:r>
    </w:p>
    <w:p>
      <w:pPr>
        <w:spacing w:after="0" w:line="174" w:lineRule="exact"/>
        <w:rPr>
          <w:sz w:val="20"/>
          <w:szCs w:val="20"/>
          <w:color w:val="auto"/>
        </w:rPr>
      </w:pPr>
    </w:p>
    <w:p>
      <w:pPr>
        <w:jc w:val="both"/>
        <w:ind w:firstLine="864"/>
        <w:spacing w:after="0" w:line="253" w:lineRule="auto"/>
        <w:rPr>
          <w:sz w:val="20"/>
          <w:szCs w:val="20"/>
          <w:color w:val="auto"/>
        </w:rPr>
      </w:pPr>
      <w:r>
        <w:rPr>
          <w:rFonts w:ascii="Arial" w:cs="Arial" w:eastAsia="Arial" w:hAnsi="Arial"/>
          <w:sz w:val="14"/>
          <w:szCs w:val="14"/>
          <w:color w:val="auto"/>
        </w:rPr>
        <w:t>NOW, THEREFORE, in consideration of the premises and the mutual agreements contained herein, in the Credit Agreement and the Guarantee and Security Agreement, the parties hereto agree as follows:</w:t>
      </w:r>
    </w:p>
    <w:p>
      <w:pPr>
        <w:spacing w:after="0" w:line="174" w:lineRule="exact"/>
        <w:rPr>
          <w:sz w:val="20"/>
          <w:szCs w:val="20"/>
          <w:color w:val="auto"/>
        </w:rPr>
      </w:pPr>
    </w:p>
    <w:p>
      <w:pPr>
        <w:ind w:left="880"/>
        <w:spacing w:after="0"/>
        <w:rPr>
          <w:sz w:val="20"/>
          <w:szCs w:val="20"/>
          <w:color w:val="auto"/>
        </w:rPr>
      </w:pPr>
      <w:r>
        <w:rPr>
          <w:rFonts w:ascii="Arial" w:cs="Arial" w:eastAsia="Arial" w:hAnsi="Arial"/>
          <w:sz w:val="14"/>
          <w:szCs w:val="14"/>
          <w:color w:val="auto"/>
        </w:rPr>
        <w:t xml:space="preserve">SECTION 1. </w:t>
      </w:r>
      <w:r>
        <w:rPr>
          <w:rFonts w:ascii="Arial" w:cs="Arial" w:eastAsia="Arial" w:hAnsi="Arial"/>
          <w:sz w:val="14"/>
          <w:szCs w:val="14"/>
          <w:u w:val="single" w:color="auto"/>
          <w:color w:val="auto"/>
        </w:rPr>
        <w:t>Definitions</w:t>
      </w:r>
      <w:r>
        <w:rPr>
          <w:rFonts w:ascii="Arial" w:cs="Arial" w:eastAsia="Arial" w:hAnsi="Arial"/>
          <w:sz w:val="14"/>
          <w:szCs w:val="14"/>
          <w:color w:val="auto"/>
        </w:rPr>
        <w:t>. All capitalized terms not otherwise defined herein are used as defined in (or by reference in) the Credit Agreement as amended hereby.</w:t>
      </w:r>
    </w:p>
    <w:p>
      <w:pPr>
        <w:spacing w:after="0" w:line="204" w:lineRule="exact"/>
        <w:rPr>
          <w:sz w:val="20"/>
          <w:szCs w:val="20"/>
          <w:color w:val="auto"/>
        </w:rPr>
      </w:pPr>
    </w:p>
    <w:p>
      <w:pPr>
        <w:ind w:left="880"/>
        <w:spacing w:after="0"/>
        <w:rPr>
          <w:sz w:val="20"/>
          <w:szCs w:val="20"/>
          <w:color w:val="auto"/>
        </w:rPr>
      </w:pPr>
      <w:r>
        <w:rPr>
          <w:rFonts w:ascii="Arial" w:cs="Arial" w:eastAsia="Arial" w:hAnsi="Arial"/>
          <w:sz w:val="14"/>
          <w:szCs w:val="14"/>
          <w:color w:val="auto"/>
        </w:rPr>
        <w:t xml:space="preserve">SECTION 2. </w:t>
      </w:r>
      <w:r>
        <w:rPr>
          <w:rFonts w:ascii="Arial" w:cs="Arial" w:eastAsia="Arial" w:hAnsi="Arial"/>
          <w:sz w:val="14"/>
          <w:szCs w:val="14"/>
          <w:u w:val="single" w:color="auto"/>
          <w:color w:val="auto"/>
        </w:rPr>
        <w:t>Release of Subsidiary Guarantors</w:t>
      </w:r>
      <w:r>
        <w:rPr>
          <w:rFonts w:ascii="Arial" w:cs="Arial" w:eastAsia="Arial" w:hAnsi="Arial"/>
          <w:sz w:val="14"/>
          <w:szCs w:val="14"/>
          <w:color w:val="auto"/>
        </w:rPr>
        <w:t>.</w:t>
      </w:r>
    </w:p>
    <w:p>
      <w:pPr>
        <w:spacing w:after="0" w:line="204" w:lineRule="exact"/>
        <w:rPr>
          <w:sz w:val="20"/>
          <w:szCs w:val="20"/>
          <w:color w:val="auto"/>
        </w:rPr>
      </w:pPr>
    </w:p>
    <w:p>
      <w:pPr>
        <w:ind w:left="880"/>
        <w:spacing w:after="0"/>
        <w:tabs>
          <w:tab w:leader="none" w:pos="1720" w:val="left"/>
        </w:tabs>
        <w:rPr>
          <w:sz w:val="20"/>
          <w:szCs w:val="20"/>
          <w:color w:val="auto"/>
        </w:rPr>
      </w:pPr>
      <w:r>
        <w:rPr>
          <w:rFonts w:ascii="Arial" w:cs="Arial" w:eastAsia="Arial" w:hAnsi="Arial"/>
          <w:sz w:val="14"/>
          <w:szCs w:val="14"/>
          <w:color w:val="auto"/>
        </w:rPr>
        <w:t>2.1.</w:t>
      </w:r>
      <w:r>
        <w:rPr>
          <w:sz w:val="20"/>
          <w:szCs w:val="20"/>
          <w:color w:val="auto"/>
        </w:rPr>
        <w:tab/>
      </w:r>
      <w:r>
        <w:rPr>
          <w:rFonts w:ascii="Arial" w:cs="Arial" w:eastAsia="Arial" w:hAnsi="Arial"/>
          <w:sz w:val="13"/>
          <w:szCs w:val="13"/>
          <w:u w:val="single" w:color="auto"/>
          <w:color w:val="auto"/>
        </w:rPr>
        <w:t>Dissolved Subsidiary Guarantors</w:t>
      </w:r>
      <w:r>
        <w:rPr>
          <w:rFonts w:ascii="Arial" w:cs="Arial" w:eastAsia="Arial" w:hAnsi="Arial"/>
          <w:sz w:val="13"/>
          <w:szCs w:val="13"/>
          <w:color w:val="auto"/>
        </w:rPr>
        <w:t>.</w:t>
      </w:r>
    </w:p>
    <w:p>
      <w:pPr>
        <w:spacing w:after="0" w:line="204" w:lineRule="exact"/>
        <w:rPr>
          <w:sz w:val="20"/>
          <w:szCs w:val="20"/>
          <w:color w:val="auto"/>
        </w:rPr>
      </w:pPr>
    </w:p>
    <w:p>
      <w:pPr>
        <w:ind w:left="880" w:right="20" w:firstLine="789"/>
        <w:spacing w:after="0" w:line="253" w:lineRule="auto"/>
        <w:tabs>
          <w:tab w:leader="none" w:pos="2485" w:val="left"/>
        </w:tabs>
        <w:numPr>
          <w:ilvl w:val="0"/>
          <w:numId w:val="26"/>
        </w:numPr>
        <w:rPr>
          <w:rFonts w:ascii="Arial" w:cs="Arial" w:eastAsia="Arial" w:hAnsi="Arial"/>
          <w:sz w:val="14"/>
          <w:szCs w:val="14"/>
          <w:color w:val="auto"/>
        </w:rPr>
      </w:pPr>
      <w:r>
        <w:rPr>
          <w:rFonts w:ascii="Arial" w:cs="Arial" w:eastAsia="Arial" w:hAnsi="Arial"/>
          <w:sz w:val="14"/>
          <w:szCs w:val="14"/>
          <w:color w:val="auto"/>
        </w:rPr>
        <w:t>The parties hereto hereby acknowledge that PNNT Acentia, LLC (“</w:t>
      </w:r>
      <w:r>
        <w:rPr>
          <w:rFonts w:ascii="Arial" w:cs="Arial" w:eastAsia="Arial" w:hAnsi="Arial"/>
          <w:sz w:val="14"/>
          <w:szCs w:val="14"/>
          <w:u w:val="single" w:color="auto"/>
          <w:color w:val="auto"/>
        </w:rPr>
        <w:t>PNNT Acentia</w:t>
      </w:r>
      <w:r>
        <w:rPr>
          <w:rFonts w:ascii="Arial" w:cs="Arial" w:eastAsia="Arial" w:hAnsi="Arial"/>
          <w:sz w:val="14"/>
          <w:szCs w:val="14"/>
          <w:color w:val="auto"/>
        </w:rPr>
        <w:t>”) was dissolved on September 13, 2016 and that PNNT Acentia ceased to be a party to the Loan Documents, as applicable, as of such date.</w:t>
      </w:r>
    </w:p>
    <w:p>
      <w:pPr>
        <w:spacing w:after="0" w:line="173" w:lineRule="exact"/>
        <w:rPr>
          <w:rFonts w:ascii="Arial" w:cs="Arial" w:eastAsia="Arial" w:hAnsi="Arial"/>
          <w:sz w:val="14"/>
          <w:szCs w:val="14"/>
          <w:color w:val="auto"/>
        </w:rPr>
      </w:pPr>
    </w:p>
    <w:p>
      <w:pPr>
        <w:ind w:left="880" w:right="20" w:firstLine="789"/>
        <w:spacing w:after="0" w:line="253" w:lineRule="auto"/>
        <w:tabs>
          <w:tab w:leader="none" w:pos="2493" w:val="left"/>
        </w:tabs>
        <w:numPr>
          <w:ilvl w:val="0"/>
          <w:numId w:val="26"/>
        </w:numPr>
        <w:rPr>
          <w:rFonts w:ascii="Arial" w:cs="Arial" w:eastAsia="Arial" w:hAnsi="Arial"/>
          <w:sz w:val="14"/>
          <w:szCs w:val="14"/>
          <w:color w:val="auto"/>
        </w:rPr>
      </w:pPr>
      <w:r>
        <w:rPr>
          <w:rFonts w:ascii="Arial" w:cs="Arial" w:eastAsia="Arial" w:hAnsi="Arial"/>
          <w:sz w:val="14"/>
          <w:szCs w:val="14"/>
          <w:color w:val="auto"/>
        </w:rPr>
        <w:t>The parties hereto hereby acknowledge that PNNT CI (FBM) Investment Holdings LLC (“</w:t>
      </w:r>
      <w:r>
        <w:rPr>
          <w:rFonts w:ascii="Arial" w:cs="Arial" w:eastAsia="Arial" w:hAnsi="Arial"/>
          <w:sz w:val="14"/>
          <w:szCs w:val="14"/>
          <w:u w:val="single" w:color="auto"/>
          <w:color w:val="auto"/>
        </w:rPr>
        <w:t>PNNT CI (FBM)</w:t>
      </w:r>
      <w:r>
        <w:rPr>
          <w:rFonts w:ascii="Arial" w:cs="Arial" w:eastAsia="Arial" w:hAnsi="Arial"/>
          <w:sz w:val="14"/>
          <w:szCs w:val="14"/>
          <w:color w:val="auto"/>
        </w:rPr>
        <w:t>”) was dissolved on March 7, 2017 and that PNNT CI (FBM) ceased to be a party to the Loan Documents, as applicable, as of such date.</w:t>
      </w:r>
    </w:p>
    <w:p>
      <w:pPr>
        <w:spacing w:after="0" w:line="174" w:lineRule="exact"/>
        <w:rPr>
          <w:sz w:val="20"/>
          <w:szCs w:val="20"/>
          <w:color w:val="auto"/>
        </w:rPr>
      </w:pPr>
    </w:p>
    <w:p>
      <w:pPr>
        <w:jc w:val="both"/>
        <w:ind w:firstLine="864"/>
        <w:spacing w:after="0" w:line="245" w:lineRule="auto"/>
        <w:rPr>
          <w:sz w:val="20"/>
          <w:szCs w:val="20"/>
          <w:color w:val="auto"/>
        </w:rPr>
      </w:pPr>
      <w:r>
        <w:rPr>
          <w:rFonts w:ascii="Arial" w:cs="Arial" w:eastAsia="Arial" w:hAnsi="Arial"/>
          <w:sz w:val="13"/>
          <w:szCs w:val="13"/>
          <w:color w:val="auto"/>
        </w:rPr>
        <w:t xml:space="preserve">2.2. </w:t>
      </w:r>
      <w:r>
        <w:rPr>
          <w:rFonts w:ascii="Arial" w:cs="Arial" w:eastAsia="Arial" w:hAnsi="Arial"/>
          <w:sz w:val="13"/>
          <w:szCs w:val="13"/>
          <w:u w:val="single" w:color="auto"/>
          <w:color w:val="auto"/>
        </w:rPr>
        <w:t>Released Subsidiary Guarantors</w:t>
      </w:r>
      <w:r>
        <w:rPr>
          <w:rFonts w:ascii="Arial" w:cs="Arial" w:eastAsia="Arial" w:hAnsi="Arial"/>
          <w:sz w:val="13"/>
          <w:szCs w:val="13"/>
          <w:color w:val="auto"/>
        </w:rPr>
        <w:t>. Each of the Borrower and PNNT Power hereby represents and warrants that PNNT Power is an Immaterial Subsidiary as of the date hereof and each of the Borrower and PNNT Alabama hereby represents and warrants that PNNT Alabama is an Immaterial Subsidiary as of the date hereof. Pursuant to Section 10.03(h) of the Guarantee and Security Agreement, the Collateral Agent hereby: (x) releases PNNT Power and PNNT Alabama from their respective obligations under the Loan Documents and (y) releases any and all collateral security granted by either of PNNT Power or PNNT Alabama under the Guarantee and Security Agreement or the other Security Documents. The Collateral Agent hereby authorizes PNNT Power, PNNT Alabama, the Borrower and the Subsidiary Guarantors (together with its or their agents and/or designees) to take such other actions, including, without limitation, the preparation and/or filing and recording of all mortgage terminations and releases, UCC termination statements, intellectual property terminations, account control agreement terminations, and other instruments necessary or desirable, at the Borrower’s expense, in order to effect or evidence the termination of the Collateral Agent’s Liens on assets of PNNT Power or PNNT Alabama, in each case as the Borrower considers necessary or desirable to effect or evidence such termination or to effect the purposes of this Section 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334010</wp:posOffset>
            </wp:positionV>
            <wp:extent cx="7149465" cy="1714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37" w:name="page38"/>
    <w:bookmarkEnd w:id="37"/>
    <w:p>
      <w:pPr>
        <w:ind w:left="880"/>
        <w:spacing w:after="0"/>
        <w:rPr>
          <w:sz w:val="20"/>
          <w:szCs w:val="20"/>
          <w:color w:val="auto"/>
        </w:rPr>
      </w:pPr>
      <w:r>
        <w:rPr>
          <w:rFonts w:ascii="Arial" w:cs="Arial" w:eastAsia="Arial" w:hAnsi="Arial"/>
          <w:sz w:val="14"/>
          <w:szCs w:val="14"/>
          <w:color w:val="auto"/>
        </w:rPr>
        <w:t xml:space="preserve">SECTION 3. </w:t>
      </w:r>
      <w:r>
        <w:rPr>
          <w:rFonts w:ascii="Arial" w:cs="Arial" w:eastAsia="Arial" w:hAnsi="Arial"/>
          <w:sz w:val="14"/>
          <w:szCs w:val="14"/>
          <w:u w:val="single" w:color="auto"/>
          <w:color w:val="auto"/>
        </w:rPr>
        <w:t>Reallocation</w:t>
      </w:r>
      <w:r>
        <w:rPr>
          <w:rFonts w:ascii="Arial" w:cs="Arial" w:eastAsia="Arial" w:hAnsi="Arial"/>
          <w:sz w:val="14"/>
          <w:szCs w:val="14"/>
          <w:color w:val="auto"/>
        </w:rPr>
        <w:t>.</w:t>
      </w:r>
    </w:p>
    <w:p>
      <w:pPr>
        <w:spacing w:after="0" w:line="204" w:lineRule="exact"/>
        <w:rPr>
          <w:sz w:val="20"/>
          <w:szCs w:val="20"/>
          <w:color w:val="auto"/>
        </w:rPr>
      </w:pPr>
    </w:p>
    <w:p>
      <w:pPr>
        <w:jc w:val="both"/>
        <w:ind w:left="880" w:firstLine="789"/>
        <w:spacing w:after="0" w:line="244" w:lineRule="auto"/>
        <w:tabs>
          <w:tab w:leader="none" w:pos="2485" w:val="left"/>
        </w:tabs>
        <w:numPr>
          <w:ilvl w:val="0"/>
          <w:numId w:val="27"/>
        </w:numPr>
        <w:rPr>
          <w:rFonts w:ascii="Arial" w:cs="Arial" w:eastAsia="Arial" w:hAnsi="Arial"/>
          <w:sz w:val="13"/>
          <w:szCs w:val="13"/>
          <w:color w:val="auto"/>
        </w:rPr>
      </w:pPr>
      <w:r>
        <w:rPr>
          <w:rFonts w:ascii="Arial" w:cs="Arial" w:eastAsia="Arial" w:hAnsi="Arial"/>
          <w:sz w:val="13"/>
          <w:szCs w:val="13"/>
          <w:color w:val="auto"/>
        </w:rPr>
        <w:t xml:space="preserve">On the date hereof, the Borrower shall (A) prepay the outstanding Loans and (B) simultaneously borrow new Loans in an amount equal to such prepayment; </w:t>
      </w:r>
      <w:r>
        <w:rPr>
          <w:rFonts w:ascii="Arial" w:cs="Arial" w:eastAsia="Arial" w:hAnsi="Arial"/>
          <w:sz w:val="13"/>
          <w:szCs w:val="13"/>
          <w:u w:val="single" w:color="auto"/>
          <w:color w:val="auto"/>
        </w:rPr>
        <w:t>provided</w:t>
      </w:r>
      <w:r>
        <w:rPr>
          <w:rFonts w:ascii="Arial" w:cs="Arial" w:eastAsia="Arial" w:hAnsi="Arial"/>
          <w:sz w:val="13"/>
          <w:szCs w:val="13"/>
          <w:color w:val="auto"/>
        </w:rPr>
        <w:t xml:space="preserve"> that with respect to </w:t>
      </w:r>
      <w:r>
        <w:rPr>
          <w:rFonts w:ascii="Arial" w:cs="Arial" w:eastAsia="Arial" w:hAnsi="Arial"/>
          <w:sz w:val="13"/>
          <w:szCs w:val="13"/>
          <w:u w:val="single" w:color="auto"/>
          <w:color w:val="auto"/>
        </w:rPr>
        <w:t>subclauses (A)</w:t>
      </w:r>
      <w:r>
        <w:rPr>
          <w:rFonts w:ascii="Arial" w:cs="Arial" w:eastAsia="Arial" w:hAnsi="Arial"/>
          <w:sz w:val="13"/>
          <w:szCs w:val="13"/>
          <w:color w:val="auto"/>
        </w:rPr>
        <w:t xml:space="preserve"> and </w:t>
      </w:r>
      <w:r>
        <w:rPr>
          <w:rFonts w:ascii="Arial" w:cs="Arial" w:eastAsia="Arial" w:hAnsi="Arial"/>
          <w:sz w:val="13"/>
          <w:szCs w:val="13"/>
          <w:u w:val="single" w:color="auto"/>
          <w:color w:val="auto"/>
        </w:rPr>
        <w:t>(B)</w:t>
      </w:r>
      <w:r>
        <w:rPr>
          <w:rFonts w:ascii="Arial" w:cs="Arial" w:eastAsia="Arial" w:hAnsi="Arial"/>
          <w:sz w:val="13"/>
          <w:szCs w:val="13"/>
          <w:color w:val="auto"/>
        </w:rPr>
        <w:t>, (x) the prepayment to, and borrowing from, any Lender with a Commitment under the Credit Agreement prior to the First Amendment Effective Date (each, a “</w:t>
      </w:r>
      <w:r>
        <w:rPr>
          <w:rFonts w:ascii="Arial" w:cs="Arial" w:eastAsia="Arial" w:hAnsi="Arial"/>
          <w:sz w:val="13"/>
          <w:szCs w:val="13"/>
          <w:u w:val="single" w:color="auto"/>
          <w:color w:val="auto"/>
        </w:rPr>
        <w:t>First Amendment Existing Lender</w:t>
      </w:r>
      <w:r>
        <w:rPr>
          <w:rFonts w:ascii="Arial" w:cs="Arial" w:eastAsia="Arial" w:hAnsi="Arial"/>
          <w:sz w:val="13"/>
          <w:szCs w:val="13"/>
          <w:color w:val="auto"/>
        </w:rPr>
        <w:t xml:space="preserve">”) shall be effected by book entry to the extent that any portion of the amount prepaid to such Lender will be subsequently borrowed from such Lender and (y) the Lenders shall make and receive payments among themselves, in a manner acceptable to the Administrative Agent, so that, after giving effect thereto, the Loans of each Class are held ratably by the Lenders of such Class in accordance with each Lender’s Applicable Percentage of Commitments and portion of Loans, which, for the purposes of this Amendment and each other Loan Document, will be as set forth opposite such Person’s name on Schedule 1.01(b) to the Credit Agreement (as amended by this Amendment). Concurrently therewith, the First Amendment Existing Lenders of each Class shall be deemed to have adjusted their participation interests in any outstanding Letters of Credit of such Class so that such interests are held ratably in accordance with their Applicable Percentage of Commitments of such Class. Notwithstanding anything to the contrary contained in this Amendment, the Borrower shall have no liability to any Lender for any amounts that would otherwise be payable pursuant to Section 2.15 of the Credit Agreement as a result of the prepayment and borrowing on the date hereof contemplated by this </w:t>
      </w:r>
      <w:r>
        <w:rPr>
          <w:rFonts w:ascii="Arial" w:cs="Arial" w:eastAsia="Arial" w:hAnsi="Arial"/>
          <w:sz w:val="13"/>
          <w:szCs w:val="13"/>
          <w:u w:val="single" w:color="auto"/>
          <w:color w:val="auto"/>
        </w:rPr>
        <w:t>Section 3</w:t>
      </w:r>
      <w:r>
        <w:rPr>
          <w:rFonts w:ascii="Arial" w:cs="Arial" w:eastAsia="Arial" w:hAnsi="Arial"/>
          <w:sz w:val="13"/>
          <w:szCs w:val="13"/>
          <w:color w:val="auto"/>
        </w:rPr>
        <w:t>.</w:t>
      </w:r>
    </w:p>
    <w:p>
      <w:pPr>
        <w:spacing w:after="0" w:line="181" w:lineRule="exact"/>
        <w:rPr>
          <w:rFonts w:ascii="Arial" w:cs="Arial" w:eastAsia="Arial" w:hAnsi="Arial"/>
          <w:sz w:val="13"/>
          <w:szCs w:val="13"/>
          <w:color w:val="auto"/>
        </w:rPr>
      </w:pPr>
    </w:p>
    <w:p>
      <w:pPr>
        <w:jc w:val="both"/>
        <w:ind w:left="880" w:firstLine="789"/>
        <w:spacing w:after="0" w:line="229" w:lineRule="auto"/>
        <w:tabs>
          <w:tab w:leader="none" w:pos="2493" w:val="left"/>
        </w:tabs>
        <w:numPr>
          <w:ilvl w:val="0"/>
          <w:numId w:val="27"/>
        </w:numPr>
        <w:rPr>
          <w:rFonts w:ascii="Arial" w:cs="Arial" w:eastAsia="Arial" w:hAnsi="Arial"/>
          <w:sz w:val="14"/>
          <w:szCs w:val="14"/>
          <w:color w:val="auto"/>
        </w:rPr>
      </w:pPr>
      <w:r>
        <w:rPr>
          <w:rFonts w:ascii="Arial" w:cs="Arial" w:eastAsia="Arial" w:hAnsi="Arial"/>
          <w:sz w:val="14"/>
          <w:szCs w:val="14"/>
          <w:color w:val="auto"/>
        </w:rPr>
        <w:t>Each of the Lenders hereby acknowledges and agrees as of the date hereof that (i) no Lender nor the Administrative Agent has made any representations or warranties or assumed any responsibility with respect to (A) any statements, warranties or representations made in or in connection with this Amendment or the execution, legality, validity, enforceability, genuineness or sufficiency of this Amendment or any other Loan Document or (B) the financial condition of any Obligor or the performance by any Obligor of its obligations hereunder or under any other Loan Document; (ii) it has received such information as it has deemed appropriate to make its own credit analysis and decision to enter into this Amendment; and (iii) it has made and continues to make its own credit decisions in taking or not taking action under this Amendment, independently and without reliance upon the Administrative Agent or any other Lender.</w:t>
      </w:r>
    </w:p>
    <w:p>
      <w:pPr>
        <w:spacing w:after="0" w:line="185" w:lineRule="exact"/>
        <w:rPr>
          <w:rFonts w:ascii="Arial" w:cs="Arial" w:eastAsia="Arial" w:hAnsi="Arial"/>
          <w:sz w:val="14"/>
          <w:szCs w:val="14"/>
          <w:color w:val="auto"/>
        </w:rPr>
      </w:pPr>
    </w:p>
    <w:p>
      <w:pPr>
        <w:jc w:val="both"/>
        <w:ind w:left="880" w:firstLine="789"/>
        <w:spacing w:after="0" w:line="245" w:lineRule="auto"/>
        <w:tabs>
          <w:tab w:leader="none" w:pos="2485" w:val="left"/>
        </w:tabs>
        <w:numPr>
          <w:ilvl w:val="0"/>
          <w:numId w:val="27"/>
        </w:numPr>
        <w:rPr>
          <w:rFonts w:ascii="Arial" w:cs="Arial" w:eastAsia="Arial" w:hAnsi="Arial"/>
          <w:sz w:val="13"/>
          <w:szCs w:val="13"/>
          <w:color w:val="auto"/>
        </w:rPr>
      </w:pPr>
      <w:r>
        <w:rPr>
          <w:rFonts w:ascii="Arial" w:cs="Arial" w:eastAsia="Arial" w:hAnsi="Arial"/>
          <w:sz w:val="13"/>
          <w:szCs w:val="13"/>
          <w:color w:val="auto"/>
        </w:rPr>
        <w:t xml:space="preserve">For the avoidance of doubt, after giving effect to the reallocation described in </w:t>
      </w:r>
      <w:r>
        <w:rPr>
          <w:rFonts w:ascii="Arial" w:cs="Arial" w:eastAsia="Arial" w:hAnsi="Arial"/>
          <w:sz w:val="13"/>
          <w:szCs w:val="13"/>
          <w:u w:val="single" w:color="auto"/>
          <w:color w:val="auto"/>
        </w:rPr>
        <w:t>clause (a)</w:t>
      </w:r>
      <w:r>
        <w:rPr>
          <w:rFonts w:ascii="Arial" w:cs="Arial" w:eastAsia="Arial" w:hAnsi="Arial"/>
          <w:sz w:val="13"/>
          <w:szCs w:val="13"/>
          <w:color w:val="auto"/>
        </w:rPr>
        <w:t xml:space="preserve"> above, Everbank Commercial Finance, Inc. (“</w:t>
      </w:r>
      <w:r>
        <w:rPr>
          <w:rFonts w:ascii="Arial" w:cs="Arial" w:eastAsia="Arial" w:hAnsi="Arial"/>
          <w:sz w:val="13"/>
          <w:szCs w:val="13"/>
          <w:u w:val="single" w:color="auto"/>
          <w:color w:val="auto"/>
        </w:rPr>
        <w:t>Everbank</w:t>
      </w:r>
      <w:r>
        <w:rPr>
          <w:rFonts w:ascii="Arial" w:cs="Arial" w:eastAsia="Arial" w:hAnsi="Arial"/>
          <w:sz w:val="13"/>
          <w:szCs w:val="13"/>
          <w:color w:val="auto"/>
        </w:rPr>
        <w:t>”), in its capacity as a Lender under the Credit Agreement, shall have received payment in full of its Revolving Credit Exposure (the “</w:t>
      </w:r>
      <w:r>
        <w:rPr>
          <w:rFonts w:ascii="Arial" w:cs="Arial" w:eastAsia="Arial" w:hAnsi="Arial"/>
          <w:sz w:val="13"/>
          <w:szCs w:val="13"/>
          <w:u w:val="single" w:color="auto"/>
          <w:color w:val="auto"/>
        </w:rPr>
        <w:t>Everbank Principal Prepayment</w:t>
      </w:r>
      <w:r>
        <w:rPr>
          <w:rFonts w:ascii="Arial" w:cs="Arial" w:eastAsia="Arial" w:hAnsi="Arial"/>
          <w:sz w:val="13"/>
          <w:szCs w:val="13"/>
          <w:color w:val="auto"/>
        </w:rPr>
        <w:t>”). Additionally, the Borrower hereby agrees on the date hereof, to pay Everbank, in its capacity as a Lender under the Credit Agreement, (i) all accured but unpaid commitment fees relating to Everbank’s Commitment as of the date hereof (ii) all accrued but unpaid participation fees relating to Everbank’s LC Exposure (excluding any portion thereof attributable to unreimbursed LC Disbursements) as of the date hereof and (iii) all accrued but unpaid interest relating to Everbank’s Revolving Credit Exposure as of the date hereof, collectively in an aggregate amount not to exceed $13,989.39, and, in each case, calculated in accordance with, and at the applicable rates set forth in, the Credit Agreement (together with the Everbank Principal Prepayment, the “</w:t>
      </w:r>
      <w:r>
        <w:rPr>
          <w:rFonts w:ascii="Arial" w:cs="Arial" w:eastAsia="Arial" w:hAnsi="Arial"/>
          <w:sz w:val="13"/>
          <w:szCs w:val="13"/>
          <w:u w:val="single" w:color="auto"/>
          <w:color w:val="auto"/>
        </w:rPr>
        <w:t>Everbank Prepayment</w:t>
      </w:r>
      <w:r>
        <w:rPr>
          <w:rFonts w:ascii="Arial" w:cs="Arial" w:eastAsia="Arial" w:hAnsi="Arial"/>
          <w:sz w:val="13"/>
          <w:szCs w:val="13"/>
          <w:color w:val="auto"/>
        </w:rPr>
        <w:t>”). Upon Everbank’s receipt of the Everbank Prepayment, Everbank shall cease to be a “Lender” under the Credit Agreement (as amended by this Amendment). The Administrative Agent and each Lender hereby consent to the Everbank Prepayment.</w:t>
      </w:r>
    </w:p>
    <w:p>
      <w:pPr>
        <w:spacing w:after="0" w:line="183" w:lineRule="exact"/>
        <w:rPr>
          <w:sz w:val="20"/>
          <w:szCs w:val="20"/>
          <w:color w:val="auto"/>
        </w:rPr>
      </w:pPr>
    </w:p>
    <w:p>
      <w:pPr>
        <w:ind w:left="880"/>
        <w:spacing w:after="0"/>
        <w:rPr>
          <w:sz w:val="20"/>
          <w:szCs w:val="20"/>
          <w:color w:val="auto"/>
        </w:rPr>
      </w:pPr>
      <w:r>
        <w:rPr>
          <w:rFonts w:ascii="Arial" w:cs="Arial" w:eastAsia="Arial" w:hAnsi="Arial"/>
          <w:sz w:val="14"/>
          <w:szCs w:val="14"/>
          <w:color w:val="auto"/>
        </w:rPr>
        <w:t xml:space="preserve">SECTION 4. </w:t>
      </w:r>
      <w:r>
        <w:rPr>
          <w:rFonts w:ascii="Arial" w:cs="Arial" w:eastAsia="Arial" w:hAnsi="Arial"/>
          <w:sz w:val="14"/>
          <w:szCs w:val="14"/>
          <w:u w:val="single" w:color="auto"/>
          <w:color w:val="auto"/>
        </w:rPr>
        <w:t>Waiver</w:t>
      </w:r>
      <w:r>
        <w:rPr>
          <w:rFonts w:ascii="Arial" w:cs="Arial" w:eastAsia="Arial" w:hAnsi="Arial"/>
          <w:sz w:val="14"/>
          <w:szCs w:val="14"/>
          <w:color w:val="auto"/>
        </w:rPr>
        <w:t>.</w:t>
      </w:r>
    </w:p>
    <w:p>
      <w:pPr>
        <w:spacing w:after="0" w:line="204" w:lineRule="exact"/>
        <w:rPr>
          <w:sz w:val="20"/>
          <w:szCs w:val="20"/>
          <w:color w:val="auto"/>
        </w:rPr>
      </w:pPr>
    </w:p>
    <w:p>
      <w:pPr>
        <w:jc w:val="both"/>
        <w:ind w:firstLine="864"/>
        <w:spacing w:after="0" w:line="233" w:lineRule="auto"/>
        <w:rPr>
          <w:sz w:val="20"/>
          <w:szCs w:val="20"/>
          <w:color w:val="auto"/>
        </w:rPr>
      </w:pPr>
      <w:r>
        <w:rPr>
          <w:rFonts w:ascii="Arial" w:cs="Arial" w:eastAsia="Arial" w:hAnsi="Arial"/>
          <w:sz w:val="14"/>
          <w:szCs w:val="14"/>
          <w:color w:val="auto"/>
        </w:rPr>
        <w:t xml:space="preserve">4.1. </w:t>
      </w:r>
      <w:r>
        <w:rPr>
          <w:rFonts w:ascii="Arial" w:cs="Arial" w:eastAsia="Arial" w:hAnsi="Arial"/>
          <w:sz w:val="14"/>
          <w:szCs w:val="14"/>
          <w:u w:val="single" w:color="auto"/>
          <w:color w:val="auto"/>
        </w:rPr>
        <w:t>Waiver</w:t>
      </w:r>
      <w:r>
        <w:rPr>
          <w:rFonts w:ascii="Arial" w:cs="Arial" w:eastAsia="Arial" w:hAnsi="Arial"/>
          <w:sz w:val="14"/>
          <w:szCs w:val="14"/>
          <w:color w:val="auto"/>
        </w:rPr>
        <w:t>. The Borrower and PNNT Investment Holdings each hereby requests that the Administrative Agent, the Collateral Agent and the Lenders waive, and each of the Administrative Agent, Collateral Agent and the Lenders hereby waives any Default or Event of Default under any Loan Document arising solely and directly from the failure of PNNT Investment Holdings to provide 30 days’ prior written notice to the Collateral Agent of the change in PNNT Investment Holdings’ name on September 30, 2016 from “PNNT Transportation 100 Holdco, LLC” to “PNNT Investment Holdings, LLC” (the “</w:t>
      </w:r>
      <w:r>
        <w:rPr>
          <w:rFonts w:ascii="Arial" w:cs="Arial" w:eastAsia="Arial" w:hAnsi="Arial"/>
          <w:sz w:val="14"/>
          <w:szCs w:val="14"/>
          <w:u w:val="single" w:color="auto"/>
          <w:color w:val="auto"/>
        </w:rPr>
        <w:t>Specified Event</w:t>
      </w:r>
      <w:r>
        <w:rPr>
          <w:rFonts w:ascii="Arial" w:cs="Arial" w:eastAsia="Arial" w:hAnsi="Arial"/>
          <w:sz w:val="14"/>
          <w:szCs w:val="14"/>
          <w:color w:val="auto"/>
        </w:rPr>
        <w:t>”).</w:t>
      </w:r>
    </w:p>
    <w:p>
      <w:pPr>
        <w:spacing w:after="0" w:line="185" w:lineRule="exact"/>
        <w:rPr>
          <w:sz w:val="20"/>
          <w:szCs w:val="20"/>
          <w:color w:val="auto"/>
        </w:rPr>
      </w:pPr>
    </w:p>
    <w:p>
      <w:pPr>
        <w:jc w:val="both"/>
        <w:ind w:firstLine="864"/>
        <w:spacing w:after="0" w:line="231" w:lineRule="auto"/>
        <w:rPr>
          <w:sz w:val="20"/>
          <w:szCs w:val="20"/>
          <w:color w:val="auto"/>
        </w:rPr>
      </w:pPr>
      <w:r>
        <w:rPr>
          <w:rFonts w:ascii="Arial" w:cs="Arial" w:eastAsia="Arial" w:hAnsi="Arial"/>
          <w:sz w:val="14"/>
          <w:szCs w:val="14"/>
          <w:color w:val="auto"/>
        </w:rPr>
        <w:t xml:space="preserve">4.2. </w:t>
      </w:r>
      <w:r>
        <w:rPr>
          <w:rFonts w:ascii="Arial" w:cs="Arial" w:eastAsia="Arial" w:hAnsi="Arial"/>
          <w:sz w:val="14"/>
          <w:szCs w:val="14"/>
          <w:u w:val="single" w:color="auto"/>
          <w:color w:val="auto"/>
        </w:rPr>
        <w:t>Acknowledgment</w:t>
      </w:r>
      <w:r>
        <w:rPr>
          <w:rFonts w:ascii="Arial" w:cs="Arial" w:eastAsia="Arial" w:hAnsi="Arial"/>
          <w:sz w:val="14"/>
          <w:szCs w:val="14"/>
          <w:color w:val="auto"/>
        </w:rPr>
        <w:t>. Each of the Borrower and the Specified Subsidiary Guarantors further acknowledges and agrees that (a) this Amendment is not intended to, nor shall it, establish any course of dealing between the Borrower, the Specified Subsidiary Guarantors, the Administrative Agent, the Collateral Agent and the Lenders, or any thereof, that is inconsistent with the express terms of the Credit Agreement (as amended hereby), the Guarantee and Security Agreement (as amended hereby) and the other Loan Documents; and (b) the Administrative Agent, the Collateral Agent and the Lenders shall not be under any obligation to forbear from exercising any of their respective rights or remedies upon the occurrence of any Default or Event of Default.</w:t>
      </w:r>
    </w:p>
    <w:p>
      <w:pPr>
        <w:spacing w:after="0" w:line="184" w:lineRule="exact"/>
        <w:rPr>
          <w:sz w:val="20"/>
          <w:szCs w:val="20"/>
          <w:color w:val="auto"/>
        </w:rPr>
      </w:pPr>
    </w:p>
    <w:p>
      <w:pPr>
        <w:jc w:val="both"/>
        <w:ind w:right="20" w:firstLine="864"/>
        <w:spacing w:after="0" w:line="253" w:lineRule="auto"/>
        <w:rPr>
          <w:sz w:val="20"/>
          <w:szCs w:val="20"/>
          <w:color w:val="auto"/>
        </w:rPr>
      </w:pPr>
      <w:r>
        <w:rPr>
          <w:rFonts w:ascii="Arial" w:cs="Arial" w:eastAsia="Arial" w:hAnsi="Arial"/>
          <w:sz w:val="14"/>
          <w:szCs w:val="14"/>
          <w:color w:val="auto"/>
        </w:rPr>
        <w:t xml:space="preserve">SECTION 5. </w:t>
      </w:r>
      <w:r>
        <w:rPr>
          <w:rFonts w:ascii="Arial" w:cs="Arial" w:eastAsia="Arial" w:hAnsi="Arial"/>
          <w:sz w:val="14"/>
          <w:szCs w:val="14"/>
          <w:u w:val="single" w:color="auto"/>
          <w:color w:val="auto"/>
        </w:rPr>
        <w:t>Amendments to Credit Agreement</w:t>
      </w:r>
      <w:r>
        <w:rPr>
          <w:rFonts w:ascii="Arial" w:cs="Arial" w:eastAsia="Arial" w:hAnsi="Arial"/>
          <w:sz w:val="14"/>
          <w:szCs w:val="14"/>
          <w:color w:val="auto"/>
        </w:rPr>
        <w:t xml:space="preserve">. The Credit Agreement (including the Exhibits and Schedules thereto) is hereby amended in its entirety in the form of </w:t>
      </w:r>
      <w:r>
        <w:rPr>
          <w:rFonts w:ascii="Arial" w:cs="Arial" w:eastAsia="Arial" w:hAnsi="Arial"/>
          <w:sz w:val="14"/>
          <w:szCs w:val="14"/>
          <w:u w:val="single" w:color="auto"/>
          <w:color w:val="auto"/>
        </w:rPr>
        <w:t>Exhibit A</w:t>
      </w:r>
      <w:r>
        <w:rPr>
          <w:rFonts w:ascii="Arial" w:cs="Arial" w:eastAsia="Arial" w:hAnsi="Arial"/>
          <w:sz w:val="14"/>
          <w:szCs w:val="14"/>
          <w:color w:val="auto"/>
        </w:rPr>
        <w:t xml:space="preserve"> attached hereto.</w:t>
      </w:r>
    </w:p>
    <w:p>
      <w:pPr>
        <w:spacing w:after="0" w:line="174" w:lineRule="exact"/>
        <w:rPr>
          <w:sz w:val="20"/>
          <w:szCs w:val="20"/>
          <w:color w:val="auto"/>
        </w:rPr>
      </w:pPr>
    </w:p>
    <w:p>
      <w:pPr>
        <w:ind w:left="880"/>
        <w:spacing w:after="0"/>
        <w:rPr>
          <w:sz w:val="20"/>
          <w:szCs w:val="20"/>
          <w:color w:val="auto"/>
        </w:rPr>
      </w:pPr>
      <w:r>
        <w:rPr>
          <w:rFonts w:ascii="Arial" w:cs="Arial" w:eastAsia="Arial" w:hAnsi="Arial"/>
          <w:sz w:val="14"/>
          <w:szCs w:val="14"/>
          <w:color w:val="auto"/>
        </w:rPr>
        <w:t xml:space="preserve">SECTION 6. </w:t>
      </w:r>
      <w:r>
        <w:rPr>
          <w:rFonts w:ascii="Arial" w:cs="Arial" w:eastAsia="Arial" w:hAnsi="Arial"/>
          <w:sz w:val="14"/>
          <w:szCs w:val="14"/>
          <w:u w:val="single" w:color="auto"/>
          <w:color w:val="auto"/>
        </w:rPr>
        <w:t>Amendments to Guarantee and Security Agreement</w:t>
      </w:r>
      <w:r>
        <w:rPr>
          <w:rFonts w:ascii="Arial" w:cs="Arial" w:eastAsia="Arial" w:hAnsi="Arial"/>
          <w:sz w:val="14"/>
          <w:szCs w:val="14"/>
          <w:color w:val="auto"/>
        </w:rPr>
        <w:t>.</w:t>
      </w:r>
    </w:p>
    <w:p>
      <w:pPr>
        <w:spacing w:after="0" w:line="204" w:lineRule="exact"/>
        <w:rPr>
          <w:sz w:val="20"/>
          <w:szCs w:val="20"/>
          <w:color w:val="auto"/>
        </w:rPr>
      </w:pPr>
    </w:p>
    <w:p>
      <w:pPr>
        <w:jc w:val="both"/>
        <w:ind w:firstLine="864"/>
        <w:spacing w:after="0" w:line="253" w:lineRule="auto"/>
        <w:rPr>
          <w:sz w:val="20"/>
          <w:szCs w:val="20"/>
          <w:color w:val="auto"/>
        </w:rPr>
      </w:pPr>
      <w:r>
        <w:rPr>
          <w:rFonts w:ascii="Arial" w:cs="Arial" w:eastAsia="Arial" w:hAnsi="Arial"/>
          <w:sz w:val="14"/>
          <w:szCs w:val="14"/>
          <w:color w:val="auto"/>
        </w:rPr>
        <w:t xml:space="preserve">6.1. </w:t>
      </w:r>
      <w:r>
        <w:rPr>
          <w:rFonts w:ascii="Arial" w:cs="Arial" w:eastAsia="Arial" w:hAnsi="Arial"/>
          <w:sz w:val="14"/>
          <w:szCs w:val="14"/>
          <w:u w:val="single" w:color="auto"/>
          <w:color w:val="auto"/>
        </w:rPr>
        <w:t>Amendment to Section 1.02</w:t>
      </w:r>
      <w:r>
        <w:rPr>
          <w:rFonts w:ascii="Arial" w:cs="Arial" w:eastAsia="Arial" w:hAnsi="Arial"/>
          <w:sz w:val="14"/>
          <w:szCs w:val="14"/>
          <w:color w:val="auto"/>
        </w:rPr>
        <w:t>. Section 1.02 of the Guarantee and Security Agreement is hereby amended by adding the following definition thereto in proper alphabetical sequence:</w:t>
      </w:r>
    </w:p>
    <w:p>
      <w:pPr>
        <w:spacing w:after="0" w:line="174" w:lineRule="exact"/>
        <w:rPr>
          <w:sz w:val="20"/>
          <w:szCs w:val="20"/>
          <w:color w:val="auto"/>
        </w:rPr>
      </w:pPr>
    </w:p>
    <w:p>
      <w:pPr>
        <w:ind w:left="880"/>
        <w:spacing w:after="0"/>
        <w:rPr>
          <w:sz w:val="20"/>
          <w:szCs w:val="20"/>
          <w:color w:val="auto"/>
        </w:rPr>
      </w:pPr>
      <w:r>
        <w:rPr>
          <w:rFonts w:ascii="Arial" w:cs="Arial" w:eastAsia="Arial" w:hAnsi="Arial"/>
          <w:sz w:val="14"/>
          <w:szCs w:val="14"/>
          <w:color w:val="auto"/>
        </w:rPr>
        <w:t>““</w:t>
      </w:r>
      <w:r>
        <w:rPr>
          <w:rFonts w:ascii="Arial" w:cs="Arial" w:eastAsia="Arial" w:hAnsi="Arial"/>
          <w:sz w:val="14"/>
          <w:szCs w:val="14"/>
          <w:u w:val="single" w:color="auto"/>
          <w:color w:val="auto"/>
        </w:rPr>
        <w:t>Financing Subsidiary Liens</w:t>
      </w:r>
      <w:r>
        <w:rPr>
          <w:rFonts w:ascii="Arial" w:cs="Arial" w:eastAsia="Arial" w:hAnsi="Arial"/>
          <w:sz w:val="14"/>
          <w:szCs w:val="14"/>
          <w:color w:val="auto"/>
        </w:rPr>
        <w:t xml:space="preserve">” has the meaning specified in </w:t>
      </w:r>
      <w:r>
        <w:rPr>
          <w:rFonts w:ascii="Arial" w:cs="Arial" w:eastAsia="Arial" w:hAnsi="Arial"/>
          <w:sz w:val="14"/>
          <w:szCs w:val="14"/>
          <w:u w:val="single" w:color="auto"/>
          <w:color w:val="auto"/>
        </w:rPr>
        <w:t>Section 10.03(i)</w:t>
      </w:r>
      <w:r>
        <w:rPr>
          <w:rFonts w:ascii="Arial" w:cs="Arial" w:eastAsia="Arial" w:hAnsi="Arial"/>
          <w:sz w:val="14"/>
          <w:szCs w:val="14"/>
          <w:color w:val="auto"/>
        </w:rPr>
        <w:t>.”.</w:t>
      </w:r>
    </w:p>
    <w:p>
      <w:pPr>
        <w:spacing w:after="0" w:line="204" w:lineRule="exact"/>
        <w:rPr>
          <w:sz w:val="20"/>
          <w:szCs w:val="20"/>
          <w:color w:val="auto"/>
        </w:rPr>
      </w:pPr>
    </w:p>
    <w:p>
      <w:pPr>
        <w:jc w:val="both"/>
        <w:ind w:firstLine="864"/>
        <w:spacing w:after="0" w:line="253" w:lineRule="auto"/>
        <w:rPr>
          <w:sz w:val="20"/>
          <w:szCs w:val="20"/>
          <w:color w:val="auto"/>
        </w:rPr>
      </w:pPr>
      <w:r>
        <w:rPr>
          <w:rFonts w:ascii="Arial" w:cs="Arial" w:eastAsia="Arial" w:hAnsi="Arial"/>
          <w:sz w:val="14"/>
          <w:szCs w:val="14"/>
          <w:color w:val="auto"/>
        </w:rPr>
        <w:t xml:space="preserve">6.2. </w:t>
      </w:r>
      <w:r>
        <w:rPr>
          <w:rFonts w:ascii="Arial" w:cs="Arial" w:eastAsia="Arial" w:hAnsi="Arial"/>
          <w:sz w:val="14"/>
          <w:szCs w:val="14"/>
          <w:u w:val="single" w:color="auto"/>
          <w:color w:val="auto"/>
        </w:rPr>
        <w:t>Amendment to Section 1.02</w:t>
      </w:r>
      <w:r>
        <w:rPr>
          <w:rFonts w:ascii="Arial" w:cs="Arial" w:eastAsia="Arial" w:hAnsi="Arial"/>
          <w:sz w:val="14"/>
          <w:szCs w:val="14"/>
          <w:color w:val="auto"/>
        </w:rPr>
        <w:t>. Section 1.02 of the Guarantee and Security Agreement is hereby further amended by deleting the proviso in the definition of “Hedging Agreement Obligations” as set forth therein.</w:t>
      </w: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jc w:val="center"/>
        <w:ind w:right="-79"/>
        <w:spacing w:after="0"/>
        <w:rPr>
          <w:sz w:val="20"/>
          <w:szCs w:val="20"/>
          <w:color w:val="auto"/>
        </w:rPr>
      </w:pPr>
      <w:r>
        <w:rPr>
          <w:rFonts w:ascii="Arial" w:cs="Arial" w:eastAsia="Arial" w:hAnsi="Arial"/>
          <w:sz w:val="14"/>
          <w:szCs w:val="14"/>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209550</wp:posOffset>
            </wp:positionV>
            <wp:extent cx="7149465" cy="1714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38" w:name="page39"/>
    <w:bookmarkEnd w:id="38"/>
    <w:p>
      <w:pPr>
        <w:ind w:firstLine="864"/>
        <w:spacing w:after="0" w:line="253" w:lineRule="auto"/>
        <w:rPr>
          <w:sz w:val="20"/>
          <w:szCs w:val="20"/>
          <w:color w:val="auto"/>
        </w:rPr>
      </w:pPr>
      <w:r>
        <w:rPr>
          <w:rFonts w:ascii="Arial" w:cs="Arial" w:eastAsia="Arial" w:hAnsi="Arial"/>
          <w:sz w:val="14"/>
          <w:szCs w:val="14"/>
          <w:color w:val="auto"/>
        </w:rPr>
        <w:t xml:space="preserve">6.3. </w:t>
      </w:r>
      <w:r>
        <w:rPr>
          <w:rFonts w:ascii="Arial" w:cs="Arial" w:eastAsia="Arial" w:hAnsi="Arial"/>
          <w:sz w:val="14"/>
          <w:szCs w:val="14"/>
          <w:u w:val="single" w:color="auto"/>
          <w:color w:val="auto"/>
        </w:rPr>
        <w:t>Amendment to Section 1.02</w:t>
      </w:r>
      <w:r>
        <w:rPr>
          <w:rFonts w:ascii="Arial" w:cs="Arial" w:eastAsia="Arial" w:hAnsi="Arial"/>
          <w:sz w:val="14"/>
          <w:szCs w:val="14"/>
          <w:color w:val="auto"/>
        </w:rPr>
        <w:t>. Section 1.02 of the Guarantee and Security Agreement is hereby further amended by deleting the definition of “Lien” as set forth therein and replacing therefor the following:</w:t>
      </w:r>
    </w:p>
    <w:p>
      <w:pPr>
        <w:spacing w:after="0" w:line="174" w:lineRule="exact"/>
        <w:rPr>
          <w:sz w:val="20"/>
          <w:szCs w:val="20"/>
          <w:color w:val="auto"/>
        </w:rPr>
      </w:pPr>
    </w:p>
    <w:p>
      <w:pPr>
        <w:jc w:val="both"/>
        <w:ind w:left="880"/>
        <w:spacing w:after="0" w:line="247" w:lineRule="auto"/>
        <w:rPr>
          <w:sz w:val="20"/>
          <w:szCs w:val="20"/>
          <w:color w:val="auto"/>
        </w:rPr>
      </w:pPr>
      <w:r>
        <w:rPr>
          <w:rFonts w:ascii="Arial" w:cs="Arial" w:eastAsia="Arial" w:hAnsi="Arial"/>
          <w:sz w:val="13"/>
          <w:szCs w:val="13"/>
          <w:color w:val="auto"/>
        </w:rPr>
        <w:t>““</w:t>
      </w:r>
      <w:r>
        <w:rPr>
          <w:rFonts w:ascii="Arial" w:cs="Arial" w:eastAsia="Arial" w:hAnsi="Arial"/>
          <w:sz w:val="13"/>
          <w:szCs w:val="13"/>
          <w:u w:val="single" w:color="auto"/>
          <w:color w:val="auto"/>
        </w:rPr>
        <w:t>Lien</w:t>
      </w:r>
      <w:r>
        <w:rPr>
          <w:rFonts w:ascii="Arial" w:cs="Arial" w:eastAsia="Arial" w:hAnsi="Arial"/>
          <w:sz w:val="13"/>
          <w:szCs w:val="13"/>
          <w:color w:val="auto"/>
        </w:rPr>
        <w:t>” means, with respect to any asset, (a) any mortgage, deed of trust, lien, pledge, hypothecation, encumbrance, charge or security interest in, on or of such asset, (b) the interest of a vendor or a lessor under any conditional sale agreement, capital lease or title retention agreement (or any financing lease having substantially the same economic effect as any of the foregoing) relating to such asset and (c) in the case of securities, any purchase option, call or similar right of a third party with respect to such securities, except in favor of the issuer thereof (and, for the avoidance of doubt, in the case of Portfolio Investments that are loans or other debt obligations, customary restrictions on assignments or transfers thereof pursuant to the underlying documentation for such Portfolio Investment shall not be deemed to be a “Lien” and in the case of Investments that are securities, excluding customary drag-along, tag-along, right of first refusal, restrictions on assignments or transfers (so long as such restrictions do not preclude the granting to the Collateral Agent of a Lien on such securities) and other similar rights in favor of the equity holders of the same issuer).”.</w:t>
      </w:r>
    </w:p>
    <w:p>
      <w:pPr>
        <w:spacing w:after="0" w:line="179" w:lineRule="exact"/>
        <w:rPr>
          <w:sz w:val="20"/>
          <w:szCs w:val="20"/>
          <w:color w:val="auto"/>
        </w:rPr>
      </w:pPr>
    </w:p>
    <w:p>
      <w:pPr>
        <w:ind w:firstLine="864"/>
        <w:spacing w:after="0" w:line="253" w:lineRule="auto"/>
        <w:rPr>
          <w:sz w:val="20"/>
          <w:szCs w:val="20"/>
          <w:color w:val="auto"/>
        </w:rPr>
      </w:pPr>
      <w:r>
        <w:rPr>
          <w:rFonts w:ascii="Arial" w:cs="Arial" w:eastAsia="Arial" w:hAnsi="Arial"/>
          <w:sz w:val="14"/>
          <w:szCs w:val="14"/>
          <w:color w:val="auto"/>
        </w:rPr>
        <w:t xml:space="preserve">6.4. </w:t>
      </w:r>
      <w:r>
        <w:rPr>
          <w:rFonts w:ascii="Arial" w:cs="Arial" w:eastAsia="Arial" w:hAnsi="Arial"/>
          <w:sz w:val="14"/>
          <w:szCs w:val="14"/>
          <w:u w:val="single" w:color="auto"/>
          <w:color w:val="auto"/>
        </w:rPr>
        <w:t>Amendment to Section 4</w:t>
      </w:r>
      <w:r>
        <w:rPr>
          <w:rFonts w:ascii="Arial" w:cs="Arial" w:eastAsia="Arial" w:hAnsi="Arial"/>
          <w:sz w:val="14"/>
          <w:szCs w:val="14"/>
          <w:color w:val="auto"/>
        </w:rPr>
        <w:t>. The last paragraph of Section 4 of the Guarantee and Security Agreement that immediately succeeds clause (e) is hereby amended and restated to read as follows:</w:t>
      </w:r>
    </w:p>
    <w:p>
      <w:pPr>
        <w:spacing w:after="0" w:line="174" w:lineRule="exact"/>
        <w:rPr>
          <w:sz w:val="20"/>
          <w:szCs w:val="20"/>
          <w:color w:val="auto"/>
        </w:rPr>
      </w:pPr>
    </w:p>
    <w:p>
      <w:pPr>
        <w:jc w:val="both"/>
        <w:ind w:left="880"/>
        <w:spacing w:after="0" w:line="241" w:lineRule="auto"/>
        <w:rPr>
          <w:sz w:val="20"/>
          <w:szCs w:val="20"/>
          <w:color w:val="auto"/>
        </w:rPr>
      </w:pPr>
      <w:r>
        <w:rPr>
          <w:rFonts w:ascii="Arial" w:cs="Arial" w:eastAsia="Arial" w:hAnsi="Arial"/>
          <w:sz w:val="13"/>
          <w:szCs w:val="13"/>
          <w:color w:val="auto"/>
        </w:rPr>
        <w:t xml:space="preserve">“IT BEING UNDERSTOOD, HOWEVER, that (A) in no event shall the security interest granted under this </w:t>
      </w:r>
      <w:r>
        <w:rPr>
          <w:rFonts w:ascii="Arial" w:cs="Arial" w:eastAsia="Arial" w:hAnsi="Arial"/>
          <w:sz w:val="13"/>
          <w:szCs w:val="13"/>
          <w:u w:val="single" w:color="auto"/>
          <w:color w:val="auto"/>
        </w:rPr>
        <w:t>Section 4</w:t>
      </w:r>
      <w:r>
        <w:rPr>
          <w:rFonts w:ascii="Arial" w:cs="Arial" w:eastAsia="Arial" w:hAnsi="Arial"/>
          <w:sz w:val="13"/>
          <w:szCs w:val="13"/>
          <w:color w:val="auto"/>
        </w:rPr>
        <w:t xml:space="preserve"> attach to (i) any contract, property rights, obligation, instrument or agreement to which an Obligor is a party (or to any of its rights or interests thereunder) if the grant of such security interest would constitute or result in either (x) the abandonment, invalidation or unenforceability of any right, title or interest of such Obligor therein or (y) in a breach or termination pursuant to the terms of, or a default under, any such contract, property rights, obligation, instrument or agreement (other than to the extent that any such term would be rendered ineffective by Section 9-406, 9-407, 9-408 or 9-409 of the Uniform Commercial Code as in effect in the relevant jurisdiction), (ii) Equity Interests in directly-held Foreign Subsidiaries in excess of 65% of the total outstanding voting Equity Interests of each such Foreign Subsidiary or any Equity Interests in indirectly-held Foreign Subsidiaries, in each case, except to the extent that, in the reasonable determination of the Borrower and the Collateral Agent, such a security interest would not reasonably be expected to result in a materially adverse tax consequence to such Obligor,</w:t>
      </w:r>
    </w:p>
    <w:p>
      <w:pPr>
        <w:spacing w:after="0" w:line="1" w:lineRule="exact"/>
        <w:rPr>
          <w:sz w:val="20"/>
          <w:szCs w:val="20"/>
          <w:color w:val="auto"/>
        </w:rPr>
      </w:pPr>
    </w:p>
    <w:p>
      <w:pPr>
        <w:jc w:val="both"/>
        <w:ind w:left="880" w:hanging="8"/>
        <w:spacing w:after="0" w:line="255" w:lineRule="auto"/>
        <w:tabs>
          <w:tab w:leader="none" w:pos="1147" w:val="left"/>
        </w:tabs>
        <w:numPr>
          <w:ilvl w:val="0"/>
          <w:numId w:val="28"/>
        </w:numPr>
        <w:rPr>
          <w:rFonts w:ascii="Arial" w:cs="Arial" w:eastAsia="Arial" w:hAnsi="Arial"/>
          <w:sz w:val="13"/>
          <w:szCs w:val="13"/>
          <w:color w:val="auto"/>
        </w:rPr>
      </w:pPr>
      <w:r>
        <w:rPr>
          <w:rFonts w:ascii="Arial" w:cs="Arial" w:eastAsia="Arial" w:hAnsi="Arial"/>
          <w:sz w:val="13"/>
          <w:szCs w:val="13"/>
          <w:color w:val="auto"/>
        </w:rPr>
        <w:t xml:space="preserve">Excluded Accounts and (iv) any property that has been released pursuant to, and in accordance with, </w:t>
      </w:r>
      <w:r>
        <w:rPr>
          <w:rFonts w:ascii="Arial" w:cs="Arial" w:eastAsia="Arial" w:hAnsi="Arial"/>
          <w:sz w:val="13"/>
          <w:szCs w:val="13"/>
          <w:u w:val="single" w:color="auto"/>
          <w:color w:val="auto"/>
        </w:rPr>
        <w:t>Sections 10.03(g)</w:t>
      </w:r>
      <w:r>
        <w:rPr>
          <w:rFonts w:ascii="Arial" w:cs="Arial" w:eastAsia="Arial" w:hAnsi="Arial"/>
          <w:sz w:val="13"/>
          <w:szCs w:val="13"/>
          <w:color w:val="auto"/>
        </w:rPr>
        <w:t xml:space="preserve"> or </w:t>
      </w:r>
      <w:r>
        <w:rPr>
          <w:rFonts w:ascii="Arial" w:cs="Arial" w:eastAsia="Arial" w:hAnsi="Arial"/>
          <w:sz w:val="13"/>
          <w:szCs w:val="13"/>
          <w:u w:val="single" w:color="auto"/>
          <w:color w:val="auto"/>
        </w:rPr>
        <w:t>(i)</w:t>
      </w:r>
      <w:r>
        <w:rPr>
          <w:rFonts w:ascii="Arial" w:cs="Arial" w:eastAsia="Arial" w:hAnsi="Arial"/>
          <w:sz w:val="13"/>
          <w:szCs w:val="13"/>
          <w:color w:val="auto"/>
        </w:rPr>
        <w:t xml:space="preserve">; and (B) the Obligors, may by notice to the Collateral Agent, exclude from the grant of a security interest provided above in this </w:t>
      </w:r>
      <w:r>
        <w:rPr>
          <w:rFonts w:ascii="Arial" w:cs="Arial" w:eastAsia="Arial" w:hAnsi="Arial"/>
          <w:sz w:val="13"/>
          <w:szCs w:val="13"/>
          <w:u w:val="single" w:color="auto"/>
          <w:color w:val="auto"/>
        </w:rPr>
        <w:t>Section 4</w:t>
      </w:r>
      <w:r>
        <w:rPr>
          <w:rFonts w:ascii="Arial" w:cs="Arial" w:eastAsia="Arial" w:hAnsi="Arial"/>
          <w:sz w:val="13"/>
          <w:szCs w:val="13"/>
          <w:color w:val="auto"/>
        </w:rPr>
        <w:t>, any Special Equity Interests designated by the Borrower in reasonable detail to the Collateral Agent in such notice (it being understood that the Borrower may at any later time rescind any such designation by similar notice to the Collateral Agent).”.</w:t>
      </w:r>
    </w:p>
    <w:p>
      <w:pPr>
        <w:spacing w:after="0" w:line="172" w:lineRule="exact"/>
        <w:rPr>
          <w:sz w:val="20"/>
          <w:szCs w:val="20"/>
          <w:color w:val="auto"/>
        </w:rPr>
      </w:pPr>
    </w:p>
    <w:p>
      <w:pPr>
        <w:ind w:left="880"/>
        <w:spacing w:after="0"/>
        <w:tabs>
          <w:tab w:leader="none" w:pos="1720" w:val="left"/>
        </w:tabs>
        <w:rPr>
          <w:sz w:val="20"/>
          <w:szCs w:val="20"/>
          <w:color w:val="auto"/>
        </w:rPr>
      </w:pPr>
      <w:r>
        <w:rPr>
          <w:rFonts w:ascii="Arial" w:cs="Arial" w:eastAsia="Arial" w:hAnsi="Arial"/>
          <w:sz w:val="14"/>
          <w:szCs w:val="14"/>
          <w:color w:val="auto"/>
        </w:rPr>
        <w:t>6.5.</w:t>
      </w:r>
      <w:r>
        <w:rPr>
          <w:sz w:val="20"/>
          <w:szCs w:val="20"/>
          <w:color w:val="auto"/>
        </w:rPr>
        <w:tab/>
      </w:r>
      <w:r>
        <w:rPr>
          <w:rFonts w:ascii="Arial" w:cs="Arial" w:eastAsia="Arial" w:hAnsi="Arial"/>
          <w:sz w:val="13"/>
          <w:szCs w:val="13"/>
          <w:u w:val="single" w:color="auto"/>
          <w:color w:val="auto"/>
        </w:rPr>
        <w:t>Amendment to Section 10.03</w:t>
      </w:r>
      <w:r>
        <w:rPr>
          <w:rFonts w:ascii="Arial" w:cs="Arial" w:eastAsia="Arial" w:hAnsi="Arial"/>
          <w:sz w:val="13"/>
          <w:szCs w:val="13"/>
          <w:color w:val="auto"/>
        </w:rPr>
        <w:t>. Section 10.03 of the Guarantee and Security Agreement is hereby amended by (i) deleting the word “and” at the end of clause (g), (ii)</w:t>
      </w:r>
    </w:p>
    <w:p>
      <w:pPr>
        <w:spacing w:after="0"/>
        <w:rPr>
          <w:sz w:val="20"/>
          <w:szCs w:val="20"/>
          <w:color w:val="auto"/>
        </w:rPr>
      </w:pPr>
      <w:r>
        <w:rPr>
          <w:rFonts w:ascii="Arial" w:cs="Arial" w:eastAsia="Arial" w:hAnsi="Arial"/>
          <w:sz w:val="14"/>
          <w:szCs w:val="14"/>
          <w:color w:val="auto"/>
        </w:rPr>
        <w:t>replacing the period at the end of clause (h) with “; and” in its place and (iii) adding the following new clause (i) immediately following clause (h) to read as follows:</w:t>
      </w:r>
    </w:p>
    <w:p>
      <w:pPr>
        <w:spacing w:after="0" w:line="192" w:lineRule="exact"/>
        <w:rPr>
          <w:sz w:val="20"/>
          <w:szCs w:val="20"/>
          <w:color w:val="auto"/>
        </w:rPr>
      </w:pPr>
    </w:p>
    <w:p>
      <w:pPr>
        <w:jc w:val="both"/>
        <w:ind w:left="880"/>
        <w:spacing w:after="0" w:line="245" w:lineRule="auto"/>
        <w:rPr>
          <w:sz w:val="20"/>
          <w:szCs w:val="20"/>
          <w:color w:val="auto"/>
        </w:rPr>
      </w:pPr>
      <w:r>
        <w:rPr>
          <w:rFonts w:ascii="Arial" w:cs="Arial" w:eastAsia="Arial" w:hAnsi="Arial"/>
          <w:sz w:val="13"/>
          <w:szCs w:val="13"/>
          <w:color w:val="auto"/>
        </w:rPr>
        <w:t>“(i) in the event any Financing Subsidiary enters into any agreement or set of related agreements pursuant to which such Financing Subsidiary incurs Indebtedness that is not prohibited under the Loan Documents and any such agreement prohibits an Obligor from pledging its Equity Interests in such Financing Subsidiary to any Person, (x) the Collateral Agent is authorized to release the Collateral Agent’s Lien in such Equity Interests (except for any Lien in such Obligor’s rights to any Restricted Payments made by such Financing Subsidiary or the proceeds of any disposition of such Equity Interests) (the “</w:t>
      </w:r>
      <w:r>
        <w:rPr>
          <w:rFonts w:ascii="Arial" w:cs="Arial" w:eastAsia="Arial" w:hAnsi="Arial"/>
          <w:sz w:val="13"/>
          <w:szCs w:val="13"/>
          <w:u w:val="single" w:color="auto"/>
          <w:color w:val="auto"/>
        </w:rPr>
        <w:t>Financing Subsidiary Liens</w:t>
      </w:r>
      <w:r>
        <w:rPr>
          <w:rFonts w:ascii="Arial" w:cs="Arial" w:eastAsia="Arial" w:hAnsi="Arial"/>
          <w:sz w:val="13"/>
          <w:szCs w:val="13"/>
          <w:color w:val="auto"/>
        </w:rPr>
        <w:t>”), (y) such Financing Subsidiary Liens shall automatically be terminated and released upon entry by such Financing Subsidiary into such agreement(s) without the necessity of any further action on the part of any party hereto or to the relevant Security Documents, and (z) the Collateral Agent will, at the Obligor’s expense, execute and deliver to any Obligor such documents (including, without limitation, any UCC termination statements, lien releases, assignments of trademarks, discharges of security interests, and other similar discharges or release documents (and, if applicable, in recordable form)) as such Obligor shall reasonably request to evidence the release and/or termination of such Financing Subsidiary Liens.”.</w:t>
      </w:r>
    </w:p>
    <w:p>
      <w:pPr>
        <w:spacing w:after="0" w:line="183" w:lineRule="exact"/>
        <w:rPr>
          <w:sz w:val="20"/>
          <w:szCs w:val="20"/>
          <w:color w:val="auto"/>
        </w:rPr>
      </w:pPr>
    </w:p>
    <w:p>
      <w:pPr>
        <w:ind w:firstLine="864"/>
        <w:spacing w:after="0" w:line="253" w:lineRule="auto"/>
        <w:rPr>
          <w:sz w:val="20"/>
          <w:szCs w:val="20"/>
          <w:color w:val="auto"/>
        </w:rPr>
      </w:pPr>
      <w:r>
        <w:rPr>
          <w:rFonts w:ascii="Arial" w:cs="Arial" w:eastAsia="Arial" w:hAnsi="Arial"/>
          <w:sz w:val="14"/>
          <w:szCs w:val="14"/>
          <w:color w:val="auto"/>
        </w:rPr>
        <w:t xml:space="preserve">6.6. </w:t>
      </w:r>
      <w:r>
        <w:rPr>
          <w:rFonts w:ascii="Arial" w:cs="Arial" w:eastAsia="Arial" w:hAnsi="Arial"/>
          <w:sz w:val="14"/>
          <w:szCs w:val="14"/>
          <w:u w:val="single" w:color="auto"/>
          <w:color w:val="auto"/>
        </w:rPr>
        <w:t>Administrative Agent and Collateral Agent Address for Notices</w:t>
      </w:r>
      <w:r>
        <w:rPr>
          <w:rFonts w:ascii="Arial" w:cs="Arial" w:eastAsia="Arial" w:hAnsi="Arial"/>
          <w:sz w:val="14"/>
          <w:szCs w:val="14"/>
          <w:color w:val="auto"/>
        </w:rPr>
        <w:t>. The Administrative Agent’s and the Collateral Agent’s “Address for Notices” specified below their respective name on the signature pages to the Guarantee and Security Agreement is hereby amended and restated to read as follows:</w:t>
      </w:r>
    </w:p>
    <w:p>
      <w:pPr>
        <w:spacing w:after="0" w:line="106" w:lineRule="exact"/>
        <w:rPr>
          <w:sz w:val="20"/>
          <w:szCs w:val="20"/>
          <w:color w:val="auto"/>
        </w:rPr>
      </w:pPr>
    </w:p>
    <w:p>
      <w:pPr>
        <w:ind w:left="880"/>
        <w:spacing w:after="0"/>
        <w:rPr>
          <w:sz w:val="20"/>
          <w:szCs w:val="20"/>
          <w:color w:val="auto"/>
        </w:rPr>
      </w:pPr>
      <w:r>
        <w:rPr>
          <w:rFonts w:ascii="Arial" w:cs="Arial" w:eastAsia="Arial" w:hAnsi="Arial"/>
          <w:sz w:val="14"/>
          <w:szCs w:val="14"/>
          <w:color w:val="auto"/>
        </w:rPr>
        <w:t>“SunTrust Bank</w:t>
      </w:r>
    </w:p>
    <w:p>
      <w:pPr>
        <w:ind w:left="880"/>
        <w:spacing w:after="0" w:line="221" w:lineRule="auto"/>
        <w:rPr>
          <w:sz w:val="20"/>
          <w:szCs w:val="20"/>
          <w:color w:val="auto"/>
        </w:rPr>
      </w:pPr>
      <w:r>
        <w:rPr>
          <w:rFonts w:ascii="Arial" w:cs="Arial" w:eastAsia="Arial" w:hAnsi="Arial"/>
          <w:sz w:val="14"/>
          <w:szCs w:val="14"/>
          <w:color w:val="auto"/>
        </w:rPr>
        <w:t>3333 Peachtree Road, 7</w:t>
      </w:r>
      <w:r>
        <w:rPr>
          <w:rFonts w:ascii="Arial" w:cs="Arial" w:eastAsia="Arial" w:hAnsi="Arial"/>
          <w:sz w:val="12"/>
          <w:szCs w:val="12"/>
          <w:color w:val="auto"/>
        </w:rPr>
        <w:t>th</w:t>
      </w:r>
      <w:r>
        <w:rPr>
          <w:rFonts w:ascii="Arial" w:cs="Arial" w:eastAsia="Arial" w:hAnsi="Arial"/>
          <w:sz w:val="14"/>
          <w:szCs w:val="14"/>
          <w:color w:val="auto"/>
        </w:rPr>
        <w:t xml:space="preserve"> Floor</w:t>
      </w:r>
    </w:p>
    <w:p>
      <w:pPr>
        <w:ind w:left="880"/>
        <w:spacing w:after="0" w:line="221" w:lineRule="auto"/>
        <w:rPr>
          <w:sz w:val="20"/>
          <w:szCs w:val="20"/>
          <w:color w:val="auto"/>
        </w:rPr>
      </w:pPr>
      <w:r>
        <w:rPr>
          <w:rFonts w:ascii="Arial" w:cs="Arial" w:eastAsia="Arial" w:hAnsi="Arial"/>
          <w:sz w:val="14"/>
          <w:szCs w:val="14"/>
          <w:color w:val="auto"/>
        </w:rPr>
        <w:t>Atlanta, GA 30326</w:t>
      </w:r>
    </w:p>
    <w:p>
      <w:pPr>
        <w:ind w:left="880"/>
        <w:spacing w:after="0" w:line="222" w:lineRule="auto"/>
        <w:rPr>
          <w:sz w:val="20"/>
          <w:szCs w:val="20"/>
          <w:color w:val="auto"/>
        </w:rPr>
      </w:pPr>
      <w:r>
        <w:rPr>
          <w:rFonts w:ascii="Arial" w:cs="Arial" w:eastAsia="Arial" w:hAnsi="Arial"/>
          <w:sz w:val="14"/>
          <w:szCs w:val="14"/>
          <w:color w:val="auto"/>
        </w:rPr>
        <w:t>Attention: Robert Ashcom</w:t>
      </w:r>
    </w:p>
    <w:p>
      <w:pPr>
        <w:ind w:left="880"/>
        <w:spacing w:after="0"/>
        <w:rPr>
          <w:sz w:val="20"/>
          <w:szCs w:val="20"/>
          <w:color w:val="auto"/>
        </w:rPr>
      </w:pPr>
      <w:r>
        <w:rPr>
          <w:rFonts w:ascii="Arial" w:cs="Arial" w:eastAsia="Arial" w:hAnsi="Arial"/>
          <w:sz w:val="14"/>
          <w:szCs w:val="14"/>
          <w:color w:val="auto"/>
        </w:rPr>
        <w:t>Telecopy Number: (404) 827-6514</w:t>
      </w:r>
    </w:p>
    <w:p>
      <w:pPr>
        <w:spacing w:after="0" w:line="124" w:lineRule="exact"/>
        <w:rPr>
          <w:sz w:val="20"/>
          <w:szCs w:val="20"/>
          <w:color w:val="auto"/>
        </w:rPr>
      </w:pPr>
    </w:p>
    <w:p>
      <w:pPr>
        <w:ind w:left="880"/>
        <w:spacing w:after="0"/>
        <w:rPr>
          <w:sz w:val="20"/>
          <w:szCs w:val="20"/>
          <w:color w:val="auto"/>
        </w:rPr>
      </w:pPr>
      <w:r>
        <w:rPr>
          <w:rFonts w:ascii="Arial" w:cs="Arial" w:eastAsia="Arial" w:hAnsi="Arial"/>
          <w:sz w:val="14"/>
          <w:szCs w:val="14"/>
          <w:color w:val="auto"/>
        </w:rPr>
        <w:t>with a copy to:</w:t>
      </w:r>
    </w:p>
    <w:p>
      <w:pPr>
        <w:spacing w:after="0" w:line="136" w:lineRule="exact"/>
        <w:rPr>
          <w:sz w:val="20"/>
          <w:szCs w:val="20"/>
          <w:color w:val="auto"/>
        </w:rPr>
      </w:pPr>
    </w:p>
    <w:p>
      <w:pPr>
        <w:ind w:left="880"/>
        <w:spacing w:after="0"/>
        <w:rPr>
          <w:sz w:val="20"/>
          <w:szCs w:val="20"/>
          <w:color w:val="auto"/>
        </w:rPr>
      </w:pPr>
      <w:r>
        <w:rPr>
          <w:rFonts w:ascii="Arial" w:cs="Arial" w:eastAsia="Arial" w:hAnsi="Arial"/>
          <w:sz w:val="14"/>
          <w:szCs w:val="14"/>
          <w:color w:val="auto"/>
        </w:rPr>
        <w:t>SunTrust Bank</w:t>
      </w:r>
    </w:p>
    <w:p>
      <w:pPr>
        <w:ind w:left="880"/>
        <w:spacing w:after="0" w:line="221" w:lineRule="auto"/>
        <w:rPr>
          <w:sz w:val="20"/>
          <w:szCs w:val="20"/>
          <w:color w:val="auto"/>
        </w:rPr>
      </w:pPr>
      <w:r>
        <w:rPr>
          <w:rFonts w:ascii="Arial" w:cs="Arial" w:eastAsia="Arial" w:hAnsi="Arial"/>
          <w:sz w:val="14"/>
          <w:szCs w:val="14"/>
          <w:color w:val="auto"/>
        </w:rPr>
        <w:t>Agency Services</w:t>
      </w:r>
    </w:p>
    <w:p>
      <w:pPr>
        <w:ind w:left="880"/>
        <w:spacing w:after="0" w:line="221" w:lineRule="auto"/>
        <w:rPr>
          <w:sz w:val="20"/>
          <w:szCs w:val="20"/>
          <w:color w:val="auto"/>
        </w:rPr>
      </w:pPr>
      <w:r>
        <w:rPr>
          <w:rFonts w:ascii="Arial" w:cs="Arial" w:eastAsia="Arial" w:hAnsi="Arial"/>
          <w:sz w:val="14"/>
          <w:szCs w:val="14"/>
          <w:color w:val="auto"/>
        </w:rPr>
        <w:t>3333 Peachtree Road, 7</w:t>
      </w:r>
      <w:r>
        <w:rPr>
          <w:rFonts w:ascii="Arial" w:cs="Arial" w:eastAsia="Arial" w:hAnsi="Arial"/>
          <w:sz w:val="12"/>
          <w:szCs w:val="12"/>
          <w:color w:val="auto"/>
        </w:rPr>
        <w:t>th</w:t>
      </w:r>
      <w:r>
        <w:rPr>
          <w:rFonts w:ascii="Arial" w:cs="Arial" w:eastAsia="Arial" w:hAnsi="Arial"/>
          <w:sz w:val="14"/>
          <w:szCs w:val="14"/>
          <w:color w:val="auto"/>
        </w:rPr>
        <w:t xml:space="preserve"> Floor</w:t>
      </w:r>
    </w:p>
    <w:p>
      <w:pPr>
        <w:ind w:left="880"/>
        <w:spacing w:after="0" w:line="222" w:lineRule="auto"/>
        <w:rPr>
          <w:sz w:val="20"/>
          <w:szCs w:val="20"/>
          <w:color w:val="auto"/>
        </w:rPr>
      </w:pPr>
      <w:r>
        <w:rPr>
          <w:rFonts w:ascii="Arial" w:cs="Arial" w:eastAsia="Arial" w:hAnsi="Arial"/>
          <w:sz w:val="14"/>
          <w:szCs w:val="14"/>
          <w:color w:val="auto"/>
        </w:rPr>
        <w:t>Atlanta, GA 30326</w:t>
      </w:r>
    </w:p>
    <w:p>
      <w:pPr>
        <w:ind w:left="880"/>
        <w:spacing w:after="0" w:line="221" w:lineRule="auto"/>
        <w:rPr>
          <w:sz w:val="20"/>
          <w:szCs w:val="20"/>
          <w:color w:val="auto"/>
        </w:rPr>
      </w:pPr>
      <w:r>
        <w:rPr>
          <w:rFonts w:ascii="Arial" w:cs="Arial" w:eastAsia="Arial" w:hAnsi="Arial"/>
          <w:sz w:val="14"/>
          <w:szCs w:val="14"/>
          <w:color w:val="auto"/>
        </w:rPr>
        <w:t>Attention: Wanda Gregory</w:t>
      </w:r>
    </w:p>
    <w:p>
      <w:pPr>
        <w:ind w:left="880"/>
        <w:spacing w:after="0"/>
        <w:rPr>
          <w:sz w:val="20"/>
          <w:szCs w:val="20"/>
          <w:color w:val="auto"/>
        </w:rPr>
      </w:pPr>
      <w:r>
        <w:rPr>
          <w:rFonts w:ascii="Arial" w:cs="Arial" w:eastAsia="Arial" w:hAnsi="Arial"/>
          <w:sz w:val="14"/>
          <w:szCs w:val="14"/>
          <w:color w:val="auto"/>
        </w:rPr>
        <w:t>Telecopy Number: (404) 658-4906”.</w:t>
      </w:r>
    </w:p>
    <w:p>
      <w:pPr>
        <w:spacing w:after="0" w:line="200" w:lineRule="exact"/>
        <w:rPr>
          <w:sz w:val="20"/>
          <w:szCs w:val="20"/>
          <w:color w:val="auto"/>
        </w:rPr>
      </w:pPr>
    </w:p>
    <w:p>
      <w:pPr>
        <w:spacing w:after="0" w:line="200" w:lineRule="exact"/>
        <w:rPr>
          <w:sz w:val="20"/>
          <w:szCs w:val="20"/>
          <w:color w:val="auto"/>
        </w:rPr>
      </w:pPr>
    </w:p>
    <w:p>
      <w:pPr>
        <w:spacing w:after="0" w:line="372" w:lineRule="exact"/>
        <w:rPr>
          <w:sz w:val="20"/>
          <w:szCs w:val="20"/>
          <w:color w:val="auto"/>
        </w:rPr>
      </w:pPr>
    </w:p>
    <w:p>
      <w:pPr>
        <w:jc w:val="center"/>
        <w:ind w:right="-79"/>
        <w:spacing w:after="0"/>
        <w:rPr>
          <w:sz w:val="20"/>
          <w:szCs w:val="20"/>
          <w:color w:val="auto"/>
        </w:rPr>
      </w:pPr>
      <w:r>
        <w:rPr>
          <w:rFonts w:ascii="Arial" w:cs="Arial" w:eastAsia="Arial" w:hAnsi="Arial"/>
          <w:sz w:val="14"/>
          <w:szCs w:val="14"/>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209550</wp:posOffset>
            </wp:positionV>
            <wp:extent cx="7149465" cy="1714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39" w:name="page40"/>
    <w:bookmarkEnd w:id="39"/>
    <w:p>
      <w:pPr>
        <w:ind w:left="880"/>
        <w:spacing w:after="0"/>
        <w:rPr>
          <w:sz w:val="20"/>
          <w:szCs w:val="20"/>
          <w:color w:val="auto"/>
        </w:rPr>
      </w:pPr>
      <w:r>
        <w:rPr>
          <w:rFonts w:ascii="Arial" w:cs="Arial" w:eastAsia="Arial" w:hAnsi="Arial"/>
          <w:sz w:val="14"/>
          <w:szCs w:val="14"/>
          <w:color w:val="auto"/>
        </w:rPr>
        <w:t xml:space="preserve">SECTION 7. </w:t>
      </w:r>
      <w:r>
        <w:rPr>
          <w:rFonts w:ascii="Arial" w:cs="Arial" w:eastAsia="Arial" w:hAnsi="Arial"/>
          <w:sz w:val="14"/>
          <w:szCs w:val="14"/>
          <w:u w:val="single" w:color="auto"/>
          <w:color w:val="auto"/>
        </w:rPr>
        <w:t>Conditions Precedent</w:t>
      </w:r>
      <w:r>
        <w:rPr>
          <w:rFonts w:ascii="Arial" w:cs="Arial" w:eastAsia="Arial" w:hAnsi="Arial"/>
          <w:sz w:val="14"/>
          <w:szCs w:val="14"/>
          <w:color w:val="auto"/>
        </w:rPr>
        <w:t>. This Amendment shall become effective on the date the following conditions are satisfied (the “</w:t>
      </w:r>
      <w:r>
        <w:rPr>
          <w:rFonts w:ascii="Arial" w:cs="Arial" w:eastAsia="Arial" w:hAnsi="Arial"/>
          <w:sz w:val="14"/>
          <w:szCs w:val="14"/>
          <w:u w:val="single" w:color="auto"/>
          <w:color w:val="auto"/>
        </w:rPr>
        <w:t>Effective Date</w:t>
      </w:r>
      <w:r>
        <w:rPr>
          <w:rFonts w:ascii="Arial" w:cs="Arial" w:eastAsia="Arial" w:hAnsi="Arial"/>
          <w:sz w:val="14"/>
          <w:szCs w:val="14"/>
          <w:color w:val="auto"/>
        </w:rPr>
        <w:t>”):</w:t>
      </w:r>
    </w:p>
    <w:p>
      <w:pPr>
        <w:spacing w:after="0" w:line="204" w:lineRule="exact"/>
        <w:rPr>
          <w:sz w:val="20"/>
          <w:szCs w:val="20"/>
          <w:color w:val="auto"/>
        </w:rPr>
      </w:pPr>
    </w:p>
    <w:p>
      <w:pPr>
        <w:ind w:left="2480" w:hanging="811"/>
        <w:spacing w:after="0"/>
        <w:tabs>
          <w:tab w:leader="none" w:pos="2480" w:val="left"/>
        </w:tabs>
        <w:numPr>
          <w:ilvl w:val="0"/>
          <w:numId w:val="29"/>
        </w:numPr>
        <w:rPr>
          <w:rFonts w:ascii="Arial" w:cs="Arial" w:eastAsia="Arial" w:hAnsi="Arial"/>
          <w:sz w:val="14"/>
          <w:szCs w:val="14"/>
          <w:color w:val="auto"/>
        </w:rPr>
      </w:pPr>
      <w:r>
        <w:rPr>
          <w:rFonts w:ascii="Arial" w:cs="Arial" w:eastAsia="Arial" w:hAnsi="Arial"/>
          <w:sz w:val="14"/>
          <w:szCs w:val="14"/>
          <w:color w:val="auto"/>
        </w:rPr>
        <w:t>Receipt by the Administrative Agent of:</w:t>
      </w:r>
    </w:p>
    <w:p>
      <w:pPr>
        <w:spacing w:after="0" w:line="203" w:lineRule="exact"/>
        <w:rPr>
          <w:rFonts w:ascii="Arial" w:cs="Arial" w:eastAsia="Arial" w:hAnsi="Arial"/>
          <w:sz w:val="14"/>
          <w:szCs w:val="14"/>
          <w:color w:val="auto"/>
        </w:rPr>
      </w:pPr>
    </w:p>
    <w:p>
      <w:pPr>
        <w:ind w:left="1740" w:right="140" w:firstLine="726"/>
        <w:spacing w:after="0" w:line="238" w:lineRule="auto"/>
        <w:tabs>
          <w:tab w:leader="none" w:pos="3254" w:val="left"/>
        </w:tabs>
        <w:numPr>
          <w:ilvl w:val="1"/>
          <w:numId w:val="29"/>
        </w:numPr>
        <w:rPr>
          <w:rFonts w:ascii="Arial" w:cs="Arial" w:eastAsia="Arial" w:hAnsi="Arial"/>
          <w:sz w:val="14"/>
          <w:szCs w:val="14"/>
          <w:color w:val="auto"/>
        </w:rPr>
      </w:pPr>
      <w:r>
        <w:rPr>
          <w:rFonts w:ascii="Arial" w:cs="Arial" w:eastAsia="Arial" w:hAnsi="Arial"/>
          <w:sz w:val="14"/>
          <w:szCs w:val="14"/>
          <w:color w:val="auto"/>
        </w:rPr>
        <w:t>From each party hereto either (i) a counterpart of this Amendment signed on behalf of such party or (ii) written evidence satisfactory to the Administrative Agent (which may include telecopy transmission of a signed signature page to this Amendment) that such party has signed a counterpart of this Amendment;</w:t>
      </w:r>
    </w:p>
    <w:p>
      <w:pPr>
        <w:spacing w:after="0" w:line="182" w:lineRule="exact"/>
        <w:rPr>
          <w:rFonts w:ascii="Arial" w:cs="Arial" w:eastAsia="Arial" w:hAnsi="Arial"/>
          <w:sz w:val="14"/>
          <w:szCs w:val="14"/>
          <w:color w:val="auto"/>
        </w:rPr>
      </w:pPr>
    </w:p>
    <w:p>
      <w:pPr>
        <w:jc w:val="both"/>
        <w:ind w:left="1740" w:right="300" w:firstLine="726"/>
        <w:spacing w:after="0" w:line="238" w:lineRule="auto"/>
        <w:tabs>
          <w:tab w:leader="none" w:pos="3295" w:val="left"/>
        </w:tabs>
        <w:numPr>
          <w:ilvl w:val="1"/>
          <w:numId w:val="29"/>
        </w:numPr>
        <w:rPr>
          <w:rFonts w:ascii="Arial" w:cs="Arial" w:eastAsia="Arial" w:hAnsi="Arial"/>
          <w:sz w:val="14"/>
          <w:szCs w:val="14"/>
          <w:color w:val="auto"/>
        </w:rPr>
      </w:pPr>
      <w:r>
        <w:rPr>
          <w:rFonts w:ascii="Arial" w:cs="Arial" w:eastAsia="Arial" w:hAnsi="Arial"/>
          <w:sz w:val="14"/>
          <w:szCs w:val="14"/>
          <w:color w:val="auto"/>
        </w:rPr>
        <w:t>A favorable written opinion (addressed to the Administrative Agent and the Lenders and dated as of the date hereof) of Dechert LLP, counsel for the Borrower and the Specified Subsidiary Guarantors, in form and substance reasonably acceptable to the Administrative Agent (and the Borrower hereby instructs such counsel to deliver such opinion to the Lenders and the Administrative Agent);</w:t>
      </w:r>
    </w:p>
    <w:p>
      <w:pPr>
        <w:spacing w:after="0" w:line="182" w:lineRule="exact"/>
        <w:rPr>
          <w:rFonts w:ascii="Arial" w:cs="Arial" w:eastAsia="Arial" w:hAnsi="Arial"/>
          <w:sz w:val="14"/>
          <w:szCs w:val="14"/>
          <w:color w:val="auto"/>
        </w:rPr>
      </w:pPr>
    </w:p>
    <w:p>
      <w:pPr>
        <w:ind w:left="1740" w:firstLine="726"/>
        <w:spacing w:after="0" w:line="233" w:lineRule="auto"/>
        <w:tabs>
          <w:tab w:leader="none" w:pos="3334" w:val="left"/>
        </w:tabs>
        <w:numPr>
          <w:ilvl w:val="1"/>
          <w:numId w:val="29"/>
        </w:numPr>
        <w:rPr>
          <w:rFonts w:ascii="Arial" w:cs="Arial" w:eastAsia="Arial" w:hAnsi="Arial"/>
          <w:sz w:val="14"/>
          <w:szCs w:val="14"/>
          <w:color w:val="auto"/>
        </w:rPr>
      </w:pPr>
      <w:r>
        <w:rPr>
          <w:rFonts w:ascii="Arial" w:cs="Arial" w:eastAsia="Arial" w:hAnsi="Arial"/>
          <w:sz w:val="14"/>
          <w:szCs w:val="14"/>
          <w:color w:val="auto"/>
        </w:rPr>
        <w:t>Such documents and certificates as the Administrative Agent or its counsel may reasonably request relating to the organization, existence and good standing of the Borrower and the Specified Subsidiary Guarantors, the authorization of this Amendment and any other legal matters relating to the Borrower, the Specified Subsidiary Guarantors, this Amendment or the Transactions, all in form and substance satisfactory to the Administrative Agent and its counsel; and</w:t>
      </w:r>
    </w:p>
    <w:p>
      <w:pPr>
        <w:spacing w:after="0" w:line="184" w:lineRule="exact"/>
        <w:rPr>
          <w:rFonts w:ascii="Arial" w:cs="Arial" w:eastAsia="Arial" w:hAnsi="Arial"/>
          <w:sz w:val="14"/>
          <w:szCs w:val="14"/>
          <w:color w:val="auto"/>
        </w:rPr>
      </w:pPr>
    </w:p>
    <w:p>
      <w:pPr>
        <w:ind w:left="2480" w:hanging="811"/>
        <w:spacing w:after="0"/>
        <w:tabs>
          <w:tab w:leader="none" w:pos="2480" w:val="left"/>
        </w:tabs>
        <w:numPr>
          <w:ilvl w:val="0"/>
          <w:numId w:val="29"/>
        </w:numPr>
        <w:rPr>
          <w:rFonts w:ascii="Arial" w:cs="Arial" w:eastAsia="Arial" w:hAnsi="Arial"/>
          <w:sz w:val="14"/>
          <w:szCs w:val="14"/>
          <w:color w:val="auto"/>
        </w:rPr>
      </w:pPr>
      <w:r>
        <w:rPr>
          <w:rFonts w:ascii="Arial" w:cs="Arial" w:eastAsia="Arial" w:hAnsi="Arial"/>
          <w:sz w:val="14"/>
          <w:szCs w:val="14"/>
          <w:color w:val="auto"/>
        </w:rPr>
        <w:t>Confirmation of receipt by the Lenders (other than Everbank) of the fees and expenses owing by the Borrower as of the date hereof.</w:t>
      </w:r>
    </w:p>
    <w:p>
      <w:pPr>
        <w:spacing w:after="0" w:line="203" w:lineRule="exact"/>
        <w:rPr>
          <w:rFonts w:ascii="Arial" w:cs="Arial" w:eastAsia="Arial" w:hAnsi="Arial"/>
          <w:sz w:val="14"/>
          <w:szCs w:val="14"/>
          <w:color w:val="auto"/>
        </w:rPr>
      </w:pPr>
    </w:p>
    <w:p>
      <w:pPr>
        <w:ind w:left="2480" w:hanging="811"/>
        <w:spacing w:after="0"/>
        <w:tabs>
          <w:tab w:leader="none" w:pos="2480" w:val="left"/>
        </w:tabs>
        <w:numPr>
          <w:ilvl w:val="0"/>
          <w:numId w:val="29"/>
        </w:numPr>
        <w:rPr>
          <w:rFonts w:ascii="Arial" w:cs="Arial" w:eastAsia="Arial" w:hAnsi="Arial"/>
          <w:sz w:val="14"/>
          <w:szCs w:val="14"/>
          <w:color w:val="auto"/>
        </w:rPr>
      </w:pPr>
      <w:r>
        <w:rPr>
          <w:rFonts w:ascii="Arial" w:cs="Arial" w:eastAsia="Arial" w:hAnsi="Arial"/>
          <w:sz w:val="14"/>
          <w:szCs w:val="14"/>
          <w:color w:val="auto"/>
        </w:rPr>
        <w:t>Confirmation of receipt by Everbank of the the Everbank Prepayment.</w:t>
      </w:r>
    </w:p>
    <w:p>
      <w:pPr>
        <w:spacing w:after="0" w:line="204" w:lineRule="exact"/>
        <w:rPr>
          <w:sz w:val="20"/>
          <w:szCs w:val="20"/>
          <w:color w:val="auto"/>
        </w:rPr>
      </w:pPr>
    </w:p>
    <w:p>
      <w:pPr>
        <w:ind w:left="880"/>
        <w:spacing w:after="0"/>
        <w:rPr>
          <w:sz w:val="20"/>
          <w:szCs w:val="20"/>
          <w:color w:val="auto"/>
        </w:rPr>
      </w:pPr>
      <w:r>
        <w:rPr>
          <w:rFonts w:ascii="Arial" w:cs="Arial" w:eastAsia="Arial" w:hAnsi="Arial"/>
          <w:sz w:val="14"/>
          <w:szCs w:val="14"/>
          <w:color w:val="auto"/>
        </w:rPr>
        <w:t xml:space="preserve">SECTION 8. </w:t>
      </w:r>
      <w:r>
        <w:rPr>
          <w:rFonts w:ascii="Arial" w:cs="Arial" w:eastAsia="Arial" w:hAnsi="Arial"/>
          <w:sz w:val="14"/>
          <w:szCs w:val="14"/>
          <w:u w:val="single" w:color="auto"/>
          <w:color w:val="auto"/>
        </w:rPr>
        <w:t>Miscellaneous</w:t>
      </w:r>
      <w:r>
        <w:rPr>
          <w:rFonts w:ascii="Arial" w:cs="Arial" w:eastAsia="Arial" w:hAnsi="Arial"/>
          <w:sz w:val="14"/>
          <w:szCs w:val="14"/>
          <w:color w:val="auto"/>
        </w:rPr>
        <w:t>.</w:t>
      </w:r>
    </w:p>
    <w:p>
      <w:pPr>
        <w:spacing w:after="0" w:line="204" w:lineRule="exact"/>
        <w:rPr>
          <w:sz w:val="20"/>
          <w:szCs w:val="20"/>
          <w:color w:val="auto"/>
        </w:rPr>
      </w:pPr>
    </w:p>
    <w:p>
      <w:pPr>
        <w:jc w:val="both"/>
        <w:ind w:firstLine="864"/>
        <w:spacing w:after="0" w:line="247" w:lineRule="auto"/>
        <w:rPr>
          <w:sz w:val="20"/>
          <w:szCs w:val="20"/>
          <w:color w:val="auto"/>
        </w:rPr>
      </w:pPr>
      <w:r>
        <w:rPr>
          <w:rFonts w:ascii="Arial" w:cs="Arial" w:eastAsia="Arial" w:hAnsi="Arial"/>
          <w:sz w:val="13"/>
          <w:szCs w:val="13"/>
          <w:color w:val="auto"/>
        </w:rPr>
        <w:t xml:space="preserve">8.1. </w:t>
      </w:r>
      <w:r>
        <w:rPr>
          <w:rFonts w:ascii="Arial" w:cs="Arial" w:eastAsia="Arial" w:hAnsi="Arial"/>
          <w:sz w:val="13"/>
          <w:szCs w:val="13"/>
          <w:u w:val="single" w:color="auto"/>
          <w:color w:val="auto"/>
        </w:rPr>
        <w:t>Representations and Warranties</w:t>
      </w:r>
      <w:r>
        <w:rPr>
          <w:rFonts w:ascii="Arial" w:cs="Arial" w:eastAsia="Arial" w:hAnsi="Arial"/>
          <w:sz w:val="13"/>
          <w:szCs w:val="13"/>
          <w:color w:val="auto"/>
        </w:rPr>
        <w:t>. The Borrower and each Specified Subsidiary Guarantor hereby represents and warrants that (i) this Amendment constitutes a legal, valid and binding obligation of it, enforceable against it in accordance with its terms, (ii) immediately prior to the effectiveness of this Amendment, no Default or Event of Default shall exist (except for any Default or Event of Default arising solely from the Specified Event) and upon the effectiveness of this Amendment and after giving effect to the waivers herein, no Event of Default shall exist and (iii) its representations and warranties as set forth in the Loan Documents, as applicable, are true and correct in all material respects (except those representations and warranties qualified by materiality or by reference to a material adverse effect, which are true and correct in all respects) on and as of the date hereof as though made on and as of the date hereof (unless such representations and warranties specifically refer to a previous day, in which case, they shall be complete and correct in all material respects (or, with respect to such representations or warranties qualified by materiality or by reference to a material adverse effect, complete and correct in all respects) on and as of such previous day).</w:t>
      </w:r>
    </w:p>
    <w:p>
      <w:pPr>
        <w:spacing w:after="0" w:line="179" w:lineRule="exact"/>
        <w:rPr>
          <w:sz w:val="20"/>
          <w:szCs w:val="20"/>
          <w:color w:val="auto"/>
        </w:rPr>
      </w:pPr>
    </w:p>
    <w:p>
      <w:pPr>
        <w:jc w:val="both"/>
        <w:ind w:firstLine="864"/>
        <w:spacing w:after="0" w:line="233" w:lineRule="auto"/>
        <w:rPr>
          <w:sz w:val="20"/>
          <w:szCs w:val="20"/>
          <w:color w:val="auto"/>
        </w:rPr>
      </w:pPr>
      <w:r>
        <w:rPr>
          <w:rFonts w:ascii="Arial" w:cs="Arial" w:eastAsia="Arial" w:hAnsi="Arial"/>
          <w:sz w:val="14"/>
          <w:szCs w:val="14"/>
          <w:color w:val="auto"/>
        </w:rPr>
        <w:t xml:space="preserve">8.2. </w:t>
      </w:r>
      <w:r>
        <w:rPr>
          <w:rFonts w:ascii="Arial" w:cs="Arial" w:eastAsia="Arial" w:hAnsi="Arial"/>
          <w:sz w:val="14"/>
          <w:szCs w:val="14"/>
          <w:u w:val="single" w:color="auto"/>
          <w:color w:val="auto"/>
        </w:rPr>
        <w:t>References to Agreement</w:t>
      </w:r>
      <w:r>
        <w:rPr>
          <w:rFonts w:ascii="Arial" w:cs="Arial" w:eastAsia="Arial" w:hAnsi="Arial"/>
          <w:sz w:val="14"/>
          <w:szCs w:val="14"/>
          <w:color w:val="auto"/>
        </w:rPr>
        <w:t>. Upon the effectiveness of this Amendment, each reference in the Agreements to “this Agreement”, “hereunder”, “hereof”, “herein”, or words of like import shall mean and be a reference to the Credit Agreement or Guarantee and Security Agreement, as applicable, as amended hereby, and each reference to the Agreements in any other document, instrument or agreement executed and/or delivered in connection with the Credit Agreement or Guarantee and Security Agreement shall mean and be a reference to the Credit Agreement or Guarantee and Security Agreement, as applicable, as amended hereby.</w:t>
      </w:r>
    </w:p>
    <w:p>
      <w:pPr>
        <w:spacing w:after="0" w:line="185" w:lineRule="exact"/>
        <w:rPr>
          <w:sz w:val="20"/>
          <w:szCs w:val="20"/>
          <w:color w:val="auto"/>
        </w:rPr>
      </w:pPr>
    </w:p>
    <w:p>
      <w:pPr>
        <w:jc w:val="both"/>
        <w:ind w:firstLine="864"/>
        <w:spacing w:after="0" w:line="238" w:lineRule="auto"/>
        <w:rPr>
          <w:sz w:val="20"/>
          <w:szCs w:val="20"/>
          <w:color w:val="auto"/>
        </w:rPr>
      </w:pPr>
      <w:r>
        <w:rPr>
          <w:rFonts w:ascii="Arial" w:cs="Arial" w:eastAsia="Arial" w:hAnsi="Arial"/>
          <w:sz w:val="14"/>
          <w:szCs w:val="14"/>
          <w:color w:val="auto"/>
        </w:rPr>
        <w:t xml:space="preserve">8.3. </w:t>
      </w:r>
      <w:r>
        <w:rPr>
          <w:rFonts w:ascii="Arial" w:cs="Arial" w:eastAsia="Arial" w:hAnsi="Arial"/>
          <w:sz w:val="14"/>
          <w:szCs w:val="14"/>
          <w:u w:val="single" w:color="auto"/>
          <w:color w:val="auto"/>
        </w:rPr>
        <w:t>Effect on Existing Agreements</w:t>
      </w:r>
      <w:r>
        <w:rPr>
          <w:rFonts w:ascii="Arial" w:cs="Arial" w:eastAsia="Arial" w:hAnsi="Arial"/>
          <w:sz w:val="14"/>
          <w:szCs w:val="14"/>
          <w:color w:val="auto"/>
        </w:rPr>
        <w:t>. Except as specifically amended or waived above, each Agreement and all other documents, instruments and agreements executed and/or delivered in connection therewith (including all Liens granted by the Borrower and the Specified Subsidiary Guarantors under the Guarantee and Security Agreement and all guarantees made by the Specified Subsidiary Guarantors under the Guarantee and Security Agreement) shall remain in full force and effect and are hereby ratified and confirmed.</w:t>
      </w:r>
    </w:p>
    <w:p>
      <w:pPr>
        <w:spacing w:after="0" w:line="183" w:lineRule="exact"/>
        <w:rPr>
          <w:sz w:val="20"/>
          <w:szCs w:val="20"/>
          <w:color w:val="auto"/>
        </w:rPr>
      </w:pPr>
    </w:p>
    <w:p>
      <w:pPr>
        <w:jc w:val="both"/>
        <w:ind w:firstLine="864"/>
        <w:spacing w:after="0" w:line="238" w:lineRule="auto"/>
        <w:rPr>
          <w:sz w:val="20"/>
          <w:szCs w:val="20"/>
          <w:color w:val="auto"/>
        </w:rPr>
      </w:pPr>
      <w:r>
        <w:rPr>
          <w:rFonts w:ascii="Arial" w:cs="Arial" w:eastAsia="Arial" w:hAnsi="Arial"/>
          <w:sz w:val="14"/>
          <w:szCs w:val="14"/>
          <w:color w:val="auto"/>
        </w:rPr>
        <w:t xml:space="preserve">8.4. </w:t>
      </w:r>
      <w:r>
        <w:rPr>
          <w:rFonts w:ascii="Arial" w:cs="Arial" w:eastAsia="Arial" w:hAnsi="Arial"/>
          <w:sz w:val="14"/>
          <w:szCs w:val="14"/>
          <w:u w:val="single" w:color="auto"/>
          <w:color w:val="auto"/>
        </w:rPr>
        <w:t>No Waiver</w:t>
      </w:r>
      <w:r>
        <w:rPr>
          <w:rFonts w:ascii="Arial" w:cs="Arial" w:eastAsia="Arial" w:hAnsi="Arial"/>
          <w:sz w:val="14"/>
          <w:szCs w:val="14"/>
          <w:color w:val="auto"/>
        </w:rPr>
        <w:t>. The execution, delivery and effectiveness of this Amendment shall not operate as a waiver of any right, power or remedy of the Administrative Agent or the Collateral Agent under the Credit Agreement, the Guarantee and Security Agreement or any other document, instrument or agreement executed in connection therewith, nor constitute a waiver of any provision contained therein, except as specifically set forth herein. The parties hereto hereby agree that this Amendment is a Loan Document.</w:t>
      </w:r>
    </w:p>
    <w:p>
      <w:pPr>
        <w:spacing w:after="0" w:line="183" w:lineRule="exact"/>
        <w:rPr>
          <w:sz w:val="20"/>
          <w:szCs w:val="20"/>
          <w:color w:val="auto"/>
        </w:rPr>
      </w:pPr>
    </w:p>
    <w:p>
      <w:pPr>
        <w:ind w:left="880"/>
        <w:spacing w:after="0"/>
        <w:tabs>
          <w:tab w:leader="none" w:pos="1720" w:val="left"/>
        </w:tabs>
        <w:rPr>
          <w:sz w:val="20"/>
          <w:szCs w:val="20"/>
          <w:color w:val="auto"/>
        </w:rPr>
      </w:pPr>
      <w:r>
        <w:rPr>
          <w:rFonts w:ascii="Arial" w:cs="Arial" w:eastAsia="Arial" w:hAnsi="Arial"/>
          <w:sz w:val="14"/>
          <w:szCs w:val="14"/>
          <w:color w:val="auto"/>
        </w:rPr>
        <w:t>8.5.</w:t>
      </w:r>
      <w:r>
        <w:rPr>
          <w:sz w:val="20"/>
          <w:szCs w:val="20"/>
          <w:color w:val="auto"/>
        </w:rPr>
        <w:tab/>
      </w:r>
      <w:r>
        <w:rPr>
          <w:rFonts w:ascii="Arial" w:cs="Arial" w:eastAsia="Arial" w:hAnsi="Arial"/>
          <w:sz w:val="13"/>
          <w:szCs w:val="13"/>
          <w:u w:val="single" w:color="auto"/>
          <w:color w:val="auto"/>
        </w:rPr>
        <w:t>Governing Law</w:t>
      </w:r>
      <w:r>
        <w:rPr>
          <w:rFonts w:ascii="Arial" w:cs="Arial" w:eastAsia="Arial" w:hAnsi="Arial"/>
          <w:sz w:val="13"/>
          <w:szCs w:val="13"/>
          <w:color w:val="auto"/>
        </w:rPr>
        <w:t>. This Amendment shall be construed in accordance with and governed by the law of the State of New York.</w:t>
      </w:r>
    </w:p>
    <w:p>
      <w:pPr>
        <w:spacing w:after="0" w:line="204" w:lineRule="exact"/>
        <w:rPr>
          <w:sz w:val="20"/>
          <w:szCs w:val="20"/>
          <w:color w:val="auto"/>
        </w:rPr>
      </w:pPr>
    </w:p>
    <w:p>
      <w:pPr>
        <w:ind w:left="880"/>
        <w:spacing w:after="0"/>
        <w:tabs>
          <w:tab w:leader="none" w:pos="1720" w:val="left"/>
        </w:tabs>
        <w:rPr>
          <w:sz w:val="20"/>
          <w:szCs w:val="20"/>
          <w:color w:val="auto"/>
        </w:rPr>
      </w:pPr>
      <w:r>
        <w:rPr>
          <w:rFonts w:ascii="Arial" w:cs="Arial" w:eastAsia="Arial" w:hAnsi="Arial"/>
          <w:sz w:val="14"/>
          <w:szCs w:val="14"/>
          <w:color w:val="auto"/>
        </w:rPr>
        <w:t>8.6.</w:t>
      </w:r>
      <w:r>
        <w:rPr>
          <w:sz w:val="20"/>
          <w:szCs w:val="20"/>
          <w:color w:val="auto"/>
        </w:rPr>
        <w:tab/>
      </w:r>
      <w:r>
        <w:rPr>
          <w:rFonts w:ascii="Arial" w:cs="Arial" w:eastAsia="Arial" w:hAnsi="Arial"/>
          <w:sz w:val="12"/>
          <w:szCs w:val="12"/>
          <w:u w:val="single" w:color="auto"/>
          <w:color w:val="auto"/>
        </w:rPr>
        <w:t>Successors and Assigns</w:t>
      </w:r>
      <w:r>
        <w:rPr>
          <w:rFonts w:ascii="Arial" w:cs="Arial" w:eastAsia="Arial" w:hAnsi="Arial"/>
          <w:sz w:val="12"/>
          <w:szCs w:val="12"/>
          <w:color w:val="auto"/>
        </w:rPr>
        <w:t>. This Amendment shall be binding upon and shall inure to the benefit of the parties hereto and their respective successors and assigns.</w:t>
      </w:r>
    </w:p>
    <w:p>
      <w:pPr>
        <w:spacing w:after="0" w:line="204" w:lineRule="exact"/>
        <w:rPr>
          <w:sz w:val="20"/>
          <w:szCs w:val="20"/>
          <w:color w:val="auto"/>
        </w:rPr>
      </w:pPr>
    </w:p>
    <w:p>
      <w:pPr>
        <w:jc w:val="both"/>
        <w:ind w:firstLine="864"/>
        <w:spacing w:after="0" w:line="253" w:lineRule="auto"/>
        <w:rPr>
          <w:sz w:val="20"/>
          <w:szCs w:val="20"/>
          <w:color w:val="auto"/>
        </w:rPr>
      </w:pPr>
      <w:r>
        <w:rPr>
          <w:rFonts w:ascii="Arial" w:cs="Arial" w:eastAsia="Arial" w:hAnsi="Arial"/>
          <w:sz w:val="14"/>
          <w:szCs w:val="14"/>
          <w:color w:val="auto"/>
        </w:rPr>
        <w:t xml:space="preserve">8.7. </w:t>
      </w:r>
      <w:r>
        <w:rPr>
          <w:rFonts w:ascii="Arial" w:cs="Arial" w:eastAsia="Arial" w:hAnsi="Arial"/>
          <w:sz w:val="14"/>
          <w:szCs w:val="14"/>
          <w:u w:val="single" w:color="auto"/>
          <w:color w:val="auto"/>
        </w:rPr>
        <w:t>Headings</w:t>
      </w:r>
      <w:r>
        <w:rPr>
          <w:rFonts w:ascii="Arial" w:cs="Arial" w:eastAsia="Arial" w:hAnsi="Arial"/>
          <w:sz w:val="14"/>
          <w:szCs w:val="14"/>
          <w:color w:val="auto"/>
        </w:rPr>
        <w:t>. The Section headings in this Amendment are inserted for convenience of reference only and shall not affect the meaning or interpretation of this Amendment or any provision hereof.</w:t>
      </w:r>
    </w:p>
    <w:p>
      <w:pPr>
        <w:spacing w:after="0" w:line="174" w:lineRule="exact"/>
        <w:rPr>
          <w:sz w:val="20"/>
          <w:szCs w:val="20"/>
          <w:color w:val="auto"/>
        </w:rPr>
      </w:pPr>
    </w:p>
    <w:p>
      <w:pPr>
        <w:jc w:val="both"/>
        <w:ind w:firstLine="864"/>
        <w:spacing w:after="0" w:line="253" w:lineRule="auto"/>
        <w:rPr>
          <w:sz w:val="20"/>
          <w:szCs w:val="20"/>
          <w:color w:val="auto"/>
        </w:rPr>
      </w:pPr>
      <w:r>
        <w:rPr>
          <w:rFonts w:ascii="Arial" w:cs="Arial" w:eastAsia="Arial" w:hAnsi="Arial"/>
          <w:sz w:val="14"/>
          <w:szCs w:val="14"/>
          <w:color w:val="auto"/>
        </w:rPr>
        <w:t xml:space="preserve">8.8. </w:t>
      </w:r>
      <w:r>
        <w:rPr>
          <w:rFonts w:ascii="Arial" w:cs="Arial" w:eastAsia="Arial" w:hAnsi="Arial"/>
          <w:sz w:val="14"/>
          <w:szCs w:val="14"/>
          <w:u w:val="single" w:color="auto"/>
          <w:color w:val="auto"/>
        </w:rPr>
        <w:t>Counterparts</w:t>
      </w:r>
      <w:r>
        <w:rPr>
          <w:rFonts w:ascii="Arial" w:cs="Arial" w:eastAsia="Arial" w:hAnsi="Arial"/>
          <w:sz w:val="14"/>
          <w:szCs w:val="14"/>
          <w:color w:val="auto"/>
        </w:rPr>
        <w:t>. This Amendment may be executed by the parties hereto in several counterparts, each of which shall be deemed to be an original and all of which shall constitute together but one and the same agreement.</w:t>
      </w: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jc w:val="center"/>
        <w:ind w:right="-79"/>
        <w:spacing w:after="0"/>
        <w:rPr>
          <w:sz w:val="20"/>
          <w:szCs w:val="20"/>
          <w:color w:val="auto"/>
        </w:rPr>
      </w:pPr>
      <w:r>
        <w:rPr>
          <w:rFonts w:ascii="Arial" w:cs="Arial" w:eastAsia="Arial" w:hAnsi="Arial"/>
          <w:sz w:val="14"/>
          <w:szCs w:val="14"/>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209550</wp:posOffset>
            </wp:positionV>
            <wp:extent cx="7149465" cy="1714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40" w:name="page41"/>
    <w:bookmarkEnd w:id="40"/>
    <w:p>
      <w:pPr>
        <w:jc w:val="center"/>
        <w:ind w:right="19"/>
        <w:spacing w:after="0"/>
        <w:rPr>
          <w:sz w:val="20"/>
          <w:szCs w:val="20"/>
          <w:color w:val="auto"/>
        </w:rPr>
      </w:pPr>
      <w:r>
        <w:rPr>
          <w:rFonts w:ascii="Arial" w:cs="Arial" w:eastAsia="Arial" w:hAnsi="Arial"/>
          <w:sz w:val="13"/>
          <w:szCs w:val="13"/>
          <w:color w:val="auto"/>
        </w:rPr>
        <w:t>[SIGNATURES FOLLOW]</w:t>
      </w:r>
    </w:p>
    <w:p>
      <w:pPr>
        <w:sectPr>
          <w:pgSz w:w="11900" w:h="16838" w:orient="portrait"/>
          <w:cols w:equalWidth="0" w:num="1">
            <w:col w:w="9019"/>
          </w:cols>
          <w:pgMar w:left="1440" w:top="661"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jc w:val="center"/>
        <w:ind w:right="-60"/>
        <w:spacing w:after="0"/>
        <w:rPr>
          <w:sz w:val="20"/>
          <w:szCs w:val="20"/>
          <w:color w:val="auto"/>
        </w:rPr>
      </w:pPr>
      <w:r>
        <w:rPr>
          <w:rFonts w:ascii="Arial" w:cs="Arial" w:eastAsia="Arial" w:hAnsi="Arial"/>
          <w:sz w:val="14"/>
          <w:szCs w:val="14"/>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209550</wp:posOffset>
            </wp:positionV>
            <wp:extent cx="7149465" cy="1714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9019"/>
          </w:cols>
          <w:pgMar w:left="1440" w:top="661" w:right="1440" w:bottom="1440" w:gutter="0" w:footer="0" w:header="0"/>
          <w:type w:val="continuous"/>
        </w:sectPr>
      </w:pPr>
    </w:p>
    <w:bookmarkStart w:id="41" w:name="page42"/>
    <w:bookmarkEnd w:id="41"/>
    <w:p>
      <w:pPr>
        <w:spacing w:after="0"/>
        <w:rPr>
          <w:sz w:val="20"/>
          <w:szCs w:val="20"/>
          <w:color w:val="auto"/>
        </w:rPr>
      </w:pPr>
      <w:r>
        <w:rPr>
          <w:rFonts w:ascii="Arial" w:cs="Arial" w:eastAsia="Arial" w:hAnsi="Arial"/>
          <w:sz w:val="13"/>
          <w:szCs w:val="13"/>
          <w:b w:val="1"/>
          <w:bCs w:val="1"/>
          <w:color w:val="auto"/>
        </w:rPr>
        <w:t>IN WITNESS WHEREOF</w:t>
      </w:r>
      <w:r>
        <w:rPr>
          <w:rFonts w:ascii="Arial" w:cs="Arial" w:eastAsia="Arial" w:hAnsi="Arial"/>
          <w:sz w:val="13"/>
          <w:szCs w:val="13"/>
          <w:color w:val="auto"/>
        </w:rPr>
        <w:t>, the parties have caused this Amendment to be executed by their respective officers thereunto duly authorized, as of the date first above written.</w:t>
      </w:r>
    </w:p>
    <w:p>
      <w:pPr>
        <w:spacing w:after="0" w:line="148" w:lineRule="exact"/>
        <w:rPr>
          <w:sz w:val="20"/>
          <w:szCs w:val="20"/>
          <w:color w:val="auto"/>
        </w:rPr>
      </w:pPr>
    </w:p>
    <w:p>
      <w:pPr>
        <w:ind w:left="4740"/>
        <w:spacing w:after="0"/>
        <w:rPr>
          <w:sz w:val="20"/>
          <w:szCs w:val="20"/>
          <w:color w:val="auto"/>
        </w:rPr>
      </w:pPr>
      <w:r>
        <w:rPr>
          <w:rFonts w:ascii="Arial" w:cs="Arial" w:eastAsia="Arial" w:hAnsi="Arial"/>
          <w:sz w:val="14"/>
          <w:szCs w:val="14"/>
          <w:b w:val="1"/>
          <w:bCs w:val="1"/>
          <w:color w:val="auto"/>
        </w:rPr>
        <w:t>PENNANTPARK INVESTMENT</w:t>
      </w:r>
    </w:p>
    <w:p>
      <w:pPr>
        <w:ind w:left="4740"/>
        <w:spacing w:after="0" w:line="226" w:lineRule="auto"/>
        <w:rPr>
          <w:sz w:val="20"/>
          <w:szCs w:val="20"/>
          <w:color w:val="auto"/>
        </w:rPr>
      </w:pPr>
      <w:r>
        <w:rPr>
          <w:rFonts w:ascii="Arial" w:cs="Arial" w:eastAsia="Arial" w:hAnsi="Arial"/>
          <w:sz w:val="14"/>
          <w:szCs w:val="14"/>
          <w:b w:val="1"/>
          <w:bCs w:val="1"/>
          <w:color w:val="auto"/>
        </w:rPr>
        <w:t>CORPORATION</w:t>
      </w:r>
      <w:r>
        <w:rPr>
          <w:rFonts w:ascii="Arial" w:cs="Arial" w:eastAsia="Arial" w:hAnsi="Arial"/>
          <w:sz w:val="14"/>
          <w:szCs w:val="14"/>
          <w:color w:val="auto"/>
        </w:rPr>
        <w:t>,</w:t>
      </w:r>
    </w:p>
    <w:p>
      <w:pPr>
        <w:ind w:left="4740"/>
        <w:spacing w:after="0"/>
        <w:rPr>
          <w:sz w:val="20"/>
          <w:szCs w:val="20"/>
          <w:color w:val="auto"/>
        </w:rPr>
      </w:pPr>
      <w:r>
        <w:rPr>
          <w:rFonts w:ascii="Arial" w:cs="Arial" w:eastAsia="Arial" w:hAnsi="Arial"/>
          <w:sz w:val="14"/>
          <w:szCs w:val="14"/>
          <w:color w:val="auto"/>
        </w:rPr>
        <w:t>as Borrower</w:t>
      </w:r>
    </w:p>
    <w:p>
      <w:pPr>
        <w:spacing w:after="0" w:line="273" w:lineRule="exact"/>
        <w:rPr>
          <w:sz w:val="20"/>
          <w:szCs w:val="20"/>
          <w:color w:val="auto"/>
        </w:rPr>
      </w:pPr>
    </w:p>
    <w:p>
      <w:pPr>
        <w:ind w:left="4740"/>
        <w:spacing w:after="0"/>
        <w:tabs>
          <w:tab w:leader="none" w:pos="5220" w:val="left"/>
        </w:tabs>
        <w:rPr>
          <w:sz w:val="20"/>
          <w:szCs w:val="20"/>
          <w:color w:val="auto"/>
        </w:rPr>
      </w:pPr>
      <w:r>
        <w:rPr>
          <w:rFonts w:ascii="Arial" w:cs="Arial" w:eastAsia="Arial" w:hAnsi="Arial"/>
          <w:sz w:val="14"/>
          <w:szCs w:val="14"/>
          <w:color w:val="auto"/>
        </w:rPr>
        <w:t>By:</w:t>
      </w:r>
      <w:r>
        <w:rPr>
          <w:sz w:val="20"/>
          <w:szCs w:val="20"/>
          <w:color w:val="auto"/>
        </w:rPr>
        <w:tab/>
      </w:r>
      <w:r>
        <w:rPr>
          <w:rFonts w:ascii="Arial" w:cs="Arial" w:eastAsia="Arial" w:hAnsi="Arial"/>
          <w:sz w:val="14"/>
          <w:szCs w:val="14"/>
          <w:color w:val="auto"/>
        </w:rPr>
        <w:t>/s/ Arthur Penn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3329305</wp:posOffset>
            </wp:positionH>
            <wp:positionV relativeFrom="paragraph">
              <wp:posOffset>3810</wp:posOffset>
            </wp:positionV>
            <wp:extent cx="3248660" cy="825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3248660" cy="8255"/>
                    </a:xfrm>
                    <a:prstGeom prst="rect">
                      <a:avLst/>
                    </a:prstGeom>
                    <a:noFill/>
                  </pic:spPr>
                </pic:pic>
              </a:graphicData>
            </a:graphic>
          </wp:anchor>
        </w:drawing>
      </w:r>
    </w:p>
    <w:p>
      <w:pPr>
        <w:ind w:left="4740"/>
        <w:spacing w:after="0"/>
        <w:rPr>
          <w:sz w:val="20"/>
          <w:szCs w:val="20"/>
          <w:color w:val="auto"/>
        </w:rPr>
      </w:pPr>
      <w:r>
        <w:rPr>
          <w:rFonts w:ascii="Arial" w:cs="Arial" w:eastAsia="Arial" w:hAnsi="Arial"/>
          <w:sz w:val="14"/>
          <w:szCs w:val="14"/>
          <w:color w:val="auto"/>
        </w:rPr>
        <w:t>Name: Arthur Penn</w:t>
      </w:r>
    </w:p>
    <w:p>
      <w:pPr>
        <w:ind w:left="4740"/>
        <w:spacing w:after="0"/>
        <w:tabs>
          <w:tab w:leader="none" w:pos="5180" w:val="left"/>
        </w:tabs>
        <w:rPr>
          <w:sz w:val="20"/>
          <w:szCs w:val="20"/>
          <w:color w:val="auto"/>
        </w:rPr>
      </w:pPr>
      <w:r>
        <w:rPr>
          <w:rFonts w:ascii="Arial" w:cs="Arial" w:eastAsia="Arial" w:hAnsi="Arial"/>
          <w:sz w:val="14"/>
          <w:szCs w:val="14"/>
          <w:color w:val="auto"/>
        </w:rPr>
        <w:t>Title:</w:t>
      </w:r>
      <w:r>
        <w:rPr>
          <w:sz w:val="20"/>
          <w:szCs w:val="20"/>
          <w:color w:val="auto"/>
        </w:rPr>
        <w:tab/>
      </w:r>
      <w:r>
        <w:rPr>
          <w:rFonts w:ascii="Arial" w:cs="Arial" w:eastAsia="Arial" w:hAnsi="Arial"/>
          <w:sz w:val="13"/>
          <w:szCs w:val="13"/>
          <w:color w:val="auto"/>
        </w:rPr>
        <w:t>Chief Executive Officer</w:t>
      </w:r>
    </w:p>
    <w:p>
      <w:pPr>
        <w:spacing w:after="0" w:line="120" w:lineRule="exact"/>
        <w:rPr>
          <w:sz w:val="20"/>
          <w:szCs w:val="20"/>
          <w:color w:val="auto"/>
        </w:rPr>
      </w:pPr>
    </w:p>
    <w:p>
      <w:pPr>
        <w:ind w:left="4740"/>
        <w:spacing w:after="0"/>
        <w:rPr>
          <w:sz w:val="20"/>
          <w:szCs w:val="20"/>
          <w:color w:val="auto"/>
        </w:rPr>
      </w:pPr>
      <w:r>
        <w:rPr>
          <w:rFonts w:ascii="Arial" w:cs="Arial" w:eastAsia="Arial" w:hAnsi="Arial"/>
          <w:sz w:val="14"/>
          <w:szCs w:val="14"/>
          <w:b w:val="1"/>
          <w:bCs w:val="1"/>
          <w:color w:val="auto"/>
        </w:rPr>
        <w:t>PNNT CASCADE ENVIRONMENTAL</w:t>
      </w:r>
    </w:p>
    <w:p>
      <w:pPr>
        <w:ind w:left="4740"/>
        <w:spacing w:after="0" w:line="226" w:lineRule="auto"/>
        <w:rPr>
          <w:sz w:val="20"/>
          <w:szCs w:val="20"/>
          <w:color w:val="auto"/>
        </w:rPr>
      </w:pPr>
      <w:r>
        <w:rPr>
          <w:rFonts w:ascii="Arial" w:cs="Arial" w:eastAsia="Arial" w:hAnsi="Arial"/>
          <w:sz w:val="14"/>
          <w:szCs w:val="14"/>
          <w:b w:val="1"/>
          <w:bCs w:val="1"/>
          <w:color w:val="auto"/>
        </w:rPr>
        <w:t>HOLDINGS, LLC,</w:t>
      </w:r>
    </w:p>
    <w:p>
      <w:pPr>
        <w:ind w:left="4740"/>
        <w:spacing w:after="0"/>
        <w:rPr>
          <w:sz w:val="20"/>
          <w:szCs w:val="20"/>
          <w:color w:val="auto"/>
        </w:rPr>
      </w:pPr>
      <w:r>
        <w:rPr>
          <w:rFonts w:ascii="Arial" w:cs="Arial" w:eastAsia="Arial" w:hAnsi="Arial"/>
          <w:sz w:val="14"/>
          <w:szCs w:val="14"/>
          <w:color w:val="auto"/>
        </w:rPr>
        <w:t>as a Subsidiary Guarantor</w:t>
      </w:r>
    </w:p>
    <w:p>
      <w:pPr>
        <w:spacing w:after="0" w:line="273" w:lineRule="exact"/>
        <w:rPr>
          <w:sz w:val="20"/>
          <w:szCs w:val="20"/>
          <w:color w:val="auto"/>
        </w:rPr>
      </w:pPr>
    </w:p>
    <w:p>
      <w:pPr>
        <w:ind w:left="4740"/>
        <w:spacing w:after="0"/>
        <w:tabs>
          <w:tab w:leader="none" w:pos="5200" w:val="left"/>
        </w:tabs>
        <w:rPr>
          <w:sz w:val="20"/>
          <w:szCs w:val="20"/>
          <w:color w:val="auto"/>
        </w:rPr>
      </w:pPr>
      <w:r>
        <w:rPr>
          <w:rFonts w:ascii="Arial" w:cs="Arial" w:eastAsia="Arial" w:hAnsi="Arial"/>
          <w:sz w:val="14"/>
          <w:szCs w:val="14"/>
          <w:color w:val="auto"/>
        </w:rPr>
        <w:t>By:</w:t>
      </w:r>
      <w:r>
        <w:rPr>
          <w:sz w:val="20"/>
          <w:szCs w:val="20"/>
          <w:color w:val="auto"/>
        </w:rPr>
        <w:tab/>
      </w:r>
      <w:r>
        <w:rPr>
          <w:rFonts w:ascii="Arial" w:cs="Arial" w:eastAsia="Arial" w:hAnsi="Arial"/>
          <w:sz w:val="14"/>
          <w:szCs w:val="14"/>
          <w:color w:val="auto"/>
        </w:rPr>
        <w:t>/s/ Arthur Penn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3312160</wp:posOffset>
            </wp:positionH>
            <wp:positionV relativeFrom="paragraph">
              <wp:posOffset>3810</wp:posOffset>
            </wp:positionV>
            <wp:extent cx="3265805" cy="825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3265805" cy="8255"/>
                    </a:xfrm>
                    <a:prstGeom prst="rect">
                      <a:avLst/>
                    </a:prstGeom>
                    <a:noFill/>
                  </pic:spPr>
                </pic:pic>
              </a:graphicData>
            </a:graphic>
          </wp:anchor>
        </w:drawing>
      </w:r>
    </w:p>
    <w:p>
      <w:pPr>
        <w:ind w:left="4740"/>
        <w:spacing w:after="0"/>
        <w:rPr>
          <w:sz w:val="20"/>
          <w:szCs w:val="20"/>
          <w:color w:val="auto"/>
        </w:rPr>
      </w:pPr>
      <w:r>
        <w:rPr>
          <w:rFonts w:ascii="Arial" w:cs="Arial" w:eastAsia="Arial" w:hAnsi="Arial"/>
          <w:sz w:val="14"/>
          <w:szCs w:val="14"/>
          <w:color w:val="auto"/>
        </w:rPr>
        <w:t>Name: Arthur Penn</w:t>
      </w:r>
    </w:p>
    <w:p>
      <w:pPr>
        <w:ind w:left="4740"/>
        <w:spacing w:after="0"/>
        <w:tabs>
          <w:tab w:leader="none" w:pos="5180" w:val="left"/>
        </w:tabs>
        <w:rPr>
          <w:sz w:val="20"/>
          <w:szCs w:val="20"/>
          <w:color w:val="auto"/>
        </w:rPr>
      </w:pPr>
      <w:r>
        <w:rPr>
          <w:rFonts w:ascii="Arial" w:cs="Arial" w:eastAsia="Arial" w:hAnsi="Arial"/>
          <w:sz w:val="14"/>
          <w:szCs w:val="14"/>
          <w:color w:val="auto"/>
        </w:rPr>
        <w:t>Title:</w:t>
      </w:r>
      <w:r>
        <w:rPr>
          <w:sz w:val="20"/>
          <w:szCs w:val="20"/>
          <w:color w:val="auto"/>
        </w:rPr>
        <w:tab/>
      </w:r>
      <w:r>
        <w:rPr>
          <w:rFonts w:ascii="Arial" w:cs="Arial" w:eastAsia="Arial" w:hAnsi="Arial"/>
          <w:sz w:val="13"/>
          <w:szCs w:val="13"/>
          <w:color w:val="auto"/>
        </w:rPr>
        <w:t>Chief Executive Officer</w:t>
      </w:r>
    </w:p>
    <w:p>
      <w:pPr>
        <w:spacing w:after="0" w:line="120" w:lineRule="exact"/>
        <w:rPr>
          <w:sz w:val="20"/>
          <w:szCs w:val="20"/>
          <w:color w:val="auto"/>
        </w:rPr>
      </w:pPr>
    </w:p>
    <w:p>
      <w:pPr>
        <w:ind w:left="4740"/>
        <w:spacing w:after="0"/>
        <w:rPr>
          <w:sz w:val="20"/>
          <w:szCs w:val="20"/>
          <w:color w:val="auto"/>
        </w:rPr>
      </w:pPr>
      <w:r>
        <w:rPr>
          <w:rFonts w:ascii="Arial" w:cs="Arial" w:eastAsia="Arial" w:hAnsi="Arial"/>
          <w:sz w:val="14"/>
          <w:szCs w:val="14"/>
          <w:b w:val="1"/>
          <w:bCs w:val="1"/>
          <w:color w:val="auto"/>
        </w:rPr>
        <w:t>PNNT CI (GALLS) PRIME INVESTMENT</w:t>
      </w:r>
    </w:p>
    <w:p>
      <w:pPr>
        <w:ind w:left="4740"/>
        <w:spacing w:after="0" w:line="226" w:lineRule="auto"/>
        <w:rPr>
          <w:sz w:val="20"/>
          <w:szCs w:val="20"/>
          <w:color w:val="auto"/>
        </w:rPr>
      </w:pPr>
      <w:r>
        <w:rPr>
          <w:rFonts w:ascii="Arial" w:cs="Arial" w:eastAsia="Arial" w:hAnsi="Arial"/>
          <w:sz w:val="14"/>
          <w:szCs w:val="14"/>
          <w:b w:val="1"/>
          <w:bCs w:val="1"/>
          <w:color w:val="auto"/>
        </w:rPr>
        <w:t>HOLDINGS, LLC,</w:t>
      </w:r>
    </w:p>
    <w:p>
      <w:pPr>
        <w:ind w:left="4740"/>
        <w:spacing w:after="0"/>
        <w:rPr>
          <w:sz w:val="20"/>
          <w:szCs w:val="20"/>
          <w:color w:val="auto"/>
        </w:rPr>
      </w:pPr>
      <w:r>
        <w:rPr>
          <w:rFonts w:ascii="Arial" w:cs="Arial" w:eastAsia="Arial" w:hAnsi="Arial"/>
          <w:sz w:val="14"/>
          <w:szCs w:val="14"/>
          <w:color w:val="auto"/>
        </w:rPr>
        <w:t>as a Subsidiary Guarantor</w:t>
      </w:r>
    </w:p>
    <w:p>
      <w:pPr>
        <w:spacing w:after="0" w:line="273" w:lineRule="exact"/>
        <w:rPr>
          <w:sz w:val="20"/>
          <w:szCs w:val="20"/>
          <w:color w:val="auto"/>
        </w:rPr>
      </w:pPr>
    </w:p>
    <w:p>
      <w:pPr>
        <w:ind w:left="4740"/>
        <w:spacing w:after="0"/>
        <w:tabs>
          <w:tab w:leader="none" w:pos="5200" w:val="left"/>
        </w:tabs>
        <w:rPr>
          <w:sz w:val="20"/>
          <w:szCs w:val="20"/>
          <w:color w:val="auto"/>
        </w:rPr>
      </w:pPr>
      <w:r>
        <w:rPr>
          <w:rFonts w:ascii="Arial" w:cs="Arial" w:eastAsia="Arial" w:hAnsi="Arial"/>
          <w:sz w:val="14"/>
          <w:szCs w:val="14"/>
          <w:color w:val="auto"/>
        </w:rPr>
        <w:t>By:</w:t>
      </w:r>
      <w:r>
        <w:rPr>
          <w:sz w:val="20"/>
          <w:szCs w:val="20"/>
          <w:color w:val="auto"/>
        </w:rPr>
        <w:tab/>
      </w:r>
      <w:r>
        <w:rPr>
          <w:rFonts w:ascii="Arial" w:cs="Arial" w:eastAsia="Arial" w:hAnsi="Arial"/>
          <w:sz w:val="14"/>
          <w:szCs w:val="14"/>
          <w:color w:val="auto"/>
        </w:rPr>
        <w:t>/s/ Arthur Penn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3312160</wp:posOffset>
            </wp:positionH>
            <wp:positionV relativeFrom="paragraph">
              <wp:posOffset>3810</wp:posOffset>
            </wp:positionV>
            <wp:extent cx="3265805" cy="825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3265805" cy="8255"/>
                    </a:xfrm>
                    <a:prstGeom prst="rect">
                      <a:avLst/>
                    </a:prstGeom>
                    <a:noFill/>
                  </pic:spPr>
                </pic:pic>
              </a:graphicData>
            </a:graphic>
          </wp:anchor>
        </w:drawing>
      </w:r>
    </w:p>
    <w:p>
      <w:pPr>
        <w:ind w:left="4740"/>
        <w:spacing w:after="0"/>
        <w:rPr>
          <w:sz w:val="20"/>
          <w:szCs w:val="20"/>
          <w:color w:val="auto"/>
        </w:rPr>
      </w:pPr>
      <w:r>
        <w:rPr>
          <w:rFonts w:ascii="Arial" w:cs="Arial" w:eastAsia="Arial" w:hAnsi="Arial"/>
          <w:sz w:val="14"/>
          <w:szCs w:val="14"/>
          <w:color w:val="auto"/>
        </w:rPr>
        <w:t>Name: Arthur Penn</w:t>
      </w:r>
    </w:p>
    <w:p>
      <w:pPr>
        <w:ind w:left="4740"/>
        <w:spacing w:after="0"/>
        <w:tabs>
          <w:tab w:leader="none" w:pos="5180" w:val="left"/>
        </w:tabs>
        <w:rPr>
          <w:sz w:val="20"/>
          <w:szCs w:val="20"/>
          <w:color w:val="auto"/>
        </w:rPr>
      </w:pPr>
      <w:r>
        <w:rPr>
          <w:rFonts w:ascii="Arial" w:cs="Arial" w:eastAsia="Arial" w:hAnsi="Arial"/>
          <w:sz w:val="14"/>
          <w:szCs w:val="14"/>
          <w:color w:val="auto"/>
        </w:rPr>
        <w:t>Title:</w:t>
      </w:r>
      <w:r>
        <w:rPr>
          <w:sz w:val="20"/>
          <w:szCs w:val="20"/>
          <w:color w:val="auto"/>
        </w:rPr>
        <w:tab/>
      </w:r>
      <w:r>
        <w:rPr>
          <w:rFonts w:ascii="Arial" w:cs="Arial" w:eastAsia="Arial" w:hAnsi="Arial"/>
          <w:sz w:val="13"/>
          <w:szCs w:val="13"/>
          <w:color w:val="auto"/>
        </w:rPr>
        <w:t>Chief Executive Officer</w:t>
      </w:r>
    </w:p>
    <w:p>
      <w:pPr>
        <w:spacing w:after="0" w:line="120" w:lineRule="exact"/>
        <w:rPr>
          <w:sz w:val="20"/>
          <w:szCs w:val="20"/>
          <w:color w:val="auto"/>
        </w:rPr>
      </w:pPr>
    </w:p>
    <w:p>
      <w:pPr>
        <w:ind w:left="4740"/>
        <w:spacing w:after="0"/>
        <w:rPr>
          <w:sz w:val="20"/>
          <w:szCs w:val="20"/>
          <w:color w:val="auto"/>
        </w:rPr>
      </w:pPr>
      <w:r>
        <w:rPr>
          <w:rFonts w:ascii="Arial" w:cs="Arial" w:eastAsia="Arial" w:hAnsi="Arial"/>
          <w:sz w:val="14"/>
          <w:szCs w:val="14"/>
          <w:b w:val="1"/>
          <w:bCs w:val="1"/>
          <w:color w:val="auto"/>
        </w:rPr>
        <w:t>PNNT ECOSERVE, LLC,</w:t>
      </w:r>
    </w:p>
    <w:p>
      <w:pPr>
        <w:spacing w:after="0" w:line="4" w:lineRule="exact"/>
        <w:rPr>
          <w:sz w:val="20"/>
          <w:szCs w:val="20"/>
          <w:color w:val="auto"/>
        </w:rPr>
      </w:pPr>
    </w:p>
    <w:p>
      <w:pPr>
        <w:ind w:left="4740"/>
        <w:spacing w:after="0"/>
        <w:rPr>
          <w:sz w:val="20"/>
          <w:szCs w:val="20"/>
          <w:color w:val="auto"/>
        </w:rPr>
      </w:pPr>
      <w:r>
        <w:rPr>
          <w:rFonts w:ascii="Arial" w:cs="Arial" w:eastAsia="Arial" w:hAnsi="Arial"/>
          <w:sz w:val="14"/>
          <w:szCs w:val="14"/>
          <w:color w:val="auto"/>
        </w:rPr>
        <w:t>as a Subsidiary Guarantor</w:t>
      </w:r>
    </w:p>
    <w:p>
      <w:pPr>
        <w:spacing w:after="0" w:line="273" w:lineRule="exact"/>
        <w:rPr>
          <w:sz w:val="20"/>
          <w:szCs w:val="20"/>
          <w:color w:val="auto"/>
        </w:rPr>
      </w:pPr>
    </w:p>
    <w:p>
      <w:pPr>
        <w:ind w:left="4740"/>
        <w:spacing w:after="0"/>
        <w:tabs>
          <w:tab w:leader="none" w:pos="5200" w:val="left"/>
        </w:tabs>
        <w:rPr>
          <w:sz w:val="20"/>
          <w:szCs w:val="20"/>
          <w:color w:val="auto"/>
        </w:rPr>
      </w:pPr>
      <w:r>
        <w:rPr>
          <w:rFonts w:ascii="Arial" w:cs="Arial" w:eastAsia="Arial" w:hAnsi="Arial"/>
          <w:sz w:val="14"/>
          <w:szCs w:val="14"/>
          <w:color w:val="auto"/>
        </w:rPr>
        <w:t>By:</w:t>
      </w:r>
      <w:r>
        <w:rPr>
          <w:sz w:val="20"/>
          <w:szCs w:val="20"/>
          <w:color w:val="auto"/>
        </w:rPr>
        <w:tab/>
      </w:r>
      <w:r>
        <w:rPr>
          <w:rFonts w:ascii="Arial" w:cs="Arial" w:eastAsia="Arial" w:hAnsi="Arial"/>
          <w:sz w:val="14"/>
          <w:szCs w:val="14"/>
          <w:color w:val="auto"/>
        </w:rPr>
        <w:t>/s/ Arthur Penn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3312160</wp:posOffset>
            </wp:positionH>
            <wp:positionV relativeFrom="paragraph">
              <wp:posOffset>3810</wp:posOffset>
            </wp:positionV>
            <wp:extent cx="3265805" cy="825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3265805" cy="8255"/>
                    </a:xfrm>
                    <a:prstGeom prst="rect">
                      <a:avLst/>
                    </a:prstGeom>
                    <a:noFill/>
                  </pic:spPr>
                </pic:pic>
              </a:graphicData>
            </a:graphic>
          </wp:anchor>
        </w:drawing>
      </w:r>
    </w:p>
    <w:p>
      <w:pPr>
        <w:ind w:left="4740"/>
        <w:spacing w:after="0"/>
        <w:rPr>
          <w:sz w:val="20"/>
          <w:szCs w:val="20"/>
          <w:color w:val="auto"/>
        </w:rPr>
      </w:pPr>
      <w:r>
        <w:rPr>
          <w:rFonts w:ascii="Arial" w:cs="Arial" w:eastAsia="Arial" w:hAnsi="Arial"/>
          <w:sz w:val="14"/>
          <w:szCs w:val="14"/>
          <w:color w:val="auto"/>
        </w:rPr>
        <w:t>Name: Arthur Penn</w:t>
      </w:r>
    </w:p>
    <w:p>
      <w:pPr>
        <w:ind w:left="4740"/>
        <w:spacing w:after="0"/>
        <w:tabs>
          <w:tab w:leader="none" w:pos="5180" w:val="left"/>
        </w:tabs>
        <w:rPr>
          <w:sz w:val="20"/>
          <w:szCs w:val="20"/>
          <w:color w:val="auto"/>
        </w:rPr>
      </w:pPr>
      <w:r>
        <w:rPr>
          <w:rFonts w:ascii="Arial" w:cs="Arial" w:eastAsia="Arial" w:hAnsi="Arial"/>
          <w:sz w:val="14"/>
          <w:szCs w:val="14"/>
          <w:color w:val="auto"/>
        </w:rPr>
        <w:t>Title:</w:t>
      </w:r>
      <w:r>
        <w:rPr>
          <w:sz w:val="20"/>
          <w:szCs w:val="20"/>
          <w:color w:val="auto"/>
        </w:rPr>
        <w:tab/>
      </w:r>
      <w:r>
        <w:rPr>
          <w:rFonts w:ascii="Arial" w:cs="Arial" w:eastAsia="Arial" w:hAnsi="Arial"/>
          <w:sz w:val="13"/>
          <w:szCs w:val="13"/>
          <w:color w:val="auto"/>
        </w:rPr>
        <w:t>Chief Executive Officer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1" w:lineRule="exact"/>
        <w:rPr>
          <w:sz w:val="20"/>
          <w:szCs w:val="20"/>
          <w:color w:val="auto"/>
        </w:rPr>
      </w:pPr>
    </w:p>
    <w:p>
      <w:pPr>
        <w:jc w:val="right"/>
        <w:spacing w:after="0"/>
        <w:rPr>
          <w:sz w:val="20"/>
          <w:szCs w:val="20"/>
          <w:color w:val="auto"/>
        </w:rPr>
      </w:pPr>
      <w:r>
        <w:rPr>
          <w:rFonts w:ascii="Arial" w:cs="Arial" w:eastAsia="Arial" w:hAnsi="Arial"/>
          <w:sz w:val="14"/>
          <w:szCs w:val="14"/>
          <w:color w:val="auto"/>
        </w:rPr>
        <w:t>Signature Page to First Omnibus Amendment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-553085</wp:posOffset>
            </wp:positionH>
            <wp:positionV relativeFrom="paragraph">
              <wp:posOffset>209550</wp:posOffset>
            </wp:positionV>
            <wp:extent cx="7149465" cy="1714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0360"/>
          </w:cols>
          <w:pgMar w:left="1200" w:top="333" w:right="339" w:bottom="1440" w:gutter="0" w:footer="0" w:header="0"/>
        </w:sectPr>
      </w:pPr>
    </w:p>
    <w:bookmarkStart w:id="42" w:name="page43"/>
    <w:bookmarkEnd w:id="42"/>
    <w:p>
      <w:pPr>
        <w:ind w:left="4500" w:right="520"/>
        <w:spacing w:after="0" w:line="233" w:lineRule="auto"/>
        <w:rPr>
          <w:sz w:val="20"/>
          <w:szCs w:val="20"/>
          <w:color w:val="auto"/>
        </w:rPr>
      </w:pPr>
      <w:r>
        <w:rPr>
          <w:rFonts w:ascii="Arial" w:cs="Arial" w:eastAsia="Arial" w:hAnsi="Arial"/>
          <w:sz w:val="14"/>
          <w:szCs w:val="14"/>
          <w:b w:val="1"/>
          <w:bCs w:val="1"/>
          <w:color w:val="auto"/>
        </w:rPr>
        <w:t>PNNT INVESTMENT HOLDINGS, LLC (F/K/A PNNT TRANSPORTATION 100 HOLDCO, LLC),</w:t>
      </w:r>
    </w:p>
    <w:p>
      <w:pPr>
        <w:jc w:val="center"/>
        <w:ind w:left="1480"/>
        <w:spacing w:after="0"/>
        <w:rPr>
          <w:sz w:val="20"/>
          <w:szCs w:val="20"/>
          <w:color w:val="auto"/>
        </w:rPr>
      </w:pPr>
      <w:r>
        <w:rPr>
          <w:rFonts w:ascii="Arial" w:cs="Arial" w:eastAsia="Arial" w:hAnsi="Arial"/>
          <w:sz w:val="12"/>
          <w:szCs w:val="12"/>
          <w:color w:val="auto"/>
        </w:rPr>
        <w:t>as a Subsidiary Guarantor</w:t>
      </w:r>
    </w:p>
    <w:p>
      <w:pPr>
        <w:spacing w:after="0" w:line="296" w:lineRule="exact"/>
        <w:rPr>
          <w:sz w:val="20"/>
          <w:szCs w:val="20"/>
          <w:color w:val="auto"/>
        </w:rPr>
      </w:pPr>
    </w:p>
    <w:p>
      <w:pPr>
        <w:ind w:left="4500"/>
        <w:spacing w:after="0"/>
        <w:tabs>
          <w:tab w:leader="none" w:pos="4960" w:val="left"/>
        </w:tabs>
        <w:rPr>
          <w:sz w:val="20"/>
          <w:szCs w:val="20"/>
          <w:color w:val="auto"/>
        </w:rPr>
      </w:pPr>
      <w:r>
        <w:rPr>
          <w:rFonts w:ascii="Arial" w:cs="Arial" w:eastAsia="Arial" w:hAnsi="Arial"/>
          <w:sz w:val="14"/>
          <w:szCs w:val="14"/>
          <w:color w:val="auto"/>
        </w:rPr>
        <w:t>By:</w:t>
      </w:r>
      <w:r>
        <w:rPr>
          <w:sz w:val="20"/>
          <w:szCs w:val="20"/>
          <w:color w:val="auto"/>
        </w:rPr>
        <w:tab/>
      </w:r>
      <w:r>
        <w:rPr>
          <w:rFonts w:ascii="Arial" w:cs="Arial" w:eastAsia="Arial" w:hAnsi="Arial"/>
          <w:sz w:val="14"/>
          <w:szCs w:val="14"/>
          <w:color w:val="auto"/>
        </w:rPr>
        <w:t>/s/ Arthur Penn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3159760</wp:posOffset>
            </wp:positionH>
            <wp:positionV relativeFrom="paragraph">
              <wp:posOffset>3810</wp:posOffset>
            </wp:positionV>
            <wp:extent cx="3265805" cy="825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3265805" cy="8255"/>
                    </a:xfrm>
                    <a:prstGeom prst="rect">
                      <a:avLst/>
                    </a:prstGeom>
                    <a:noFill/>
                  </pic:spPr>
                </pic:pic>
              </a:graphicData>
            </a:graphic>
          </wp:anchor>
        </w:drawing>
      </w:r>
    </w:p>
    <w:p>
      <w:pPr>
        <w:ind w:left="4500"/>
        <w:spacing w:after="0"/>
        <w:rPr>
          <w:sz w:val="20"/>
          <w:szCs w:val="20"/>
          <w:color w:val="auto"/>
        </w:rPr>
      </w:pPr>
      <w:r>
        <w:rPr>
          <w:rFonts w:ascii="Arial" w:cs="Arial" w:eastAsia="Arial" w:hAnsi="Arial"/>
          <w:sz w:val="14"/>
          <w:szCs w:val="14"/>
          <w:color w:val="auto"/>
        </w:rPr>
        <w:t>Name: Arthur Penn</w:t>
      </w:r>
    </w:p>
    <w:p>
      <w:pPr>
        <w:ind w:left="4500"/>
        <w:spacing w:after="0"/>
        <w:tabs>
          <w:tab w:leader="none" w:pos="4940" w:val="left"/>
        </w:tabs>
        <w:rPr>
          <w:sz w:val="20"/>
          <w:szCs w:val="20"/>
          <w:color w:val="auto"/>
        </w:rPr>
      </w:pPr>
      <w:r>
        <w:rPr>
          <w:rFonts w:ascii="Arial" w:cs="Arial" w:eastAsia="Arial" w:hAnsi="Arial"/>
          <w:sz w:val="14"/>
          <w:szCs w:val="14"/>
          <w:color w:val="auto"/>
        </w:rPr>
        <w:t>Title:</w:t>
      </w:r>
      <w:r>
        <w:rPr>
          <w:sz w:val="20"/>
          <w:szCs w:val="20"/>
          <w:color w:val="auto"/>
        </w:rPr>
        <w:tab/>
      </w:r>
      <w:r>
        <w:rPr>
          <w:rFonts w:ascii="Arial" w:cs="Arial" w:eastAsia="Arial" w:hAnsi="Arial"/>
          <w:sz w:val="13"/>
          <w:szCs w:val="13"/>
          <w:color w:val="auto"/>
        </w:rPr>
        <w:t>Chief Executive Officer</w:t>
      </w:r>
    </w:p>
    <w:p>
      <w:pPr>
        <w:spacing w:after="0" w:line="120" w:lineRule="exact"/>
        <w:rPr>
          <w:sz w:val="20"/>
          <w:szCs w:val="20"/>
          <w:color w:val="auto"/>
        </w:rPr>
      </w:pPr>
    </w:p>
    <w:p>
      <w:pPr>
        <w:ind w:left="4500"/>
        <w:spacing w:after="0"/>
        <w:rPr>
          <w:sz w:val="20"/>
          <w:szCs w:val="20"/>
          <w:color w:val="auto"/>
        </w:rPr>
      </w:pPr>
      <w:r>
        <w:rPr>
          <w:rFonts w:ascii="Arial" w:cs="Arial" w:eastAsia="Arial" w:hAnsi="Arial"/>
          <w:sz w:val="14"/>
          <w:szCs w:val="14"/>
          <w:b w:val="1"/>
          <w:bCs w:val="1"/>
          <w:color w:val="auto"/>
        </w:rPr>
        <w:t>PNNT NEW GULF RESOURCES, LLC,</w:t>
      </w:r>
    </w:p>
    <w:p>
      <w:pPr>
        <w:spacing w:after="0" w:line="4" w:lineRule="exact"/>
        <w:rPr>
          <w:sz w:val="20"/>
          <w:szCs w:val="20"/>
          <w:color w:val="auto"/>
        </w:rPr>
      </w:pPr>
    </w:p>
    <w:p>
      <w:pPr>
        <w:jc w:val="center"/>
        <w:ind w:left="1480"/>
        <w:spacing w:after="0"/>
        <w:rPr>
          <w:sz w:val="20"/>
          <w:szCs w:val="20"/>
          <w:color w:val="auto"/>
        </w:rPr>
      </w:pPr>
      <w:r>
        <w:rPr>
          <w:rFonts w:ascii="Arial" w:cs="Arial" w:eastAsia="Arial" w:hAnsi="Arial"/>
          <w:sz w:val="12"/>
          <w:szCs w:val="12"/>
          <w:color w:val="auto"/>
        </w:rPr>
        <w:t>as a Subsidiary Guarantor</w:t>
      </w:r>
    </w:p>
    <w:p>
      <w:pPr>
        <w:spacing w:after="0" w:line="296" w:lineRule="exact"/>
        <w:rPr>
          <w:sz w:val="20"/>
          <w:szCs w:val="20"/>
          <w:color w:val="auto"/>
        </w:rPr>
      </w:pPr>
    </w:p>
    <w:p>
      <w:pPr>
        <w:ind w:left="4500"/>
        <w:spacing w:after="0"/>
        <w:tabs>
          <w:tab w:leader="none" w:pos="4960" w:val="left"/>
        </w:tabs>
        <w:rPr>
          <w:sz w:val="20"/>
          <w:szCs w:val="20"/>
          <w:color w:val="auto"/>
        </w:rPr>
      </w:pPr>
      <w:r>
        <w:rPr>
          <w:rFonts w:ascii="Arial" w:cs="Arial" w:eastAsia="Arial" w:hAnsi="Arial"/>
          <w:sz w:val="14"/>
          <w:szCs w:val="14"/>
          <w:color w:val="auto"/>
        </w:rPr>
        <w:t>By:</w:t>
      </w:r>
      <w:r>
        <w:rPr>
          <w:sz w:val="20"/>
          <w:szCs w:val="20"/>
          <w:color w:val="auto"/>
        </w:rPr>
        <w:tab/>
      </w:r>
      <w:r>
        <w:rPr>
          <w:rFonts w:ascii="Arial" w:cs="Arial" w:eastAsia="Arial" w:hAnsi="Arial"/>
          <w:sz w:val="14"/>
          <w:szCs w:val="14"/>
          <w:color w:val="auto"/>
        </w:rPr>
        <w:t>/s/ Arthur Penn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3159760</wp:posOffset>
            </wp:positionH>
            <wp:positionV relativeFrom="paragraph">
              <wp:posOffset>3810</wp:posOffset>
            </wp:positionV>
            <wp:extent cx="3265805" cy="825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3265805" cy="8255"/>
                    </a:xfrm>
                    <a:prstGeom prst="rect">
                      <a:avLst/>
                    </a:prstGeom>
                    <a:noFill/>
                  </pic:spPr>
                </pic:pic>
              </a:graphicData>
            </a:graphic>
          </wp:anchor>
        </w:drawing>
      </w:r>
    </w:p>
    <w:p>
      <w:pPr>
        <w:ind w:left="4500"/>
        <w:spacing w:after="0"/>
        <w:rPr>
          <w:sz w:val="20"/>
          <w:szCs w:val="20"/>
          <w:color w:val="auto"/>
        </w:rPr>
      </w:pPr>
      <w:r>
        <w:rPr>
          <w:rFonts w:ascii="Arial" w:cs="Arial" w:eastAsia="Arial" w:hAnsi="Arial"/>
          <w:sz w:val="14"/>
          <w:szCs w:val="14"/>
          <w:color w:val="auto"/>
        </w:rPr>
        <w:t>Name: Arthur Penn</w:t>
      </w:r>
    </w:p>
    <w:p>
      <w:pPr>
        <w:ind w:left="4500"/>
        <w:spacing w:after="0"/>
        <w:tabs>
          <w:tab w:leader="none" w:pos="4940" w:val="left"/>
        </w:tabs>
        <w:rPr>
          <w:sz w:val="20"/>
          <w:szCs w:val="20"/>
          <w:color w:val="auto"/>
        </w:rPr>
      </w:pPr>
      <w:r>
        <w:rPr>
          <w:rFonts w:ascii="Arial" w:cs="Arial" w:eastAsia="Arial" w:hAnsi="Arial"/>
          <w:sz w:val="14"/>
          <w:szCs w:val="14"/>
          <w:color w:val="auto"/>
        </w:rPr>
        <w:t>Title:</w:t>
      </w:r>
      <w:r>
        <w:rPr>
          <w:sz w:val="20"/>
          <w:szCs w:val="20"/>
          <w:color w:val="auto"/>
        </w:rPr>
        <w:tab/>
      </w:r>
      <w:r>
        <w:rPr>
          <w:rFonts w:ascii="Arial" w:cs="Arial" w:eastAsia="Arial" w:hAnsi="Arial"/>
          <w:sz w:val="13"/>
          <w:szCs w:val="13"/>
          <w:color w:val="auto"/>
        </w:rPr>
        <w:t>Chief Executive Officer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9" w:lineRule="exact"/>
        <w:rPr>
          <w:sz w:val="20"/>
          <w:szCs w:val="20"/>
          <w:color w:val="auto"/>
        </w:rPr>
      </w:pPr>
    </w:p>
    <w:p>
      <w:pPr>
        <w:jc w:val="right"/>
        <w:spacing w:after="0"/>
        <w:rPr>
          <w:sz w:val="20"/>
          <w:szCs w:val="20"/>
          <w:color w:val="auto"/>
        </w:rPr>
      </w:pPr>
      <w:r>
        <w:rPr>
          <w:rFonts w:ascii="Arial" w:cs="Arial" w:eastAsia="Arial" w:hAnsi="Arial"/>
          <w:sz w:val="14"/>
          <w:szCs w:val="14"/>
          <w:color w:val="auto"/>
        </w:rPr>
        <w:t>Signature Page to First Omnibus Amendment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209550</wp:posOffset>
            </wp:positionV>
            <wp:extent cx="7149465" cy="1714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0120"/>
          </w:cols>
          <w:pgMar w:left="1440" w:top="481" w:right="339" w:bottom="1440" w:gutter="0" w:footer="0" w:header="0"/>
        </w:sectPr>
      </w:pPr>
    </w:p>
    <w:bookmarkStart w:id="43" w:name="page44"/>
    <w:bookmarkEnd w:id="43"/>
    <w:p>
      <w:pPr>
        <w:ind w:left="4500"/>
        <w:spacing w:after="0"/>
        <w:rPr>
          <w:sz w:val="20"/>
          <w:szCs w:val="20"/>
          <w:color w:val="auto"/>
        </w:rPr>
      </w:pPr>
      <w:r>
        <w:rPr>
          <w:rFonts w:ascii="Arial" w:cs="Arial" w:eastAsia="Arial" w:hAnsi="Arial"/>
          <w:sz w:val="14"/>
          <w:szCs w:val="14"/>
          <w:b w:val="1"/>
          <w:bCs w:val="1"/>
          <w:color w:val="auto"/>
        </w:rPr>
        <w:t>SUNTRUST BANK</w:t>
      </w:r>
      <w:r>
        <w:rPr>
          <w:rFonts w:ascii="Arial" w:cs="Arial" w:eastAsia="Arial" w:hAnsi="Arial"/>
          <w:sz w:val="14"/>
          <w:szCs w:val="14"/>
          <w:color w:val="auto"/>
        </w:rPr>
        <w:t>,</w:t>
      </w:r>
    </w:p>
    <w:p>
      <w:pPr>
        <w:spacing w:after="0" w:line="4" w:lineRule="exact"/>
        <w:rPr>
          <w:sz w:val="20"/>
          <w:szCs w:val="20"/>
          <w:color w:val="auto"/>
        </w:rPr>
      </w:pPr>
    </w:p>
    <w:p>
      <w:pPr>
        <w:ind w:left="4500"/>
        <w:spacing w:after="0"/>
        <w:rPr>
          <w:sz w:val="20"/>
          <w:szCs w:val="20"/>
          <w:color w:val="auto"/>
        </w:rPr>
      </w:pPr>
      <w:r>
        <w:rPr>
          <w:rFonts w:ascii="Arial" w:cs="Arial" w:eastAsia="Arial" w:hAnsi="Arial"/>
          <w:sz w:val="14"/>
          <w:szCs w:val="14"/>
          <w:color w:val="auto"/>
        </w:rPr>
        <w:t>as the Administrative Agent, the Collateral Agent and a Lender</w:t>
      </w:r>
    </w:p>
    <w:p>
      <w:pPr>
        <w:spacing w:after="0" w:line="273" w:lineRule="exact"/>
        <w:rPr>
          <w:sz w:val="20"/>
          <w:szCs w:val="20"/>
          <w:color w:val="auto"/>
        </w:rPr>
      </w:pPr>
    </w:p>
    <w:p>
      <w:pPr>
        <w:ind w:left="4500"/>
        <w:spacing w:after="0"/>
        <w:tabs>
          <w:tab w:leader="none" w:pos="4960" w:val="left"/>
        </w:tabs>
        <w:rPr>
          <w:sz w:val="20"/>
          <w:szCs w:val="20"/>
          <w:color w:val="auto"/>
        </w:rPr>
      </w:pPr>
      <w:r>
        <w:rPr>
          <w:rFonts w:ascii="Arial" w:cs="Arial" w:eastAsia="Arial" w:hAnsi="Arial"/>
          <w:sz w:val="14"/>
          <w:szCs w:val="14"/>
          <w:color w:val="auto"/>
        </w:rPr>
        <w:t>By:</w:t>
      </w:r>
      <w:r>
        <w:rPr>
          <w:sz w:val="20"/>
          <w:szCs w:val="20"/>
          <w:color w:val="auto"/>
        </w:rPr>
        <w:tab/>
      </w:r>
      <w:r>
        <w:rPr>
          <w:rFonts w:ascii="Arial" w:cs="Arial" w:eastAsia="Arial" w:hAnsi="Arial"/>
          <w:sz w:val="14"/>
          <w:szCs w:val="14"/>
          <w:color w:val="auto"/>
        </w:rPr>
        <w:t>/s/ Doug Kennedy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3159760</wp:posOffset>
            </wp:positionH>
            <wp:positionV relativeFrom="paragraph">
              <wp:posOffset>3810</wp:posOffset>
            </wp:positionV>
            <wp:extent cx="3265805" cy="825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3265805" cy="8255"/>
                    </a:xfrm>
                    <a:prstGeom prst="rect">
                      <a:avLst/>
                    </a:prstGeom>
                    <a:noFill/>
                  </pic:spPr>
                </pic:pic>
              </a:graphicData>
            </a:graphic>
          </wp:anchor>
        </w:drawing>
      </w:r>
    </w:p>
    <w:p>
      <w:pPr>
        <w:ind w:left="4500"/>
        <w:spacing w:after="0"/>
        <w:rPr>
          <w:sz w:val="20"/>
          <w:szCs w:val="20"/>
          <w:color w:val="auto"/>
        </w:rPr>
      </w:pPr>
      <w:r>
        <w:rPr>
          <w:rFonts w:ascii="Arial" w:cs="Arial" w:eastAsia="Arial" w:hAnsi="Arial"/>
          <w:sz w:val="14"/>
          <w:szCs w:val="14"/>
          <w:color w:val="auto"/>
        </w:rPr>
        <w:t>Name: Doug Kennedy</w:t>
      </w:r>
    </w:p>
    <w:p>
      <w:pPr>
        <w:jc w:val="center"/>
        <w:ind w:right="180"/>
        <w:spacing w:after="0"/>
        <w:tabs>
          <w:tab w:leader="none" w:pos="120" w:val="left"/>
        </w:tabs>
        <w:rPr>
          <w:sz w:val="20"/>
          <w:szCs w:val="20"/>
          <w:color w:val="auto"/>
        </w:rPr>
      </w:pPr>
      <w:r>
        <w:rPr>
          <w:rFonts w:ascii="Arial" w:cs="Arial" w:eastAsia="Arial" w:hAnsi="Arial"/>
          <w:sz w:val="14"/>
          <w:szCs w:val="14"/>
          <w:color w:val="auto"/>
        </w:rPr>
        <w:t>Title:</w:t>
      </w:r>
      <w:r>
        <w:rPr>
          <w:sz w:val="20"/>
          <w:szCs w:val="20"/>
          <w:color w:val="auto"/>
        </w:rPr>
        <w:tab/>
      </w:r>
      <w:r>
        <w:rPr>
          <w:rFonts w:ascii="Arial" w:cs="Arial" w:eastAsia="Arial" w:hAnsi="Arial"/>
          <w:sz w:val="13"/>
          <w:szCs w:val="13"/>
          <w:color w:val="auto"/>
        </w:rPr>
        <w:t>Director</w:t>
      </w:r>
    </w:p>
    <w:p>
      <w:pPr>
        <w:spacing w:after="0" w:line="273" w:lineRule="exact"/>
        <w:rPr>
          <w:sz w:val="20"/>
          <w:szCs w:val="20"/>
          <w:color w:val="auto"/>
        </w:rPr>
      </w:pPr>
    </w:p>
    <w:p>
      <w:pPr>
        <w:ind w:left="2860"/>
        <w:spacing w:after="0"/>
        <w:rPr>
          <w:sz w:val="20"/>
          <w:szCs w:val="20"/>
          <w:color w:val="auto"/>
        </w:rPr>
      </w:pPr>
      <w:r>
        <w:rPr>
          <w:rFonts w:ascii="Arial" w:cs="Arial" w:eastAsia="Arial" w:hAnsi="Arial"/>
          <w:sz w:val="14"/>
          <w:szCs w:val="14"/>
          <w:color w:val="auto"/>
        </w:rPr>
        <w:t>[SIGNATURES CONTINUE ON FOLLOWING PAGE]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5" w:lineRule="exact"/>
        <w:rPr>
          <w:sz w:val="20"/>
          <w:szCs w:val="20"/>
          <w:color w:val="auto"/>
        </w:rPr>
      </w:pPr>
    </w:p>
    <w:p>
      <w:pPr>
        <w:jc w:val="right"/>
        <w:spacing w:after="0"/>
        <w:rPr>
          <w:sz w:val="20"/>
          <w:szCs w:val="20"/>
          <w:color w:val="auto"/>
        </w:rPr>
      </w:pPr>
      <w:r>
        <w:rPr>
          <w:rFonts w:ascii="Arial" w:cs="Arial" w:eastAsia="Arial" w:hAnsi="Arial"/>
          <w:sz w:val="14"/>
          <w:szCs w:val="14"/>
          <w:color w:val="auto"/>
        </w:rPr>
        <w:t>Signature Page to First Omnibus Amendment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209550</wp:posOffset>
            </wp:positionV>
            <wp:extent cx="7149465" cy="1714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0120"/>
          </w:cols>
          <w:pgMar w:left="1440" w:top="481" w:right="339" w:bottom="1440" w:gutter="0" w:footer="0" w:header="0"/>
        </w:sectPr>
      </w:pPr>
    </w:p>
    <w:bookmarkStart w:id="44" w:name="page45"/>
    <w:bookmarkEnd w:id="44"/>
    <w:p>
      <w:pPr>
        <w:ind w:left="4500"/>
        <w:spacing w:after="0"/>
        <w:rPr>
          <w:sz w:val="20"/>
          <w:szCs w:val="20"/>
          <w:color w:val="auto"/>
        </w:rPr>
      </w:pPr>
      <w:r>
        <w:rPr>
          <w:rFonts w:ascii="Arial" w:cs="Arial" w:eastAsia="Arial" w:hAnsi="Arial"/>
          <w:sz w:val="14"/>
          <w:szCs w:val="14"/>
          <w:b w:val="1"/>
          <w:bCs w:val="1"/>
          <w:color w:val="auto"/>
        </w:rPr>
        <w:t>JPMORGAN CHASE BANK, N.A.</w:t>
      </w:r>
      <w:r>
        <w:rPr>
          <w:rFonts w:ascii="Arial" w:cs="Arial" w:eastAsia="Arial" w:hAnsi="Arial"/>
          <w:sz w:val="14"/>
          <w:szCs w:val="14"/>
          <w:color w:val="auto"/>
        </w:rPr>
        <w:t>,</w:t>
      </w:r>
    </w:p>
    <w:p>
      <w:pPr>
        <w:spacing w:after="0" w:line="4" w:lineRule="exact"/>
        <w:rPr>
          <w:sz w:val="20"/>
          <w:szCs w:val="20"/>
          <w:color w:val="auto"/>
        </w:rPr>
      </w:pPr>
    </w:p>
    <w:p>
      <w:pPr>
        <w:ind w:left="4500"/>
        <w:spacing w:after="0"/>
        <w:rPr>
          <w:sz w:val="20"/>
          <w:szCs w:val="20"/>
          <w:color w:val="auto"/>
        </w:rPr>
      </w:pPr>
      <w:r>
        <w:rPr>
          <w:rFonts w:ascii="Arial" w:cs="Arial" w:eastAsia="Arial" w:hAnsi="Arial"/>
          <w:sz w:val="14"/>
          <w:szCs w:val="14"/>
          <w:color w:val="auto"/>
        </w:rPr>
        <w:t>as a Lender</w:t>
      </w:r>
    </w:p>
    <w:p>
      <w:pPr>
        <w:spacing w:after="0" w:line="273" w:lineRule="exact"/>
        <w:rPr>
          <w:sz w:val="20"/>
          <w:szCs w:val="20"/>
          <w:color w:val="auto"/>
        </w:rPr>
      </w:pPr>
    </w:p>
    <w:p>
      <w:pPr>
        <w:ind w:left="4500"/>
        <w:spacing w:after="0"/>
        <w:tabs>
          <w:tab w:leader="none" w:pos="4960" w:val="left"/>
        </w:tabs>
        <w:rPr>
          <w:sz w:val="20"/>
          <w:szCs w:val="20"/>
          <w:color w:val="auto"/>
        </w:rPr>
      </w:pPr>
      <w:r>
        <w:rPr>
          <w:rFonts w:ascii="Arial" w:cs="Arial" w:eastAsia="Arial" w:hAnsi="Arial"/>
          <w:sz w:val="14"/>
          <w:szCs w:val="14"/>
          <w:color w:val="auto"/>
        </w:rPr>
        <w:t>By:</w:t>
      </w:r>
      <w:r>
        <w:rPr>
          <w:sz w:val="20"/>
          <w:szCs w:val="20"/>
          <w:color w:val="auto"/>
        </w:rPr>
        <w:tab/>
      </w:r>
      <w:r>
        <w:rPr>
          <w:rFonts w:ascii="Arial" w:cs="Arial" w:eastAsia="Arial" w:hAnsi="Arial"/>
          <w:sz w:val="14"/>
          <w:szCs w:val="14"/>
          <w:color w:val="auto"/>
        </w:rPr>
        <w:t>/s/ Alfred Chi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3159760</wp:posOffset>
            </wp:positionH>
            <wp:positionV relativeFrom="paragraph">
              <wp:posOffset>3810</wp:posOffset>
            </wp:positionV>
            <wp:extent cx="3265805" cy="825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3265805" cy="8255"/>
                    </a:xfrm>
                    <a:prstGeom prst="rect">
                      <a:avLst/>
                    </a:prstGeom>
                    <a:noFill/>
                  </pic:spPr>
                </pic:pic>
              </a:graphicData>
            </a:graphic>
          </wp:anchor>
        </w:drawing>
      </w:r>
    </w:p>
    <w:p>
      <w:pPr>
        <w:ind w:left="4500"/>
        <w:spacing w:after="0"/>
        <w:rPr>
          <w:sz w:val="20"/>
          <w:szCs w:val="20"/>
          <w:color w:val="auto"/>
        </w:rPr>
      </w:pPr>
      <w:r>
        <w:rPr>
          <w:rFonts w:ascii="Arial" w:cs="Arial" w:eastAsia="Arial" w:hAnsi="Arial"/>
          <w:sz w:val="14"/>
          <w:szCs w:val="14"/>
          <w:color w:val="auto"/>
        </w:rPr>
        <w:t>Name: Alfred Chi</w:t>
      </w:r>
    </w:p>
    <w:p>
      <w:pPr>
        <w:jc w:val="center"/>
        <w:ind w:right="-159"/>
        <w:spacing w:after="0"/>
        <w:tabs>
          <w:tab w:leader="none" w:pos="120" w:val="left"/>
        </w:tabs>
        <w:rPr>
          <w:sz w:val="20"/>
          <w:szCs w:val="20"/>
          <w:color w:val="auto"/>
        </w:rPr>
      </w:pPr>
      <w:r>
        <w:rPr>
          <w:rFonts w:ascii="Arial" w:cs="Arial" w:eastAsia="Arial" w:hAnsi="Arial"/>
          <w:sz w:val="14"/>
          <w:szCs w:val="14"/>
          <w:color w:val="auto"/>
        </w:rPr>
        <w:t>Title:</w:t>
      </w:r>
      <w:r>
        <w:rPr>
          <w:sz w:val="20"/>
          <w:szCs w:val="20"/>
          <w:color w:val="auto"/>
        </w:rPr>
        <w:tab/>
      </w:r>
      <w:r>
        <w:rPr>
          <w:rFonts w:ascii="Arial" w:cs="Arial" w:eastAsia="Arial" w:hAnsi="Arial"/>
          <w:sz w:val="12"/>
          <w:szCs w:val="12"/>
          <w:color w:val="auto"/>
        </w:rPr>
        <w:t>Vice President</w:t>
      </w:r>
    </w:p>
    <w:p>
      <w:pPr>
        <w:spacing w:after="0" w:line="273" w:lineRule="exact"/>
        <w:rPr>
          <w:sz w:val="20"/>
          <w:szCs w:val="20"/>
          <w:color w:val="auto"/>
        </w:rPr>
      </w:pPr>
    </w:p>
    <w:p>
      <w:pPr>
        <w:ind w:left="2860"/>
        <w:spacing w:after="0"/>
        <w:rPr>
          <w:sz w:val="20"/>
          <w:szCs w:val="20"/>
          <w:color w:val="auto"/>
        </w:rPr>
      </w:pPr>
      <w:r>
        <w:rPr>
          <w:rFonts w:ascii="Arial" w:cs="Arial" w:eastAsia="Arial" w:hAnsi="Arial"/>
          <w:sz w:val="14"/>
          <w:szCs w:val="14"/>
          <w:color w:val="auto"/>
        </w:rPr>
        <w:t>[SIGNATURES CONTINUE ON FOLLOWING PAGE]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3" w:lineRule="exact"/>
        <w:rPr>
          <w:sz w:val="20"/>
          <w:szCs w:val="20"/>
          <w:color w:val="auto"/>
        </w:rPr>
      </w:pPr>
    </w:p>
    <w:p>
      <w:pPr>
        <w:jc w:val="right"/>
        <w:spacing w:after="0"/>
        <w:rPr>
          <w:sz w:val="20"/>
          <w:szCs w:val="20"/>
          <w:color w:val="auto"/>
        </w:rPr>
      </w:pPr>
      <w:r>
        <w:rPr>
          <w:rFonts w:ascii="Arial" w:cs="Arial" w:eastAsia="Arial" w:hAnsi="Arial"/>
          <w:sz w:val="14"/>
          <w:szCs w:val="14"/>
          <w:color w:val="auto"/>
        </w:rPr>
        <w:t>Signature Page to First Omnibus Amendment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209550</wp:posOffset>
            </wp:positionV>
            <wp:extent cx="7149465" cy="1714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0120"/>
          </w:cols>
          <w:pgMar w:left="1440" w:top="265" w:right="339" w:bottom="1440" w:gutter="0" w:footer="0" w:header="0"/>
        </w:sectPr>
      </w:pPr>
    </w:p>
    <w:bookmarkStart w:id="45" w:name="page46"/>
    <w:bookmarkEnd w:id="45"/>
    <w:p>
      <w:pPr>
        <w:ind w:left="4500"/>
        <w:spacing w:after="0"/>
        <w:rPr>
          <w:sz w:val="20"/>
          <w:szCs w:val="20"/>
          <w:color w:val="auto"/>
        </w:rPr>
      </w:pPr>
      <w:r>
        <w:rPr>
          <w:rFonts w:ascii="Arial" w:cs="Arial" w:eastAsia="Arial" w:hAnsi="Arial"/>
          <w:sz w:val="14"/>
          <w:szCs w:val="14"/>
          <w:b w:val="1"/>
          <w:bCs w:val="1"/>
          <w:color w:val="auto"/>
        </w:rPr>
        <w:t>MORGAN STANLEY BANK, N.A.</w:t>
      </w:r>
      <w:r>
        <w:rPr>
          <w:rFonts w:ascii="Arial" w:cs="Arial" w:eastAsia="Arial" w:hAnsi="Arial"/>
          <w:sz w:val="14"/>
          <w:szCs w:val="14"/>
          <w:color w:val="auto"/>
        </w:rPr>
        <w:t>,</w:t>
      </w:r>
    </w:p>
    <w:p>
      <w:pPr>
        <w:spacing w:after="0" w:line="4" w:lineRule="exact"/>
        <w:rPr>
          <w:sz w:val="20"/>
          <w:szCs w:val="20"/>
          <w:color w:val="auto"/>
        </w:rPr>
      </w:pPr>
    </w:p>
    <w:p>
      <w:pPr>
        <w:ind w:left="4500"/>
        <w:spacing w:after="0"/>
        <w:rPr>
          <w:sz w:val="20"/>
          <w:szCs w:val="20"/>
          <w:color w:val="auto"/>
        </w:rPr>
      </w:pPr>
      <w:r>
        <w:rPr>
          <w:rFonts w:ascii="Arial" w:cs="Arial" w:eastAsia="Arial" w:hAnsi="Arial"/>
          <w:sz w:val="14"/>
          <w:szCs w:val="14"/>
          <w:color w:val="auto"/>
        </w:rPr>
        <w:t>as a Lender</w:t>
      </w:r>
    </w:p>
    <w:p>
      <w:pPr>
        <w:spacing w:after="0" w:line="273" w:lineRule="exact"/>
        <w:rPr>
          <w:sz w:val="20"/>
          <w:szCs w:val="20"/>
          <w:color w:val="auto"/>
        </w:rPr>
      </w:pPr>
    </w:p>
    <w:p>
      <w:pPr>
        <w:ind w:left="4500"/>
        <w:spacing w:after="0"/>
        <w:tabs>
          <w:tab w:leader="none" w:pos="4960" w:val="left"/>
        </w:tabs>
        <w:rPr>
          <w:sz w:val="20"/>
          <w:szCs w:val="20"/>
          <w:color w:val="auto"/>
        </w:rPr>
      </w:pPr>
      <w:r>
        <w:rPr>
          <w:rFonts w:ascii="Arial" w:cs="Arial" w:eastAsia="Arial" w:hAnsi="Arial"/>
          <w:sz w:val="14"/>
          <w:szCs w:val="14"/>
          <w:color w:val="auto"/>
        </w:rPr>
        <w:t>By:</w:t>
      </w:r>
      <w:r>
        <w:rPr>
          <w:sz w:val="20"/>
          <w:szCs w:val="20"/>
          <w:color w:val="auto"/>
        </w:rPr>
        <w:tab/>
      </w:r>
      <w:r>
        <w:rPr>
          <w:rFonts w:ascii="Arial" w:cs="Arial" w:eastAsia="Arial" w:hAnsi="Arial"/>
          <w:sz w:val="14"/>
          <w:szCs w:val="14"/>
          <w:color w:val="auto"/>
        </w:rPr>
        <w:t>/s/ Michael King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3159760</wp:posOffset>
            </wp:positionH>
            <wp:positionV relativeFrom="paragraph">
              <wp:posOffset>3810</wp:posOffset>
            </wp:positionV>
            <wp:extent cx="3265805" cy="825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3265805" cy="8255"/>
                    </a:xfrm>
                    <a:prstGeom prst="rect">
                      <a:avLst/>
                    </a:prstGeom>
                    <a:noFill/>
                  </pic:spPr>
                </pic:pic>
              </a:graphicData>
            </a:graphic>
          </wp:anchor>
        </w:drawing>
      </w:r>
    </w:p>
    <w:p>
      <w:pPr>
        <w:ind w:left="4500"/>
        <w:spacing w:after="0"/>
        <w:rPr>
          <w:sz w:val="20"/>
          <w:szCs w:val="20"/>
          <w:color w:val="auto"/>
        </w:rPr>
      </w:pPr>
      <w:r>
        <w:rPr>
          <w:rFonts w:ascii="Arial" w:cs="Arial" w:eastAsia="Arial" w:hAnsi="Arial"/>
          <w:sz w:val="14"/>
          <w:szCs w:val="14"/>
          <w:color w:val="auto"/>
        </w:rPr>
        <w:t>Name: Michael King</w:t>
      </w:r>
    </w:p>
    <w:p>
      <w:pPr>
        <w:ind w:left="4500"/>
        <w:spacing w:after="0"/>
        <w:tabs>
          <w:tab w:leader="none" w:pos="4920" w:val="left"/>
        </w:tabs>
        <w:rPr>
          <w:sz w:val="20"/>
          <w:szCs w:val="20"/>
          <w:color w:val="auto"/>
        </w:rPr>
      </w:pPr>
      <w:r>
        <w:rPr>
          <w:rFonts w:ascii="Arial" w:cs="Arial" w:eastAsia="Arial" w:hAnsi="Arial"/>
          <w:sz w:val="14"/>
          <w:szCs w:val="14"/>
          <w:color w:val="auto"/>
        </w:rPr>
        <w:t>Title:</w:t>
      </w:r>
      <w:r>
        <w:rPr>
          <w:sz w:val="20"/>
          <w:szCs w:val="20"/>
          <w:color w:val="auto"/>
        </w:rPr>
        <w:tab/>
      </w:r>
      <w:r>
        <w:rPr>
          <w:rFonts w:ascii="Arial" w:cs="Arial" w:eastAsia="Arial" w:hAnsi="Arial"/>
          <w:sz w:val="13"/>
          <w:szCs w:val="13"/>
          <w:color w:val="auto"/>
        </w:rPr>
        <w:t>Authorized Signatory</w:t>
      </w:r>
    </w:p>
    <w:p>
      <w:pPr>
        <w:spacing w:after="0" w:line="273" w:lineRule="exact"/>
        <w:rPr>
          <w:sz w:val="20"/>
          <w:szCs w:val="20"/>
          <w:color w:val="auto"/>
        </w:rPr>
      </w:pPr>
    </w:p>
    <w:p>
      <w:pPr>
        <w:ind w:left="2860"/>
        <w:spacing w:after="0"/>
        <w:rPr>
          <w:sz w:val="20"/>
          <w:szCs w:val="20"/>
          <w:color w:val="auto"/>
        </w:rPr>
      </w:pPr>
      <w:r>
        <w:rPr>
          <w:rFonts w:ascii="Arial" w:cs="Arial" w:eastAsia="Arial" w:hAnsi="Arial"/>
          <w:sz w:val="14"/>
          <w:szCs w:val="14"/>
          <w:color w:val="auto"/>
        </w:rPr>
        <w:t>[SIGNATURES CONTINUE ON FOLLOWING PAGE]</w:t>
      </w:r>
    </w:p>
    <w:p>
      <w:pPr>
        <w:spacing w:after="0" w:line="200" w:lineRule="exact"/>
        <w:rPr>
          <w:sz w:val="20"/>
          <w:szCs w:val="20"/>
          <w:color w:val="auto"/>
        </w:rPr>
      </w:pPr>
    </w:p>
    <w:p>
      <w:pPr>
        <w:spacing w:after="0" w:line="200" w:lineRule="exact"/>
        <w:rPr>
          <w:sz w:val="20"/>
          <w:szCs w:val="20"/>
          <w:color w:val="auto"/>
        </w:rPr>
      </w:pPr>
    </w:p>
    <w:p>
      <w:pPr>
        <w:spacing w:after="0" w:line="384" w:lineRule="exact"/>
        <w:rPr>
          <w:sz w:val="20"/>
          <w:szCs w:val="20"/>
          <w:color w:val="auto"/>
        </w:rPr>
      </w:pPr>
    </w:p>
    <w:p>
      <w:pPr>
        <w:jc w:val="right"/>
        <w:spacing w:after="0"/>
        <w:rPr>
          <w:sz w:val="20"/>
          <w:szCs w:val="20"/>
          <w:color w:val="auto"/>
        </w:rPr>
      </w:pPr>
      <w:r>
        <w:rPr>
          <w:rFonts w:ascii="Arial" w:cs="Arial" w:eastAsia="Arial" w:hAnsi="Arial"/>
          <w:sz w:val="14"/>
          <w:szCs w:val="14"/>
          <w:color w:val="auto"/>
        </w:rPr>
        <w:t>Signature Page to First Omnibus Amendment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209550</wp:posOffset>
            </wp:positionV>
            <wp:extent cx="7149465" cy="1714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0120"/>
          </w:cols>
          <w:pgMar w:left="1440" w:top="265" w:right="339" w:bottom="1440" w:gutter="0" w:footer="0" w:header="0"/>
        </w:sectPr>
      </w:pPr>
    </w:p>
    <w:bookmarkStart w:id="46" w:name="page47"/>
    <w:bookmarkEnd w:id="46"/>
    <w:p>
      <w:pPr>
        <w:ind w:left="4500"/>
        <w:spacing w:after="0"/>
        <w:rPr>
          <w:sz w:val="20"/>
          <w:szCs w:val="20"/>
          <w:color w:val="auto"/>
        </w:rPr>
      </w:pPr>
      <w:r>
        <w:rPr>
          <w:rFonts w:ascii="Arial" w:cs="Arial" w:eastAsia="Arial" w:hAnsi="Arial"/>
          <w:sz w:val="14"/>
          <w:szCs w:val="14"/>
          <w:b w:val="1"/>
          <w:bCs w:val="1"/>
          <w:color w:val="auto"/>
        </w:rPr>
        <w:t>ING CAPITAL LLC,</w:t>
      </w:r>
    </w:p>
    <w:p>
      <w:pPr>
        <w:spacing w:after="0" w:line="4" w:lineRule="exact"/>
        <w:rPr>
          <w:sz w:val="20"/>
          <w:szCs w:val="20"/>
          <w:color w:val="auto"/>
        </w:rPr>
      </w:pPr>
    </w:p>
    <w:p>
      <w:pPr>
        <w:ind w:left="4500"/>
        <w:spacing w:after="0"/>
        <w:rPr>
          <w:sz w:val="20"/>
          <w:szCs w:val="20"/>
          <w:color w:val="auto"/>
        </w:rPr>
      </w:pPr>
      <w:r>
        <w:rPr>
          <w:rFonts w:ascii="Arial" w:cs="Arial" w:eastAsia="Arial" w:hAnsi="Arial"/>
          <w:sz w:val="14"/>
          <w:szCs w:val="14"/>
          <w:color w:val="auto"/>
        </w:rPr>
        <w:t>as a Lender</w:t>
      </w:r>
    </w:p>
    <w:p>
      <w:pPr>
        <w:spacing w:after="0" w:line="273" w:lineRule="exact"/>
        <w:rPr>
          <w:sz w:val="20"/>
          <w:szCs w:val="20"/>
          <w:color w:val="auto"/>
        </w:rPr>
      </w:pPr>
    </w:p>
    <w:p>
      <w:pPr>
        <w:ind w:left="4500"/>
        <w:spacing w:after="0"/>
        <w:tabs>
          <w:tab w:leader="none" w:pos="4960" w:val="left"/>
        </w:tabs>
        <w:rPr>
          <w:sz w:val="20"/>
          <w:szCs w:val="20"/>
          <w:color w:val="auto"/>
        </w:rPr>
      </w:pPr>
      <w:r>
        <w:rPr>
          <w:rFonts w:ascii="Arial" w:cs="Arial" w:eastAsia="Arial" w:hAnsi="Arial"/>
          <w:sz w:val="14"/>
          <w:szCs w:val="14"/>
          <w:color w:val="auto"/>
        </w:rPr>
        <w:t>By:</w:t>
      </w:r>
      <w:r>
        <w:rPr>
          <w:sz w:val="20"/>
          <w:szCs w:val="20"/>
          <w:color w:val="auto"/>
        </w:rPr>
        <w:tab/>
      </w:r>
      <w:r>
        <w:rPr>
          <w:rFonts w:ascii="Arial" w:cs="Arial" w:eastAsia="Arial" w:hAnsi="Arial"/>
          <w:sz w:val="14"/>
          <w:szCs w:val="14"/>
          <w:color w:val="auto"/>
        </w:rPr>
        <w:t>/s/ Patrick Frisch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3159760</wp:posOffset>
            </wp:positionH>
            <wp:positionV relativeFrom="paragraph">
              <wp:posOffset>3810</wp:posOffset>
            </wp:positionV>
            <wp:extent cx="3265805" cy="825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3265805" cy="8255"/>
                    </a:xfrm>
                    <a:prstGeom prst="rect">
                      <a:avLst/>
                    </a:prstGeom>
                    <a:noFill/>
                  </pic:spPr>
                </pic:pic>
              </a:graphicData>
            </a:graphic>
          </wp:anchor>
        </w:drawing>
      </w:r>
    </w:p>
    <w:p>
      <w:pPr>
        <w:ind w:left="4500"/>
        <w:spacing w:after="0"/>
        <w:rPr>
          <w:sz w:val="20"/>
          <w:szCs w:val="20"/>
          <w:color w:val="auto"/>
        </w:rPr>
      </w:pPr>
      <w:r>
        <w:rPr>
          <w:rFonts w:ascii="Arial" w:cs="Arial" w:eastAsia="Arial" w:hAnsi="Arial"/>
          <w:sz w:val="14"/>
          <w:szCs w:val="14"/>
          <w:color w:val="auto"/>
        </w:rPr>
        <w:t>Name: Patrick Frisch, CFA</w:t>
      </w:r>
    </w:p>
    <w:p>
      <w:pPr>
        <w:jc w:val="center"/>
        <w:ind w:left="1540"/>
        <w:spacing w:after="0"/>
        <w:tabs>
          <w:tab w:leader="none" w:pos="120" w:val="left"/>
        </w:tabs>
        <w:rPr>
          <w:sz w:val="20"/>
          <w:szCs w:val="20"/>
          <w:color w:val="auto"/>
        </w:rPr>
      </w:pPr>
      <w:r>
        <w:rPr>
          <w:rFonts w:ascii="Arial" w:cs="Arial" w:eastAsia="Arial" w:hAnsi="Arial"/>
          <w:sz w:val="14"/>
          <w:szCs w:val="14"/>
          <w:color w:val="auto"/>
        </w:rPr>
        <w:t>Title:</w:t>
      </w:r>
      <w:r>
        <w:rPr>
          <w:sz w:val="20"/>
          <w:szCs w:val="20"/>
          <w:color w:val="auto"/>
        </w:rPr>
        <w:tab/>
      </w:r>
      <w:r>
        <w:rPr>
          <w:rFonts w:ascii="Arial" w:cs="Arial" w:eastAsia="Arial" w:hAnsi="Arial"/>
          <w:sz w:val="13"/>
          <w:szCs w:val="13"/>
          <w:color w:val="auto"/>
        </w:rPr>
        <w:t>Managing Director</w:t>
      </w:r>
    </w:p>
    <w:p>
      <w:pPr>
        <w:spacing w:after="0" w:line="273" w:lineRule="exact"/>
        <w:rPr>
          <w:sz w:val="20"/>
          <w:szCs w:val="20"/>
          <w:color w:val="auto"/>
        </w:rPr>
      </w:pPr>
    </w:p>
    <w:p>
      <w:pPr>
        <w:ind w:left="4500"/>
        <w:spacing w:after="0"/>
        <w:tabs>
          <w:tab w:leader="none" w:pos="4960" w:val="left"/>
        </w:tabs>
        <w:rPr>
          <w:sz w:val="20"/>
          <w:szCs w:val="20"/>
          <w:color w:val="auto"/>
        </w:rPr>
      </w:pPr>
      <w:r>
        <w:rPr>
          <w:rFonts w:ascii="Arial" w:cs="Arial" w:eastAsia="Arial" w:hAnsi="Arial"/>
          <w:sz w:val="14"/>
          <w:szCs w:val="14"/>
          <w:color w:val="auto"/>
        </w:rPr>
        <w:t>By:</w:t>
      </w:r>
      <w:r>
        <w:rPr>
          <w:sz w:val="20"/>
          <w:szCs w:val="20"/>
          <w:color w:val="auto"/>
        </w:rPr>
        <w:tab/>
      </w:r>
      <w:r>
        <w:rPr>
          <w:rFonts w:ascii="Arial" w:cs="Arial" w:eastAsia="Arial" w:hAnsi="Arial"/>
          <w:sz w:val="14"/>
          <w:szCs w:val="14"/>
          <w:color w:val="auto"/>
        </w:rPr>
        <w:t>/s/ Dina T. Kook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3159760</wp:posOffset>
            </wp:positionH>
            <wp:positionV relativeFrom="paragraph">
              <wp:posOffset>3810</wp:posOffset>
            </wp:positionV>
            <wp:extent cx="3265805" cy="825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3265805" cy="8255"/>
                    </a:xfrm>
                    <a:prstGeom prst="rect">
                      <a:avLst/>
                    </a:prstGeom>
                    <a:noFill/>
                  </pic:spPr>
                </pic:pic>
              </a:graphicData>
            </a:graphic>
          </wp:anchor>
        </w:drawing>
      </w:r>
    </w:p>
    <w:p>
      <w:pPr>
        <w:ind w:left="4500"/>
        <w:spacing w:after="0"/>
        <w:rPr>
          <w:sz w:val="20"/>
          <w:szCs w:val="20"/>
          <w:color w:val="auto"/>
        </w:rPr>
      </w:pPr>
      <w:r>
        <w:rPr>
          <w:rFonts w:ascii="Arial" w:cs="Arial" w:eastAsia="Arial" w:hAnsi="Arial"/>
          <w:sz w:val="14"/>
          <w:szCs w:val="14"/>
          <w:color w:val="auto"/>
        </w:rPr>
        <w:t>Name: Dina T. Kook, CFA</w:t>
      </w:r>
    </w:p>
    <w:p>
      <w:pPr>
        <w:jc w:val="center"/>
        <w:ind w:right="-159"/>
        <w:spacing w:after="0"/>
        <w:tabs>
          <w:tab w:leader="none" w:pos="120" w:val="left"/>
        </w:tabs>
        <w:rPr>
          <w:sz w:val="20"/>
          <w:szCs w:val="20"/>
          <w:color w:val="auto"/>
        </w:rPr>
      </w:pPr>
      <w:r>
        <w:rPr>
          <w:rFonts w:ascii="Arial" w:cs="Arial" w:eastAsia="Arial" w:hAnsi="Arial"/>
          <w:sz w:val="14"/>
          <w:szCs w:val="14"/>
          <w:color w:val="auto"/>
        </w:rPr>
        <w:t>Title:</w:t>
      </w:r>
      <w:r>
        <w:rPr>
          <w:sz w:val="20"/>
          <w:szCs w:val="20"/>
          <w:color w:val="auto"/>
        </w:rPr>
        <w:tab/>
      </w:r>
      <w:r>
        <w:rPr>
          <w:rFonts w:ascii="Arial" w:cs="Arial" w:eastAsia="Arial" w:hAnsi="Arial"/>
          <w:sz w:val="12"/>
          <w:szCs w:val="12"/>
          <w:color w:val="auto"/>
        </w:rPr>
        <w:t>Vice President</w:t>
      </w:r>
    </w:p>
    <w:p>
      <w:pPr>
        <w:spacing w:after="0" w:line="273" w:lineRule="exact"/>
        <w:rPr>
          <w:sz w:val="20"/>
          <w:szCs w:val="20"/>
          <w:color w:val="auto"/>
        </w:rPr>
      </w:pPr>
    </w:p>
    <w:p>
      <w:pPr>
        <w:ind w:left="2860"/>
        <w:spacing w:after="0"/>
        <w:rPr>
          <w:sz w:val="20"/>
          <w:szCs w:val="20"/>
          <w:color w:val="auto"/>
        </w:rPr>
      </w:pPr>
      <w:r>
        <w:rPr>
          <w:rFonts w:ascii="Arial" w:cs="Arial" w:eastAsia="Arial" w:hAnsi="Arial"/>
          <w:sz w:val="14"/>
          <w:szCs w:val="14"/>
          <w:color w:val="auto"/>
        </w:rPr>
        <w:t>[SIGNATURES CONTINUE ON FOLLOWING PAGE]</w:t>
      </w:r>
    </w:p>
    <w:p>
      <w:pPr>
        <w:spacing w:after="0" w:line="200" w:lineRule="exact"/>
        <w:rPr>
          <w:sz w:val="20"/>
          <w:szCs w:val="20"/>
          <w:color w:val="auto"/>
        </w:rPr>
      </w:pPr>
    </w:p>
    <w:p>
      <w:pPr>
        <w:spacing w:after="0" w:line="200" w:lineRule="exact"/>
        <w:rPr>
          <w:sz w:val="20"/>
          <w:szCs w:val="20"/>
          <w:color w:val="auto"/>
        </w:rPr>
      </w:pPr>
    </w:p>
    <w:p>
      <w:pPr>
        <w:spacing w:after="0" w:line="384" w:lineRule="exact"/>
        <w:rPr>
          <w:sz w:val="20"/>
          <w:szCs w:val="20"/>
          <w:color w:val="auto"/>
        </w:rPr>
      </w:pPr>
    </w:p>
    <w:p>
      <w:pPr>
        <w:jc w:val="right"/>
        <w:spacing w:after="0"/>
        <w:rPr>
          <w:sz w:val="20"/>
          <w:szCs w:val="20"/>
          <w:color w:val="auto"/>
        </w:rPr>
      </w:pPr>
      <w:r>
        <w:rPr>
          <w:rFonts w:ascii="Arial" w:cs="Arial" w:eastAsia="Arial" w:hAnsi="Arial"/>
          <w:sz w:val="14"/>
          <w:szCs w:val="14"/>
          <w:color w:val="auto"/>
        </w:rPr>
        <w:t>Signature Page to First Omnibus Amendment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209550</wp:posOffset>
            </wp:positionV>
            <wp:extent cx="7149465" cy="1714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0120"/>
          </w:cols>
          <w:pgMar w:left="1440" w:top="265" w:right="339" w:bottom="1440" w:gutter="0" w:footer="0" w:header="0"/>
        </w:sectPr>
      </w:pPr>
    </w:p>
    <w:bookmarkStart w:id="47" w:name="page48"/>
    <w:bookmarkEnd w:id="47"/>
    <w:p>
      <w:pPr>
        <w:ind w:left="4500"/>
        <w:spacing w:after="0"/>
        <w:rPr>
          <w:sz w:val="20"/>
          <w:szCs w:val="20"/>
          <w:color w:val="auto"/>
        </w:rPr>
      </w:pPr>
      <w:r>
        <w:rPr>
          <w:rFonts w:ascii="Arial" w:cs="Arial" w:eastAsia="Arial" w:hAnsi="Arial"/>
          <w:sz w:val="14"/>
          <w:szCs w:val="14"/>
          <w:b w:val="1"/>
          <w:bCs w:val="1"/>
          <w:color w:val="auto"/>
        </w:rPr>
        <w:t>STATE STREET AND TRUST COMPANY</w:t>
      </w:r>
      <w:r>
        <w:rPr>
          <w:rFonts w:ascii="Arial" w:cs="Arial" w:eastAsia="Arial" w:hAnsi="Arial"/>
          <w:sz w:val="14"/>
          <w:szCs w:val="14"/>
          <w:color w:val="auto"/>
        </w:rPr>
        <w:t>,</w:t>
      </w:r>
    </w:p>
    <w:p>
      <w:pPr>
        <w:spacing w:after="0" w:line="4" w:lineRule="exact"/>
        <w:rPr>
          <w:sz w:val="20"/>
          <w:szCs w:val="20"/>
          <w:color w:val="auto"/>
        </w:rPr>
      </w:pPr>
    </w:p>
    <w:p>
      <w:pPr>
        <w:ind w:left="4500"/>
        <w:spacing w:after="0"/>
        <w:rPr>
          <w:sz w:val="20"/>
          <w:szCs w:val="20"/>
          <w:color w:val="auto"/>
        </w:rPr>
      </w:pPr>
      <w:r>
        <w:rPr>
          <w:rFonts w:ascii="Arial" w:cs="Arial" w:eastAsia="Arial" w:hAnsi="Arial"/>
          <w:sz w:val="14"/>
          <w:szCs w:val="14"/>
          <w:color w:val="auto"/>
        </w:rPr>
        <w:t>as a Lender</w:t>
      </w:r>
    </w:p>
    <w:p>
      <w:pPr>
        <w:spacing w:after="0" w:line="273" w:lineRule="exact"/>
        <w:rPr>
          <w:sz w:val="20"/>
          <w:szCs w:val="20"/>
          <w:color w:val="auto"/>
        </w:rPr>
      </w:pPr>
    </w:p>
    <w:p>
      <w:pPr>
        <w:ind w:left="4500"/>
        <w:spacing w:after="0"/>
        <w:tabs>
          <w:tab w:leader="none" w:pos="4960" w:val="left"/>
        </w:tabs>
        <w:rPr>
          <w:sz w:val="20"/>
          <w:szCs w:val="20"/>
          <w:color w:val="auto"/>
        </w:rPr>
      </w:pPr>
      <w:r>
        <w:rPr>
          <w:rFonts w:ascii="Arial" w:cs="Arial" w:eastAsia="Arial" w:hAnsi="Arial"/>
          <w:sz w:val="14"/>
          <w:szCs w:val="14"/>
          <w:color w:val="auto"/>
        </w:rPr>
        <w:t>By:</w:t>
      </w:r>
      <w:r>
        <w:rPr>
          <w:sz w:val="20"/>
          <w:szCs w:val="20"/>
          <w:color w:val="auto"/>
        </w:rPr>
        <w:tab/>
      </w:r>
      <w:r>
        <w:rPr>
          <w:rFonts w:ascii="Arial" w:cs="Arial" w:eastAsia="Arial" w:hAnsi="Arial"/>
          <w:sz w:val="14"/>
          <w:szCs w:val="14"/>
          <w:color w:val="auto"/>
        </w:rPr>
        <w:t>/s/ Janet B. Nolin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3159760</wp:posOffset>
            </wp:positionH>
            <wp:positionV relativeFrom="paragraph">
              <wp:posOffset>3810</wp:posOffset>
            </wp:positionV>
            <wp:extent cx="3265805" cy="825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3265805" cy="8255"/>
                    </a:xfrm>
                    <a:prstGeom prst="rect">
                      <a:avLst/>
                    </a:prstGeom>
                    <a:noFill/>
                  </pic:spPr>
                </pic:pic>
              </a:graphicData>
            </a:graphic>
          </wp:anchor>
        </w:drawing>
      </w:r>
    </w:p>
    <w:p>
      <w:pPr>
        <w:ind w:left="4500"/>
        <w:spacing w:after="0"/>
        <w:rPr>
          <w:sz w:val="20"/>
          <w:szCs w:val="20"/>
          <w:color w:val="auto"/>
        </w:rPr>
      </w:pPr>
      <w:r>
        <w:rPr>
          <w:rFonts w:ascii="Arial" w:cs="Arial" w:eastAsia="Arial" w:hAnsi="Arial"/>
          <w:sz w:val="14"/>
          <w:szCs w:val="14"/>
          <w:color w:val="auto"/>
        </w:rPr>
        <w:t>Name: Janet B. Nolin</w:t>
      </w:r>
    </w:p>
    <w:p>
      <w:pPr>
        <w:jc w:val="center"/>
        <w:ind w:right="-159"/>
        <w:spacing w:after="0"/>
        <w:tabs>
          <w:tab w:leader="none" w:pos="120" w:val="left"/>
        </w:tabs>
        <w:rPr>
          <w:sz w:val="20"/>
          <w:szCs w:val="20"/>
          <w:color w:val="auto"/>
        </w:rPr>
      </w:pPr>
      <w:r>
        <w:rPr>
          <w:rFonts w:ascii="Arial" w:cs="Arial" w:eastAsia="Arial" w:hAnsi="Arial"/>
          <w:sz w:val="14"/>
          <w:szCs w:val="14"/>
          <w:color w:val="auto"/>
        </w:rPr>
        <w:t>Title:</w:t>
      </w:r>
      <w:r>
        <w:rPr>
          <w:sz w:val="20"/>
          <w:szCs w:val="20"/>
          <w:color w:val="auto"/>
        </w:rPr>
        <w:tab/>
      </w:r>
      <w:r>
        <w:rPr>
          <w:rFonts w:ascii="Arial" w:cs="Arial" w:eastAsia="Arial" w:hAnsi="Arial"/>
          <w:sz w:val="12"/>
          <w:szCs w:val="12"/>
          <w:color w:val="auto"/>
        </w:rPr>
        <w:t>Vice President</w:t>
      </w:r>
    </w:p>
    <w:p>
      <w:pPr>
        <w:spacing w:after="0" w:line="273" w:lineRule="exact"/>
        <w:rPr>
          <w:sz w:val="20"/>
          <w:szCs w:val="20"/>
          <w:color w:val="auto"/>
        </w:rPr>
      </w:pPr>
    </w:p>
    <w:p>
      <w:pPr>
        <w:ind w:left="2860"/>
        <w:spacing w:after="0"/>
        <w:rPr>
          <w:sz w:val="20"/>
          <w:szCs w:val="20"/>
          <w:color w:val="auto"/>
        </w:rPr>
      </w:pPr>
      <w:r>
        <w:rPr>
          <w:rFonts w:ascii="Arial" w:cs="Arial" w:eastAsia="Arial" w:hAnsi="Arial"/>
          <w:sz w:val="14"/>
          <w:szCs w:val="14"/>
          <w:color w:val="auto"/>
        </w:rPr>
        <w:t>[SIGNATURES CONTINUE ON FOLLOWING PAGE]</w:t>
      </w:r>
    </w:p>
    <w:p>
      <w:pPr>
        <w:spacing w:after="0" w:line="200" w:lineRule="exact"/>
        <w:rPr>
          <w:sz w:val="20"/>
          <w:szCs w:val="20"/>
          <w:color w:val="auto"/>
        </w:rPr>
      </w:pPr>
    </w:p>
    <w:p>
      <w:pPr>
        <w:spacing w:after="0" w:line="200" w:lineRule="exact"/>
        <w:rPr>
          <w:sz w:val="20"/>
          <w:szCs w:val="20"/>
          <w:color w:val="auto"/>
        </w:rPr>
      </w:pPr>
    </w:p>
    <w:p>
      <w:pPr>
        <w:spacing w:after="0" w:line="384" w:lineRule="exact"/>
        <w:rPr>
          <w:sz w:val="20"/>
          <w:szCs w:val="20"/>
          <w:color w:val="auto"/>
        </w:rPr>
      </w:pPr>
    </w:p>
    <w:p>
      <w:pPr>
        <w:jc w:val="right"/>
        <w:spacing w:after="0"/>
        <w:rPr>
          <w:sz w:val="20"/>
          <w:szCs w:val="20"/>
          <w:color w:val="auto"/>
        </w:rPr>
      </w:pPr>
      <w:r>
        <w:rPr>
          <w:rFonts w:ascii="Arial" w:cs="Arial" w:eastAsia="Arial" w:hAnsi="Arial"/>
          <w:sz w:val="14"/>
          <w:szCs w:val="14"/>
          <w:color w:val="auto"/>
        </w:rPr>
        <w:t>Signature Page to First Omnibus Amendment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209550</wp:posOffset>
            </wp:positionV>
            <wp:extent cx="7149465" cy="1714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0120"/>
          </w:cols>
          <w:pgMar w:left="1440" w:top="265" w:right="339" w:bottom="1440" w:gutter="0" w:footer="0" w:header="0"/>
        </w:sectPr>
      </w:pPr>
    </w:p>
    <w:bookmarkStart w:id="48" w:name="page49"/>
    <w:bookmarkEnd w:id="48"/>
    <w:p>
      <w:pPr>
        <w:ind w:left="4500"/>
        <w:spacing w:after="0"/>
        <w:rPr>
          <w:sz w:val="20"/>
          <w:szCs w:val="20"/>
          <w:color w:val="auto"/>
        </w:rPr>
      </w:pPr>
      <w:r>
        <w:rPr>
          <w:rFonts w:ascii="Arial" w:cs="Arial" w:eastAsia="Arial" w:hAnsi="Arial"/>
          <w:sz w:val="14"/>
          <w:szCs w:val="14"/>
          <w:b w:val="1"/>
          <w:bCs w:val="1"/>
          <w:color w:val="auto"/>
        </w:rPr>
        <w:t>GOLDMAN SACHS BANK USA</w:t>
      </w:r>
      <w:r>
        <w:rPr>
          <w:rFonts w:ascii="Arial" w:cs="Arial" w:eastAsia="Arial" w:hAnsi="Arial"/>
          <w:sz w:val="14"/>
          <w:szCs w:val="14"/>
          <w:color w:val="auto"/>
        </w:rPr>
        <w:t>,</w:t>
      </w:r>
    </w:p>
    <w:p>
      <w:pPr>
        <w:spacing w:after="0" w:line="4" w:lineRule="exact"/>
        <w:rPr>
          <w:sz w:val="20"/>
          <w:szCs w:val="20"/>
          <w:color w:val="auto"/>
        </w:rPr>
      </w:pPr>
    </w:p>
    <w:p>
      <w:pPr>
        <w:ind w:left="4500"/>
        <w:spacing w:after="0"/>
        <w:rPr>
          <w:sz w:val="20"/>
          <w:szCs w:val="20"/>
          <w:color w:val="auto"/>
        </w:rPr>
      </w:pPr>
      <w:r>
        <w:rPr>
          <w:rFonts w:ascii="Arial" w:cs="Arial" w:eastAsia="Arial" w:hAnsi="Arial"/>
          <w:sz w:val="14"/>
          <w:szCs w:val="14"/>
          <w:color w:val="auto"/>
        </w:rPr>
        <w:t>as a Lender</w:t>
      </w:r>
    </w:p>
    <w:p>
      <w:pPr>
        <w:spacing w:after="0" w:line="273" w:lineRule="exact"/>
        <w:rPr>
          <w:sz w:val="20"/>
          <w:szCs w:val="20"/>
          <w:color w:val="auto"/>
        </w:rPr>
      </w:pPr>
    </w:p>
    <w:p>
      <w:pPr>
        <w:ind w:left="4500"/>
        <w:spacing w:after="0"/>
        <w:tabs>
          <w:tab w:leader="none" w:pos="4960" w:val="left"/>
        </w:tabs>
        <w:rPr>
          <w:sz w:val="20"/>
          <w:szCs w:val="20"/>
          <w:color w:val="auto"/>
        </w:rPr>
      </w:pPr>
      <w:r>
        <w:rPr>
          <w:rFonts w:ascii="Arial" w:cs="Arial" w:eastAsia="Arial" w:hAnsi="Arial"/>
          <w:sz w:val="14"/>
          <w:szCs w:val="14"/>
          <w:color w:val="auto"/>
        </w:rPr>
        <w:t>By:</w:t>
      </w:r>
      <w:r>
        <w:rPr>
          <w:sz w:val="20"/>
          <w:szCs w:val="20"/>
          <w:color w:val="auto"/>
        </w:rPr>
        <w:tab/>
      </w:r>
      <w:r>
        <w:rPr>
          <w:rFonts w:ascii="Arial" w:cs="Arial" w:eastAsia="Arial" w:hAnsi="Arial"/>
          <w:sz w:val="14"/>
          <w:szCs w:val="14"/>
          <w:color w:val="auto"/>
        </w:rPr>
        <w:t>/s/ Ryan Durkin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3159760</wp:posOffset>
            </wp:positionH>
            <wp:positionV relativeFrom="paragraph">
              <wp:posOffset>3810</wp:posOffset>
            </wp:positionV>
            <wp:extent cx="3265805" cy="825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3265805" cy="8255"/>
                    </a:xfrm>
                    <a:prstGeom prst="rect">
                      <a:avLst/>
                    </a:prstGeom>
                    <a:noFill/>
                  </pic:spPr>
                </pic:pic>
              </a:graphicData>
            </a:graphic>
          </wp:anchor>
        </w:drawing>
      </w:r>
    </w:p>
    <w:p>
      <w:pPr>
        <w:ind w:left="4500"/>
        <w:spacing w:after="0"/>
        <w:rPr>
          <w:sz w:val="20"/>
          <w:szCs w:val="20"/>
          <w:color w:val="auto"/>
        </w:rPr>
      </w:pPr>
      <w:r>
        <w:rPr>
          <w:rFonts w:ascii="Arial" w:cs="Arial" w:eastAsia="Arial" w:hAnsi="Arial"/>
          <w:sz w:val="14"/>
          <w:szCs w:val="14"/>
          <w:color w:val="auto"/>
        </w:rPr>
        <w:t>Name: Ryan Durkin</w:t>
      </w:r>
    </w:p>
    <w:p>
      <w:pPr>
        <w:ind w:left="4500"/>
        <w:spacing w:after="0"/>
        <w:tabs>
          <w:tab w:leader="none" w:pos="4920" w:val="left"/>
        </w:tabs>
        <w:rPr>
          <w:sz w:val="20"/>
          <w:szCs w:val="20"/>
          <w:color w:val="auto"/>
        </w:rPr>
      </w:pPr>
      <w:r>
        <w:rPr>
          <w:rFonts w:ascii="Arial" w:cs="Arial" w:eastAsia="Arial" w:hAnsi="Arial"/>
          <w:sz w:val="14"/>
          <w:szCs w:val="14"/>
          <w:color w:val="auto"/>
        </w:rPr>
        <w:t>Title:</w:t>
      </w:r>
      <w:r>
        <w:rPr>
          <w:sz w:val="20"/>
          <w:szCs w:val="20"/>
          <w:color w:val="auto"/>
        </w:rPr>
        <w:tab/>
      </w:r>
      <w:r>
        <w:rPr>
          <w:rFonts w:ascii="Arial" w:cs="Arial" w:eastAsia="Arial" w:hAnsi="Arial"/>
          <w:sz w:val="13"/>
          <w:szCs w:val="13"/>
          <w:color w:val="auto"/>
        </w:rPr>
        <w:t>Authorized Signatory</w:t>
      </w:r>
    </w:p>
    <w:p>
      <w:pPr>
        <w:spacing w:after="0" w:line="273" w:lineRule="exact"/>
        <w:rPr>
          <w:sz w:val="20"/>
          <w:szCs w:val="20"/>
          <w:color w:val="auto"/>
        </w:rPr>
      </w:pPr>
    </w:p>
    <w:p>
      <w:pPr>
        <w:ind w:left="2860"/>
        <w:spacing w:after="0"/>
        <w:rPr>
          <w:sz w:val="20"/>
          <w:szCs w:val="20"/>
          <w:color w:val="auto"/>
        </w:rPr>
      </w:pPr>
      <w:r>
        <w:rPr>
          <w:rFonts w:ascii="Arial" w:cs="Arial" w:eastAsia="Arial" w:hAnsi="Arial"/>
          <w:sz w:val="14"/>
          <w:szCs w:val="14"/>
          <w:color w:val="auto"/>
        </w:rPr>
        <w:t>[SIGNATURES CONTINUE ON FOLLOWING PAGE]</w:t>
      </w:r>
    </w:p>
    <w:p>
      <w:pPr>
        <w:spacing w:after="0" w:line="200" w:lineRule="exact"/>
        <w:rPr>
          <w:sz w:val="20"/>
          <w:szCs w:val="20"/>
          <w:color w:val="auto"/>
        </w:rPr>
      </w:pPr>
    </w:p>
    <w:p>
      <w:pPr>
        <w:spacing w:after="0" w:line="200" w:lineRule="exact"/>
        <w:rPr>
          <w:sz w:val="20"/>
          <w:szCs w:val="20"/>
          <w:color w:val="auto"/>
        </w:rPr>
      </w:pPr>
    </w:p>
    <w:p>
      <w:pPr>
        <w:spacing w:after="0" w:line="384" w:lineRule="exact"/>
        <w:rPr>
          <w:sz w:val="20"/>
          <w:szCs w:val="20"/>
          <w:color w:val="auto"/>
        </w:rPr>
      </w:pPr>
    </w:p>
    <w:p>
      <w:pPr>
        <w:jc w:val="right"/>
        <w:spacing w:after="0"/>
        <w:rPr>
          <w:sz w:val="20"/>
          <w:szCs w:val="20"/>
          <w:color w:val="auto"/>
        </w:rPr>
      </w:pPr>
      <w:r>
        <w:rPr>
          <w:rFonts w:ascii="Arial" w:cs="Arial" w:eastAsia="Arial" w:hAnsi="Arial"/>
          <w:sz w:val="14"/>
          <w:szCs w:val="14"/>
          <w:color w:val="auto"/>
        </w:rPr>
        <w:t>Signature Page to First Omnibus Amendment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209550</wp:posOffset>
            </wp:positionV>
            <wp:extent cx="7149465" cy="1714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0120"/>
          </w:cols>
          <w:pgMar w:left="1440" w:top="265" w:right="339" w:bottom="1440" w:gutter="0" w:footer="0" w:header="0"/>
        </w:sectPr>
      </w:pPr>
    </w:p>
    <w:bookmarkStart w:id="49" w:name="page50"/>
    <w:bookmarkEnd w:id="49"/>
    <w:p>
      <w:pPr>
        <w:ind w:left="4500"/>
        <w:spacing w:after="0"/>
        <w:rPr>
          <w:sz w:val="20"/>
          <w:szCs w:val="20"/>
          <w:color w:val="auto"/>
        </w:rPr>
      </w:pPr>
      <w:r>
        <w:rPr>
          <w:rFonts w:ascii="Arial" w:cs="Arial" w:eastAsia="Arial" w:hAnsi="Arial"/>
          <w:sz w:val="14"/>
          <w:szCs w:val="14"/>
          <w:b w:val="1"/>
          <w:bCs w:val="1"/>
          <w:color w:val="auto"/>
        </w:rPr>
        <w:t>CIT BANK, N.A.</w:t>
      </w:r>
      <w:r>
        <w:rPr>
          <w:rFonts w:ascii="Arial" w:cs="Arial" w:eastAsia="Arial" w:hAnsi="Arial"/>
          <w:sz w:val="14"/>
          <w:szCs w:val="14"/>
          <w:color w:val="auto"/>
        </w:rPr>
        <w:t>,</w:t>
      </w:r>
    </w:p>
    <w:p>
      <w:pPr>
        <w:spacing w:after="0" w:line="4" w:lineRule="exact"/>
        <w:rPr>
          <w:sz w:val="20"/>
          <w:szCs w:val="20"/>
          <w:color w:val="auto"/>
        </w:rPr>
      </w:pPr>
    </w:p>
    <w:p>
      <w:pPr>
        <w:ind w:left="4500"/>
        <w:spacing w:after="0"/>
        <w:rPr>
          <w:sz w:val="20"/>
          <w:szCs w:val="20"/>
          <w:color w:val="auto"/>
        </w:rPr>
      </w:pPr>
      <w:r>
        <w:rPr>
          <w:rFonts w:ascii="Arial" w:cs="Arial" w:eastAsia="Arial" w:hAnsi="Arial"/>
          <w:sz w:val="14"/>
          <w:szCs w:val="14"/>
          <w:color w:val="auto"/>
        </w:rPr>
        <w:t>as a Lender</w:t>
      </w:r>
    </w:p>
    <w:p>
      <w:pPr>
        <w:spacing w:after="0" w:line="273" w:lineRule="exact"/>
        <w:rPr>
          <w:sz w:val="20"/>
          <w:szCs w:val="20"/>
          <w:color w:val="auto"/>
        </w:rPr>
      </w:pPr>
    </w:p>
    <w:p>
      <w:pPr>
        <w:ind w:left="4500"/>
        <w:spacing w:after="0"/>
        <w:tabs>
          <w:tab w:leader="none" w:pos="4960" w:val="left"/>
        </w:tabs>
        <w:rPr>
          <w:sz w:val="20"/>
          <w:szCs w:val="20"/>
          <w:color w:val="auto"/>
        </w:rPr>
      </w:pPr>
      <w:r>
        <w:rPr>
          <w:rFonts w:ascii="Arial" w:cs="Arial" w:eastAsia="Arial" w:hAnsi="Arial"/>
          <w:sz w:val="14"/>
          <w:szCs w:val="14"/>
          <w:color w:val="auto"/>
        </w:rPr>
        <w:t>By:</w:t>
      </w:r>
      <w:r>
        <w:rPr>
          <w:sz w:val="20"/>
          <w:szCs w:val="20"/>
          <w:color w:val="auto"/>
        </w:rPr>
        <w:tab/>
      </w:r>
      <w:r>
        <w:rPr>
          <w:rFonts w:ascii="Arial" w:cs="Arial" w:eastAsia="Arial" w:hAnsi="Arial"/>
          <w:sz w:val="14"/>
          <w:szCs w:val="14"/>
          <w:color w:val="auto"/>
        </w:rPr>
        <w:t>/s/ Robert L. Klein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3159760</wp:posOffset>
            </wp:positionH>
            <wp:positionV relativeFrom="paragraph">
              <wp:posOffset>3810</wp:posOffset>
            </wp:positionV>
            <wp:extent cx="3265805" cy="825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3265805" cy="8255"/>
                    </a:xfrm>
                    <a:prstGeom prst="rect">
                      <a:avLst/>
                    </a:prstGeom>
                    <a:noFill/>
                  </pic:spPr>
                </pic:pic>
              </a:graphicData>
            </a:graphic>
          </wp:anchor>
        </w:drawing>
      </w:r>
    </w:p>
    <w:p>
      <w:pPr>
        <w:ind w:left="4500"/>
        <w:spacing w:after="0"/>
        <w:rPr>
          <w:sz w:val="20"/>
          <w:szCs w:val="20"/>
          <w:color w:val="auto"/>
        </w:rPr>
      </w:pPr>
      <w:r>
        <w:rPr>
          <w:rFonts w:ascii="Arial" w:cs="Arial" w:eastAsia="Arial" w:hAnsi="Arial"/>
          <w:sz w:val="14"/>
          <w:szCs w:val="14"/>
          <w:color w:val="auto"/>
        </w:rPr>
        <w:t>Name: Robert L. Klein</w:t>
      </w:r>
    </w:p>
    <w:p>
      <w:pPr>
        <w:jc w:val="center"/>
        <w:ind w:right="180"/>
        <w:spacing w:after="0"/>
        <w:tabs>
          <w:tab w:leader="none" w:pos="120" w:val="left"/>
        </w:tabs>
        <w:rPr>
          <w:sz w:val="20"/>
          <w:szCs w:val="20"/>
          <w:color w:val="auto"/>
        </w:rPr>
      </w:pPr>
      <w:r>
        <w:rPr>
          <w:rFonts w:ascii="Arial" w:cs="Arial" w:eastAsia="Arial" w:hAnsi="Arial"/>
          <w:sz w:val="14"/>
          <w:szCs w:val="14"/>
          <w:color w:val="auto"/>
        </w:rPr>
        <w:t>Title:</w:t>
      </w:r>
      <w:r>
        <w:rPr>
          <w:sz w:val="20"/>
          <w:szCs w:val="20"/>
          <w:color w:val="auto"/>
        </w:rPr>
        <w:tab/>
      </w:r>
      <w:r>
        <w:rPr>
          <w:rFonts w:ascii="Arial" w:cs="Arial" w:eastAsia="Arial" w:hAnsi="Arial"/>
          <w:sz w:val="13"/>
          <w:szCs w:val="13"/>
          <w:color w:val="auto"/>
        </w:rPr>
        <w:t>Director</w:t>
      </w:r>
    </w:p>
    <w:p>
      <w:pPr>
        <w:spacing w:after="0" w:line="273" w:lineRule="exact"/>
        <w:rPr>
          <w:sz w:val="20"/>
          <w:szCs w:val="20"/>
          <w:color w:val="auto"/>
        </w:rPr>
      </w:pPr>
    </w:p>
    <w:p>
      <w:pPr>
        <w:ind w:left="2860"/>
        <w:spacing w:after="0"/>
        <w:rPr>
          <w:sz w:val="20"/>
          <w:szCs w:val="20"/>
          <w:color w:val="auto"/>
        </w:rPr>
      </w:pPr>
      <w:r>
        <w:rPr>
          <w:rFonts w:ascii="Arial" w:cs="Arial" w:eastAsia="Arial" w:hAnsi="Arial"/>
          <w:sz w:val="14"/>
          <w:szCs w:val="14"/>
          <w:color w:val="auto"/>
        </w:rPr>
        <w:t>[SIGNATURES CONTINUE ON FOLLOWING PAGE]</w:t>
      </w:r>
    </w:p>
    <w:p>
      <w:pPr>
        <w:spacing w:after="0" w:line="200" w:lineRule="exact"/>
        <w:rPr>
          <w:sz w:val="20"/>
          <w:szCs w:val="20"/>
          <w:color w:val="auto"/>
        </w:rPr>
      </w:pPr>
    </w:p>
    <w:p>
      <w:pPr>
        <w:spacing w:after="0" w:line="200" w:lineRule="exact"/>
        <w:rPr>
          <w:sz w:val="20"/>
          <w:szCs w:val="20"/>
          <w:color w:val="auto"/>
        </w:rPr>
      </w:pPr>
    </w:p>
    <w:p>
      <w:pPr>
        <w:spacing w:after="0" w:line="384" w:lineRule="exact"/>
        <w:rPr>
          <w:sz w:val="20"/>
          <w:szCs w:val="20"/>
          <w:color w:val="auto"/>
        </w:rPr>
      </w:pPr>
    </w:p>
    <w:p>
      <w:pPr>
        <w:jc w:val="right"/>
        <w:spacing w:after="0"/>
        <w:rPr>
          <w:sz w:val="20"/>
          <w:szCs w:val="20"/>
          <w:color w:val="auto"/>
        </w:rPr>
      </w:pPr>
      <w:r>
        <w:rPr>
          <w:rFonts w:ascii="Arial" w:cs="Arial" w:eastAsia="Arial" w:hAnsi="Arial"/>
          <w:sz w:val="14"/>
          <w:szCs w:val="14"/>
          <w:color w:val="auto"/>
        </w:rPr>
        <w:t>Signature Page to First Omnibus Amendment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209550</wp:posOffset>
            </wp:positionV>
            <wp:extent cx="7149465" cy="1714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0120"/>
          </w:cols>
          <w:pgMar w:left="1440" w:top="265" w:right="339" w:bottom="1440" w:gutter="0" w:footer="0" w:header="0"/>
        </w:sectPr>
      </w:pPr>
    </w:p>
    <w:bookmarkStart w:id="50" w:name="page51"/>
    <w:bookmarkEnd w:id="50"/>
    <w:p>
      <w:pPr>
        <w:ind w:left="4500"/>
        <w:spacing w:after="0"/>
        <w:rPr>
          <w:sz w:val="20"/>
          <w:szCs w:val="20"/>
          <w:color w:val="auto"/>
        </w:rPr>
      </w:pPr>
      <w:r>
        <w:rPr>
          <w:rFonts w:ascii="Arial" w:cs="Arial" w:eastAsia="Arial" w:hAnsi="Arial"/>
          <w:sz w:val="14"/>
          <w:szCs w:val="14"/>
          <w:b w:val="1"/>
          <w:bCs w:val="1"/>
          <w:color w:val="auto"/>
        </w:rPr>
        <w:t>CITY NATIONAL BANK</w:t>
      </w:r>
      <w:r>
        <w:rPr>
          <w:rFonts w:ascii="Arial" w:cs="Arial" w:eastAsia="Arial" w:hAnsi="Arial"/>
          <w:sz w:val="14"/>
          <w:szCs w:val="14"/>
          <w:color w:val="auto"/>
        </w:rPr>
        <w:t>,</w:t>
      </w:r>
    </w:p>
    <w:p>
      <w:pPr>
        <w:spacing w:after="0" w:line="4" w:lineRule="exact"/>
        <w:rPr>
          <w:sz w:val="20"/>
          <w:szCs w:val="20"/>
          <w:color w:val="auto"/>
        </w:rPr>
      </w:pPr>
    </w:p>
    <w:p>
      <w:pPr>
        <w:ind w:left="4500"/>
        <w:spacing w:after="0"/>
        <w:rPr>
          <w:sz w:val="20"/>
          <w:szCs w:val="20"/>
          <w:color w:val="auto"/>
        </w:rPr>
      </w:pPr>
      <w:r>
        <w:rPr>
          <w:rFonts w:ascii="Arial" w:cs="Arial" w:eastAsia="Arial" w:hAnsi="Arial"/>
          <w:sz w:val="14"/>
          <w:szCs w:val="14"/>
          <w:color w:val="auto"/>
        </w:rPr>
        <w:t>as a Lender</w:t>
      </w:r>
    </w:p>
    <w:p>
      <w:pPr>
        <w:spacing w:after="0" w:line="273" w:lineRule="exact"/>
        <w:rPr>
          <w:sz w:val="20"/>
          <w:szCs w:val="20"/>
          <w:color w:val="auto"/>
        </w:rPr>
      </w:pPr>
    </w:p>
    <w:p>
      <w:pPr>
        <w:ind w:left="4500"/>
        <w:spacing w:after="0"/>
        <w:tabs>
          <w:tab w:leader="none" w:pos="4960" w:val="left"/>
        </w:tabs>
        <w:rPr>
          <w:sz w:val="20"/>
          <w:szCs w:val="20"/>
          <w:color w:val="auto"/>
        </w:rPr>
      </w:pPr>
      <w:r>
        <w:rPr>
          <w:rFonts w:ascii="Arial" w:cs="Arial" w:eastAsia="Arial" w:hAnsi="Arial"/>
          <w:sz w:val="14"/>
          <w:szCs w:val="14"/>
          <w:color w:val="auto"/>
        </w:rPr>
        <w:t>By:</w:t>
      </w:r>
      <w:r>
        <w:rPr>
          <w:sz w:val="20"/>
          <w:szCs w:val="20"/>
          <w:color w:val="auto"/>
        </w:rPr>
        <w:tab/>
      </w:r>
      <w:r>
        <w:rPr>
          <w:rFonts w:ascii="Arial" w:cs="Arial" w:eastAsia="Arial" w:hAnsi="Arial"/>
          <w:sz w:val="14"/>
          <w:szCs w:val="14"/>
          <w:color w:val="auto"/>
        </w:rPr>
        <w:t>/s/ Jeffrey Feinberg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3159760</wp:posOffset>
            </wp:positionH>
            <wp:positionV relativeFrom="paragraph">
              <wp:posOffset>3810</wp:posOffset>
            </wp:positionV>
            <wp:extent cx="3265805" cy="825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3265805" cy="8255"/>
                    </a:xfrm>
                    <a:prstGeom prst="rect">
                      <a:avLst/>
                    </a:prstGeom>
                    <a:noFill/>
                  </pic:spPr>
                </pic:pic>
              </a:graphicData>
            </a:graphic>
          </wp:anchor>
        </w:drawing>
      </w:r>
    </w:p>
    <w:p>
      <w:pPr>
        <w:ind w:left="4500"/>
        <w:spacing w:after="0"/>
        <w:rPr>
          <w:sz w:val="20"/>
          <w:szCs w:val="20"/>
          <w:color w:val="auto"/>
        </w:rPr>
      </w:pPr>
      <w:r>
        <w:rPr>
          <w:rFonts w:ascii="Arial" w:cs="Arial" w:eastAsia="Arial" w:hAnsi="Arial"/>
          <w:sz w:val="14"/>
          <w:szCs w:val="14"/>
          <w:color w:val="auto"/>
        </w:rPr>
        <w:t>Name: Jeffrey Feinberg</w:t>
      </w:r>
    </w:p>
    <w:p>
      <w:pPr>
        <w:ind w:left="4500"/>
        <w:spacing w:after="0"/>
        <w:tabs>
          <w:tab w:leader="none" w:pos="4940" w:val="left"/>
        </w:tabs>
        <w:rPr>
          <w:sz w:val="20"/>
          <w:szCs w:val="20"/>
          <w:color w:val="auto"/>
        </w:rPr>
      </w:pPr>
      <w:r>
        <w:rPr>
          <w:rFonts w:ascii="Arial" w:cs="Arial" w:eastAsia="Arial" w:hAnsi="Arial"/>
          <w:sz w:val="14"/>
          <w:szCs w:val="14"/>
          <w:color w:val="auto"/>
        </w:rPr>
        <w:t>Title:</w:t>
      </w:r>
      <w:r>
        <w:rPr>
          <w:sz w:val="20"/>
          <w:szCs w:val="20"/>
          <w:color w:val="auto"/>
        </w:rPr>
        <w:tab/>
      </w:r>
      <w:r>
        <w:rPr>
          <w:rFonts w:ascii="Arial" w:cs="Arial" w:eastAsia="Arial" w:hAnsi="Arial"/>
          <w:sz w:val="12"/>
          <w:szCs w:val="12"/>
          <w:color w:val="auto"/>
        </w:rPr>
        <w:t>Senior Vice President</w:t>
      </w:r>
    </w:p>
    <w:p>
      <w:pPr>
        <w:spacing w:after="0" w:line="273" w:lineRule="exact"/>
        <w:rPr>
          <w:sz w:val="20"/>
          <w:szCs w:val="20"/>
          <w:color w:val="auto"/>
        </w:rPr>
      </w:pPr>
    </w:p>
    <w:p>
      <w:pPr>
        <w:ind w:left="2860"/>
        <w:spacing w:after="0"/>
        <w:rPr>
          <w:sz w:val="20"/>
          <w:szCs w:val="20"/>
          <w:color w:val="auto"/>
        </w:rPr>
      </w:pPr>
      <w:r>
        <w:rPr>
          <w:rFonts w:ascii="Arial" w:cs="Arial" w:eastAsia="Arial" w:hAnsi="Arial"/>
          <w:sz w:val="14"/>
          <w:szCs w:val="14"/>
          <w:color w:val="auto"/>
        </w:rPr>
        <w:t>[SIGNATURES CONTINUE ON FOLLOWING PAGE]</w:t>
      </w:r>
    </w:p>
    <w:p>
      <w:pPr>
        <w:spacing w:after="0" w:line="200" w:lineRule="exact"/>
        <w:rPr>
          <w:sz w:val="20"/>
          <w:szCs w:val="20"/>
          <w:color w:val="auto"/>
        </w:rPr>
      </w:pPr>
    </w:p>
    <w:p>
      <w:pPr>
        <w:spacing w:after="0" w:line="200" w:lineRule="exact"/>
        <w:rPr>
          <w:sz w:val="20"/>
          <w:szCs w:val="20"/>
          <w:color w:val="auto"/>
        </w:rPr>
      </w:pPr>
    </w:p>
    <w:p>
      <w:pPr>
        <w:spacing w:after="0" w:line="384" w:lineRule="exact"/>
        <w:rPr>
          <w:sz w:val="20"/>
          <w:szCs w:val="20"/>
          <w:color w:val="auto"/>
        </w:rPr>
      </w:pPr>
    </w:p>
    <w:p>
      <w:pPr>
        <w:jc w:val="right"/>
        <w:spacing w:after="0"/>
        <w:rPr>
          <w:sz w:val="20"/>
          <w:szCs w:val="20"/>
          <w:color w:val="auto"/>
        </w:rPr>
      </w:pPr>
      <w:r>
        <w:rPr>
          <w:rFonts w:ascii="Arial" w:cs="Arial" w:eastAsia="Arial" w:hAnsi="Arial"/>
          <w:sz w:val="14"/>
          <w:szCs w:val="14"/>
          <w:color w:val="auto"/>
        </w:rPr>
        <w:t>Signature Page to First Omnibus Amendment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209550</wp:posOffset>
            </wp:positionV>
            <wp:extent cx="7149465" cy="1714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0120"/>
          </w:cols>
          <w:pgMar w:left="1440" w:top="265" w:right="339" w:bottom="1440" w:gutter="0" w:footer="0" w:header="0"/>
        </w:sectPr>
      </w:pPr>
    </w:p>
    <w:bookmarkStart w:id="51" w:name="page52"/>
    <w:bookmarkEnd w:id="51"/>
    <w:p>
      <w:pPr>
        <w:ind w:left="4500"/>
        <w:spacing w:after="0"/>
        <w:rPr>
          <w:sz w:val="20"/>
          <w:szCs w:val="20"/>
          <w:color w:val="auto"/>
        </w:rPr>
      </w:pPr>
      <w:r>
        <w:rPr>
          <w:rFonts w:ascii="Arial" w:cs="Arial" w:eastAsia="Arial" w:hAnsi="Arial"/>
          <w:sz w:val="14"/>
          <w:szCs w:val="14"/>
          <w:b w:val="1"/>
          <w:bCs w:val="1"/>
          <w:color w:val="auto"/>
        </w:rPr>
        <w:t>ROYAL BANK OF CANADA</w:t>
      </w:r>
      <w:r>
        <w:rPr>
          <w:rFonts w:ascii="Arial" w:cs="Arial" w:eastAsia="Arial" w:hAnsi="Arial"/>
          <w:sz w:val="14"/>
          <w:szCs w:val="14"/>
          <w:color w:val="auto"/>
        </w:rPr>
        <w:t>,</w:t>
      </w:r>
    </w:p>
    <w:p>
      <w:pPr>
        <w:spacing w:after="0" w:line="4" w:lineRule="exact"/>
        <w:rPr>
          <w:sz w:val="20"/>
          <w:szCs w:val="20"/>
          <w:color w:val="auto"/>
        </w:rPr>
      </w:pPr>
    </w:p>
    <w:p>
      <w:pPr>
        <w:ind w:left="4500"/>
        <w:spacing w:after="0"/>
        <w:rPr>
          <w:sz w:val="20"/>
          <w:szCs w:val="20"/>
          <w:color w:val="auto"/>
        </w:rPr>
      </w:pPr>
      <w:r>
        <w:rPr>
          <w:rFonts w:ascii="Arial" w:cs="Arial" w:eastAsia="Arial" w:hAnsi="Arial"/>
          <w:sz w:val="14"/>
          <w:szCs w:val="14"/>
          <w:color w:val="auto"/>
        </w:rPr>
        <w:t>as a Lender</w:t>
      </w:r>
    </w:p>
    <w:p>
      <w:pPr>
        <w:spacing w:after="0" w:line="273" w:lineRule="exact"/>
        <w:rPr>
          <w:sz w:val="20"/>
          <w:szCs w:val="20"/>
          <w:color w:val="auto"/>
        </w:rPr>
      </w:pPr>
    </w:p>
    <w:p>
      <w:pPr>
        <w:ind w:left="4500"/>
        <w:spacing w:after="0"/>
        <w:tabs>
          <w:tab w:leader="none" w:pos="4960" w:val="left"/>
        </w:tabs>
        <w:rPr>
          <w:sz w:val="20"/>
          <w:szCs w:val="20"/>
          <w:color w:val="auto"/>
        </w:rPr>
      </w:pPr>
      <w:r>
        <w:rPr>
          <w:rFonts w:ascii="Arial" w:cs="Arial" w:eastAsia="Arial" w:hAnsi="Arial"/>
          <w:sz w:val="14"/>
          <w:szCs w:val="14"/>
          <w:color w:val="auto"/>
        </w:rPr>
        <w:t>By:</w:t>
      </w:r>
      <w:r>
        <w:rPr>
          <w:sz w:val="20"/>
          <w:szCs w:val="20"/>
          <w:color w:val="auto"/>
        </w:rPr>
        <w:tab/>
      </w:r>
      <w:r>
        <w:rPr>
          <w:rFonts w:ascii="Arial" w:cs="Arial" w:eastAsia="Arial" w:hAnsi="Arial"/>
          <w:sz w:val="14"/>
          <w:szCs w:val="14"/>
          <w:color w:val="auto"/>
        </w:rPr>
        <w:t>/s/ Glenn Van Allen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3159760</wp:posOffset>
            </wp:positionH>
            <wp:positionV relativeFrom="paragraph">
              <wp:posOffset>3810</wp:posOffset>
            </wp:positionV>
            <wp:extent cx="3265805" cy="825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3265805" cy="8255"/>
                    </a:xfrm>
                    <a:prstGeom prst="rect">
                      <a:avLst/>
                    </a:prstGeom>
                    <a:noFill/>
                  </pic:spPr>
                </pic:pic>
              </a:graphicData>
            </a:graphic>
          </wp:anchor>
        </w:drawing>
      </w:r>
    </w:p>
    <w:p>
      <w:pPr>
        <w:ind w:left="4500"/>
        <w:spacing w:after="0"/>
        <w:rPr>
          <w:sz w:val="20"/>
          <w:szCs w:val="20"/>
          <w:color w:val="auto"/>
        </w:rPr>
      </w:pPr>
      <w:r>
        <w:rPr>
          <w:rFonts w:ascii="Arial" w:cs="Arial" w:eastAsia="Arial" w:hAnsi="Arial"/>
          <w:sz w:val="14"/>
          <w:szCs w:val="14"/>
          <w:color w:val="auto"/>
        </w:rPr>
        <w:t>Name: Glenn Van Allen</w:t>
      </w:r>
    </w:p>
    <w:p>
      <w:pPr>
        <w:ind w:left="4500"/>
        <w:spacing w:after="0"/>
        <w:tabs>
          <w:tab w:leader="none" w:pos="4920" w:val="left"/>
        </w:tabs>
        <w:rPr>
          <w:sz w:val="20"/>
          <w:szCs w:val="20"/>
          <w:color w:val="auto"/>
        </w:rPr>
      </w:pPr>
      <w:r>
        <w:rPr>
          <w:rFonts w:ascii="Arial" w:cs="Arial" w:eastAsia="Arial" w:hAnsi="Arial"/>
          <w:sz w:val="14"/>
          <w:szCs w:val="14"/>
          <w:color w:val="auto"/>
        </w:rPr>
        <w:t>Title:</w:t>
      </w:r>
      <w:r>
        <w:rPr>
          <w:sz w:val="20"/>
          <w:szCs w:val="20"/>
          <w:color w:val="auto"/>
        </w:rPr>
        <w:tab/>
      </w:r>
      <w:r>
        <w:rPr>
          <w:rFonts w:ascii="Arial" w:cs="Arial" w:eastAsia="Arial" w:hAnsi="Arial"/>
          <w:sz w:val="13"/>
          <w:szCs w:val="13"/>
          <w:color w:val="auto"/>
        </w:rPr>
        <w:t>Authorized Signatory</w:t>
      </w:r>
    </w:p>
    <w:p>
      <w:pPr>
        <w:spacing w:after="0" w:line="273" w:lineRule="exact"/>
        <w:rPr>
          <w:sz w:val="20"/>
          <w:szCs w:val="20"/>
          <w:color w:val="auto"/>
        </w:rPr>
      </w:pPr>
    </w:p>
    <w:p>
      <w:pPr>
        <w:ind w:left="2860"/>
        <w:spacing w:after="0"/>
        <w:rPr>
          <w:sz w:val="20"/>
          <w:szCs w:val="20"/>
          <w:color w:val="auto"/>
        </w:rPr>
      </w:pPr>
      <w:r>
        <w:rPr>
          <w:rFonts w:ascii="Arial" w:cs="Arial" w:eastAsia="Arial" w:hAnsi="Arial"/>
          <w:sz w:val="14"/>
          <w:szCs w:val="14"/>
          <w:color w:val="auto"/>
        </w:rPr>
        <w:t>[SIGNATURES CONTINUE ON FOLLOWING PAGE]</w:t>
      </w:r>
    </w:p>
    <w:p>
      <w:pPr>
        <w:spacing w:after="0" w:line="200" w:lineRule="exact"/>
        <w:rPr>
          <w:sz w:val="20"/>
          <w:szCs w:val="20"/>
          <w:color w:val="auto"/>
        </w:rPr>
      </w:pPr>
    </w:p>
    <w:p>
      <w:pPr>
        <w:spacing w:after="0" w:line="200" w:lineRule="exact"/>
        <w:rPr>
          <w:sz w:val="20"/>
          <w:szCs w:val="20"/>
          <w:color w:val="auto"/>
        </w:rPr>
      </w:pPr>
    </w:p>
    <w:p>
      <w:pPr>
        <w:spacing w:after="0" w:line="384" w:lineRule="exact"/>
        <w:rPr>
          <w:sz w:val="20"/>
          <w:szCs w:val="20"/>
          <w:color w:val="auto"/>
        </w:rPr>
      </w:pPr>
    </w:p>
    <w:p>
      <w:pPr>
        <w:jc w:val="right"/>
        <w:spacing w:after="0"/>
        <w:rPr>
          <w:sz w:val="20"/>
          <w:szCs w:val="20"/>
          <w:color w:val="auto"/>
        </w:rPr>
      </w:pPr>
      <w:r>
        <w:rPr>
          <w:rFonts w:ascii="Arial" w:cs="Arial" w:eastAsia="Arial" w:hAnsi="Arial"/>
          <w:sz w:val="14"/>
          <w:szCs w:val="14"/>
          <w:color w:val="auto"/>
        </w:rPr>
        <w:t>Signature Page to First Omnibus Amendment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209550</wp:posOffset>
            </wp:positionV>
            <wp:extent cx="7149465" cy="1714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0120"/>
          </w:cols>
          <w:pgMar w:left="1440" w:top="265" w:right="339" w:bottom="1440" w:gutter="0" w:footer="0" w:header="0"/>
        </w:sectPr>
      </w:pPr>
    </w:p>
    <w:bookmarkStart w:id="52" w:name="page53"/>
    <w:bookmarkEnd w:id="52"/>
    <w:p>
      <w:pPr>
        <w:ind w:left="4500"/>
        <w:spacing w:after="0"/>
        <w:rPr>
          <w:sz w:val="20"/>
          <w:szCs w:val="20"/>
          <w:color w:val="auto"/>
        </w:rPr>
      </w:pPr>
      <w:r>
        <w:rPr>
          <w:rFonts w:ascii="Arial" w:cs="Arial" w:eastAsia="Arial" w:hAnsi="Arial"/>
          <w:sz w:val="14"/>
          <w:szCs w:val="14"/>
          <w:b w:val="1"/>
          <w:bCs w:val="1"/>
          <w:color w:val="auto"/>
        </w:rPr>
        <w:t>STIFEL BANK &amp; TRUST</w:t>
      </w:r>
      <w:r>
        <w:rPr>
          <w:rFonts w:ascii="Arial" w:cs="Arial" w:eastAsia="Arial" w:hAnsi="Arial"/>
          <w:sz w:val="14"/>
          <w:szCs w:val="14"/>
          <w:color w:val="auto"/>
        </w:rPr>
        <w:t>,</w:t>
      </w:r>
    </w:p>
    <w:p>
      <w:pPr>
        <w:spacing w:after="0" w:line="4" w:lineRule="exact"/>
        <w:rPr>
          <w:sz w:val="20"/>
          <w:szCs w:val="20"/>
          <w:color w:val="auto"/>
        </w:rPr>
      </w:pPr>
    </w:p>
    <w:p>
      <w:pPr>
        <w:ind w:left="4500"/>
        <w:spacing w:after="0"/>
        <w:rPr>
          <w:sz w:val="20"/>
          <w:szCs w:val="20"/>
          <w:color w:val="auto"/>
        </w:rPr>
      </w:pPr>
      <w:r>
        <w:rPr>
          <w:rFonts w:ascii="Arial" w:cs="Arial" w:eastAsia="Arial" w:hAnsi="Arial"/>
          <w:sz w:val="14"/>
          <w:szCs w:val="14"/>
          <w:color w:val="auto"/>
        </w:rPr>
        <w:t>as a Lender</w:t>
      </w:r>
    </w:p>
    <w:p>
      <w:pPr>
        <w:spacing w:after="0" w:line="273" w:lineRule="exact"/>
        <w:rPr>
          <w:sz w:val="20"/>
          <w:szCs w:val="20"/>
          <w:color w:val="auto"/>
        </w:rPr>
      </w:pPr>
    </w:p>
    <w:p>
      <w:pPr>
        <w:ind w:left="4500"/>
        <w:spacing w:after="0"/>
        <w:tabs>
          <w:tab w:leader="none" w:pos="4960" w:val="left"/>
        </w:tabs>
        <w:rPr>
          <w:sz w:val="20"/>
          <w:szCs w:val="20"/>
          <w:color w:val="auto"/>
        </w:rPr>
      </w:pPr>
      <w:r>
        <w:rPr>
          <w:rFonts w:ascii="Arial" w:cs="Arial" w:eastAsia="Arial" w:hAnsi="Arial"/>
          <w:sz w:val="14"/>
          <w:szCs w:val="14"/>
          <w:color w:val="auto"/>
        </w:rPr>
        <w:t>By:</w:t>
      </w:r>
      <w:r>
        <w:rPr>
          <w:sz w:val="20"/>
          <w:szCs w:val="20"/>
          <w:color w:val="auto"/>
        </w:rPr>
        <w:tab/>
      </w:r>
      <w:r>
        <w:rPr>
          <w:rFonts w:ascii="Arial" w:cs="Arial" w:eastAsia="Arial" w:hAnsi="Arial"/>
          <w:sz w:val="14"/>
          <w:szCs w:val="14"/>
          <w:color w:val="auto"/>
        </w:rPr>
        <w:t>/s/ Joseph L. Sooter, Jr.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3159760</wp:posOffset>
            </wp:positionH>
            <wp:positionV relativeFrom="paragraph">
              <wp:posOffset>3810</wp:posOffset>
            </wp:positionV>
            <wp:extent cx="3265805" cy="825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3265805" cy="8255"/>
                    </a:xfrm>
                    <a:prstGeom prst="rect">
                      <a:avLst/>
                    </a:prstGeom>
                    <a:noFill/>
                  </pic:spPr>
                </pic:pic>
              </a:graphicData>
            </a:graphic>
          </wp:anchor>
        </w:drawing>
      </w:r>
    </w:p>
    <w:p>
      <w:pPr>
        <w:ind w:left="4500"/>
        <w:spacing w:after="0"/>
        <w:rPr>
          <w:sz w:val="20"/>
          <w:szCs w:val="20"/>
          <w:color w:val="auto"/>
        </w:rPr>
      </w:pPr>
      <w:r>
        <w:rPr>
          <w:rFonts w:ascii="Arial" w:cs="Arial" w:eastAsia="Arial" w:hAnsi="Arial"/>
          <w:sz w:val="14"/>
          <w:szCs w:val="14"/>
          <w:color w:val="auto"/>
        </w:rPr>
        <w:t>Name: Joseph L. Sooter, Jr.</w:t>
      </w:r>
    </w:p>
    <w:p>
      <w:pPr>
        <w:ind w:left="4500"/>
        <w:spacing w:after="0"/>
        <w:tabs>
          <w:tab w:leader="none" w:pos="4940" w:val="left"/>
        </w:tabs>
        <w:rPr>
          <w:sz w:val="20"/>
          <w:szCs w:val="20"/>
          <w:color w:val="auto"/>
        </w:rPr>
      </w:pPr>
      <w:r>
        <w:rPr>
          <w:rFonts w:ascii="Arial" w:cs="Arial" w:eastAsia="Arial" w:hAnsi="Arial"/>
          <w:sz w:val="14"/>
          <w:szCs w:val="14"/>
          <w:color w:val="auto"/>
        </w:rPr>
        <w:t>Title:</w:t>
      </w:r>
      <w:r>
        <w:rPr>
          <w:sz w:val="20"/>
          <w:szCs w:val="20"/>
          <w:color w:val="auto"/>
        </w:rPr>
        <w:tab/>
      </w:r>
      <w:r>
        <w:rPr>
          <w:rFonts w:ascii="Arial" w:cs="Arial" w:eastAsia="Arial" w:hAnsi="Arial"/>
          <w:sz w:val="12"/>
          <w:szCs w:val="12"/>
          <w:color w:val="auto"/>
        </w:rPr>
        <w:t>Senior Vice President</w:t>
      </w:r>
    </w:p>
    <w:p>
      <w:pPr>
        <w:spacing w:after="0" w:line="273" w:lineRule="exact"/>
        <w:rPr>
          <w:sz w:val="20"/>
          <w:szCs w:val="20"/>
          <w:color w:val="auto"/>
        </w:rPr>
      </w:pPr>
    </w:p>
    <w:p>
      <w:pPr>
        <w:ind w:left="2860"/>
        <w:spacing w:after="0"/>
        <w:rPr>
          <w:sz w:val="20"/>
          <w:szCs w:val="20"/>
          <w:color w:val="auto"/>
        </w:rPr>
      </w:pPr>
      <w:r>
        <w:rPr>
          <w:rFonts w:ascii="Arial" w:cs="Arial" w:eastAsia="Arial" w:hAnsi="Arial"/>
          <w:sz w:val="14"/>
          <w:szCs w:val="14"/>
          <w:color w:val="auto"/>
        </w:rPr>
        <w:t>[SIGNATURES CONTINUE ON FOLLOWING PAGE]</w:t>
      </w:r>
    </w:p>
    <w:p>
      <w:pPr>
        <w:spacing w:after="0" w:line="200" w:lineRule="exact"/>
        <w:rPr>
          <w:sz w:val="20"/>
          <w:szCs w:val="20"/>
          <w:color w:val="auto"/>
        </w:rPr>
      </w:pPr>
    </w:p>
    <w:p>
      <w:pPr>
        <w:spacing w:after="0" w:line="200" w:lineRule="exact"/>
        <w:rPr>
          <w:sz w:val="20"/>
          <w:szCs w:val="20"/>
          <w:color w:val="auto"/>
        </w:rPr>
      </w:pPr>
    </w:p>
    <w:p>
      <w:pPr>
        <w:spacing w:after="0" w:line="384" w:lineRule="exact"/>
        <w:rPr>
          <w:sz w:val="20"/>
          <w:szCs w:val="20"/>
          <w:color w:val="auto"/>
        </w:rPr>
      </w:pPr>
    </w:p>
    <w:p>
      <w:pPr>
        <w:jc w:val="right"/>
        <w:spacing w:after="0"/>
        <w:rPr>
          <w:sz w:val="20"/>
          <w:szCs w:val="20"/>
          <w:color w:val="auto"/>
        </w:rPr>
      </w:pPr>
      <w:r>
        <w:rPr>
          <w:rFonts w:ascii="Arial" w:cs="Arial" w:eastAsia="Arial" w:hAnsi="Arial"/>
          <w:sz w:val="14"/>
          <w:szCs w:val="14"/>
          <w:color w:val="auto"/>
        </w:rPr>
        <w:t>Signature Page to First Omnibus Amendment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209550</wp:posOffset>
            </wp:positionV>
            <wp:extent cx="7149465" cy="1714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0120"/>
          </w:cols>
          <w:pgMar w:left="1440" w:top="265" w:right="339" w:bottom="1440" w:gutter="0" w:footer="0" w:header="0"/>
        </w:sectPr>
      </w:pPr>
    </w:p>
    <w:bookmarkStart w:id="53" w:name="page54"/>
    <w:bookmarkEnd w:id="53"/>
    <w:p>
      <w:pPr>
        <w:ind w:left="4500"/>
        <w:spacing w:after="0"/>
        <w:rPr>
          <w:sz w:val="20"/>
          <w:szCs w:val="20"/>
          <w:color w:val="auto"/>
        </w:rPr>
      </w:pPr>
      <w:r>
        <w:rPr>
          <w:rFonts w:ascii="Arial" w:cs="Arial" w:eastAsia="Arial" w:hAnsi="Arial"/>
          <w:sz w:val="14"/>
          <w:szCs w:val="14"/>
          <w:b w:val="1"/>
          <w:bCs w:val="1"/>
          <w:color w:val="auto"/>
        </w:rPr>
        <w:t>THE BANK OF NEW YORK MELLON</w:t>
      </w:r>
      <w:r>
        <w:rPr>
          <w:rFonts w:ascii="Arial" w:cs="Arial" w:eastAsia="Arial" w:hAnsi="Arial"/>
          <w:sz w:val="14"/>
          <w:szCs w:val="14"/>
          <w:color w:val="auto"/>
        </w:rPr>
        <w:t>,</w:t>
      </w:r>
    </w:p>
    <w:p>
      <w:pPr>
        <w:spacing w:after="0" w:line="4" w:lineRule="exact"/>
        <w:rPr>
          <w:sz w:val="20"/>
          <w:szCs w:val="20"/>
          <w:color w:val="auto"/>
        </w:rPr>
      </w:pPr>
    </w:p>
    <w:p>
      <w:pPr>
        <w:ind w:left="4500"/>
        <w:spacing w:after="0"/>
        <w:rPr>
          <w:sz w:val="20"/>
          <w:szCs w:val="20"/>
          <w:color w:val="auto"/>
        </w:rPr>
      </w:pPr>
      <w:r>
        <w:rPr>
          <w:rFonts w:ascii="Arial" w:cs="Arial" w:eastAsia="Arial" w:hAnsi="Arial"/>
          <w:sz w:val="14"/>
          <w:szCs w:val="14"/>
          <w:color w:val="auto"/>
        </w:rPr>
        <w:t>as a Lender</w:t>
      </w:r>
    </w:p>
    <w:p>
      <w:pPr>
        <w:spacing w:after="0" w:line="273" w:lineRule="exact"/>
        <w:rPr>
          <w:sz w:val="20"/>
          <w:szCs w:val="20"/>
          <w:color w:val="auto"/>
        </w:rPr>
      </w:pPr>
    </w:p>
    <w:p>
      <w:pPr>
        <w:ind w:left="4500"/>
        <w:spacing w:after="0"/>
        <w:tabs>
          <w:tab w:leader="none" w:pos="4960" w:val="left"/>
        </w:tabs>
        <w:rPr>
          <w:sz w:val="20"/>
          <w:szCs w:val="20"/>
          <w:color w:val="auto"/>
        </w:rPr>
      </w:pPr>
      <w:r>
        <w:rPr>
          <w:rFonts w:ascii="Arial" w:cs="Arial" w:eastAsia="Arial" w:hAnsi="Arial"/>
          <w:sz w:val="14"/>
          <w:szCs w:val="14"/>
          <w:color w:val="auto"/>
        </w:rPr>
        <w:t>By:</w:t>
      </w:r>
      <w:r>
        <w:rPr>
          <w:sz w:val="20"/>
          <w:szCs w:val="20"/>
          <w:color w:val="auto"/>
        </w:rPr>
        <w:tab/>
      </w:r>
      <w:r>
        <w:rPr>
          <w:rFonts w:ascii="Arial" w:cs="Arial" w:eastAsia="Arial" w:hAnsi="Arial"/>
          <w:sz w:val="14"/>
          <w:szCs w:val="14"/>
          <w:color w:val="auto"/>
        </w:rPr>
        <w:t>/s/ Bernard Lambert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3159760</wp:posOffset>
            </wp:positionH>
            <wp:positionV relativeFrom="paragraph">
              <wp:posOffset>3810</wp:posOffset>
            </wp:positionV>
            <wp:extent cx="3265805" cy="825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3265805" cy="8255"/>
                    </a:xfrm>
                    <a:prstGeom prst="rect">
                      <a:avLst/>
                    </a:prstGeom>
                    <a:noFill/>
                  </pic:spPr>
                </pic:pic>
              </a:graphicData>
            </a:graphic>
          </wp:anchor>
        </w:drawing>
      </w:r>
    </w:p>
    <w:p>
      <w:pPr>
        <w:ind w:left="4500"/>
        <w:spacing w:after="0"/>
        <w:rPr>
          <w:sz w:val="20"/>
          <w:szCs w:val="20"/>
          <w:color w:val="auto"/>
        </w:rPr>
      </w:pPr>
      <w:r>
        <w:rPr>
          <w:rFonts w:ascii="Arial" w:cs="Arial" w:eastAsia="Arial" w:hAnsi="Arial"/>
          <w:sz w:val="14"/>
          <w:szCs w:val="14"/>
          <w:color w:val="auto"/>
        </w:rPr>
        <w:t>Name: Bernard Lambert</w:t>
      </w:r>
    </w:p>
    <w:p>
      <w:pPr>
        <w:jc w:val="center"/>
        <w:ind w:right="180"/>
        <w:spacing w:after="0"/>
        <w:tabs>
          <w:tab w:leader="none" w:pos="120" w:val="left"/>
        </w:tabs>
        <w:rPr>
          <w:sz w:val="20"/>
          <w:szCs w:val="20"/>
          <w:color w:val="auto"/>
        </w:rPr>
      </w:pPr>
      <w:r>
        <w:rPr>
          <w:rFonts w:ascii="Arial" w:cs="Arial" w:eastAsia="Arial" w:hAnsi="Arial"/>
          <w:sz w:val="14"/>
          <w:szCs w:val="14"/>
          <w:color w:val="auto"/>
        </w:rPr>
        <w:t>Title:</w:t>
      </w:r>
      <w:r>
        <w:rPr>
          <w:sz w:val="20"/>
          <w:szCs w:val="20"/>
          <w:color w:val="auto"/>
        </w:rPr>
        <w:tab/>
      </w:r>
      <w:r>
        <w:rPr>
          <w:rFonts w:ascii="Arial" w:cs="Arial" w:eastAsia="Arial" w:hAnsi="Arial"/>
          <w:sz w:val="13"/>
          <w:szCs w:val="13"/>
          <w:color w:val="auto"/>
        </w:rPr>
        <w:t>Director</w:t>
      </w:r>
    </w:p>
    <w:p>
      <w:pPr>
        <w:spacing w:after="0" w:line="273" w:lineRule="exact"/>
        <w:rPr>
          <w:sz w:val="20"/>
          <w:szCs w:val="20"/>
          <w:color w:val="auto"/>
        </w:rPr>
      </w:pPr>
    </w:p>
    <w:p>
      <w:pPr>
        <w:ind w:left="2860"/>
        <w:spacing w:after="0"/>
        <w:rPr>
          <w:sz w:val="20"/>
          <w:szCs w:val="20"/>
          <w:color w:val="auto"/>
        </w:rPr>
      </w:pPr>
      <w:r>
        <w:rPr>
          <w:rFonts w:ascii="Arial" w:cs="Arial" w:eastAsia="Arial" w:hAnsi="Arial"/>
          <w:sz w:val="14"/>
          <w:szCs w:val="14"/>
          <w:color w:val="auto"/>
        </w:rPr>
        <w:t>[SIGNATURES CONTINUE ON FOLLOWING PAGE]</w:t>
      </w:r>
    </w:p>
    <w:p>
      <w:pPr>
        <w:spacing w:after="0" w:line="200" w:lineRule="exact"/>
        <w:rPr>
          <w:sz w:val="20"/>
          <w:szCs w:val="20"/>
          <w:color w:val="auto"/>
        </w:rPr>
      </w:pPr>
    </w:p>
    <w:p>
      <w:pPr>
        <w:spacing w:after="0" w:line="200" w:lineRule="exact"/>
        <w:rPr>
          <w:sz w:val="20"/>
          <w:szCs w:val="20"/>
          <w:color w:val="auto"/>
        </w:rPr>
      </w:pPr>
    </w:p>
    <w:p>
      <w:pPr>
        <w:spacing w:after="0" w:line="384" w:lineRule="exact"/>
        <w:rPr>
          <w:sz w:val="20"/>
          <w:szCs w:val="20"/>
          <w:color w:val="auto"/>
        </w:rPr>
      </w:pPr>
    </w:p>
    <w:p>
      <w:pPr>
        <w:jc w:val="right"/>
        <w:spacing w:after="0"/>
        <w:rPr>
          <w:sz w:val="20"/>
          <w:szCs w:val="20"/>
          <w:color w:val="auto"/>
        </w:rPr>
      </w:pPr>
      <w:r>
        <w:rPr>
          <w:rFonts w:ascii="Arial" w:cs="Arial" w:eastAsia="Arial" w:hAnsi="Arial"/>
          <w:sz w:val="14"/>
          <w:szCs w:val="14"/>
          <w:color w:val="auto"/>
        </w:rPr>
        <w:t>Signature Page to First Omnibus Amendment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209550</wp:posOffset>
            </wp:positionV>
            <wp:extent cx="7149465" cy="1714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0120"/>
          </w:cols>
          <w:pgMar w:left="1440" w:top="265" w:right="339" w:bottom="1440" w:gutter="0" w:footer="0" w:header="0"/>
        </w:sectPr>
      </w:pPr>
    </w:p>
    <w:bookmarkStart w:id="54" w:name="page55"/>
    <w:bookmarkEnd w:id="54"/>
    <w:p>
      <w:pPr>
        <w:ind w:left="4500"/>
        <w:spacing w:after="0"/>
        <w:rPr>
          <w:sz w:val="20"/>
          <w:szCs w:val="20"/>
          <w:color w:val="auto"/>
        </w:rPr>
      </w:pPr>
      <w:r>
        <w:rPr>
          <w:rFonts w:ascii="Arial" w:cs="Arial" w:eastAsia="Arial" w:hAnsi="Arial"/>
          <w:sz w:val="14"/>
          <w:szCs w:val="14"/>
          <w:b w:val="1"/>
          <w:bCs w:val="1"/>
          <w:color w:val="auto"/>
        </w:rPr>
        <w:t>COMERICA BANK</w:t>
      </w:r>
      <w:r>
        <w:rPr>
          <w:rFonts w:ascii="Arial" w:cs="Arial" w:eastAsia="Arial" w:hAnsi="Arial"/>
          <w:sz w:val="14"/>
          <w:szCs w:val="14"/>
          <w:color w:val="auto"/>
        </w:rPr>
        <w:t>,</w:t>
      </w:r>
    </w:p>
    <w:p>
      <w:pPr>
        <w:spacing w:after="0" w:line="4" w:lineRule="exact"/>
        <w:rPr>
          <w:sz w:val="20"/>
          <w:szCs w:val="20"/>
          <w:color w:val="auto"/>
        </w:rPr>
      </w:pPr>
    </w:p>
    <w:p>
      <w:pPr>
        <w:ind w:left="4500"/>
        <w:spacing w:after="0"/>
        <w:rPr>
          <w:sz w:val="20"/>
          <w:szCs w:val="20"/>
          <w:color w:val="auto"/>
        </w:rPr>
      </w:pPr>
      <w:r>
        <w:rPr>
          <w:rFonts w:ascii="Arial" w:cs="Arial" w:eastAsia="Arial" w:hAnsi="Arial"/>
          <w:sz w:val="14"/>
          <w:szCs w:val="14"/>
          <w:color w:val="auto"/>
        </w:rPr>
        <w:t>as a Lender</w:t>
      </w:r>
    </w:p>
    <w:p>
      <w:pPr>
        <w:spacing w:after="0" w:line="273" w:lineRule="exact"/>
        <w:rPr>
          <w:sz w:val="20"/>
          <w:szCs w:val="20"/>
          <w:color w:val="auto"/>
        </w:rPr>
      </w:pPr>
    </w:p>
    <w:p>
      <w:pPr>
        <w:ind w:left="4500"/>
        <w:spacing w:after="0"/>
        <w:tabs>
          <w:tab w:leader="none" w:pos="4960" w:val="left"/>
        </w:tabs>
        <w:rPr>
          <w:sz w:val="20"/>
          <w:szCs w:val="20"/>
          <w:color w:val="auto"/>
        </w:rPr>
      </w:pPr>
      <w:r>
        <w:rPr>
          <w:rFonts w:ascii="Arial" w:cs="Arial" w:eastAsia="Arial" w:hAnsi="Arial"/>
          <w:sz w:val="14"/>
          <w:szCs w:val="14"/>
          <w:color w:val="auto"/>
        </w:rPr>
        <w:t>By:</w:t>
      </w:r>
      <w:r>
        <w:rPr>
          <w:sz w:val="20"/>
          <w:szCs w:val="20"/>
          <w:color w:val="auto"/>
        </w:rPr>
        <w:tab/>
      </w:r>
      <w:r>
        <w:rPr>
          <w:rFonts w:ascii="Arial" w:cs="Arial" w:eastAsia="Arial" w:hAnsi="Arial"/>
          <w:sz w:val="14"/>
          <w:szCs w:val="14"/>
          <w:color w:val="auto"/>
        </w:rPr>
        <w:t>/s/ Timothy O’ Rourke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3159760</wp:posOffset>
            </wp:positionH>
            <wp:positionV relativeFrom="paragraph">
              <wp:posOffset>3810</wp:posOffset>
            </wp:positionV>
            <wp:extent cx="3265805" cy="825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3265805" cy="8255"/>
                    </a:xfrm>
                    <a:prstGeom prst="rect">
                      <a:avLst/>
                    </a:prstGeom>
                    <a:noFill/>
                  </pic:spPr>
                </pic:pic>
              </a:graphicData>
            </a:graphic>
          </wp:anchor>
        </w:drawing>
      </w:r>
    </w:p>
    <w:p>
      <w:pPr>
        <w:ind w:left="4500"/>
        <w:spacing w:after="0"/>
        <w:rPr>
          <w:sz w:val="20"/>
          <w:szCs w:val="20"/>
          <w:color w:val="auto"/>
        </w:rPr>
      </w:pPr>
      <w:r>
        <w:rPr>
          <w:rFonts w:ascii="Arial" w:cs="Arial" w:eastAsia="Arial" w:hAnsi="Arial"/>
          <w:sz w:val="14"/>
          <w:szCs w:val="14"/>
          <w:color w:val="auto"/>
        </w:rPr>
        <w:t>Name: Timothy O’ Rourke</w:t>
      </w:r>
    </w:p>
    <w:p>
      <w:pPr>
        <w:jc w:val="center"/>
        <w:ind w:right="-159"/>
        <w:spacing w:after="0"/>
        <w:tabs>
          <w:tab w:leader="none" w:pos="120" w:val="left"/>
        </w:tabs>
        <w:rPr>
          <w:sz w:val="20"/>
          <w:szCs w:val="20"/>
          <w:color w:val="auto"/>
        </w:rPr>
      </w:pPr>
      <w:r>
        <w:rPr>
          <w:rFonts w:ascii="Arial" w:cs="Arial" w:eastAsia="Arial" w:hAnsi="Arial"/>
          <w:sz w:val="14"/>
          <w:szCs w:val="14"/>
          <w:color w:val="auto"/>
        </w:rPr>
        <w:t>Title:</w:t>
      </w:r>
      <w:r>
        <w:rPr>
          <w:sz w:val="20"/>
          <w:szCs w:val="20"/>
          <w:color w:val="auto"/>
        </w:rPr>
        <w:tab/>
      </w:r>
      <w:r>
        <w:rPr>
          <w:rFonts w:ascii="Arial" w:cs="Arial" w:eastAsia="Arial" w:hAnsi="Arial"/>
          <w:sz w:val="12"/>
          <w:szCs w:val="12"/>
          <w:color w:val="auto"/>
        </w:rPr>
        <w:t>Vice President</w:t>
      </w:r>
    </w:p>
    <w:p>
      <w:pPr>
        <w:spacing w:after="0" w:line="273" w:lineRule="exact"/>
        <w:rPr>
          <w:sz w:val="20"/>
          <w:szCs w:val="20"/>
          <w:color w:val="auto"/>
        </w:rPr>
      </w:pPr>
    </w:p>
    <w:p>
      <w:pPr>
        <w:ind w:left="2860"/>
        <w:spacing w:after="0"/>
        <w:rPr>
          <w:sz w:val="20"/>
          <w:szCs w:val="20"/>
          <w:color w:val="auto"/>
        </w:rPr>
      </w:pPr>
      <w:r>
        <w:rPr>
          <w:rFonts w:ascii="Arial" w:cs="Arial" w:eastAsia="Arial" w:hAnsi="Arial"/>
          <w:sz w:val="14"/>
          <w:szCs w:val="14"/>
          <w:color w:val="auto"/>
        </w:rPr>
        <w:t>[SIGNATURES CONTINUE ON FOLLOWING PAGE]</w:t>
      </w:r>
    </w:p>
    <w:p>
      <w:pPr>
        <w:spacing w:after="0" w:line="200" w:lineRule="exact"/>
        <w:rPr>
          <w:sz w:val="20"/>
          <w:szCs w:val="20"/>
          <w:color w:val="auto"/>
        </w:rPr>
      </w:pPr>
    </w:p>
    <w:p>
      <w:pPr>
        <w:spacing w:after="0" w:line="200" w:lineRule="exact"/>
        <w:rPr>
          <w:sz w:val="20"/>
          <w:szCs w:val="20"/>
          <w:color w:val="auto"/>
        </w:rPr>
      </w:pPr>
    </w:p>
    <w:p>
      <w:pPr>
        <w:spacing w:after="0" w:line="384" w:lineRule="exact"/>
        <w:rPr>
          <w:sz w:val="20"/>
          <w:szCs w:val="20"/>
          <w:color w:val="auto"/>
        </w:rPr>
      </w:pPr>
    </w:p>
    <w:p>
      <w:pPr>
        <w:jc w:val="right"/>
        <w:spacing w:after="0"/>
        <w:rPr>
          <w:sz w:val="20"/>
          <w:szCs w:val="20"/>
          <w:color w:val="auto"/>
        </w:rPr>
      </w:pPr>
      <w:r>
        <w:rPr>
          <w:rFonts w:ascii="Arial" w:cs="Arial" w:eastAsia="Arial" w:hAnsi="Arial"/>
          <w:sz w:val="14"/>
          <w:szCs w:val="14"/>
          <w:color w:val="auto"/>
        </w:rPr>
        <w:t>Signature Page to First Omnibus Amendment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209550</wp:posOffset>
            </wp:positionV>
            <wp:extent cx="7149465" cy="1714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0120"/>
          </w:cols>
          <w:pgMar w:left="1440" w:top="265" w:right="339" w:bottom="1440" w:gutter="0" w:footer="0" w:header="0"/>
        </w:sectPr>
      </w:pPr>
    </w:p>
    <w:bookmarkStart w:id="55" w:name="page56"/>
    <w:bookmarkEnd w:id="55"/>
    <w:p>
      <w:pPr>
        <w:ind w:left="4500"/>
        <w:spacing w:after="0"/>
        <w:rPr>
          <w:sz w:val="20"/>
          <w:szCs w:val="20"/>
          <w:color w:val="auto"/>
        </w:rPr>
      </w:pPr>
      <w:r>
        <w:rPr>
          <w:rFonts w:ascii="Arial" w:cs="Arial" w:eastAsia="Arial" w:hAnsi="Arial"/>
          <w:sz w:val="14"/>
          <w:szCs w:val="14"/>
          <w:b w:val="1"/>
          <w:bCs w:val="1"/>
          <w:color w:val="auto"/>
        </w:rPr>
        <w:t>EVERBANK COMMERCIAL FINANCE, INC.</w:t>
      </w:r>
      <w:r>
        <w:rPr>
          <w:rFonts w:ascii="Arial" w:cs="Arial" w:eastAsia="Arial" w:hAnsi="Arial"/>
          <w:sz w:val="14"/>
          <w:szCs w:val="14"/>
          <w:color w:val="auto"/>
        </w:rPr>
        <w:t>,</w:t>
      </w:r>
    </w:p>
    <w:p>
      <w:pPr>
        <w:spacing w:after="0" w:line="4" w:lineRule="exact"/>
        <w:rPr>
          <w:sz w:val="20"/>
          <w:szCs w:val="20"/>
          <w:color w:val="auto"/>
        </w:rPr>
      </w:pPr>
    </w:p>
    <w:p>
      <w:pPr>
        <w:ind w:left="4500"/>
        <w:spacing w:after="0"/>
        <w:rPr>
          <w:sz w:val="20"/>
          <w:szCs w:val="20"/>
          <w:color w:val="auto"/>
        </w:rPr>
      </w:pPr>
      <w:r>
        <w:rPr>
          <w:rFonts w:ascii="Arial" w:cs="Arial" w:eastAsia="Arial" w:hAnsi="Arial"/>
          <w:sz w:val="14"/>
          <w:szCs w:val="14"/>
          <w:color w:val="auto"/>
        </w:rPr>
        <w:t>as a Lender</w:t>
      </w:r>
    </w:p>
    <w:p>
      <w:pPr>
        <w:spacing w:after="0" w:line="273" w:lineRule="exact"/>
        <w:rPr>
          <w:sz w:val="20"/>
          <w:szCs w:val="20"/>
          <w:color w:val="auto"/>
        </w:rPr>
      </w:pPr>
    </w:p>
    <w:p>
      <w:pPr>
        <w:ind w:left="4500"/>
        <w:spacing w:after="0"/>
        <w:tabs>
          <w:tab w:leader="none" w:pos="5180" w:val="left"/>
        </w:tabs>
        <w:rPr>
          <w:sz w:val="20"/>
          <w:szCs w:val="20"/>
          <w:color w:val="auto"/>
        </w:rPr>
      </w:pPr>
      <w:r>
        <w:rPr>
          <w:rFonts w:ascii="Arial" w:cs="Arial" w:eastAsia="Arial" w:hAnsi="Arial"/>
          <w:sz w:val="14"/>
          <w:szCs w:val="14"/>
          <w:color w:val="auto"/>
        </w:rPr>
        <w:t>By:</w:t>
      </w:r>
      <w:r>
        <w:rPr>
          <w:sz w:val="20"/>
          <w:szCs w:val="20"/>
          <w:color w:val="auto"/>
        </w:rPr>
        <w:tab/>
      </w:r>
      <w:r>
        <w:rPr>
          <w:rFonts w:ascii="Arial" w:cs="Arial" w:eastAsia="Arial" w:hAnsi="Arial"/>
          <w:sz w:val="14"/>
          <w:szCs w:val="14"/>
          <w:color w:val="auto"/>
        </w:rPr>
        <w:t>/s/ John Dale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3305810</wp:posOffset>
            </wp:positionH>
            <wp:positionV relativeFrom="paragraph">
              <wp:posOffset>3810</wp:posOffset>
            </wp:positionV>
            <wp:extent cx="3120390" cy="825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3120390" cy="8255"/>
                    </a:xfrm>
                    <a:prstGeom prst="rect">
                      <a:avLst/>
                    </a:prstGeom>
                    <a:noFill/>
                  </pic:spPr>
                </pic:pic>
              </a:graphicData>
            </a:graphic>
          </wp:anchor>
        </w:drawing>
      </w:r>
    </w:p>
    <w:p>
      <w:pPr>
        <w:ind w:left="4500"/>
        <w:spacing w:after="0"/>
        <w:rPr>
          <w:sz w:val="20"/>
          <w:szCs w:val="20"/>
          <w:color w:val="auto"/>
        </w:rPr>
      </w:pPr>
      <w:r>
        <w:rPr>
          <w:rFonts w:ascii="Arial" w:cs="Arial" w:eastAsia="Arial" w:hAnsi="Arial"/>
          <w:sz w:val="14"/>
          <w:szCs w:val="14"/>
          <w:color w:val="auto"/>
        </w:rPr>
        <w:t>Name: John Dale</w:t>
      </w:r>
    </w:p>
    <w:p>
      <w:pPr>
        <w:ind w:left="4500"/>
        <w:spacing w:after="0"/>
        <w:tabs>
          <w:tab w:leader="none" w:pos="4940" w:val="left"/>
        </w:tabs>
        <w:rPr>
          <w:sz w:val="20"/>
          <w:szCs w:val="20"/>
          <w:color w:val="auto"/>
        </w:rPr>
      </w:pPr>
      <w:r>
        <w:rPr>
          <w:rFonts w:ascii="Arial" w:cs="Arial" w:eastAsia="Arial" w:hAnsi="Arial"/>
          <w:sz w:val="14"/>
          <w:szCs w:val="14"/>
          <w:color w:val="auto"/>
        </w:rPr>
        <w:t>Title:</w:t>
      </w:r>
      <w:r>
        <w:rPr>
          <w:sz w:val="20"/>
          <w:szCs w:val="20"/>
          <w:color w:val="auto"/>
        </w:rPr>
        <w:tab/>
      </w:r>
      <w:r>
        <w:rPr>
          <w:rFonts w:ascii="Arial" w:cs="Arial" w:eastAsia="Arial" w:hAnsi="Arial"/>
          <w:sz w:val="13"/>
          <w:szCs w:val="13"/>
          <w:color w:val="auto"/>
        </w:rPr>
        <w:t>Managing Director</w:t>
      </w:r>
    </w:p>
    <w:p>
      <w:pPr>
        <w:spacing w:after="0" w:line="273" w:lineRule="exact"/>
        <w:rPr>
          <w:sz w:val="20"/>
          <w:szCs w:val="20"/>
          <w:color w:val="auto"/>
        </w:rPr>
      </w:pPr>
    </w:p>
    <w:p>
      <w:pPr>
        <w:ind w:left="2860"/>
        <w:spacing w:after="0"/>
        <w:rPr>
          <w:sz w:val="20"/>
          <w:szCs w:val="20"/>
          <w:color w:val="auto"/>
        </w:rPr>
      </w:pPr>
      <w:r>
        <w:rPr>
          <w:rFonts w:ascii="Arial" w:cs="Arial" w:eastAsia="Arial" w:hAnsi="Arial"/>
          <w:sz w:val="14"/>
          <w:szCs w:val="14"/>
          <w:color w:val="auto"/>
        </w:rPr>
        <w:t>[SIGNATURES CONTINUE ON FOLLOWING PAGE]</w:t>
      </w:r>
    </w:p>
    <w:p>
      <w:pPr>
        <w:spacing w:after="0" w:line="200" w:lineRule="exact"/>
        <w:rPr>
          <w:sz w:val="20"/>
          <w:szCs w:val="20"/>
          <w:color w:val="auto"/>
        </w:rPr>
      </w:pPr>
    </w:p>
    <w:p>
      <w:pPr>
        <w:spacing w:after="0" w:line="200" w:lineRule="exact"/>
        <w:rPr>
          <w:sz w:val="20"/>
          <w:szCs w:val="20"/>
          <w:color w:val="auto"/>
        </w:rPr>
      </w:pPr>
    </w:p>
    <w:p>
      <w:pPr>
        <w:spacing w:after="0" w:line="384" w:lineRule="exact"/>
        <w:rPr>
          <w:sz w:val="20"/>
          <w:szCs w:val="20"/>
          <w:color w:val="auto"/>
        </w:rPr>
      </w:pPr>
    </w:p>
    <w:p>
      <w:pPr>
        <w:jc w:val="right"/>
        <w:spacing w:after="0"/>
        <w:rPr>
          <w:sz w:val="20"/>
          <w:szCs w:val="20"/>
          <w:color w:val="auto"/>
        </w:rPr>
      </w:pPr>
      <w:r>
        <w:rPr>
          <w:rFonts w:ascii="Arial" w:cs="Arial" w:eastAsia="Arial" w:hAnsi="Arial"/>
          <w:sz w:val="14"/>
          <w:szCs w:val="14"/>
          <w:color w:val="auto"/>
        </w:rPr>
        <w:t>Signature Page to First Omnibus Amendment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209550</wp:posOffset>
            </wp:positionV>
            <wp:extent cx="7149465" cy="1714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0120"/>
          </w:cols>
          <w:pgMar w:left="1440" w:top="265" w:right="339" w:bottom="1440" w:gutter="0" w:footer="0" w:header="0"/>
        </w:sectPr>
      </w:pPr>
    </w:p>
    <w:bookmarkStart w:id="56" w:name="page57"/>
    <w:bookmarkEnd w:id="56"/>
    <w:p>
      <w:pPr>
        <w:ind w:left="4500"/>
        <w:spacing w:after="0"/>
        <w:rPr>
          <w:sz w:val="20"/>
          <w:szCs w:val="20"/>
          <w:color w:val="auto"/>
        </w:rPr>
      </w:pPr>
      <w:r>
        <w:rPr>
          <w:rFonts w:ascii="Arial" w:cs="Arial" w:eastAsia="Arial" w:hAnsi="Arial"/>
          <w:sz w:val="14"/>
          <w:szCs w:val="14"/>
          <w:color w:val="auto"/>
        </w:rPr>
        <w:t>Solely with respect to Section 2.2.</w:t>
      </w:r>
    </w:p>
    <w:p>
      <w:pPr>
        <w:spacing w:after="0" w:line="132" w:lineRule="exact"/>
        <w:rPr>
          <w:sz w:val="20"/>
          <w:szCs w:val="20"/>
          <w:color w:val="auto"/>
        </w:rPr>
      </w:pPr>
    </w:p>
    <w:p>
      <w:pPr>
        <w:ind w:left="4500"/>
        <w:spacing w:after="0"/>
        <w:rPr>
          <w:sz w:val="20"/>
          <w:szCs w:val="20"/>
          <w:color w:val="auto"/>
        </w:rPr>
      </w:pPr>
      <w:r>
        <w:rPr>
          <w:rFonts w:ascii="Arial" w:cs="Arial" w:eastAsia="Arial" w:hAnsi="Arial"/>
          <w:sz w:val="14"/>
          <w:szCs w:val="14"/>
          <w:b w:val="1"/>
          <w:bCs w:val="1"/>
          <w:color w:val="auto"/>
        </w:rPr>
        <w:t>PNNT ALABAMA HOLDINGS INC.</w:t>
      </w:r>
    </w:p>
    <w:p>
      <w:pPr>
        <w:spacing w:after="0" w:line="289" w:lineRule="exact"/>
        <w:rPr>
          <w:sz w:val="20"/>
          <w:szCs w:val="20"/>
          <w:color w:val="auto"/>
        </w:rPr>
      </w:pPr>
    </w:p>
    <w:p>
      <w:pPr>
        <w:ind w:left="4500"/>
        <w:spacing w:after="0"/>
        <w:tabs>
          <w:tab w:leader="none" w:pos="4980" w:val="left"/>
        </w:tabs>
        <w:rPr>
          <w:sz w:val="20"/>
          <w:szCs w:val="20"/>
          <w:color w:val="auto"/>
        </w:rPr>
      </w:pPr>
      <w:r>
        <w:rPr>
          <w:rFonts w:ascii="Arial" w:cs="Arial" w:eastAsia="Arial" w:hAnsi="Arial"/>
          <w:sz w:val="14"/>
          <w:szCs w:val="14"/>
          <w:color w:val="auto"/>
        </w:rPr>
        <w:t>By:</w:t>
      </w:r>
      <w:r>
        <w:rPr>
          <w:sz w:val="20"/>
          <w:szCs w:val="20"/>
          <w:color w:val="auto"/>
        </w:rPr>
        <w:tab/>
      </w:r>
      <w:r>
        <w:rPr>
          <w:rFonts w:ascii="Arial" w:cs="Arial" w:eastAsia="Arial" w:hAnsi="Arial"/>
          <w:sz w:val="14"/>
          <w:szCs w:val="14"/>
          <w:color w:val="auto"/>
        </w:rPr>
        <w:t>/s/ Arthur Penn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3176905</wp:posOffset>
            </wp:positionH>
            <wp:positionV relativeFrom="paragraph">
              <wp:posOffset>3810</wp:posOffset>
            </wp:positionV>
            <wp:extent cx="3248660" cy="825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3248660" cy="8255"/>
                    </a:xfrm>
                    <a:prstGeom prst="rect">
                      <a:avLst/>
                    </a:prstGeom>
                    <a:noFill/>
                  </pic:spPr>
                </pic:pic>
              </a:graphicData>
            </a:graphic>
          </wp:anchor>
        </w:drawing>
      </w:r>
    </w:p>
    <w:p>
      <w:pPr>
        <w:ind w:left="4500"/>
        <w:spacing w:after="0"/>
        <w:rPr>
          <w:sz w:val="20"/>
          <w:szCs w:val="20"/>
          <w:color w:val="auto"/>
        </w:rPr>
      </w:pPr>
      <w:r>
        <w:rPr>
          <w:rFonts w:ascii="Arial" w:cs="Arial" w:eastAsia="Arial" w:hAnsi="Arial"/>
          <w:sz w:val="14"/>
          <w:szCs w:val="14"/>
          <w:color w:val="auto"/>
        </w:rPr>
        <w:t>Name: Arthur Penn</w:t>
      </w:r>
    </w:p>
    <w:p>
      <w:pPr>
        <w:ind w:left="4500"/>
        <w:spacing w:after="0"/>
        <w:tabs>
          <w:tab w:leader="none" w:pos="4940" w:val="left"/>
        </w:tabs>
        <w:rPr>
          <w:sz w:val="20"/>
          <w:szCs w:val="20"/>
          <w:color w:val="auto"/>
        </w:rPr>
      </w:pPr>
      <w:r>
        <w:rPr>
          <w:rFonts w:ascii="Arial" w:cs="Arial" w:eastAsia="Arial" w:hAnsi="Arial"/>
          <w:sz w:val="14"/>
          <w:szCs w:val="14"/>
          <w:color w:val="auto"/>
        </w:rPr>
        <w:t>Title:</w:t>
      </w:r>
      <w:r>
        <w:rPr>
          <w:sz w:val="20"/>
          <w:szCs w:val="20"/>
          <w:color w:val="auto"/>
        </w:rPr>
        <w:tab/>
      </w:r>
      <w:r>
        <w:rPr>
          <w:rFonts w:ascii="Arial" w:cs="Arial" w:eastAsia="Arial" w:hAnsi="Arial"/>
          <w:sz w:val="13"/>
          <w:szCs w:val="13"/>
          <w:color w:val="auto"/>
        </w:rPr>
        <w:t>Chief Executive Officer</w:t>
      </w:r>
    </w:p>
    <w:p>
      <w:pPr>
        <w:spacing w:after="0" w:line="269" w:lineRule="exact"/>
        <w:rPr>
          <w:sz w:val="20"/>
          <w:szCs w:val="20"/>
          <w:color w:val="auto"/>
        </w:rPr>
      </w:pPr>
    </w:p>
    <w:p>
      <w:pPr>
        <w:ind w:left="4500"/>
        <w:spacing w:after="0"/>
        <w:rPr>
          <w:sz w:val="20"/>
          <w:szCs w:val="20"/>
          <w:color w:val="auto"/>
        </w:rPr>
      </w:pPr>
      <w:r>
        <w:rPr>
          <w:rFonts w:ascii="Arial" w:cs="Arial" w:eastAsia="Arial" w:hAnsi="Arial"/>
          <w:sz w:val="14"/>
          <w:szCs w:val="14"/>
          <w:b w:val="1"/>
          <w:bCs w:val="1"/>
          <w:color w:val="auto"/>
        </w:rPr>
        <w:t>PNNT POWER PRODUCTS HOLDINGS, LLC</w:t>
      </w:r>
    </w:p>
    <w:p>
      <w:pPr>
        <w:spacing w:after="0" w:line="289" w:lineRule="exact"/>
        <w:rPr>
          <w:sz w:val="20"/>
          <w:szCs w:val="20"/>
          <w:color w:val="auto"/>
        </w:rPr>
      </w:pPr>
    </w:p>
    <w:p>
      <w:pPr>
        <w:ind w:left="4500"/>
        <w:spacing w:after="0"/>
        <w:tabs>
          <w:tab w:leader="none" w:pos="4980" w:val="left"/>
        </w:tabs>
        <w:rPr>
          <w:sz w:val="20"/>
          <w:szCs w:val="20"/>
          <w:color w:val="auto"/>
        </w:rPr>
      </w:pPr>
      <w:r>
        <w:rPr>
          <w:rFonts w:ascii="Arial" w:cs="Arial" w:eastAsia="Arial" w:hAnsi="Arial"/>
          <w:sz w:val="14"/>
          <w:szCs w:val="14"/>
          <w:color w:val="auto"/>
        </w:rPr>
        <w:t>By:</w:t>
      </w:r>
      <w:r>
        <w:rPr>
          <w:sz w:val="20"/>
          <w:szCs w:val="20"/>
          <w:color w:val="auto"/>
        </w:rPr>
        <w:tab/>
      </w:r>
      <w:r>
        <w:rPr>
          <w:rFonts w:ascii="Arial" w:cs="Arial" w:eastAsia="Arial" w:hAnsi="Arial"/>
          <w:sz w:val="14"/>
          <w:szCs w:val="14"/>
          <w:color w:val="auto"/>
        </w:rPr>
        <w:t>/s/ Arthur Penn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3176905</wp:posOffset>
            </wp:positionH>
            <wp:positionV relativeFrom="paragraph">
              <wp:posOffset>3810</wp:posOffset>
            </wp:positionV>
            <wp:extent cx="3248660" cy="825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3248660" cy="8255"/>
                    </a:xfrm>
                    <a:prstGeom prst="rect">
                      <a:avLst/>
                    </a:prstGeom>
                    <a:noFill/>
                  </pic:spPr>
                </pic:pic>
              </a:graphicData>
            </a:graphic>
          </wp:anchor>
        </w:drawing>
      </w:r>
    </w:p>
    <w:p>
      <w:pPr>
        <w:ind w:left="4500"/>
        <w:spacing w:after="0"/>
        <w:rPr>
          <w:sz w:val="20"/>
          <w:szCs w:val="20"/>
          <w:color w:val="auto"/>
        </w:rPr>
      </w:pPr>
      <w:r>
        <w:rPr>
          <w:rFonts w:ascii="Arial" w:cs="Arial" w:eastAsia="Arial" w:hAnsi="Arial"/>
          <w:sz w:val="14"/>
          <w:szCs w:val="14"/>
          <w:color w:val="auto"/>
        </w:rPr>
        <w:t>Name: Arthur Penn</w:t>
      </w:r>
    </w:p>
    <w:p>
      <w:pPr>
        <w:ind w:left="4500"/>
        <w:spacing w:after="0"/>
        <w:tabs>
          <w:tab w:leader="none" w:pos="4940" w:val="left"/>
        </w:tabs>
        <w:rPr>
          <w:sz w:val="20"/>
          <w:szCs w:val="20"/>
          <w:color w:val="auto"/>
        </w:rPr>
      </w:pPr>
      <w:r>
        <w:rPr>
          <w:rFonts w:ascii="Arial" w:cs="Arial" w:eastAsia="Arial" w:hAnsi="Arial"/>
          <w:sz w:val="14"/>
          <w:szCs w:val="14"/>
          <w:color w:val="auto"/>
        </w:rPr>
        <w:t>Title:</w:t>
      </w:r>
      <w:r>
        <w:rPr>
          <w:sz w:val="20"/>
          <w:szCs w:val="20"/>
          <w:color w:val="auto"/>
        </w:rPr>
        <w:tab/>
      </w:r>
      <w:r>
        <w:rPr>
          <w:rFonts w:ascii="Arial" w:cs="Arial" w:eastAsia="Arial" w:hAnsi="Arial"/>
          <w:sz w:val="13"/>
          <w:szCs w:val="13"/>
          <w:color w:val="auto"/>
        </w:rPr>
        <w:t>Chief Executive Officer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9" w:lineRule="exact"/>
        <w:rPr>
          <w:sz w:val="20"/>
          <w:szCs w:val="20"/>
          <w:color w:val="auto"/>
        </w:rPr>
      </w:pPr>
    </w:p>
    <w:p>
      <w:pPr>
        <w:jc w:val="right"/>
        <w:spacing w:after="0"/>
        <w:rPr>
          <w:sz w:val="20"/>
          <w:szCs w:val="20"/>
          <w:color w:val="auto"/>
        </w:rPr>
      </w:pPr>
      <w:r>
        <w:rPr>
          <w:rFonts w:ascii="Arial" w:cs="Arial" w:eastAsia="Arial" w:hAnsi="Arial"/>
          <w:sz w:val="14"/>
          <w:szCs w:val="14"/>
          <w:color w:val="auto"/>
        </w:rPr>
        <w:t>Signature Page to First Omnibus Amendment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209550</wp:posOffset>
            </wp:positionV>
            <wp:extent cx="7149465" cy="1714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0120"/>
          </w:cols>
          <w:pgMar w:left="1440" w:top="269" w:right="339" w:bottom="1440" w:gutter="0" w:footer="0" w:header="0"/>
        </w:sectPr>
      </w:pPr>
    </w:p>
    <w:bookmarkStart w:id="57" w:name="page58"/>
    <w:bookmarkEnd w:id="57"/>
    <w:p>
      <w:pPr>
        <w:ind w:left="4120"/>
        <w:spacing w:after="0"/>
        <w:rPr>
          <w:sz w:val="20"/>
          <w:szCs w:val="20"/>
          <w:color w:val="auto"/>
        </w:rPr>
      </w:pPr>
      <w:r>
        <w:rPr>
          <w:rFonts w:ascii="Arial" w:cs="Arial" w:eastAsia="Arial" w:hAnsi="Arial"/>
          <w:sz w:val="14"/>
          <w:szCs w:val="14"/>
          <w:b w:val="1"/>
          <w:bCs w:val="1"/>
          <w:u w:val="single" w:color="auto"/>
          <w:color w:val="auto"/>
        </w:rPr>
        <w:t>EXHIBIT A</w:t>
      </w:r>
    </w:p>
    <w:p>
      <w:pPr>
        <w:spacing w:after="0" w:line="139" w:lineRule="exact"/>
        <w:rPr>
          <w:sz w:val="20"/>
          <w:szCs w:val="20"/>
          <w:color w:val="auto"/>
        </w:rPr>
      </w:pPr>
    </w:p>
    <w:p>
      <w:pPr>
        <w:ind w:left="4080"/>
        <w:spacing w:after="0"/>
        <w:rPr>
          <w:sz w:val="20"/>
          <w:szCs w:val="20"/>
          <w:color w:val="auto"/>
        </w:rPr>
      </w:pPr>
      <w:r>
        <w:rPr>
          <w:rFonts w:ascii="Arial" w:cs="Arial" w:eastAsia="Arial" w:hAnsi="Arial"/>
          <w:sz w:val="14"/>
          <w:szCs w:val="14"/>
          <w:color w:val="auto"/>
        </w:rPr>
        <w:t>[ATTACHED]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723900</wp:posOffset>
            </wp:positionV>
            <wp:extent cx="7149465" cy="17145"/>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9019"/>
          </w:cols>
          <w:pgMar w:left="1440" w:top="118" w:right="1440" w:bottom="1440" w:gutter="0" w:footer="0" w:header="0"/>
        </w:sectPr>
      </w:pPr>
    </w:p>
    <w:bookmarkStart w:id="58" w:name="page59"/>
    <w:bookmarkEnd w:id="58"/>
    <w:p>
      <w:pPr>
        <w:jc w:val="center"/>
        <w:spacing w:after="0"/>
        <w:rPr>
          <w:sz w:val="20"/>
          <w:szCs w:val="20"/>
          <w:color w:val="auto"/>
        </w:rPr>
      </w:pPr>
      <w:r>
        <w:rPr>
          <w:rFonts w:ascii="Arial" w:cs="Arial" w:eastAsia="Arial" w:hAnsi="Arial"/>
          <w:sz w:val="14"/>
          <w:szCs w:val="14"/>
          <w:color w:val="auto"/>
        </w:rPr>
        <w:drawing>
          <wp:anchor simplePos="0" relativeHeight="251657728" behindDoc="1" locked="0" layoutInCell="0" allowOverlap="1">
            <wp:simplePos x="0" y="0"/>
            <wp:positionH relativeFrom="page">
              <wp:posOffset>208280</wp:posOffset>
            </wp:positionH>
            <wp:positionV relativeFrom="page">
              <wp:posOffset>243205</wp:posOffset>
            </wp:positionV>
            <wp:extent cx="7132320" cy="8890"/>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260350</wp:posOffset>
            </wp:positionV>
            <wp:extent cx="7132320" cy="8255"/>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7132320" cy="8255"/>
                    </a:xfrm>
                    <a:prstGeom prst="rect">
                      <a:avLst/>
                    </a:prstGeom>
                    <a:noFill/>
                  </pic:spPr>
                </pic:pic>
              </a:graphicData>
            </a:graphic>
          </wp:anchor>
        </w:drawing>
        <w:t>SECOND AMENDED AND RESTATED</w:t>
      </w:r>
    </w:p>
    <w:p>
      <w:pPr>
        <w:jc w:val="center"/>
        <w:spacing w:after="0" w:line="221" w:lineRule="auto"/>
        <w:rPr>
          <w:sz w:val="20"/>
          <w:szCs w:val="20"/>
          <w:color w:val="auto"/>
        </w:rPr>
      </w:pPr>
      <w:r>
        <w:rPr>
          <w:rFonts w:ascii="Arial" w:cs="Arial" w:eastAsia="Arial" w:hAnsi="Arial"/>
          <w:sz w:val="14"/>
          <w:szCs w:val="14"/>
          <w:color w:val="auto"/>
        </w:rPr>
        <w:t>SENIOR SECURED</w:t>
      </w:r>
    </w:p>
    <w:p>
      <w:pPr>
        <w:jc w:val="center"/>
        <w:spacing w:after="0"/>
        <w:rPr>
          <w:sz w:val="20"/>
          <w:szCs w:val="20"/>
          <w:color w:val="auto"/>
        </w:rPr>
      </w:pPr>
      <w:r>
        <w:rPr>
          <w:rFonts w:ascii="Arial" w:cs="Arial" w:eastAsia="Arial" w:hAnsi="Arial"/>
          <w:sz w:val="14"/>
          <w:szCs w:val="14"/>
          <w:color w:val="auto"/>
        </w:rPr>
        <w:t>REVOLVING CREDIT AGREEMENT</w:t>
      </w:r>
    </w:p>
    <w:p>
      <w:pPr>
        <w:spacing w:after="0" w:line="192"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dated as of</w:t>
      </w:r>
    </w:p>
    <w:p>
      <w:pPr>
        <w:spacing w:after="0" w:line="204"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June 25, 2014</w:t>
      </w:r>
    </w:p>
    <w:p>
      <w:pPr>
        <w:spacing w:after="0" w:line="204"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and</w:t>
      </w:r>
    </w:p>
    <w:p>
      <w:pPr>
        <w:spacing w:after="0" w:line="204"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as amended by the First Amendment to Senior Secured Revolving Credit Agreement dated as of May 25, 2017</w:t>
      </w:r>
    </w:p>
    <w:p>
      <w:pPr>
        <w:spacing w:after="0" w:line="215"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among</w:t>
      </w:r>
    </w:p>
    <w:p>
      <w:pPr>
        <w:spacing w:after="0" w:line="203"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PENNANTPARK INVESTMENT CORPORATION</w:t>
      </w:r>
    </w:p>
    <w:p>
      <w:pPr>
        <w:jc w:val="center"/>
        <w:spacing w:after="0"/>
        <w:rPr>
          <w:sz w:val="20"/>
          <w:szCs w:val="20"/>
          <w:color w:val="auto"/>
        </w:rPr>
      </w:pPr>
      <w:r>
        <w:rPr>
          <w:rFonts w:ascii="Arial" w:cs="Arial" w:eastAsia="Arial" w:hAnsi="Arial"/>
          <w:sz w:val="14"/>
          <w:szCs w:val="14"/>
          <w:color w:val="auto"/>
        </w:rPr>
        <w:t>as Borrower</w:t>
      </w:r>
    </w:p>
    <w:p>
      <w:pPr>
        <w:spacing w:after="0" w:line="192"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The LENDERS Party Hereto</w:t>
      </w:r>
    </w:p>
    <w:p>
      <w:pPr>
        <w:spacing w:after="0" w:line="204"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and</w:t>
      </w:r>
    </w:p>
    <w:p>
      <w:pPr>
        <w:spacing w:after="0" w:line="203"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SUNTRUST BANK</w:t>
      </w:r>
    </w:p>
    <w:p>
      <w:pPr>
        <w:jc w:val="center"/>
        <w:spacing w:after="0"/>
        <w:rPr>
          <w:sz w:val="20"/>
          <w:szCs w:val="20"/>
          <w:color w:val="auto"/>
        </w:rPr>
      </w:pPr>
      <w:r>
        <w:rPr>
          <w:rFonts w:ascii="Arial" w:cs="Arial" w:eastAsia="Arial" w:hAnsi="Arial"/>
          <w:sz w:val="14"/>
          <w:szCs w:val="14"/>
          <w:color w:val="auto"/>
        </w:rPr>
        <w:t>as Administrative Agent</w:t>
      </w:r>
    </w:p>
    <w:p>
      <w:pPr>
        <w:spacing w:after="0" w:line="191"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JPMORGAN CHASE BANK, N.A.</w:t>
      </w:r>
    </w:p>
    <w:p>
      <w:pPr>
        <w:jc w:val="center"/>
        <w:spacing w:after="0"/>
        <w:rPr>
          <w:sz w:val="20"/>
          <w:szCs w:val="20"/>
          <w:color w:val="auto"/>
        </w:rPr>
      </w:pPr>
      <w:r>
        <w:rPr>
          <w:rFonts w:ascii="Arial" w:cs="Arial" w:eastAsia="Arial" w:hAnsi="Arial"/>
          <w:sz w:val="14"/>
          <w:szCs w:val="14"/>
          <w:color w:val="auto"/>
        </w:rPr>
        <w:t>as Syndication Agent</w:t>
      </w:r>
    </w:p>
    <w:p>
      <w:pPr>
        <w:spacing w:after="0" w:line="340"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$445,000,000</w:t>
      </w:r>
    </w:p>
    <w:p>
      <w:pPr>
        <w:ind w:left="3860"/>
        <w:spacing w:after="0"/>
        <w:rPr>
          <w:sz w:val="20"/>
          <w:szCs w:val="20"/>
          <w:color w:val="auto"/>
        </w:rPr>
      </w:pPr>
      <w:r>
        <w:rPr>
          <w:rFonts w:ascii="Arial" w:cs="Arial" w:eastAsia="Arial" w:hAnsi="Arial"/>
          <w:sz w:val="14"/>
          <w:szCs w:val="14"/>
          <w:color w:val="auto"/>
        </w:rPr>
        <w:t>__________________</w:t>
      </w:r>
    </w:p>
    <w:p>
      <w:pPr>
        <w:spacing w:after="0" w:line="191"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SUNTRUST ROBINSON HUMPHREY, INC.</w:t>
      </w:r>
    </w:p>
    <w:p>
      <w:pPr>
        <w:jc w:val="center"/>
        <w:spacing w:after="0" w:line="221" w:lineRule="auto"/>
        <w:rPr>
          <w:sz w:val="20"/>
          <w:szCs w:val="20"/>
          <w:color w:val="auto"/>
        </w:rPr>
      </w:pPr>
      <w:r>
        <w:rPr>
          <w:rFonts w:ascii="Arial" w:cs="Arial" w:eastAsia="Arial" w:hAnsi="Arial"/>
          <w:sz w:val="14"/>
          <w:szCs w:val="14"/>
          <w:color w:val="auto"/>
        </w:rPr>
        <w:t>JPMORGAN CHASE BANK, N.A.</w:t>
      </w:r>
    </w:p>
    <w:p>
      <w:pPr>
        <w:jc w:val="center"/>
        <w:spacing w:after="0"/>
        <w:rPr>
          <w:sz w:val="20"/>
          <w:szCs w:val="20"/>
          <w:color w:val="auto"/>
        </w:rPr>
      </w:pPr>
      <w:r>
        <w:rPr>
          <w:rFonts w:ascii="Arial" w:cs="Arial" w:eastAsia="Arial" w:hAnsi="Arial"/>
          <w:sz w:val="14"/>
          <w:szCs w:val="14"/>
          <w:color w:val="auto"/>
        </w:rPr>
        <w:t>as Joint Lead Arrangers and Joint Book Runners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201930</wp:posOffset>
            </wp:positionV>
            <wp:extent cx="7132320" cy="8255"/>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-705485</wp:posOffset>
            </wp:positionH>
            <wp:positionV relativeFrom="paragraph">
              <wp:posOffset>219075</wp:posOffset>
            </wp:positionV>
            <wp:extent cx="7132320" cy="8255"/>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-705485</wp:posOffset>
            </wp:positionH>
            <wp:positionV relativeFrom="paragraph">
              <wp:posOffset>853440</wp:posOffset>
            </wp:positionV>
            <wp:extent cx="7149465" cy="17145"/>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9019"/>
          </w:cols>
          <w:pgMar w:left="1440" w:top="782" w:right="1440" w:bottom="1440" w:gutter="0" w:footer="0" w:header="0"/>
        </w:sectPr>
      </w:pPr>
    </w:p>
    <w:bookmarkStart w:id="59" w:name="page60"/>
    <w:bookmarkEnd w:id="59"/>
    <w:tbl>
      <w:tblPr>
        <w:tblLayout w:type="fixed"/>
        <w:tblInd w:w="0" w:type="dxa"/>
        <w:tblCellMar>
          <w:top w:w="0" w:type="dxa"/>
          <w:left w:w="0" w:type="dxa"/>
          <w:bottom w:w="0" w:type="dxa"/>
          <w:right w:w="0" w:type="dxa"/>
        </w:tblCellMar>
      </w:tblPr>
      <w:tr>
        <w:trPr>
          <w:trHeight w:val="186"/>
        </w:trPr>
        <w:tc>
          <w:tcPr>
            <w:tcW w:w="940" w:type="dxa"/>
            <w:vAlign w:val="bottom"/>
          </w:tcPr>
          <w:p>
            <w:pPr>
              <w:spacing w:after="0"/>
              <w:rPr>
                <w:sz w:val="16"/>
                <w:szCs w:val="16"/>
                <w:color w:val="auto"/>
              </w:rPr>
            </w:pPr>
          </w:p>
        </w:tc>
        <w:tc>
          <w:tcPr>
            <w:tcW w:w="1460" w:type="dxa"/>
            <w:vAlign w:val="bottom"/>
          </w:tcPr>
          <w:p>
            <w:pPr>
              <w:spacing w:after="0"/>
              <w:rPr>
                <w:sz w:val="16"/>
                <w:szCs w:val="16"/>
                <w:color w:val="auto"/>
              </w:rPr>
            </w:pPr>
          </w:p>
        </w:tc>
        <w:tc>
          <w:tcPr>
            <w:tcW w:w="6000" w:type="dxa"/>
            <w:vAlign w:val="bottom"/>
          </w:tcPr>
          <w:p>
            <w:pPr>
              <w:spacing w:after="0"/>
              <w:rPr>
                <w:sz w:val="16"/>
                <w:szCs w:val="16"/>
                <w:color w:val="auto"/>
              </w:rPr>
            </w:pPr>
          </w:p>
        </w:tc>
        <w:tc>
          <w:tcPr>
            <w:tcW w:w="2860" w:type="dxa"/>
            <w:vAlign w:val="bottom"/>
          </w:tcPr>
          <w:p>
            <w:pPr>
              <w:jc w:val="right"/>
              <w:ind w:right="108"/>
              <w:spacing w:after="0"/>
              <w:rPr>
                <w:sz w:val="20"/>
                <w:szCs w:val="20"/>
                <w:color w:val="auto"/>
              </w:rPr>
            </w:pPr>
            <w:r>
              <w:rPr>
                <w:rFonts w:ascii="Arial" w:cs="Arial" w:eastAsia="Arial" w:hAnsi="Arial"/>
                <w:sz w:val="14"/>
                <w:szCs w:val="14"/>
                <w:b w:val="1"/>
                <w:bCs w:val="1"/>
                <w:color w:val="auto"/>
              </w:rPr>
              <w:t>Page</w:t>
            </w:r>
          </w:p>
        </w:tc>
      </w:tr>
      <w:tr>
        <w:trPr>
          <w:trHeight w:val="324"/>
        </w:trPr>
        <w:tc>
          <w:tcPr>
            <w:tcW w:w="940" w:type="dxa"/>
            <w:vAlign w:val="bottom"/>
          </w:tcPr>
          <w:p>
            <w:pPr>
              <w:spacing w:after="0"/>
              <w:rPr>
                <w:sz w:val="20"/>
                <w:szCs w:val="20"/>
                <w:color w:val="auto"/>
              </w:rPr>
            </w:pPr>
            <w:r>
              <w:rPr>
                <w:rFonts w:ascii="Arial" w:cs="Arial" w:eastAsia="Arial" w:hAnsi="Arial"/>
                <w:sz w:val="14"/>
                <w:szCs w:val="14"/>
                <w:color w:val="auto"/>
              </w:rPr>
              <w:t>ARTICLE I</w:t>
            </w:r>
          </w:p>
        </w:tc>
        <w:tc>
          <w:tcPr>
            <w:tcW w:w="1460" w:type="dxa"/>
            <w:vAlign w:val="bottom"/>
          </w:tcPr>
          <w:p>
            <w:pPr>
              <w:jc w:val="right"/>
              <w:ind w:right="268"/>
              <w:spacing w:after="0"/>
              <w:rPr>
                <w:sz w:val="20"/>
                <w:szCs w:val="20"/>
                <w:color w:val="auto"/>
              </w:rPr>
            </w:pPr>
            <w:r>
              <w:rPr>
                <w:rFonts w:ascii="Arial" w:cs="Arial" w:eastAsia="Arial" w:hAnsi="Arial"/>
                <w:sz w:val="14"/>
                <w:szCs w:val="14"/>
                <w:color w:val="auto"/>
              </w:rPr>
              <w:t>DEFINITIONS</w:t>
            </w:r>
          </w:p>
        </w:tc>
        <w:tc>
          <w:tcPr>
            <w:tcW w:w="6000" w:type="dxa"/>
            <w:vAlign w:val="bottom"/>
          </w:tcPr>
          <w:p>
            <w:pPr>
              <w:spacing w:after="0"/>
              <w:rPr>
                <w:sz w:val="24"/>
                <w:szCs w:val="24"/>
                <w:color w:val="auto"/>
              </w:rPr>
            </w:pPr>
          </w:p>
        </w:tc>
        <w:tc>
          <w:tcPr>
            <w:tcW w:w="2860" w:type="dxa"/>
            <w:vAlign w:val="bottom"/>
          </w:tcPr>
          <w:p>
            <w:pPr>
              <w:jc w:val="right"/>
              <w:spacing w:after="0"/>
              <w:rPr>
                <w:sz w:val="20"/>
                <w:szCs w:val="20"/>
                <w:color w:val="auto"/>
              </w:rPr>
            </w:pPr>
            <w:r>
              <w:rPr>
                <w:rFonts w:ascii="Arial" w:cs="Arial" w:eastAsia="Arial" w:hAnsi="Arial"/>
                <w:sz w:val="14"/>
                <w:szCs w:val="14"/>
                <w:color w:val="auto"/>
              </w:rPr>
              <w:t>1</w:t>
            </w:r>
          </w:p>
        </w:tc>
      </w:tr>
      <w:tr>
        <w:trPr>
          <w:trHeight w:val="324"/>
        </w:trPr>
        <w:tc>
          <w:tcPr>
            <w:tcW w:w="2400" w:type="dxa"/>
            <w:vAlign w:val="bottom"/>
            <w:gridSpan w:val="2"/>
          </w:tcPr>
          <w:p>
            <w:pPr>
              <w:ind w:left="500"/>
              <w:spacing w:after="0"/>
              <w:rPr>
                <w:sz w:val="20"/>
                <w:szCs w:val="20"/>
                <w:color w:val="auto"/>
              </w:rPr>
            </w:pPr>
            <w:r>
              <w:rPr>
                <w:rFonts w:ascii="Arial" w:cs="Arial" w:eastAsia="Arial" w:hAnsi="Arial"/>
                <w:sz w:val="14"/>
                <w:szCs w:val="14"/>
                <w:color w:val="auto"/>
              </w:rPr>
              <w:t>SECTION 1.01.</w:t>
            </w:r>
          </w:p>
        </w:tc>
        <w:tc>
          <w:tcPr>
            <w:tcW w:w="6000" w:type="dxa"/>
            <w:vAlign w:val="bottom"/>
          </w:tcPr>
          <w:p>
            <w:pPr>
              <w:ind w:left="360"/>
              <w:spacing w:after="0"/>
              <w:rPr>
                <w:sz w:val="20"/>
                <w:szCs w:val="20"/>
                <w:color w:val="auto"/>
              </w:rPr>
            </w:pPr>
            <w:r>
              <w:rPr>
                <w:rFonts w:ascii="Arial" w:cs="Arial" w:eastAsia="Arial" w:hAnsi="Arial"/>
                <w:sz w:val="14"/>
                <w:szCs w:val="14"/>
                <w:color w:val="auto"/>
              </w:rPr>
              <w:t>Defined Terms</w:t>
            </w:r>
          </w:p>
        </w:tc>
        <w:tc>
          <w:tcPr>
            <w:tcW w:w="2860" w:type="dxa"/>
            <w:vAlign w:val="bottom"/>
          </w:tcPr>
          <w:p>
            <w:pPr>
              <w:jc w:val="right"/>
              <w:spacing w:after="0"/>
              <w:rPr>
                <w:sz w:val="20"/>
                <w:szCs w:val="20"/>
                <w:color w:val="auto"/>
              </w:rPr>
            </w:pPr>
            <w:r>
              <w:rPr>
                <w:rFonts w:ascii="Arial" w:cs="Arial" w:eastAsia="Arial" w:hAnsi="Arial"/>
                <w:sz w:val="14"/>
                <w:szCs w:val="14"/>
                <w:color w:val="auto"/>
              </w:rPr>
              <w:t>1</w:t>
            </w:r>
          </w:p>
        </w:tc>
      </w:tr>
      <w:tr>
        <w:trPr>
          <w:trHeight w:val="324"/>
        </w:trPr>
        <w:tc>
          <w:tcPr>
            <w:tcW w:w="2400" w:type="dxa"/>
            <w:vAlign w:val="bottom"/>
            <w:gridSpan w:val="2"/>
          </w:tcPr>
          <w:p>
            <w:pPr>
              <w:ind w:left="500"/>
              <w:spacing w:after="0"/>
              <w:rPr>
                <w:sz w:val="20"/>
                <w:szCs w:val="20"/>
                <w:color w:val="auto"/>
              </w:rPr>
            </w:pPr>
            <w:r>
              <w:rPr>
                <w:rFonts w:ascii="Arial" w:cs="Arial" w:eastAsia="Arial" w:hAnsi="Arial"/>
                <w:sz w:val="14"/>
                <w:szCs w:val="14"/>
                <w:color w:val="auto"/>
              </w:rPr>
              <w:t>SECTION 1.02.</w:t>
            </w:r>
          </w:p>
        </w:tc>
        <w:tc>
          <w:tcPr>
            <w:tcW w:w="6000" w:type="dxa"/>
            <w:vAlign w:val="bottom"/>
          </w:tcPr>
          <w:p>
            <w:pPr>
              <w:ind w:left="360"/>
              <w:spacing w:after="0"/>
              <w:rPr>
                <w:sz w:val="20"/>
                <w:szCs w:val="20"/>
                <w:color w:val="auto"/>
              </w:rPr>
            </w:pPr>
            <w:r>
              <w:rPr>
                <w:rFonts w:ascii="Arial" w:cs="Arial" w:eastAsia="Arial" w:hAnsi="Arial"/>
                <w:sz w:val="14"/>
                <w:szCs w:val="14"/>
                <w:color w:val="auto"/>
              </w:rPr>
              <w:t>Classification of Loans and Borrowings</w:t>
            </w:r>
          </w:p>
        </w:tc>
        <w:tc>
          <w:tcPr>
            <w:tcW w:w="2860" w:type="dxa"/>
            <w:vAlign w:val="bottom"/>
          </w:tcPr>
          <w:p>
            <w:pPr>
              <w:jc w:val="right"/>
              <w:spacing w:after="0"/>
              <w:rPr>
                <w:sz w:val="20"/>
                <w:szCs w:val="20"/>
                <w:color w:val="auto"/>
              </w:rPr>
            </w:pPr>
            <w:r>
              <w:rPr>
                <w:rFonts w:ascii="Arial" w:cs="Arial" w:eastAsia="Arial" w:hAnsi="Arial"/>
                <w:sz w:val="14"/>
                <w:szCs w:val="14"/>
                <w:color w:val="auto"/>
              </w:rPr>
              <w:t>19</w:t>
            </w:r>
          </w:p>
        </w:tc>
      </w:tr>
      <w:tr>
        <w:trPr>
          <w:trHeight w:val="324"/>
        </w:trPr>
        <w:tc>
          <w:tcPr>
            <w:tcW w:w="2400" w:type="dxa"/>
            <w:vAlign w:val="bottom"/>
            <w:gridSpan w:val="2"/>
          </w:tcPr>
          <w:p>
            <w:pPr>
              <w:ind w:left="500"/>
              <w:spacing w:after="0"/>
              <w:rPr>
                <w:sz w:val="20"/>
                <w:szCs w:val="20"/>
                <w:color w:val="auto"/>
              </w:rPr>
            </w:pPr>
            <w:r>
              <w:rPr>
                <w:rFonts w:ascii="Arial" w:cs="Arial" w:eastAsia="Arial" w:hAnsi="Arial"/>
                <w:sz w:val="14"/>
                <w:szCs w:val="14"/>
                <w:color w:val="auto"/>
              </w:rPr>
              <w:t>SECTION 1.03.</w:t>
            </w:r>
          </w:p>
        </w:tc>
        <w:tc>
          <w:tcPr>
            <w:tcW w:w="6000" w:type="dxa"/>
            <w:vAlign w:val="bottom"/>
          </w:tcPr>
          <w:p>
            <w:pPr>
              <w:ind w:left="360"/>
              <w:spacing w:after="0"/>
              <w:rPr>
                <w:sz w:val="20"/>
                <w:szCs w:val="20"/>
                <w:color w:val="auto"/>
              </w:rPr>
            </w:pPr>
            <w:r>
              <w:rPr>
                <w:rFonts w:ascii="Arial" w:cs="Arial" w:eastAsia="Arial" w:hAnsi="Arial"/>
                <w:sz w:val="14"/>
                <w:szCs w:val="14"/>
                <w:color w:val="auto"/>
              </w:rPr>
              <w:t>Terms Generally</w:t>
            </w:r>
          </w:p>
        </w:tc>
        <w:tc>
          <w:tcPr>
            <w:tcW w:w="2860" w:type="dxa"/>
            <w:vAlign w:val="bottom"/>
          </w:tcPr>
          <w:p>
            <w:pPr>
              <w:jc w:val="right"/>
              <w:spacing w:after="0"/>
              <w:rPr>
                <w:sz w:val="20"/>
                <w:szCs w:val="20"/>
                <w:color w:val="auto"/>
              </w:rPr>
            </w:pPr>
            <w:r>
              <w:rPr>
                <w:rFonts w:ascii="Arial" w:cs="Arial" w:eastAsia="Arial" w:hAnsi="Arial"/>
                <w:sz w:val="14"/>
                <w:szCs w:val="14"/>
                <w:color w:val="auto"/>
              </w:rPr>
              <w:t>19</w:t>
            </w:r>
          </w:p>
        </w:tc>
      </w:tr>
      <w:tr>
        <w:trPr>
          <w:trHeight w:val="324"/>
        </w:trPr>
        <w:tc>
          <w:tcPr>
            <w:tcW w:w="2400" w:type="dxa"/>
            <w:vAlign w:val="bottom"/>
            <w:gridSpan w:val="2"/>
          </w:tcPr>
          <w:p>
            <w:pPr>
              <w:ind w:left="500"/>
              <w:spacing w:after="0"/>
              <w:rPr>
                <w:sz w:val="20"/>
                <w:szCs w:val="20"/>
                <w:color w:val="auto"/>
              </w:rPr>
            </w:pPr>
            <w:r>
              <w:rPr>
                <w:rFonts w:ascii="Arial" w:cs="Arial" w:eastAsia="Arial" w:hAnsi="Arial"/>
                <w:sz w:val="14"/>
                <w:szCs w:val="14"/>
                <w:color w:val="auto"/>
              </w:rPr>
              <w:t>SECTION 1.04.</w:t>
            </w:r>
          </w:p>
        </w:tc>
        <w:tc>
          <w:tcPr>
            <w:tcW w:w="6000" w:type="dxa"/>
            <w:vAlign w:val="bottom"/>
          </w:tcPr>
          <w:p>
            <w:pPr>
              <w:ind w:left="360"/>
              <w:spacing w:after="0"/>
              <w:rPr>
                <w:sz w:val="20"/>
                <w:szCs w:val="20"/>
                <w:color w:val="auto"/>
              </w:rPr>
            </w:pPr>
            <w:r>
              <w:rPr>
                <w:rFonts w:ascii="Arial" w:cs="Arial" w:eastAsia="Arial" w:hAnsi="Arial"/>
                <w:sz w:val="14"/>
                <w:szCs w:val="14"/>
                <w:color w:val="auto"/>
              </w:rPr>
              <w:t>Accounting Terms; GAAP</w:t>
            </w:r>
          </w:p>
        </w:tc>
        <w:tc>
          <w:tcPr>
            <w:tcW w:w="2860" w:type="dxa"/>
            <w:vAlign w:val="bottom"/>
          </w:tcPr>
          <w:p>
            <w:pPr>
              <w:jc w:val="right"/>
              <w:spacing w:after="0"/>
              <w:rPr>
                <w:sz w:val="20"/>
                <w:szCs w:val="20"/>
                <w:color w:val="auto"/>
              </w:rPr>
            </w:pPr>
            <w:r>
              <w:rPr>
                <w:rFonts w:ascii="Arial" w:cs="Arial" w:eastAsia="Arial" w:hAnsi="Arial"/>
                <w:sz w:val="14"/>
                <w:szCs w:val="14"/>
                <w:color w:val="auto"/>
              </w:rPr>
              <w:t>20</w:t>
            </w:r>
          </w:p>
        </w:tc>
      </w:tr>
      <w:tr>
        <w:trPr>
          <w:trHeight w:val="324"/>
        </w:trPr>
        <w:tc>
          <w:tcPr>
            <w:tcW w:w="2400" w:type="dxa"/>
            <w:vAlign w:val="bottom"/>
            <w:gridSpan w:val="2"/>
          </w:tcPr>
          <w:p>
            <w:pPr>
              <w:ind w:left="500"/>
              <w:spacing w:after="0"/>
              <w:rPr>
                <w:sz w:val="20"/>
                <w:szCs w:val="20"/>
                <w:color w:val="auto"/>
              </w:rPr>
            </w:pPr>
            <w:r>
              <w:rPr>
                <w:rFonts w:ascii="Arial" w:cs="Arial" w:eastAsia="Arial" w:hAnsi="Arial"/>
                <w:sz w:val="14"/>
                <w:szCs w:val="14"/>
                <w:color w:val="auto"/>
              </w:rPr>
              <w:t>SECTION 1.05.</w:t>
            </w:r>
          </w:p>
        </w:tc>
        <w:tc>
          <w:tcPr>
            <w:tcW w:w="6000" w:type="dxa"/>
            <w:vAlign w:val="bottom"/>
          </w:tcPr>
          <w:p>
            <w:pPr>
              <w:ind w:left="360"/>
              <w:spacing w:after="0"/>
              <w:rPr>
                <w:sz w:val="20"/>
                <w:szCs w:val="20"/>
                <w:color w:val="auto"/>
              </w:rPr>
            </w:pPr>
            <w:r>
              <w:rPr>
                <w:rFonts w:ascii="Arial" w:cs="Arial" w:eastAsia="Arial" w:hAnsi="Arial"/>
                <w:sz w:val="14"/>
                <w:szCs w:val="14"/>
                <w:color w:val="auto"/>
              </w:rPr>
              <w:t>Currencies; Currency Equivalents</w:t>
            </w:r>
          </w:p>
        </w:tc>
        <w:tc>
          <w:tcPr>
            <w:tcW w:w="2860" w:type="dxa"/>
            <w:vAlign w:val="bottom"/>
          </w:tcPr>
          <w:p>
            <w:pPr>
              <w:jc w:val="right"/>
              <w:spacing w:after="0"/>
              <w:rPr>
                <w:sz w:val="20"/>
                <w:szCs w:val="20"/>
                <w:color w:val="auto"/>
              </w:rPr>
            </w:pPr>
            <w:r>
              <w:rPr>
                <w:rFonts w:ascii="Arial" w:cs="Arial" w:eastAsia="Arial" w:hAnsi="Arial"/>
                <w:sz w:val="14"/>
                <w:szCs w:val="14"/>
                <w:color w:val="auto"/>
              </w:rPr>
              <w:t>20</w:t>
            </w:r>
          </w:p>
        </w:tc>
      </w:tr>
      <w:tr>
        <w:trPr>
          <w:trHeight w:val="324"/>
        </w:trPr>
        <w:tc>
          <w:tcPr>
            <w:tcW w:w="940" w:type="dxa"/>
            <w:vAlign w:val="bottom"/>
          </w:tcPr>
          <w:p>
            <w:pPr>
              <w:spacing w:after="0"/>
              <w:rPr>
                <w:sz w:val="20"/>
                <w:szCs w:val="20"/>
                <w:color w:val="auto"/>
              </w:rPr>
            </w:pPr>
            <w:r>
              <w:rPr>
                <w:rFonts w:ascii="Arial" w:cs="Arial" w:eastAsia="Arial" w:hAnsi="Arial"/>
                <w:sz w:val="14"/>
                <w:szCs w:val="14"/>
                <w:color w:val="auto"/>
              </w:rPr>
              <w:t>ARTICLE II</w:t>
            </w:r>
          </w:p>
        </w:tc>
        <w:tc>
          <w:tcPr>
            <w:tcW w:w="1460" w:type="dxa"/>
            <w:vAlign w:val="bottom"/>
          </w:tcPr>
          <w:p>
            <w:pPr>
              <w:jc w:val="right"/>
              <w:ind w:right="288"/>
              <w:spacing w:after="0"/>
              <w:rPr>
                <w:sz w:val="20"/>
                <w:szCs w:val="20"/>
                <w:color w:val="auto"/>
              </w:rPr>
            </w:pPr>
            <w:r>
              <w:rPr>
                <w:rFonts w:ascii="Arial" w:cs="Arial" w:eastAsia="Arial" w:hAnsi="Arial"/>
                <w:sz w:val="14"/>
                <w:szCs w:val="14"/>
                <w:color w:val="auto"/>
              </w:rPr>
              <w:t>THE CREDITS</w:t>
            </w:r>
          </w:p>
        </w:tc>
        <w:tc>
          <w:tcPr>
            <w:tcW w:w="6000" w:type="dxa"/>
            <w:vAlign w:val="bottom"/>
          </w:tcPr>
          <w:p>
            <w:pPr>
              <w:spacing w:after="0"/>
              <w:rPr>
                <w:sz w:val="24"/>
                <w:szCs w:val="24"/>
                <w:color w:val="auto"/>
              </w:rPr>
            </w:pPr>
          </w:p>
        </w:tc>
        <w:tc>
          <w:tcPr>
            <w:tcW w:w="2860" w:type="dxa"/>
            <w:vAlign w:val="bottom"/>
          </w:tcPr>
          <w:p>
            <w:pPr>
              <w:jc w:val="right"/>
              <w:spacing w:after="0"/>
              <w:rPr>
                <w:sz w:val="20"/>
                <w:szCs w:val="20"/>
                <w:color w:val="auto"/>
              </w:rPr>
            </w:pPr>
            <w:r>
              <w:rPr>
                <w:rFonts w:ascii="Arial" w:cs="Arial" w:eastAsia="Arial" w:hAnsi="Arial"/>
                <w:sz w:val="14"/>
                <w:szCs w:val="14"/>
                <w:color w:val="auto"/>
              </w:rPr>
              <w:t>20</w:t>
            </w:r>
          </w:p>
        </w:tc>
      </w:tr>
      <w:tr>
        <w:trPr>
          <w:trHeight w:val="324"/>
        </w:trPr>
        <w:tc>
          <w:tcPr>
            <w:tcW w:w="2400" w:type="dxa"/>
            <w:vAlign w:val="bottom"/>
            <w:gridSpan w:val="2"/>
          </w:tcPr>
          <w:p>
            <w:pPr>
              <w:ind w:left="500"/>
              <w:spacing w:after="0"/>
              <w:rPr>
                <w:sz w:val="20"/>
                <w:szCs w:val="20"/>
                <w:color w:val="auto"/>
              </w:rPr>
            </w:pPr>
            <w:r>
              <w:rPr>
                <w:rFonts w:ascii="Arial" w:cs="Arial" w:eastAsia="Arial" w:hAnsi="Arial"/>
                <w:sz w:val="14"/>
                <w:szCs w:val="14"/>
                <w:color w:val="auto"/>
              </w:rPr>
              <w:t>SECTION 2.01.</w:t>
            </w:r>
          </w:p>
        </w:tc>
        <w:tc>
          <w:tcPr>
            <w:tcW w:w="6000" w:type="dxa"/>
            <w:vAlign w:val="bottom"/>
          </w:tcPr>
          <w:p>
            <w:pPr>
              <w:ind w:left="360"/>
              <w:spacing w:after="0"/>
              <w:rPr>
                <w:sz w:val="20"/>
                <w:szCs w:val="20"/>
                <w:color w:val="auto"/>
              </w:rPr>
            </w:pPr>
            <w:r>
              <w:rPr>
                <w:rFonts w:ascii="Arial" w:cs="Arial" w:eastAsia="Arial" w:hAnsi="Arial"/>
                <w:sz w:val="14"/>
                <w:szCs w:val="14"/>
                <w:color w:val="auto"/>
              </w:rPr>
              <w:t>The Commitments</w:t>
            </w:r>
          </w:p>
        </w:tc>
        <w:tc>
          <w:tcPr>
            <w:tcW w:w="2860" w:type="dxa"/>
            <w:vAlign w:val="bottom"/>
          </w:tcPr>
          <w:p>
            <w:pPr>
              <w:jc w:val="right"/>
              <w:spacing w:after="0"/>
              <w:rPr>
                <w:sz w:val="20"/>
                <w:szCs w:val="20"/>
                <w:color w:val="auto"/>
              </w:rPr>
            </w:pPr>
            <w:r>
              <w:rPr>
                <w:rFonts w:ascii="Arial" w:cs="Arial" w:eastAsia="Arial" w:hAnsi="Arial"/>
                <w:sz w:val="14"/>
                <w:szCs w:val="14"/>
                <w:color w:val="auto"/>
              </w:rPr>
              <w:t>20</w:t>
            </w:r>
          </w:p>
        </w:tc>
      </w:tr>
      <w:tr>
        <w:trPr>
          <w:trHeight w:val="324"/>
        </w:trPr>
        <w:tc>
          <w:tcPr>
            <w:tcW w:w="2400" w:type="dxa"/>
            <w:vAlign w:val="bottom"/>
            <w:gridSpan w:val="2"/>
          </w:tcPr>
          <w:p>
            <w:pPr>
              <w:ind w:left="500"/>
              <w:spacing w:after="0"/>
              <w:rPr>
                <w:sz w:val="20"/>
                <w:szCs w:val="20"/>
                <w:color w:val="auto"/>
              </w:rPr>
            </w:pPr>
            <w:r>
              <w:rPr>
                <w:rFonts w:ascii="Arial" w:cs="Arial" w:eastAsia="Arial" w:hAnsi="Arial"/>
                <w:sz w:val="14"/>
                <w:szCs w:val="14"/>
                <w:color w:val="auto"/>
              </w:rPr>
              <w:t>SECTION 2.02.</w:t>
            </w:r>
          </w:p>
        </w:tc>
        <w:tc>
          <w:tcPr>
            <w:tcW w:w="6000" w:type="dxa"/>
            <w:vAlign w:val="bottom"/>
          </w:tcPr>
          <w:p>
            <w:pPr>
              <w:ind w:left="360"/>
              <w:spacing w:after="0"/>
              <w:rPr>
                <w:sz w:val="20"/>
                <w:szCs w:val="20"/>
                <w:color w:val="auto"/>
              </w:rPr>
            </w:pPr>
            <w:r>
              <w:rPr>
                <w:rFonts w:ascii="Arial" w:cs="Arial" w:eastAsia="Arial" w:hAnsi="Arial"/>
                <w:sz w:val="14"/>
                <w:szCs w:val="14"/>
                <w:color w:val="auto"/>
              </w:rPr>
              <w:t>Loans and Borrowings</w:t>
            </w:r>
          </w:p>
        </w:tc>
        <w:tc>
          <w:tcPr>
            <w:tcW w:w="2860" w:type="dxa"/>
            <w:vAlign w:val="bottom"/>
          </w:tcPr>
          <w:p>
            <w:pPr>
              <w:jc w:val="right"/>
              <w:spacing w:after="0"/>
              <w:rPr>
                <w:sz w:val="20"/>
                <w:szCs w:val="20"/>
                <w:color w:val="auto"/>
              </w:rPr>
            </w:pPr>
            <w:r>
              <w:rPr>
                <w:rFonts w:ascii="Arial" w:cs="Arial" w:eastAsia="Arial" w:hAnsi="Arial"/>
                <w:sz w:val="14"/>
                <w:szCs w:val="14"/>
                <w:color w:val="auto"/>
              </w:rPr>
              <w:t>21</w:t>
            </w:r>
          </w:p>
        </w:tc>
      </w:tr>
      <w:tr>
        <w:trPr>
          <w:trHeight w:val="324"/>
        </w:trPr>
        <w:tc>
          <w:tcPr>
            <w:tcW w:w="2400" w:type="dxa"/>
            <w:vAlign w:val="bottom"/>
            <w:gridSpan w:val="2"/>
          </w:tcPr>
          <w:p>
            <w:pPr>
              <w:ind w:left="500"/>
              <w:spacing w:after="0"/>
              <w:rPr>
                <w:sz w:val="20"/>
                <w:szCs w:val="20"/>
                <w:color w:val="auto"/>
              </w:rPr>
            </w:pPr>
            <w:r>
              <w:rPr>
                <w:rFonts w:ascii="Arial" w:cs="Arial" w:eastAsia="Arial" w:hAnsi="Arial"/>
                <w:sz w:val="14"/>
                <w:szCs w:val="14"/>
                <w:color w:val="auto"/>
              </w:rPr>
              <w:t>SECTION 2.03.</w:t>
            </w:r>
          </w:p>
        </w:tc>
        <w:tc>
          <w:tcPr>
            <w:tcW w:w="6000" w:type="dxa"/>
            <w:vAlign w:val="bottom"/>
          </w:tcPr>
          <w:p>
            <w:pPr>
              <w:ind w:left="360"/>
              <w:spacing w:after="0"/>
              <w:rPr>
                <w:sz w:val="20"/>
                <w:szCs w:val="20"/>
                <w:color w:val="auto"/>
              </w:rPr>
            </w:pPr>
            <w:r>
              <w:rPr>
                <w:rFonts w:ascii="Arial" w:cs="Arial" w:eastAsia="Arial" w:hAnsi="Arial"/>
                <w:sz w:val="14"/>
                <w:szCs w:val="14"/>
                <w:color w:val="auto"/>
              </w:rPr>
              <w:t>Requests for Syndicated Borrowings</w:t>
            </w:r>
          </w:p>
        </w:tc>
        <w:tc>
          <w:tcPr>
            <w:tcW w:w="2860" w:type="dxa"/>
            <w:vAlign w:val="bottom"/>
          </w:tcPr>
          <w:p>
            <w:pPr>
              <w:jc w:val="right"/>
              <w:spacing w:after="0"/>
              <w:rPr>
                <w:sz w:val="20"/>
                <w:szCs w:val="20"/>
                <w:color w:val="auto"/>
              </w:rPr>
            </w:pPr>
            <w:r>
              <w:rPr>
                <w:rFonts w:ascii="Arial" w:cs="Arial" w:eastAsia="Arial" w:hAnsi="Arial"/>
                <w:sz w:val="14"/>
                <w:szCs w:val="14"/>
                <w:color w:val="auto"/>
              </w:rPr>
              <w:t>21</w:t>
            </w:r>
          </w:p>
        </w:tc>
      </w:tr>
      <w:tr>
        <w:trPr>
          <w:trHeight w:val="324"/>
        </w:trPr>
        <w:tc>
          <w:tcPr>
            <w:tcW w:w="2400" w:type="dxa"/>
            <w:vAlign w:val="bottom"/>
            <w:gridSpan w:val="2"/>
          </w:tcPr>
          <w:p>
            <w:pPr>
              <w:ind w:left="500"/>
              <w:spacing w:after="0"/>
              <w:rPr>
                <w:sz w:val="20"/>
                <w:szCs w:val="20"/>
                <w:color w:val="auto"/>
              </w:rPr>
            </w:pPr>
            <w:r>
              <w:rPr>
                <w:rFonts w:ascii="Arial" w:cs="Arial" w:eastAsia="Arial" w:hAnsi="Arial"/>
                <w:sz w:val="14"/>
                <w:szCs w:val="14"/>
                <w:color w:val="auto"/>
              </w:rPr>
              <w:t>SECTION 2.04.</w:t>
            </w:r>
          </w:p>
        </w:tc>
        <w:tc>
          <w:tcPr>
            <w:tcW w:w="6000" w:type="dxa"/>
            <w:vAlign w:val="bottom"/>
          </w:tcPr>
          <w:p>
            <w:pPr>
              <w:ind w:left="360"/>
              <w:spacing w:after="0"/>
              <w:rPr>
                <w:sz w:val="20"/>
                <w:szCs w:val="20"/>
                <w:color w:val="auto"/>
              </w:rPr>
            </w:pPr>
            <w:r>
              <w:rPr>
                <w:rFonts w:ascii="Arial" w:cs="Arial" w:eastAsia="Arial" w:hAnsi="Arial"/>
                <w:sz w:val="14"/>
                <w:szCs w:val="14"/>
                <w:color w:val="auto"/>
              </w:rPr>
              <w:t>Swingline Loans</w:t>
            </w:r>
          </w:p>
        </w:tc>
        <w:tc>
          <w:tcPr>
            <w:tcW w:w="2860" w:type="dxa"/>
            <w:vAlign w:val="bottom"/>
          </w:tcPr>
          <w:p>
            <w:pPr>
              <w:jc w:val="right"/>
              <w:spacing w:after="0"/>
              <w:rPr>
                <w:sz w:val="20"/>
                <w:szCs w:val="20"/>
                <w:color w:val="auto"/>
              </w:rPr>
            </w:pPr>
            <w:r>
              <w:rPr>
                <w:rFonts w:ascii="Arial" w:cs="Arial" w:eastAsia="Arial" w:hAnsi="Arial"/>
                <w:sz w:val="14"/>
                <w:szCs w:val="14"/>
                <w:color w:val="auto"/>
              </w:rPr>
              <w:t>22</w:t>
            </w:r>
          </w:p>
        </w:tc>
      </w:tr>
      <w:tr>
        <w:trPr>
          <w:trHeight w:val="324"/>
        </w:trPr>
        <w:tc>
          <w:tcPr>
            <w:tcW w:w="2400" w:type="dxa"/>
            <w:vAlign w:val="bottom"/>
            <w:gridSpan w:val="2"/>
          </w:tcPr>
          <w:p>
            <w:pPr>
              <w:ind w:left="500"/>
              <w:spacing w:after="0"/>
              <w:rPr>
                <w:sz w:val="20"/>
                <w:szCs w:val="20"/>
                <w:color w:val="auto"/>
              </w:rPr>
            </w:pPr>
            <w:r>
              <w:rPr>
                <w:rFonts w:ascii="Arial" w:cs="Arial" w:eastAsia="Arial" w:hAnsi="Arial"/>
                <w:sz w:val="14"/>
                <w:szCs w:val="14"/>
                <w:color w:val="auto"/>
              </w:rPr>
              <w:t>SECTION 2.05.</w:t>
            </w:r>
          </w:p>
        </w:tc>
        <w:tc>
          <w:tcPr>
            <w:tcW w:w="6000" w:type="dxa"/>
            <w:vAlign w:val="bottom"/>
          </w:tcPr>
          <w:p>
            <w:pPr>
              <w:ind w:left="360"/>
              <w:spacing w:after="0"/>
              <w:rPr>
                <w:sz w:val="20"/>
                <w:szCs w:val="20"/>
                <w:color w:val="auto"/>
              </w:rPr>
            </w:pPr>
            <w:r>
              <w:rPr>
                <w:rFonts w:ascii="Arial" w:cs="Arial" w:eastAsia="Arial" w:hAnsi="Arial"/>
                <w:sz w:val="14"/>
                <w:szCs w:val="14"/>
                <w:color w:val="auto"/>
              </w:rPr>
              <w:t>Letters of Credit</w:t>
            </w:r>
          </w:p>
        </w:tc>
        <w:tc>
          <w:tcPr>
            <w:tcW w:w="2860" w:type="dxa"/>
            <w:vAlign w:val="bottom"/>
          </w:tcPr>
          <w:p>
            <w:pPr>
              <w:jc w:val="right"/>
              <w:spacing w:after="0"/>
              <w:rPr>
                <w:sz w:val="20"/>
                <w:szCs w:val="20"/>
                <w:color w:val="auto"/>
              </w:rPr>
            </w:pPr>
            <w:r>
              <w:rPr>
                <w:rFonts w:ascii="Arial" w:cs="Arial" w:eastAsia="Arial" w:hAnsi="Arial"/>
                <w:sz w:val="14"/>
                <w:szCs w:val="14"/>
                <w:color w:val="auto"/>
              </w:rPr>
              <w:t>23</w:t>
            </w:r>
          </w:p>
        </w:tc>
      </w:tr>
      <w:tr>
        <w:trPr>
          <w:trHeight w:val="324"/>
        </w:trPr>
        <w:tc>
          <w:tcPr>
            <w:tcW w:w="2400" w:type="dxa"/>
            <w:vAlign w:val="bottom"/>
            <w:gridSpan w:val="2"/>
          </w:tcPr>
          <w:p>
            <w:pPr>
              <w:ind w:left="500"/>
              <w:spacing w:after="0"/>
              <w:rPr>
                <w:sz w:val="20"/>
                <w:szCs w:val="20"/>
                <w:color w:val="auto"/>
              </w:rPr>
            </w:pPr>
            <w:r>
              <w:rPr>
                <w:rFonts w:ascii="Arial" w:cs="Arial" w:eastAsia="Arial" w:hAnsi="Arial"/>
                <w:sz w:val="14"/>
                <w:szCs w:val="14"/>
                <w:color w:val="auto"/>
              </w:rPr>
              <w:t>SECTION 2.06.</w:t>
            </w:r>
          </w:p>
        </w:tc>
        <w:tc>
          <w:tcPr>
            <w:tcW w:w="6000" w:type="dxa"/>
            <w:vAlign w:val="bottom"/>
          </w:tcPr>
          <w:p>
            <w:pPr>
              <w:ind w:left="360"/>
              <w:spacing w:after="0"/>
              <w:rPr>
                <w:sz w:val="20"/>
                <w:szCs w:val="20"/>
                <w:color w:val="auto"/>
              </w:rPr>
            </w:pPr>
            <w:r>
              <w:rPr>
                <w:rFonts w:ascii="Arial" w:cs="Arial" w:eastAsia="Arial" w:hAnsi="Arial"/>
                <w:sz w:val="14"/>
                <w:szCs w:val="14"/>
                <w:color w:val="auto"/>
              </w:rPr>
              <w:t>Funding of Borrowings</w:t>
            </w:r>
          </w:p>
        </w:tc>
        <w:tc>
          <w:tcPr>
            <w:tcW w:w="2860" w:type="dxa"/>
            <w:vAlign w:val="bottom"/>
          </w:tcPr>
          <w:p>
            <w:pPr>
              <w:jc w:val="right"/>
              <w:spacing w:after="0"/>
              <w:rPr>
                <w:sz w:val="20"/>
                <w:szCs w:val="20"/>
                <w:color w:val="auto"/>
              </w:rPr>
            </w:pPr>
            <w:r>
              <w:rPr>
                <w:rFonts w:ascii="Arial" w:cs="Arial" w:eastAsia="Arial" w:hAnsi="Arial"/>
                <w:sz w:val="14"/>
                <w:szCs w:val="14"/>
                <w:color w:val="auto"/>
              </w:rPr>
              <w:t>25</w:t>
            </w:r>
          </w:p>
        </w:tc>
      </w:tr>
      <w:tr>
        <w:trPr>
          <w:trHeight w:val="324"/>
        </w:trPr>
        <w:tc>
          <w:tcPr>
            <w:tcW w:w="2400" w:type="dxa"/>
            <w:vAlign w:val="bottom"/>
            <w:gridSpan w:val="2"/>
          </w:tcPr>
          <w:p>
            <w:pPr>
              <w:ind w:left="500"/>
              <w:spacing w:after="0"/>
              <w:rPr>
                <w:sz w:val="20"/>
                <w:szCs w:val="20"/>
                <w:color w:val="auto"/>
              </w:rPr>
            </w:pPr>
            <w:r>
              <w:rPr>
                <w:rFonts w:ascii="Arial" w:cs="Arial" w:eastAsia="Arial" w:hAnsi="Arial"/>
                <w:sz w:val="14"/>
                <w:szCs w:val="14"/>
                <w:color w:val="auto"/>
              </w:rPr>
              <w:t>SECTION 2.07.</w:t>
            </w:r>
          </w:p>
        </w:tc>
        <w:tc>
          <w:tcPr>
            <w:tcW w:w="6000" w:type="dxa"/>
            <w:vAlign w:val="bottom"/>
          </w:tcPr>
          <w:p>
            <w:pPr>
              <w:ind w:left="360"/>
              <w:spacing w:after="0"/>
              <w:rPr>
                <w:sz w:val="20"/>
                <w:szCs w:val="20"/>
                <w:color w:val="auto"/>
              </w:rPr>
            </w:pPr>
            <w:r>
              <w:rPr>
                <w:rFonts w:ascii="Arial" w:cs="Arial" w:eastAsia="Arial" w:hAnsi="Arial"/>
                <w:sz w:val="14"/>
                <w:szCs w:val="14"/>
                <w:color w:val="auto"/>
              </w:rPr>
              <w:t>Interest Elections</w:t>
            </w:r>
          </w:p>
        </w:tc>
        <w:tc>
          <w:tcPr>
            <w:tcW w:w="2860" w:type="dxa"/>
            <w:vAlign w:val="bottom"/>
          </w:tcPr>
          <w:p>
            <w:pPr>
              <w:jc w:val="right"/>
              <w:spacing w:after="0"/>
              <w:rPr>
                <w:sz w:val="20"/>
                <w:szCs w:val="20"/>
                <w:color w:val="auto"/>
              </w:rPr>
            </w:pPr>
            <w:r>
              <w:rPr>
                <w:rFonts w:ascii="Arial" w:cs="Arial" w:eastAsia="Arial" w:hAnsi="Arial"/>
                <w:sz w:val="14"/>
                <w:szCs w:val="14"/>
                <w:color w:val="auto"/>
              </w:rPr>
              <w:t>25</w:t>
            </w:r>
          </w:p>
        </w:tc>
      </w:tr>
      <w:tr>
        <w:trPr>
          <w:trHeight w:val="324"/>
        </w:trPr>
        <w:tc>
          <w:tcPr>
            <w:tcW w:w="2400" w:type="dxa"/>
            <w:vAlign w:val="bottom"/>
            <w:gridSpan w:val="2"/>
          </w:tcPr>
          <w:p>
            <w:pPr>
              <w:ind w:left="500"/>
              <w:spacing w:after="0"/>
              <w:rPr>
                <w:sz w:val="20"/>
                <w:szCs w:val="20"/>
                <w:color w:val="auto"/>
              </w:rPr>
            </w:pPr>
            <w:r>
              <w:rPr>
                <w:rFonts w:ascii="Arial" w:cs="Arial" w:eastAsia="Arial" w:hAnsi="Arial"/>
                <w:sz w:val="14"/>
                <w:szCs w:val="14"/>
                <w:color w:val="auto"/>
              </w:rPr>
              <w:t>SECTION 2.08.</w:t>
            </w:r>
          </w:p>
        </w:tc>
        <w:tc>
          <w:tcPr>
            <w:tcW w:w="6000" w:type="dxa"/>
            <w:vAlign w:val="bottom"/>
          </w:tcPr>
          <w:p>
            <w:pPr>
              <w:ind w:left="360"/>
              <w:spacing w:after="0"/>
              <w:rPr>
                <w:sz w:val="20"/>
                <w:szCs w:val="20"/>
                <w:color w:val="auto"/>
              </w:rPr>
            </w:pPr>
            <w:r>
              <w:rPr>
                <w:rFonts w:ascii="Arial" w:cs="Arial" w:eastAsia="Arial" w:hAnsi="Arial"/>
                <w:sz w:val="14"/>
                <w:szCs w:val="14"/>
                <w:color w:val="auto"/>
              </w:rPr>
              <w:t>Termination, Reduction or Increase of the Commitments</w:t>
            </w:r>
          </w:p>
        </w:tc>
        <w:tc>
          <w:tcPr>
            <w:tcW w:w="2860" w:type="dxa"/>
            <w:vAlign w:val="bottom"/>
          </w:tcPr>
          <w:p>
            <w:pPr>
              <w:jc w:val="right"/>
              <w:spacing w:after="0"/>
              <w:rPr>
                <w:sz w:val="20"/>
                <w:szCs w:val="20"/>
                <w:color w:val="auto"/>
              </w:rPr>
            </w:pPr>
            <w:r>
              <w:rPr>
                <w:rFonts w:ascii="Arial" w:cs="Arial" w:eastAsia="Arial" w:hAnsi="Arial"/>
                <w:sz w:val="14"/>
                <w:szCs w:val="14"/>
                <w:color w:val="auto"/>
              </w:rPr>
              <w:t>26</w:t>
            </w:r>
          </w:p>
        </w:tc>
      </w:tr>
      <w:tr>
        <w:trPr>
          <w:trHeight w:val="324"/>
        </w:trPr>
        <w:tc>
          <w:tcPr>
            <w:tcW w:w="2400" w:type="dxa"/>
            <w:vAlign w:val="bottom"/>
            <w:gridSpan w:val="2"/>
          </w:tcPr>
          <w:p>
            <w:pPr>
              <w:ind w:left="500"/>
              <w:spacing w:after="0"/>
              <w:rPr>
                <w:sz w:val="20"/>
                <w:szCs w:val="20"/>
                <w:color w:val="auto"/>
              </w:rPr>
            </w:pPr>
            <w:r>
              <w:rPr>
                <w:rFonts w:ascii="Arial" w:cs="Arial" w:eastAsia="Arial" w:hAnsi="Arial"/>
                <w:sz w:val="14"/>
                <w:szCs w:val="14"/>
                <w:color w:val="auto"/>
              </w:rPr>
              <w:t>SECTION 2.09.</w:t>
            </w:r>
          </w:p>
        </w:tc>
        <w:tc>
          <w:tcPr>
            <w:tcW w:w="6000" w:type="dxa"/>
            <w:vAlign w:val="bottom"/>
          </w:tcPr>
          <w:p>
            <w:pPr>
              <w:ind w:left="360"/>
              <w:spacing w:after="0"/>
              <w:rPr>
                <w:sz w:val="20"/>
                <w:szCs w:val="20"/>
                <w:color w:val="auto"/>
              </w:rPr>
            </w:pPr>
            <w:r>
              <w:rPr>
                <w:rFonts w:ascii="Arial" w:cs="Arial" w:eastAsia="Arial" w:hAnsi="Arial"/>
                <w:sz w:val="14"/>
                <w:szCs w:val="14"/>
                <w:color w:val="auto"/>
              </w:rPr>
              <w:t>Repayment of Loans; Evidence of Debt</w:t>
            </w:r>
          </w:p>
        </w:tc>
        <w:tc>
          <w:tcPr>
            <w:tcW w:w="2860" w:type="dxa"/>
            <w:vAlign w:val="bottom"/>
          </w:tcPr>
          <w:p>
            <w:pPr>
              <w:jc w:val="right"/>
              <w:spacing w:after="0"/>
              <w:rPr>
                <w:sz w:val="20"/>
                <w:szCs w:val="20"/>
                <w:color w:val="auto"/>
              </w:rPr>
            </w:pPr>
            <w:r>
              <w:rPr>
                <w:rFonts w:ascii="Arial" w:cs="Arial" w:eastAsia="Arial" w:hAnsi="Arial"/>
                <w:sz w:val="14"/>
                <w:szCs w:val="14"/>
                <w:color w:val="auto"/>
              </w:rPr>
              <w:t>27</w:t>
            </w:r>
          </w:p>
        </w:tc>
      </w:tr>
      <w:tr>
        <w:trPr>
          <w:trHeight w:val="324"/>
        </w:trPr>
        <w:tc>
          <w:tcPr>
            <w:tcW w:w="2400" w:type="dxa"/>
            <w:vAlign w:val="bottom"/>
            <w:gridSpan w:val="2"/>
          </w:tcPr>
          <w:p>
            <w:pPr>
              <w:ind w:left="500"/>
              <w:spacing w:after="0"/>
              <w:rPr>
                <w:sz w:val="20"/>
                <w:szCs w:val="20"/>
                <w:color w:val="auto"/>
              </w:rPr>
            </w:pPr>
            <w:r>
              <w:rPr>
                <w:rFonts w:ascii="Arial" w:cs="Arial" w:eastAsia="Arial" w:hAnsi="Arial"/>
                <w:sz w:val="14"/>
                <w:szCs w:val="14"/>
                <w:color w:val="auto"/>
              </w:rPr>
              <w:t>SECTION 2.10.</w:t>
            </w:r>
          </w:p>
        </w:tc>
        <w:tc>
          <w:tcPr>
            <w:tcW w:w="6000" w:type="dxa"/>
            <w:vAlign w:val="bottom"/>
          </w:tcPr>
          <w:p>
            <w:pPr>
              <w:ind w:left="360"/>
              <w:spacing w:after="0"/>
              <w:rPr>
                <w:sz w:val="20"/>
                <w:szCs w:val="20"/>
                <w:color w:val="auto"/>
              </w:rPr>
            </w:pPr>
            <w:r>
              <w:rPr>
                <w:rFonts w:ascii="Arial" w:cs="Arial" w:eastAsia="Arial" w:hAnsi="Arial"/>
                <w:sz w:val="14"/>
                <w:szCs w:val="14"/>
                <w:color w:val="auto"/>
              </w:rPr>
              <w:t>Prepayment of Loans</w:t>
            </w:r>
          </w:p>
        </w:tc>
        <w:tc>
          <w:tcPr>
            <w:tcW w:w="2860" w:type="dxa"/>
            <w:vAlign w:val="bottom"/>
          </w:tcPr>
          <w:p>
            <w:pPr>
              <w:jc w:val="right"/>
              <w:spacing w:after="0"/>
              <w:rPr>
                <w:sz w:val="20"/>
                <w:szCs w:val="20"/>
                <w:color w:val="auto"/>
              </w:rPr>
            </w:pPr>
            <w:r>
              <w:rPr>
                <w:rFonts w:ascii="Arial" w:cs="Arial" w:eastAsia="Arial" w:hAnsi="Arial"/>
                <w:sz w:val="14"/>
                <w:szCs w:val="14"/>
                <w:color w:val="auto"/>
              </w:rPr>
              <w:t>28</w:t>
            </w:r>
          </w:p>
        </w:tc>
      </w:tr>
      <w:tr>
        <w:trPr>
          <w:trHeight w:val="324"/>
        </w:trPr>
        <w:tc>
          <w:tcPr>
            <w:tcW w:w="2400" w:type="dxa"/>
            <w:vAlign w:val="bottom"/>
            <w:gridSpan w:val="2"/>
          </w:tcPr>
          <w:p>
            <w:pPr>
              <w:ind w:left="500"/>
              <w:spacing w:after="0"/>
              <w:rPr>
                <w:sz w:val="20"/>
                <w:szCs w:val="20"/>
                <w:color w:val="auto"/>
              </w:rPr>
            </w:pPr>
            <w:r>
              <w:rPr>
                <w:rFonts w:ascii="Arial" w:cs="Arial" w:eastAsia="Arial" w:hAnsi="Arial"/>
                <w:sz w:val="14"/>
                <w:szCs w:val="14"/>
                <w:color w:val="auto"/>
              </w:rPr>
              <w:t>SECTION 2.11.</w:t>
            </w:r>
          </w:p>
        </w:tc>
        <w:tc>
          <w:tcPr>
            <w:tcW w:w="6000" w:type="dxa"/>
            <w:vAlign w:val="bottom"/>
          </w:tcPr>
          <w:p>
            <w:pPr>
              <w:ind w:left="360"/>
              <w:spacing w:after="0"/>
              <w:rPr>
                <w:sz w:val="20"/>
                <w:szCs w:val="20"/>
                <w:color w:val="auto"/>
              </w:rPr>
            </w:pPr>
            <w:r>
              <w:rPr>
                <w:rFonts w:ascii="Arial" w:cs="Arial" w:eastAsia="Arial" w:hAnsi="Arial"/>
                <w:sz w:val="14"/>
                <w:szCs w:val="14"/>
                <w:color w:val="auto"/>
              </w:rPr>
              <w:t>Fees</w:t>
            </w:r>
          </w:p>
        </w:tc>
        <w:tc>
          <w:tcPr>
            <w:tcW w:w="2860" w:type="dxa"/>
            <w:vAlign w:val="bottom"/>
          </w:tcPr>
          <w:p>
            <w:pPr>
              <w:jc w:val="right"/>
              <w:spacing w:after="0"/>
              <w:rPr>
                <w:sz w:val="20"/>
                <w:szCs w:val="20"/>
                <w:color w:val="auto"/>
              </w:rPr>
            </w:pPr>
            <w:r>
              <w:rPr>
                <w:rFonts w:ascii="Arial" w:cs="Arial" w:eastAsia="Arial" w:hAnsi="Arial"/>
                <w:sz w:val="14"/>
                <w:szCs w:val="14"/>
                <w:color w:val="auto"/>
              </w:rPr>
              <w:t>30</w:t>
            </w:r>
          </w:p>
        </w:tc>
      </w:tr>
      <w:tr>
        <w:trPr>
          <w:trHeight w:val="324"/>
        </w:trPr>
        <w:tc>
          <w:tcPr>
            <w:tcW w:w="2400" w:type="dxa"/>
            <w:vAlign w:val="bottom"/>
            <w:gridSpan w:val="2"/>
          </w:tcPr>
          <w:p>
            <w:pPr>
              <w:ind w:left="500"/>
              <w:spacing w:after="0"/>
              <w:rPr>
                <w:sz w:val="20"/>
                <w:szCs w:val="20"/>
                <w:color w:val="auto"/>
              </w:rPr>
            </w:pPr>
            <w:r>
              <w:rPr>
                <w:rFonts w:ascii="Arial" w:cs="Arial" w:eastAsia="Arial" w:hAnsi="Arial"/>
                <w:sz w:val="14"/>
                <w:szCs w:val="14"/>
                <w:color w:val="auto"/>
              </w:rPr>
              <w:t>SECTION 2.12.</w:t>
            </w:r>
          </w:p>
        </w:tc>
        <w:tc>
          <w:tcPr>
            <w:tcW w:w="6000" w:type="dxa"/>
            <w:vAlign w:val="bottom"/>
          </w:tcPr>
          <w:p>
            <w:pPr>
              <w:ind w:left="360"/>
              <w:spacing w:after="0"/>
              <w:rPr>
                <w:sz w:val="20"/>
                <w:szCs w:val="20"/>
                <w:color w:val="auto"/>
              </w:rPr>
            </w:pPr>
            <w:r>
              <w:rPr>
                <w:rFonts w:ascii="Arial" w:cs="Arial" w:eastAsia="Arial" w:hAnsi="Arial"/>
                <w:sz w:val="14"/>
                <w:szCs w:val="14"/>
                <w:color w:val="auto"/>
              </w:rPr>
              <w:t>Interest</w:t>
            </w:r>
          </w:p>
        </w:tc>
        <w:tc>
          <w:tcPr>
            <w:tcW w:w="2860" w:type="dxa"/>
            <w:vAlign w:val="bottom"/>
          </w:tcPr>
          <w:p>
            <w:pPr>
              <w:jc w:val="right"/>
              <w:spacing w:after="0"/>
              <w:rPr>
                <w:sz w:val="20"/>
                <w:szCs w:val="20"/>
                <w:color w:val="auto"/>
              </w:rPr>
            </w:pPr>
            <w:r>
              <w:rPr>
                <w:rFonts w:ascii="Arial" w:cs="Arial" w:eastAsia="Arial" w:hAnsi="Arial"/>
                <w:sz w:val="14"/>
                <w:szCs w:val="14"/>
                <w:color w:val="auto"/>
              </w:rPr>
              <w:t>31</w:t>
            </w:r>
          </w:p>
        </w:tc>
      </w:tr>
      <w:tr>
        <w:trPr>
          <w:trHeight w:val="324"/>
        </w:trPr>
        <w:tc>
          <w:tcPr>
            <w:tcW w:w="2400" w:type="dxa"/>
            <w:vAlign w:val="bottom"/>
            <w:gridSpan w:val="2"/>
          </w:tcPr>
          <w:p>
            <w:pPr>
              <w:ind w:left="500"/>
              <w:spacing w:after="0"/>
              <w:rPr>
                <w:sz w:val="20"/>
                <w:szCs w:val="20"/>
                <w:color w:val="auto"/>
              </w:rPr>
            </w:pPr>
            <w:r>
              <w:rPr>
                <w:rFonts w:ascii="Arial" w:cs="Arial" w:eastAsia="Arial" w:hAnsi="Arial"/>
                <w:sz w:val="14"/>
                <w:szCs w:val="14"/>
                <w:color w:val="auto"/>
              </w:rPr>
              <w:t>SECTION 2.13.</w:t>
            </w:r>
          </w:p>
        </w:tc>
        <w:tc>
          <w:tcPr>
            <w:tcW w:w="6000" w:type="dxa"/>
            <w:vAlign w:val="bottom"/>
          </w:tcPr>
          <w:p>
            <w:pPr>
              <w:ind w:left="360"/>
              <w:spacing w:after="0"/>
              <w:rPr>
                <w:sz w:val="20"/>
                <w:szCs w:val="20"/>
                <w:color w:val="auto"/>
              </w:rPr>
            </w:pPr>
            <w:r>
              <w:rPr>
                <w:rFonts w:ascii="Arial" w:cs="Arial" w:eastAsia="Arial" w:hAnsi="Arial"/>
                <w:sz w:val="14"/>
                <w:szCs w:val="14"/>
                <w:color w:val="auto"/>
              </w:rPr>
              <w:t>Alternate Rate of Interest</w:t>
            </w:r>
          </w:p>
        </w:tc>
        <w:tc>
          <w:tcPr>
            <w:tcW w:w="2860" w:type="dxa"/>
            <w:vAlign w:val="bottom"/>
          </w:tcPr>
          <w:p>
            <w:pPr>
              <w:jc w:val="right"/>
              <w:spacing w:after="0"/>
              <w:rPr>
                <w:sz w:val="20"/>
                <w:szCs w:val="20"/>
                <w:color w:val="auto"/>
              </w:rPr>
            </w:pPr>
            <w:r>
              <w:rPr>
                <w:rFonts w:ascii="Arial" w:cs="Arial" w:eastAsia="Arial" w:hAnsi="Arial"/>
                <w:sz w:val="14"/>
                <w:szCs w:val="14"/>
                <w:color w:val="auto"/>
              </w:rPr>
              <w:t>31</w:t>
            </w:r>
          </w:p>
        </w:tc>
      </w:tr>
      <w:tr>
        <w:trPr>
          <w:trHeight w:val="324"/>
        </w:trPr>
        <w:tc>
          <w:tcPr>
            <w:tcW w:w="2400" w:type="dxa"/>
            <w:vAlign w:val="bottom"/>
            <w:gridSpan w:val="2"/>
          </w:tcPr>
          <w:p>
            <w:pPr>
              <w:ind w:left="500"/>
              <w:spacing w:after="0"/>
              <w:rPr>
                <w:sz w:val="20"/>
                <w:szCs w:val="20"/>
                <w:color w:val="auto"/>
              </w:rPr>
            </w:pPr>
            <w:r>
              <w:rPr>
                <w:rFonts w:ascii="Arial" w:cs="Arial" w:eastAsia="Arial" w:hAnsi="Arial"/>
                <w:sz w:val="14"/>
                <w:szCs w:val="14"/>
                <w:color w:val="auto"/>
              </w:rPr>
              <w:t>SECTION 2.14.</w:t>
            </w:r>
          </w:p>
        </w:tc>
        <w:tc>
          <w:tcPr>
            <w:tcW w:w="6000" w:type="dxa"/>
            <w:vAlign w:val="bottom"/>
          </w:tcPr>
          <w:p>
            <w:pPr>
              <w:ind w:left="360"/>
              <w:spacing w:after="0"/>
              <w:rPr>
                <w:sz w:val="20"/>
                <w:szCs w:val="20"/>
                <w:color w:val="auto"/>
              </w:rPr>
            </w:pPr>
            <w:r>
              <w:rPr>
                <w:rFonts w:ascii="Arial" w:cs="Arial" w:eastAsia="Arial" w:hAnsi="Arial"/>
                <w:sz w:val="14"/>
                <w:szCs w:val="14"/>
                <w:color w:val="auto"/>
              </w:rPr>
              <w:t>Increased Costs</w:t>
            </w:r>
          </w:p>
        </w:tc>
        <w:tc>
          <w:tcPr>
            <w:tcW w:w="2860" w:type="dxa"/>
            <w:vAlign w:val="bottom"/>
          </w:tcPr>
          <w:p>
            <w:pPr>
              <w:jc w:val="right"/>
              <w:spacing w:after="0"/>
              <w:rPr>
                <w:sz w:val="20"/>
                <w:szCs w:val="20"/>
                <w:color w:val="auto"/>
              </w:rPr>
            </w:pPr>
            <w:r>
              <w:rPr>
                <w:rFonts w:ascii="Arial" w:cs="Arial" w:eastAsia="Arial" w:hAnsi="Arial"/>
                <w:sz w:val="14"/>
                <w:szCs w:val="14"/>
                <w:color w:val="auto"/>
              </w:rPr>
              <w:t>31</w:t>
            </w:r>
          </w:p>
        </w:tc>
      </w:tr>
      <w:tr>
        <w:trPr>
          <w:trHeight w:val="324"/>
        </w:trPr>
        <w:tc>
          <w:tcPr>
            <w:tcW w:w="2400" w:type="dxa"/>
            <w:vAlign w:val="bottom"/>
            <w:gridSpan w:val="2"/>
          </w:tcPr>
          <w:p>
            <w:pPr>
              <w:ind w:left="500"/>
              <w:spacing w:after="0"/>
              <w:rPr>
                <w:sz w:val="20"/>
                <w:szCs w:val="20"/>
                <w:color w:val="auto"/>
              </w:rPr>
            </w:pPr>
            <w:r>
              <w:rPr>
                <w:rFonts w:ascii="Arial" w:cs="Arial" w:eastAsia="Arial" w:hAnsi="Arial"/>
                <w:sz w:val="14"/>
                <w:szCs w:val="14"/>
                <w:color w:val="auto"/>
              </w:rPr>
              <w:t>SECTION 2.15.</w:t>
            </w:r>
          </w:p>
        </w:tc>
        <w:tc>
          <w:tcPr>
            <w:tcW w:w="6000" w:type="dxa"/>
            <w:vAlign w:val="bottom"/>
          </w:tcPr>
          <w:p>
            <w:pPr>
              <w:ind w:left="360"/>
              <w:spacing w:after="0"/>
              <w:rPr>
                <w:sz w:val="20"/>
                <w:szCs w:val="20"/>
                <w:color w:val="auto"/>
              </w:rPr>
            </w:pPr>
            <w:r>
              <w:rPr>
                <w:rFonts w:ascii="Arial" w:cs="Arial" w:eastAsia="Arial" w:hAnsi="Arial"/>
                <w:sz w:val="14"/>
                <w:szCs w:val="14"/>
                <w:color w:val="auto"/>
              </w:rPr>
              <w:t>Break Funding Payments</w:t>
            </w:r>
          </w:p>
        </w:tc>
        <w:tc>
          <w:tcPr>
            <w:tcW w:w="2860" w:type="dxa"/>
            <w:vAlign w:val="bottom"/>
          </w:tcPr>
          <w:p>
            <w:pPr>
              <w:jc w:val="right"/>
              <w:spacing w:after="0"/>
              <w:rPr>
                <w:sz w:val="20"/>
                <w:szCs w:val="20"/>
                <w:color w:val="auto"/>
              </w:rPr>
            </w:pPr>
            <w:r>
              <w:rPr>
                <w:rFonts w:ascii="Arial" w:cs="Arial" w:eastAsia="Arial" w:hAnsi="Arial"/>
                <w:sz w:val="14"/>
                <w:szCs w:val="14"/>
                <w:color w:val="auto"/>
              </w:rPr>
              <w:t>32</w:t>
            </w:r>
          </w:p>
        </w:tc>
      </w:tr>
      <w:tr>
        <w:trPr>
          <w:trHeight w:val="324"/>
        </w:trPr>
        <w:tc>
          <w:tcPr>
            <w:tcW w:w="2400" w:type="dxa"/>
            <w:vAlign w:val="bottom"/>
            <w:gridSpan w:val="2"/>
          </w:tcPr>
          <w:p>
            <w:pPr>
              <w:ind w:left="500"/>
              <w:spacing w:after="0"/>
              <w:rPr>
                <w:sz w:val="20"/>
                <w:szCs w:val="20"/>
                <w:color w:val="auto"/>
              </w:rPr>
            </w:pPr>
            <w:r>
              <w:rPr>
                <w:rFonts w:ascii="Arial" w:cs="Arial" w:eastAsia="Arial" w:hAnsi="Arial"/>
                <w:sz w:val="14"/>
                <w:szCs w:val="14"/>
                <w:color w:val="auto"/>
              </w:rPr>
              <w:t>SECTION 2.16.</w:t>
            </w:r>
          </w:p>
        </w:tc>
        <w:tc>
          <w:tcPr>
            <w:tcW w:w="6000" w:type="dxa"/>
            <w:vAlign w:val="bottom"/>
          </w:tcPr>
          <w:p>
            <w:pPr>
              <w:ind w:left="360"/>
              <w:spacing w:after="0"/>
              <w:rPr>
                <w:sz w:val="20"/>
                <w:szCs w:val="20"/>
                <w:color w:val="auto"/>
              </w:rPr>
            </w:pPr>
            <w:r>
              <w:rPr>
                <w:rFonts w:ascii="Arial" w:cs="Arial" w:eastAsia="Arial" w:hAnsi="Arial"/>
                <w:sz w:val="14"/>
                <w:szCs w:val="14"/>
                <w:color w:val="auto"/>
              </w:rPr>
              <w:t>Taxes</w:t>
            </w:r>
          </w:p>
        </w:tc>
        <w:tc>
          <w:tcPr>
            <w:tcW w:w="2860" w:type="dxa"/>
            <w:vAlign w:val="bottom"/>
          </w:tcPr>
          <w:p>
            <w:pPr>
              <w:jc w:val="right"/>
              <w:spacing w:after="0"/>
              <w:rPr>
                <w:sz w:val="20"/>
                <w:szCs w:val="20"/>
                <w:color w:val="auto"/>
              </w:rPr>
            </w:pPr>
            <w:r>
              <w:rPr>
                <w:rFonts w:ascii="Arial" w:cs="Arial" w:eastAsia="Arial" w:hAnsi="Arial"/>
                <w:sz w:val="14"/>
                <w:szCs w:val="14"/>
                <w:color w:val="auto"/>
              </w:rPr>
              <w:t>33</w:t>
            </w:r>
          </w:p>
        </w:tc>
      </w:tr>
      <w:tr>
        <w:trPr>
          <w:trHeight w:val="290"/>
        </w:trPr>
        <w:tc>
          <w:tcPr>
            <w:tcW w:w="2400" w:type="dxa"/>
            <w:vAlign w:val="bottom"/>
            <w:gridSpan w:val="2"/>
          </w:tcPr>
          <w:p>
            <w:pPr>
              <w:ind w:left="500"/>
              <w:spacing w:after="0"/>
              <w:rPr>
                <w:sz w:val="20"/>
                <w:szCs w:val="20"/>
                <w:color w:val="auto"/>
              </w:rPr>
            </w:pPr>
            <w:r>
              <w:rPr>
                <w:rFonts w:ascii="Arial" w:cs="Arial" w:eastAsia="Arial" w:hAnsi="Arial"/>
                <w:sz w:val="14"/>
                <w:szCs w:val="14"/>
                <w:color w:val="auto"/>
              </w:rPr>
              <w:t>SECTION 2.17.</w:t>
            </w:r>
          </w:p>
        </w:tc>
        <w:tc>
          <w:tcPr>
            <w:tcW w:w="6000" w:type="dxa"/>
            <w:vAlign w:val="bottom"/>
          </w:tcPr>
          <w:p>
            <w:pPr>
              <w:ind w:left="360"/>
              <w:spacing w:after="0"/>
              <w:rPr>
                <w:sz w:val="20"/>
                <w:szCs w:val="20"/>
                <w:color w:val="auto"/>
              </w:rPr>
            </w:pPr>
            <w:r>
              <w:rPr>
                <w:rFonts w:ascii="Arial" w:cs="Arial" w:eastAsia="Arial" w:hAnsi="Arial"/>
                <w:sz w:val="14"/>
                <w:szCs w:val="14"/>
                <w:color w:val="auto"/>
              </w:rPr>
              <w:t>Payments Generally; Pro Rata Treatment: Sharing of</w:t>
            </w:r>
          </w:p>
        </w:tc>
        <w:tc>
          <w:tcPr>
            <w:tcW w:w="2860" w:type="dxa"/>
            <w:vAlign w:val="bottom"/>
          </w:tcPr>
          <w:p>
            <w:pPr>
              <w:spacing w:after="0"/>
              <w:rPr>
                <w:sz w:val="24"/>
                <w:szCs w:val="24"/>
                <w:color w:val="auto"/>
              </w:rPr>
            </w:pPr>
          </w:p>
        </w:tc>
      </w:tr>
      <w:tr>
        <w:trPr>
          <w:trHeight w:val="182"/>
        </w:trPr>
        <w:tc>
          <w:tcPr>
            <w:tcW w:w="940" w:type="dxa"/>
            <w:vAlign w:val="bottom"/>
          </w:tcPr>
          <w:p>
            <w:pPr>
              <w:spacing w:after="0"/>
              <w:rPr>
                <w:sz w:val="15"/>
                <w:szCs w:val="15"/>
                <w:color w:val="auto"/>
              </w:rPr>
            </w:pPr>
          </w:p>
        </w:tc>
        <w:tc>
          <w:tcPr>
            <w:tcW w:w="1460" w:type="dxa"/>
            <w:vAlign w:val="bottom"/>
          </w:tcPr>
          <w:p>
            <w:pPr>
              <w:spacing w:after="0"/>
              <w:rPr>
                <w:sz w:val="15"/>
                <w:szCs w:val="15"/>
                <w:color w:val="auto"/>
              </w:rPr>
            </w:pPr>
          </w:p>
        </w:tc>
        <w:tc>
          <w:tcPr>
            <w:tcW w:w="6000" w:type="dxa"/>
            <w:vAlign w:val="bottom"/>
          </w:tcPr>
          <w:p>
            <w:pPr>
              <w:ind w:left="580"/>
              <w:spacing w:after="0"/>
              <w:rPr>
                <w:sz w:val="20"/>
                <w:szCs w:val="20"/>
                <w:color w:val="auto"/>
              </w:rPr>
            </w:pPr>
            <w:r>
              <w:rPr>
                <w:rFonts w:ascii="Arial" w:cs="Arial" w:eastAsia="Arial" w:hAnsi="Arial"/>
                <w:sz w:val="14"/>
                <w:szCs w:val="14"/>
                <w:color w:val="auto"/>
              </w:rPr>
              <w:t>Set-offs</w:t>
            </w:r>
          </w:p>
        </w:tc>
        <w:tc>
          <w:tcPr>
            <w:tcW w:w="2860" w:type="dxa"/>
            <w:vAlign w:val="bottom"/>
          </w:tcPr>
          <w:p>
            <w:pPr>
              <w:jc w:val="right"/>
              <w:spacing w:after="0"/>
              <w:rPr>
                <w:sz w:val="20"/>
                <w:szCs w:val="20"/>
                <w:color w:val="auto"/>
              </w:rPr>
            </w:pPr>
            <w:r>
              <w:rPr>
                <w:rFonts w:ascii="Arial" w:cs="Arial" w:eastAsia="Arial" w:hAnsi="Arial"/>
                <w:sz w:val="14"/>
                <w:szCs w:val="14"/>
                <w:color w:val="auto"/>
              </w:rPr>
              <w:t>35</w:t>
            </w:r>
          </w:p>
        </w:tc>
      </w:tr>
      <w:tr>
        <w:trPr>
          <w:trHeight w:val="324"/>
        </w:trPr>
        <w:tc>
          <w:tcPr>
            <w:tcW w:w="2400" w:type="dxa"/>
            <w:vAlign w:val="bottom"/>
            <w:gridSpan w:val="2"/>
          </w:tcPr>
          <w:p>
            <w:pPr>
              <w:ind w:left="500"/>
              <w:spacing w:after="0"/>
              <w:rPr>
                <w:sz w:val="20"/>
                <w:szCs w:val="20"/>
                <w:color w:val="auto"/>
              </w:rPr>
            </w:pPr>
            <w:r>
              <w:rPr>
                <w:rFonts w:ascii="Arial" w:cs="Arial" w:eastAsia="Arial" w:hAnsi="Arial"/>
                <w:sz w:val="14"/>
                <w:szCs w:val="14"/>
                <w:color w:val="auto"/>
              </w:rPr>
              <w:t>SECTION 2.18.</w:t>
            </w:r>
          </w:p>
        </w:tc>
        <w:tc>
          <w:tcPr>
            <w:tcW w:w="6000" w:type="dxa"/>
            <w:vAlign w:val="bottom"/>
          </w:tcPr>
          <w:p>
            <w:pPr>
              <w:ind w:left="360"/>
              <w:spacing w:after="0"/>
              <w:rPr>
                <w:sz w:val="20"/>
                <w:szCs w:val="20"/>
                <w:color w:val="auto"/>
              </w:rPr>
            </w:pPr>
            <w:r>
              <w:rPr>
                <w:rFonts w:ascii="Arial" w:cs="Arial" w:eastAsia="Arial" w:hAnsi="Arial"/>
                <w:sz w:val="14"/>
                <w:szCs w:val="14"/>
                <w:color w:val="auto"/>
              </w:rPr>
              <w:t>Mitigation Obligations; Replacement of Lenders</w:t>
            </w:r>
          </w:p>
        </w:tc>
        <w:tc>
          <w:tcPr>
            <w:tcW w:w="2860" w:type="dxa"/>
            <w:vAlign w:val="bottom"/>
          </w:tcPr>
          <w:p>
            <w:pPr>
              <w:jc w:val="right"/>
              <w:spacing w:after="0"/>
              <w:rPr>
                <w:sz w:val="20"/>
                <w:szCs w:val="20"/>
                <w:color w:val="auto"/>
              </w:rPr>
            </w:pPr>
            <w:r>
              <w:rPr>
                <w:rFonts w:ascii="Arial" w:cs="Arial" w:eastAsia="Arial" w:hAnsi="Arial"/>
                <w:sz w:val="14"/>
                <w:szCs w:val="14"/>
                <w:color w:val="auto"/>
              </w:rPr>
              <w:t>36</w:t>
            </w:r>
          </w:p>
        </w:tc>
      </w:tr>
      <w:tr>
        <w:trPr>
          <w:trHeight w:val="324"/>
        </w:trPr>
        <w:tc>
          <w:tcPr>
            <w:tcW w:w="2400" w:type="dxa"/>
            <w:vAlign w:val="bottom"/>
            <w:gridSpan w:val="2"/>
          </w:tcPr>
          <w:p>
            <w:pPr>
              <w:ind w:left="500"/>
              <w:spacing w:after="0"/>
              <w:rPr>
                <w:sz w:val="20"/>
                <w:szCs w:val="20"/>
                <w:color w:val="auto"/>
              </w:rPr>
            </w:pPr>
            <w:r>
              <w:rPr>
                <w:rFonts w:ascii="Arial" w:cs="Arial" w:eastAsia="Arial" w:hAnsi="Arial"/>
                <w:sz w:val="14"/>
                <w:szCs w:val="14"/>
                <w:color w:val="auto"/>
              </w:rPr>
              <w:t>SECTION 2.19.</w:t>
            </w:r>
          </w:p>
        </w:tc>
        <w:tc>
          <w:tcPr>
            <w:tcW w:w="6000" w:type="dxa"/>
            <w:vAlign w:val="bottom"/>
          </w:tcPr>
          <w:p>
            <w:pPr>
              <w:ind w:left="360"/>
              <w:spacing w:after="0"/>
              <w:rPr>
                <w:sz w:val="20"/>
                <w:szCs w:val="20"/>
                <w:color w:val="auto"/>
              </w:rPr>
            </w:pPr>
            <w:r>
              <w:rPr>
                <w:rFonts w:ascii="Arial" w:cs="Arial" w:eastAsia="Arial" w:hAnsi="Arial"/>
                <w:sz w:val="14"/>
                <w:szCs w:val="14"/>
                <w:color w:val="auto"/>
              </w:rPr>
              <w:t>Defaulting Lenders</w:t>
            </w:r>
          </w:p>
        </w:tc>
        <w:tc>
          <w:tcPr>
            <w:tcW w:w="2860" w:type="dxa"/>
            <w:vAlign w:val="bottom"/>
          </w:tcPr>
          <w:p>
            <w:pPr>
              <w:jc w:val="right"/>
              <w:spacing w:after="0"/>
              <w:rPr>
                <w:sz w:val="20"/>
                <w:szCs w:val="20"/>
                <w:color w:val="auto"/>
              </w:rPr>
            </w:pPr>
            <w:r>
              <w:rPr>
                <w:rFonts w:ascii="Arial" w:cs="Arial" w:eastAsia="Arial" w:hAnsi="Arial"/>
                <w:sz w:val="14"/>
                <w:szCs w:val="14"/>
                <w:color w:val="auto"/>
              </w:rPr>
              <w:t>36</w:t>
            </w:r>
          </w:p>
        </w:tc>
      </w:tr>
      <w:tr>
        <w:trPr>
          <w:trHeight w:val="400"/>
        </w:trPr>
        <w:tc>
          <w:tcPr>
            <w:tcW w:w="940" w:type="dxa"/>
            <w:vAlign w:val="bottom"/>
          </w:tcPr>
          <w:p>
            <w:pPr>
              <w:spacing w:after="0"/>
              <w:rPr>
                <w:sz w:val="24"/>
                <w:szCs w:val="24"/>
                <w:color w:val="auto"/>
              </w:rPr>
            </w:pPr>
          </w:p>
        </w:tc>
        <w:tc>
          <w:tcPr>
            <w:tcW w:w="1460" w:type="dxa"/>
            <w:vAlign w:val="bottom"/>
          </w:tcPr>
          <w:p>
            <w:pPr>
              <w:spacing w:after="0"/>
              <w:rPr>
                <w:sz w:val="24"/>
                <w:szCs w:val="24"/>
                <w:color w:val="auto"/>
              </w:rPr>
            </w:pPr>
          </w:p>
        </w:tc>
        <w:tc>
          <w:tcPr>
            <w:tcW w:w="6000" w:type="dxa"/>
            <w:vAlign w:val="bottom"/>
          </w:tcPr>
          <w:p>
            <w:pPr>
              <w:ind w:left="3140"/>
              <w:spacing w:after="0"/>
              <w:rPr>
                <w:sz w:val="20"/>
                <w:szCs w:val="20"/>
                <w:color w:val="auto"/>
              </w:rPr>
            </w:pPr>
            <w:r>
              <w:rPr>
                <w:rFonts w:ascii="Arial" w:cs="Arial" w:eastAsia="Arial" w:hAnsi="Arial"/>
                <w:sz w:val="14"/>
                <w:szCs w:val="14"/>
                <w:color w:val="auto"/>
              </w:rPr>
              <w:t>-i</w:t>
            </w:r>
            <w:r>
              <w:rPr>
                <w:rFonts w:ascii="Arial" w:cs="Arial" w:eastAsia="Arial" w:hAnsi="Arial"/>
                <w:sz w:val="21"/>
                <w:szCs w:val="21"/>
                <w:color w:val="auto"/>
              </w:rPr>
              <w:t>-</w:t>
            </w:r>
          </w:p>
        </w:tc>
        <w:tc>
          <w:tcPr>
            <w:tcW w:w="2860" w:type="dxa"/>
            <w:vAlign w:val="bottom"/>
          </w:tcPr>
          <w:p>
            <w:pPr>
              <w:spacing w:after="0"/>
              <w:rPr>
                <w:sz w:val="24"/>
                <w:szCs w:val="24"/>
                <w:color w:val="auto"/>
              </w:rPr>
            </w:pPr>
          </w:p>
        </w:tc>
      </w:tr>
      <w:tr>
        <w:trPr>
          <w:trHeight w:val="510"/>
        </w:trPr>
        <w:tc>
          <w:tcPr>
            <w:tcW w:w="940" w:type="dxa"/>
            <w:vAlign w:val="bottom"/>
            <w:tcBorders>
              <w:bottom w:val="single" w:sz="8" w:color="9A9A9A"/>
            </w:tcBorders>
          </w:tcPr>
          <w:p>
            <w:pPr>
              <w:spacing w:after="0"/>
              <w:rPr>
                <w:sz w:val="24"/>
                <w:szCs w:val="24"/>
                <w:color w:val="auto"/>
              </w:rPr>
            </w:pPr>
          </w:p>
        </w:tc>
        <w:tc>
          <w:tcPr>
            <w:tcW w:w="1460" w:type="dxa"/>
            <w:vAlign w:val="bottom"/>
            <w:tcBorders>
              <w:bottom w:val="single" w:sz="8" w:color="9A9A9A"/>
            </w:tcBorders>
          </w:tcPr>
          <w:p>
            <w:pPr>
              <w:spacing w:after="0"/>
              <w:rPr>
                <w:sz w:val="24"/>
                <w:szCs w:val="24"/>
                <w:color w:val="auto"/>
              </w:rPr>
            </w:pPr>
          </w:p>
        </w:tc>
        <w:tc>
          <w:tcPr>
            <w:tcW w:w="6000" w:type="dxa"/>
            <w:vAlign w:val="bottom"/>
            <w:tcBorders>
              <w:bottom w:val="single" w:sz="8" w:color="9A9A9A"/>
            </w:tcBorders>
          </w:tcPr>
          <w:p>
            <w:pPr>
              <w:spacing w:after="0"/>
              <w:rPr>
                <w:sz w:val="24"/>
                <w:szCs w:val="24"/>
                <w:color w:val="auto"/>
              </w:rPr>
            </w:pPr>
          </w:p>
        </w:tc>
        <w:tc>
          <w:tcPr>
            <w:tcW w:w="286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7145655</wp:posOffset>
            </wp:positionH>
            <wp:positionV relativeFrom="paragraph">
              <wp:posOffset>-7620</wp:posOffset>
            </wp:positionV>
            <wp:extent cx="8255" cy="8255"/>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-16510</wp:posOffset>
            </wp:positionV>
            <wp:extent cx="8890" cy="17145"/>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8890" cy="17145"/>
                    </a:xfrm>
                    <a:prstGeom prst="rect">
                      <a:avLst/>
                    </a:prstGeom>
                    <a:noFill/>
                  </pic:spPr>
                </pic:pic>
              </a:graphicData>
            </a:graphic>
          </wp:anchor>
        </w:drawing>
      </w:r>
    </w:p>
    <w:p>
      <w:pPr>
        <w:sectPr>
          <w:pgSz w:w="11900" w:h="16838" w:orient="portrait"/>
          <w:cols w:equalWidth="0" w:num="1">
            <w:col w:w="11260"/>
          </w:cols>
          <w:pgMar w:left="320" w:top="495" w:right="319" w:bottom="1440" w:gutter="0" w:footer="0" w:header="0"/>
        </w:sectPr>
      </w:pPr>
    </w:p>
    <w:bookmarkStart w:id="60" w:name="page61"/>
    <w:bookmarkEnd w:id="60"/>
    <w:tbl>
      <w:tblPr>
        <w:tblLayout w:type="fixed"/>
        <w:tblInd w:w="0" w:type="dxa"/>
        <w:tblCellMar>
          <w:top w:w="0" w:type="dxa"/>
          <w:left w:w="0" w:type="dxa"/>
          <w:bottom w:w="0" w:type="dxa"/>
          <w:right w:w="0" w:type="dxa"/>
        </w:tblCellMar>
      </w:tblPr>
      <w:tr>
        <w:trPr>
          <w:trHeight w:val="182"/>
        </w:trPr>
        <w:tc>
          <w:tcPr>
            <w:tcW w:w="960" w:type="dxa"/>
            <w:vAlign w:val="bottom"/>
          </w:tcPr>
          <w:p>
            <w:pPr>
              <w:spacing w:after="0"/>
              <w:rPr>
                <w:sz w:val="20"/>
                <w:szCs w:val="20"/>
                <w:color w:val="auto"/>
              </w:rPr>
            </w:pPr>
            <w:r>
              <w:rPr>
                <w:rFonts w:ascii="Arial" w:cs="Arial" w:eastAsia="Arial" w:hAnsi="Arial"/>
                <w:sz w:val="14"/>
                <w:szCs w:val="14"/>
                <w:color w:val="auto"/>
              </w:rPr>
              <w:t>ARTICLE III</w:t>
            </w:r>
          </w:p>
        </w:tc>
        <w:tc>
          <w:tcPr>
            <w:tcW w:w="7840" w:type="dxa"/>
            <w:vAlign w:val="bottom"/>
            <w:gridSpan w:val="2"/>
          </w:tcPr>
          <w:p>
            <w:pPr>
              <w:ind w:left="180"/>
              <w:spacing w:after="0"/>
              <w:rPr>
                <w:sz w:val="20"/>
                <w:szCs w:val="20"/>
                <w:color w:val="auto"/>
              </w:rPr>
            </w:pPr>
            <w:r>
              <w:rPr>
                <w:rFonts w:ascii="Arial" w:cs="Arial" w:eastAsia="Arial" w:hAnsi="Arial"/>
                <w:sz w:val="14"/>
                <w:szCs w:val="14"/>
                <w:color w:val="auto"/>
              </w:rPr>
              <w:t>REPRESENTATIONS AND WARRANTIES</w:t>
            </w:r>
          </w:p>
        </w:tc>
        <w:tc>
          <w:tcPr>
            <w:tcW w:w="2460" w:type="dxa"/>
            <w:vAlign w:val="bottom"/>
          </w:tcPr>
          <w:p>
            <w:pPr>
              <w:jc w:val="right"/>
              <w:spacing w:after="0"/>
              <w:rPr>
                <w:sz w:val="20"/>
                <w:szCs w:val="20"/>
                <w:color w:val="auto"/>
              </w:rPr>
            </w:pPr>
            <w:r>
              <w:rPr>
                <w:rFonts w:ascii="Arial" w:cs="Arial" w:eastAsia="Arial" w:hAnsi="Arial"/>
                <w:sz w:val="14"/>
                <w:szCs w:val="14"/>
                <w:color w:val="auto"/>
              </w:rPr>
              <w:t>38</w:t>
            </w:r>
          </w:p>
        </w:tc>
      </w:tr>
      <w:tr>
        <w:trPr>
          <w:trHeight w:val="324"/>
        </w:trPr>
        <w:tc>
          <w:tcPr>
            <w:tcW w:w="2400" w:type="dxa"/>
            <w:vAlign w:val="bottom"/>
            <w:gridSpan w:val="2"/>
          </w:tcPr>
          <w:p>
            <w:pPr>
              <w:ind w:left="500"/>
              <w:spacing w:after="0"/>
              <w:rPr>
                <w:sz w:val="20"/>
                <w:szCs w:val="20"/>
                <w:color w:val="auto"/>
              </w:rPr>
            </w:pPr>
            <w:r>
              <w:rPr>
                <w:rFonts w:ascii="Arial" w:cs="Arial" w:eastAsia="Arial" w:hAnsi="Arial"/>
                <w:sz w:val="14"/>
                <w:szCs w:val="14"/>
                <w:color w:val="auto"/>
              </w:rPr>
              <w:t>SECTION 3.01.</w:t>
            </w:r>
          </w:p>
        </w:tc>
        <w:tc>
          <w:tcPr>
            <w:tcW w:w="6400" w:type="dxa"/>
            <w:vAlign w:val="bottom"/>
          </w:tcPr>
          <w:p>
            <w:pPr>
              <w:ind w:left="360"/>
              <w:spacing w:after="0"/>
              <w:rPr>
                <w:sz w:val="20"/>
                <w:szCs w:val="20"/>
                <w:color w:val="auto"/>
              </w:rPr>
            </w:pPr>
            <w:r>
              <w:rPr>
                <w:rFonts w:ascii="Arial" w:cs="Arial" w:eastAsia="Arial" w:hAnsi="Arial"/>
                <w:sz w:val="14"/>
                <w:szCs w:val="14"/>
                <w:color w:val="auto"/>
              </w:rPr>
              <w:t>Organization; Powers</w:t>
            </w:r>
          </w:p>
        </w:tc>
        <w:tc>
          <w:tcPr>
            <w:tcW w:w="2460" w:type="dxa"/>
            <w:vAlign w:val="bottom"/>
          </w:tcPr>
          <w:p>
            <w:pPr>
              <w:jc w:val="right"/>
              <w:spacing w:after="0"/>
              <w:rPr>
                <w:sz w:val="20"/>
                <w:szCs w:val="20"/>
                <w:color w:val="auto"/>
              </w:rPr>
            </w:pPr>
            <w:r>
              <w:rPr>
                <w:rFonts w:ascii="Arial" w:cs="Arial" w:eastAsia="Arial" w:hAnsi="Arial"/>
                <w:sz w:val="14"/>
                <w:szCs w:val="14"/>
                <w:color w:val="auto"/>
              </w:rPr>
              <w:t>38</w:t>
            </w:r>
          </w:p>
        </w:tc>
      </w:tr>
      <w:tr>
        <w:trPr>
          <w:trHeight w:val="324"/>
        </w:trPr>
        <w:tc>
          <w:tcPr>
            <w:tcW w:w="2400" w:type="dxa"/>
            <w:vAlign w:val="bottom"/>
            <w:gridSpan w:val="2"/>
          </w:tcPr>
          <w:p>
            <w:pPr>
              <w:ind w:left="500"/>
              <w:spacing w:after="0"/>
              <w:rPr>
                <w:sz w:val="20"/>
                <w:szCs w:val="20"/>
                <w:color w:val="auto"/>
              </w:rPr>
            </w:pPr>
            <w:r>
              <w:rPr>
                <w:rFonts w:ascii="Arial" w:cs="Arial" w:eastAsia="Arial" w:hAnsi="Arial"/>
                <w:sz w:val="14"/>
                <w:szCs w:val="14"/>
                <w:color w:val="auto"/>
              </w:rPr>
              <w:t>SECTION 3.02.</w:t>
            </w:r>
          </w:p>
        </w:tc>
        <w:tc>
          <w:tcPr>
            <w:tcW w:w="6400" w:type="dxa"/>
            <w:vAlign w:val="bottom"/>
          </w:tcPr>
          <w:p>
            <w:pPr>
              <w:ind w:left="360"/>
              <w:spacing w:after="0"/>
              <w:rPr>
                <w:sz w:val="20"/>
                <w:szCs w:val="20"/>
                <w:color w:val="auto"/>
              </w:rPr>
            </w:pPr>
            <w:r>
              <w:rPr>
                <w:rFonts w:ascii="Arial" w:cs="Arial" w:eastAsia="Arial" w:hAnsi="Arial"/>
                <w:sz w:val="14"/>
                <w:szCs w:val="14"/>
                <w:color w:val="auto"/>
              </w:rPr>
              <w:t>Authorization; Enforceability</w:t>
            </w:r>
          </w:p>
        </w:tc>
        <w:tc>
          <w:tcPr>
            <w:tcW w:w="2460" w:type="dxa"/>
            <w:vAlign w:val="bottom"/>
          </w:tcPr>
          <w:p>
            <w:pPr>
              <w:jc w:val="right"/>
              <w:spacing w:after="0"/>
              <w:rPr>
                <w:sz w:val="20"/>
                <w:szCs w:val="20"/>
                <w:color w:val="auto"/>
              </w:rPr>
            </w:pPr>
            <w:r>
              <w:rPr>
                <w:rFonts w:ascii="Arial" w:cs="Arial" w:eastAsia="Arial" w:hAnsi="Arial"/>
                <w:sz w:val="14"/>
                <w:szCs w:val="14"/>
                <w:color w:val="auto"/>
              </w:rPr>
              <w:t>38</w:t>
            </w:r>
          </w:p>
        </w:tc>
      </w:tr>
      <w:tr>
        <w:trPr>
          <w:trHeight w:val="324"/>
        </w:trPr>
        <w:tc>
          <w:tcPr>
            <w:tcW w:w="2400" w:type="dxa"/>
            <w:vAlign w:val="bottom"/>
            <w:gridSpan w:val="2"/>
          </w:tcPr>
          <w:p>
            <w:pPr>
              <w:ind w:left="500"/>
              <w:spacing w:after="0"/>
              <w:rPr>
                <w:sz w:val="20"/>
                <w:szCs w:val="20"/>
                <w:color w:val="auto"/>
              </w:rPr>
            </w:pPr>
            <w:r>
              <w:rPr>
                <w:rFonts w:ascii="Arial" w:cs="Arial" w:eastAsia="Arial" w:hAnsi="Arial"/>
                <w:sz w:val="14"/>
                <w:szCs w:val="14"/>
                <w:color w:val="auto"/>
              </w:rPr>
              <w:t>SECTION 3.03.</w:t>
            </w:r>
          </w:p>
        </w:tc>
        <w:tc>
          <w:tcPr>
            <w:tcW w:w="6400" w:type="dxa"/>
            <w:vAlign w:val="bottom"/>
          </w:tcPr>
          <w:p>
            <w:pPr>
              <w:ind w:left="360"/>
              <w:spacing w:after="0"/>
              <w:rPr>
                <w:sz w:val="20"/>
                <w:szCs w:val="20"/>
                <w:color w:val="auto"/>
              </w:rPr>
            </w:pPr>
            <w:r>
              <w:rPr>
                <w:rFonts w:ascii="Arial" w:cs="Arial" w:eastAsia="Arial" w:hAnsi="Arial"/>
                <w:sz w:val="14"/>
                <w:szCs w:val="14"/>
                <w:color w:val="auto"/>
              </w:rPr>
              <w:t>Governmental Approvals; No Conflicts</w:t>
            </w:r>
          </w:p>
        </w:tc>
        <w:tc>
          <w:tcPr>
            <w:tcW w:w="2460" w:type="dxa"/>
            <w:vAlign w:val="bottom"/>
          </w:tcPr>
          <w:p>
            <w:pPr>
              <w:jc w:val="right"/>
              <w:spacing w:after="0"/>
              <w:rPr>
                <w:sz w:val="20"/>
                <w:szCs w:val="20"/>
                <w:color w:val="auto"/>
              </w:rPr>
            </w:pPr>
            <w:r>
              <w:rPr>
                <w:rFonts w:ascii="Arial" w:cs="Arial" w:eastAsia="Arial" w:hAnsi="Arial"/>
                <w:sz w:val="14"/>
                <w:szCs w:val="14"/>
                <w:color w:val="auto"/>
              </w:rPr>
              <w:t>38</w:t>
            </w:r>
          </w:p>
        </w:tc>
      </w:tr>
      <w:tr>
        <w:trPr>
          <w:trHeight w:val="324"/>
        </w:trPr>
        <w:tc>
          <w:tcPr>
            <w:tcW w:w="2400" w:type="dxa"/>
            <w:vAlign w:val="bottom"/>
            <w:gridSpan w:val="2"/>
          </w:tcPr>
          <w:p>
            <w:pPr>
              <w:ind w:left="500"/>
              <w:spacing w:after="0"/>
              <w:rPr>
                <w:sz w:val="20"/>
                <w:szCs w:val="20"/>
                <w:color w:val="auto"/>
              </w:rPr>
            </w:pPr>
            <w:r>
              <w:rPr>
                <w:rFonts w:ascii="Arial" w:cs="Arial" w:eastAsia="Arial" w:hAnsi="Arial"/>
                <w:sz w:val="14"/>
                <w:szCs w:val="14"/>
                <w:color w:val="auto"/>
              </w:rPr>
              <w:t>SECTION 3.04.</w:t>
            </w:r>
          </w:p>
        </w:tc>
        <w:tc>
          <w:tcPr>
            <w:tcW w:w="6400" w:type="dxa"/>
            <w:vAlign w:val="bottom"/>
          </w:tcPr>
          <w:p>
            <w:pPr>
              <w:ind w:left="360"/>
              <w:spacing w:after="0"/>
              <w:rPr>
                <w:sz w:val="20"/>
                <w:szCs w:val="20"/>
                <w:color w:val="auto"/>
              </w:rPr>
            </w:pPr>
            <w:r>
              <w:rPr>
                <w:rFonts w:ascii="Arial" w:cs="Arial" w:eastAsia="Arial" w:hAnsi="Arial"/>
                <w:sz w:val="14"/>
                <w:szCs w:val="14"/>
                <w:color w:val="auto"/>
              </w:rPr>
              <w:t>Financial Condition; No Material Adverse Change</w:t>
            </w:r>
          </w:p>
        </w:tc>
        <w:tc>
          <w:tcPr>
            <w:tcW w:w="2460" w:type="dxa"/>
            <w:vAlign w:val="bottom"/>
          </w:tcPr>
          <w:p>
            <w:pPr>
              <w:jc w:val="right"/>
              <w:spacing w:after="0"/>
              <w:rPr>
                <w:sz w:val="20"/>
                <w:szCs w:val="20"/>
                <w:color w:val="auto"/>
              </w:rPr>
            </w:pPr>
            <w:r>
              <w:rPr>
                <w:rFonts w:ascii="Arial" w:cs="Arial" w:eastAsia="Arial" w:hAnsi="Arial"/>
                <w:sz w:val="14"/>
                <w:szCs w:val="14"/>
                <w:color w:val="auto"/>
              </w:rPr>
              <w:t>39</w:t>
            </w:r>
          </w:p>
        </w:tc>
      </w:tr>
      <w:tr>
        <w:trPr>
          <w:trHeight w:val="324"/>
        </w:trPr>
        <w:tc>
          <w:tcPr>
            <w:tcW w:w="2400" w:type="dxa"/>
            <w:vAlign w:val="bottom"/>
            <w:gridSpan w:val="2"/>
          </w:tcPr>
          <w:p>
            <w:pPr>
              <w:ind w:left="500"/>
              <w:spacing w:after="0"/>
              <w:rPr>
                <w:sz w:val="20"/>
                <w:szCs w:val="20"/>
                <w:color w:val="auto"/>
              </w:rPr>
            </w:pPr>
            <w:r>
              <w:rPr>
                <w:rFonts w:ascii="Arial" w:cs="Arial" w:eastAsia="Arial" w:hAnsi="Arial"/>
                <w:sz w:val="14"/>
                <w:szCs w:val="14"/>
                <w:color w:val="auto"/>
              </w:rPr>
              <w:t>SECTION 3.05.</w:t>
            </w:r>
          </w:p>
        </w:tc>
        <w:tc>
          <w:tcPr>
            <w:tcW w:w="6400" w:type="dxa"/>
            <w:vAlign w:val="bottom"/>
          </w:tcPr>
          <w:p>
            <w:pPr>
              <w:ind w:left="360"/>
              <w:spacing w:after="0"/>
              <w:rPr>
                <w:sz w:val="20"/>
                <w:szCs w:val="20"/>
                <w:color w:val="auto"/>
              </w:rPr>
            </w:pPr>
            <w:r>
              <w:rPr>
                <w:rFonts w:ascii="Arial" w:cs="Arial" w:eastAsia="Arial" w:hAnsi="Arial"/>
                <w:sz w:val="14"/>
                <w:szCs w:val="14"/>
                <w:color w:val="auto"/>
              </w:rPr>
              <w:t>Litigation</w:t>
            </w:r>
          </w:p>
        </w:tc>
        <w:tc>
          <w:tcPr>
            <w:tcW w:w="2460" w:type="dxa"/>
            <w:vAlign w:val="bottom"/>
          </w:tcPr>
          <w:p>
            <w:pPr>
              <w:jc w:val="right"/>
              <w:spacing w:after="0"/>
              <w:rPr>
                <w:sz w:val="20"/>
                <w:szCs w:val="20"/>
                <w:color w:val="auto"/>
              </w:rPr>
            </w:pPr>
            <w:r>
              <w:rPr>
                <w:rFonts w:ascii="Arial" w:cs="Arial" w:eastAsia="Arial" w:hAnsi="Arial"/>
                <w:sz w:val="14"/>
                <w:szCs w:val="14"/>
                <w:color w:val="auto"/>
              </w:rPr>
              <w:t>39</w:t>
            </w:r>
          </w:p>
        </w:tc>
      </w:tr>
      <w:tr>
        <w:trPr>
          <w:trHeight w:val="324"/>
        </w:trPr>
        <w:tc>
          <w:tcPr>
            <w:tcW w:w="2400" w:type="dxa"/>
            <w:vAlign w:val="bottom"/>
            <w:gridSpan w:val="2"/>
          </w:tcPr>
          <w:p>
            <w:pPr>
              <w:ind w:left="500"/>
              <w:spacing w:after="0"/>
              <w:rPr>
                <w:sz w:val="20"/>
                <w:szCs w:val="20"/>
                <w:color w:val="auto"/>
              </w:rPr>
            </w:pPr>
            <w:r>
              <w:rPr>
                <w:rFonts w:ascii="Arial" w:cs="Arial" w:eastAsia="Arial" w:hAnsi="Arial"/>
                <w:sz w:val="14"/>
                <w:szCs w:val="14"/>
                <w:color w:val="auto"/>
              </w:rPr>
              <w:t>SECTION 3.06.</w:t>
            </w:r>
          </w:p>
        </w:tc>
        <w:tc>
          <w:tcPr>
            <w:tcW w:w="6400" w:type="dxa"/>
            <w:vAlign w:val="bottom"/>
          </w:tcPr>
          <w:p>
            <w:pPr>
              <w:ind w:left="360"/>
              <w:spacing w:after="0"/>
              <w:rPr>
                <w:sz w:val="20"/>
                <w:szCs w:val="20"/>
                <w:color w:val="auto"/>
              </w:rPr>
            </w:pPr>
            <w:r>
              <w:rPr>
                <w:rFonts w:ascii="Arial" w:cs="Arial" w:eastAsia="Arial" w:hAnsi="Arial"/>
                <w:sz w:val="14"/>
                <w:szCs w:val="14"/>
                <w:color w:val="auto"/>
              </w:rPr>
              <w:t>Compliance with Laws and Agreements</w:t>
            </w:r>
          </w:p>
        </w:tc>
        <w:tc>
          <w:tcPr>
            <w:tcW w:w="2460" w:type="dxa"/>
            <w:vAlign w:val="bottom"/>
          </w:tcPr>
          <w:p>
            <w:pPr>
              <w:jc w:val="right"/>
              <w:spacing w:after="0"/>
              <w:rPr>
                <w:sz w:val="20"/>
                <w:szCs w:val="20"/>
                <w:color w:val="auto"/>
              </w:rPr>
            </w:pPr>
            <w:r>
              <w:rPr>
                <w:rFonts w:ascii="Arial" w:cs="Arial" w:eastAsia="Arial" w:hAnsi="Arial"/>
                <w:sz w:val="14"/>
                <w:szCs w:val="14"/>
                <w:color w:val="auto"/>
              </w:rPr>
              <w:t>39</w:t>
            </w:r>
          </w:p>
        </w:tc>
      </w:tr>
      <w:tr>
        <w:trPr>
          <w:trHeight w:val="324"/>
        </w:trPr>
        <w:tc>
          <w:tcPr>
            <w:tcW w:w="2400" w:type="dxa"/>
            <w:vAlign w:val="bottom"/>
            <w:gridSpan w:val="2"/>
          </w:tcPr>
          <w:p>
            <w:pPr>
              <w:ind w:left="500"/>
              <w:spacing w:after="0"/>
              <w:rPr>
                <w:sz w:val="20"/>
                <w:szCs w:val="20"/>
                <w:color w:val="auto"/>
              </w:rPr>
            </w:pPr>
            <w:r>
              <w:rPr>
                <w:rFonts w:ascii="Arial" w:cs="Arial" w:eastAsia="Arial" w:hAnsi="Arial"/>
                <w:sz w:val="14"/>
                <w:szCs w:val="14"/>
                <w:color w:val="auto"/>
              </w:rPr>
              <w:t>SECTION 3.07.</w:t>
            </w:r>
          </w:p>
        </w:tc>
        <w:tc>
          <w:tcPr>
            <w:tcW w:w="6400" w:type="dxa"/>
            <w:vAlign w:val="bottom"/>
          </w:tcPr>
          <w:p>
            <w:pPr>
              <w:ind w:left="360"/>
              <w:spacing w:after="0"/>
              <w:rPr>
                <w:sz w:val="20"/>
                <w:szCs w:val="20"/>
                <w:color w:val="auto"/>
              </w:rPr>
            </w:pPr>
            <w:r>
              <w:rPr>
                <w:rFonts w:ascii="Arial" w:cs="Arial" w:eastAsia="Arial" w:hAnsi="Arial"/>
                <w:sz w:val="14"/>
                <w:szCs w:val="14"/>
                <w:color w:val="auto"/>
              </w:rPr>
              <w:t>Taxes</w:t>
            </w:r>
          </w:p>
        </w:tc>
        <w:tc>
          <w:tcPr>
            <w:tcW w:w="2460" w:type="dxa"/>
            <w:vAlign w:val="bottom"/>
          </w:tcPr>
          <w:p>
            <w:pPr>
              <w:jc w:val="right"/>
              <w:spacing w:after="0"/>
              <w:rPr>
                <w:sz w:val="20"/>
                <w:szCs w:val="20"/>
                <w:color w:val="auto"/>
              </w:rPr>
            </w:pPr>
            <w:r>
              <w:rPr>
                <w:rFonts w:ascii="Arial" w:cs="Arial" w:eastAsia="Arial" w:hAnsi="Arial"/>
                <w:sz w:val="14"/>
                <w:szCs w:val="14"/>
                <w:color w:val="auto"/>
              </w:rPr>
              <w:t>39</w:t>
            </w:r>
          </w:p>
        </w:tc>
      </w:tr>
      <w:tr>
        <w:trPr>
          <w:trHeight w:val="324"/>
        </w:trPr>
        <w:tc>
          <w:tcPr>
            <w:tcW w:w="2400" w:type="dxa"/>
            <w:vAlign w:val="bottom"/>
            <w:gridSpan w:val="2"/>
          </w:tcPr>
          <w:p>
            <w:pPr>
              <w:ind w:left="500"/>
              <w:spacing w:after="0"/>
              <w:rPr>
                <w:sz w:val="20"/>
                <w:szCs w:val="20"/>
                <w:color w:val="auto"/>
              </w:rPr>
            </w:pPr>
            <w:r>
              <w:rPr>
                <w:rFonts w:ascii="Arial" w:cs="Arial" w:eastAsia="Arial" w:hAnsi="Arial"/>
                <w:sz w:val="14"/>
                <w:szCs w:val="14"/>
                <w:color w:val="auto"/>
              </w:rPr>
              <w:t>SECTION 3.08.</w:t>
            </w:r>
          </w:p>
        </w:tc>
        <w:tc>
          <w:tcPr>
            <w:tcW w:w="6400" w:type="dxa"/>
            <w:vAlign w:val="bottom"/>
          </w:tcPr>
          <w:p>
            <w:pPr>
              <w:ind w:left="360"/>
              <w:spacing w:after="0"/>
              <w:rPr>
                <w:sz w:val="20"/>
                <w:szCs w:val="20"/>
                <w:color w:val="auto"/>
              </w:rPr>
            </w:pPr>
            <w:r>
              <w:rPr>
                <w:rFonts w:ascii="Arial" w:cs="Arial" w:eastAsia="Arial" w:hAnsi="Arial"/>
                <w:sz w:val="14"/>
                <w:szCs w:val="14"/>
                <w:color w:val="auto"/>
              </w:rPr>
              <w:t>ERISA</w:t>
            </w:r>
          </w:p>
        </w:tc>
        <w:tc>
          <w:tcPr>
            <w:tcW w:w="2460" w:type="dxa"/>
            <w:vAlign w:val="bottom"/>
          </w:tcPr>
          <w:p>
            <w:pPr>
              <w:jc w:val="right"/>
              <w:spacing w:after="0"/>
              <w:rPr>
                <w:sz w:val="20"/>
                <w:szCs w:val="20"/>
                <w:color w:val="auto"/>
              </w:rPr>
            </w:pPr>
            <w:r>
              <w:rPr>
                <w:rFonts w:ascii="Arial" w:cs="Arial" w:eastAsia="Arial" w:hAnsi="Arial"/>
                <w:sz w:val="14"/>
                <w:szCs w:val="14"/>
                <w:color w:val="auto"/>
              </w:rPr>
              <w:t>39</w:t>
            </w:r>
          </w:p>
        </w:tc>
      </w:tr>
      <w:tr>
        <w:trPr>
          <w:trHeight w:val="324"/>
        </w:trPr>
        <w:tc>
          <w:tcPr>
            <w:tcW w:w="2400" w:type="dxa"/>
            <w:vAlign w:val="bottom"/>
            <w:gridSpan w:val="2"/>
          </w:tcPr>
          <w:p>
            <w:pPr>
              <w:ind w:left="500"/>
              <w:spacing w:after="0"/>
              <w:rPr>
                <w:sz w:val="20"/>
                <w:szCs w:val="20"/>
                <w:color w:val="auto"/>
              </w:rPr>
            </w:pPr>
            <w:r>
              <w:rPr>
                <w:rFonts w:ascii="Arial" w:cs="Arial" w:eastAsia="Arial" w:hAnsi="Arial"/>
                <w:sz w:val="14"/>
                <w:szCs w:val="14"/>
                <w:color w:val="auto"/>
              </w:rPr>
              <w:t>SECTION 3.09.</w:t>
            </w:r>
          </w:p>
        </w:tc>
        <w:tc>
          <w:tcPr>
            <w:tcW w:w="6400" w:type="dxa"/>
            <w:vAlign w:val="bottom"/>
          </w:tcPr>
          <w:p>
            <w:pPr>
              <w:ind w:left="360"/>
              <w:spacing w:after="0"/>
              <w:rPr>
                <w:sz w:val="20"/>
                <w:szCs w:val="20"/>
                <w:color w:val="auto"/>
              </w:rPr>
            </w:pPr>
            <w:r>
              <w:rPr>
                <w:rFonts w:ascii="Arial" w:cs="Arial" w:eastAsia="Arial" w:hAnsi="Arial"/>
                <w:sz w:val="14"/>
                <w:szCs w:val="14"/>
                <w:color w:val="auto"/>
              </w:rPr>
              <w:t>Disclosure</w:t>
            </w:r>
          </w:p>
        </w:tc>
        <w:tc>
          <w:tcPr>
            <w:tcW w:w="2460" w:type="dxa"/>
            <w:vAlign w:val="bottom"/>
          </w:tcPr>
          <w:p>
            <w:pPr>
              <w:jc w:val="right"/>
              <w:spacing w:after="0"/>
              <w:rPr>
                <w:sz w:val="20"/>
                <w:szCs w:val="20"/>
                <w:color w:val="auto"/>
              </w:rPr>
            </w:pPr>
            <w:r>
              <w:rPr>
                <w:rFonts w:ascii="Arial" w:cs="Arial" w:eastAsia="Arial" w:hAnsi="Arial"/>
                <w:sz w:val="14"/>
                <w:szCs w:val="14"/>
                <w:color w:val="auto"/>
              </w:rPr>
              <w:t>39</w:t>
            </w:r>
          </w:p>
        </w:tc>
      </w:tr>
      <w:tr>
        <w:trPr>
          <w:trHeight w:val="324"/>
        </w:trPr>
        <w:tc>
          <w:tcPr>
            <w:tcW w:w="2400" w:type="dxa"/>
            <w:vAlign w:val="bottom"/>
            <w:gridSpan w:val="2"/>
          </w:tcPr>
          <w:p>
            <w:pPr>
              <w:ind w:left="500"/>
              <w:spacing w:after="0"/>
              <w:rPr>
                <w:sz w:val="20"/>
                <w:szCs w:val="20"/>
                <w:color w:val="auto"/>
              </w:rPr>
            </w:pPr>
            <w:r>
              <w:rPr>
                <w:rFonts w:ascii="Arial" w:cs="Arial" w:eastAsia="Arial" w:hAnsi="Arial"/>
                <w:sz w:val="14"/>
                <w:szCs w:val="14"/>
                <w:color w:val="auto"/>
              </w:rPr>
              <w:t>SECTION 3.10.</w:t>
            </w:r>
          </w:p>
        </w:tc>
        <w:tc>
          <w:tcPr>
            <w:tcW w:w="6400" w:type="dxa"/>
            <w:vAlign w:val="bottom"/>
          </w:tcPr>
          <w:p>
            <w:pPr>
              <w:ind w:left="360"/>
              <w:spacing w:after="0"/>
              <w:rPr>
                <w:sz w:val="20"/>
                <w:szCs w:val="20"/>
                <w:color w:val="auto"/>
              </w:rPr>
            </w:pPr>
            <w:r>
              <w:rPr>
                <w:rFonts w:ascii="Arial" w:cs="Arial" w:eastAsia="Arial" w:hAnsi="Arial"/>
                <w:sz w:val="14"/>
                <w:szCs w:val="14"/>
                <w:color w:val="auto"/>
              </w:rPr>
              <w:t>Investment Company Act; Margin Regulations</w:t>
            </w:r>
          </w:p>
        </w:tc>
        <w:tc>
          <w:tcPr>
            <w:tcW w:w="2460" w:type="dxa"/>
            <w:vAlign w:val="bottom"/>
          </w:tcPr>
          <w:p>
            <w:pPr>
              <w:jc w:val="right"/>
              <w:spacing w:after="0"/>
              <w:rPr>
                <w:sz w:val="20"/>
                <w:szCs w:val="20"/>
                <w:color w:val="auto"/>
              </w:rPr>
            </w:pPr>
            <w:r>
              <w:rPr>
                <w:rFonts w:ascii="Arial" w:cs="Arial" w:eastAsia="Arial" w:hAnsi="Arial"/>
                <w:sz w:val="14"/>
                <w:szCs w:val="14"/>
                <w:color w:val="auto"/>
              </w:rPr>
              <w:t>39</w:t>
            </w:r>
          </w:p>
        </w:tc>
      </w:tr>
      <w:tr>
        <w:trPr>
          <w:trHeight w:val="324"/>
        </w:trPr>
        <w:tc>
          <w:tcPr>
            <w:tcW w:w="2400" w:type="dxa"/>
            <w:vAlign w:val="bottom"/>
            <w:gridSpan w:val="2"/>
          </w:tcPr>
          <w:p>
            <w:pPr>
              <w:ind w:left="500"/>
              <w:spacing w:after="0"/>
              <w:rPr>
                <w:sz w:val="20"/>
                <w:szCs w:val="20"/>
                <w:color w:val="auto"/>
              </w:rPr>
            </w:pPr>
            <w:r>
              <w:rPr>
                <w:rFonts w:ascii="Arial" w:cs="Arial" w:eastAsia="Arial" w:hAnsi="Arial"/>
                <w:sz w:val="14"/>
                <w:szCs w:val="14"/>
                <w:color w:val="auto"/>
              </w:rPr>
              <w:t>SECTION 3.11.</w:t>
            </w:r>
          </w:p>
        </w:tc>
        <w:tc>
          <w:tcPr>
            <w:tcW w:w="6400" w:type="dxa"/>
            <w:vAlign w:val="bottom"/>
          </w:tcPr>
          <w:p>
            <w:pPr>
              <w:ind w:left="360"/>
              <w:spacing w:after="0"/>
              <w:rPr>
                <w:sz w:val="20"/>
                <w:szCs w:val="20"/>
                <w:color w:val="auto"/>
              </w:rPr>
            </w:pPr>
            <w:r>
              <w:rPr>
                <w:rFonts w:ascii="Arial" w:cs="Arial" w:eastAsia="Arial" w:hAnsi="Arial"/>
                <w:sz w:val="14"/>
                <w:szCs w:val="14"/>
                <w:color w:val="auto"/>
              </w:rPr>
              <w:t>Material Agreements and Liens</w:t>
            </w:r>
          </w:p>
        </w:tc>
        <w:tc>
          <w:tcPr>
            <w:tcW w:w="2460" w:type="dxa"/>
            <w:vAlign w:val="bottom"/>
          </w:tcPr>
          <w:p>
            <w:pPr>
              <w:jc w:val="right"/>
              <w:spacing w:after="0"/>
              <w:rPr>
                <w:sz w:val="20"/>
                <w:szCs w:val="20"/>
                <w:color w:val="auto"/>
              </w:rPr>
            </w:pPr>
            <w:r>
              <w:rPr>
                <w:rFonts w:ascii="Arial" w:cs="Arial" w:eastAsia="Arial" w:hAnsi="Arial"/>
                <w:sz w:val="14"/>
                <w:szCs w:val="14"/>
                <w:color w:val="auto"/>
              </w:rPr>
              <w:t>40</w:t>
            </w:r>
          </w:p>
        </w:tc>
      </w:tr>
      <w:tr>
        <w:trPr>
          <w:trHeight w:val="324"/>
        </w:trPr>
        <w:tc>
          <w:tcPr>
            <w:tcW w:w="2400" w:type="dxa"/>
            <w:vAlign w:val="bottom"/>
            <w:gridSpan w:val="2"/>
          </w:tcPr>
          <w:p>
            <w:pPr>
              <w:ind w:left="500"/>
              <w:spacing w:after="0"/>
              <w:rPr>
                <w:sz w:val="20"/>
                <w:szCs w:val="20"/>
                <w:color w:val="auto"/>
              </w:rPr>
            </w:pPr>
            <w:r>
              <w:rPr>
                <w:rFonts w:ascii="Arial" w:cs="Arial" w:eastAsia="Arial" w:hAnsi="Arial"/>
                <w:sz w:val="14"/>
                <w:szCs w:val="14"/>
                <w:color w:val="auto"/>
              </w:rPr>
              <w:t>SECTION 3.12.</w:t>
            </w:r>
          </w:p>
        </w:tc>
        <w:tc>
          <w:tcPr>
            <w:tcW w:w="6400" w:type="dxa"/>
            <w:vAlign w:val="bottom"/>
          </w:tcPr>
          <w:p>
            <w:pPr>
              <w:ind w:left="360"/>
              <w:spacing w:after="0"/>
              <w:rPr>
                <w:sz w:val="20"/>
                <w:szCs w:val="20"/>
                <w:color w:val="auto"/>
              </w:rPr>
            </w:pPr>
            <w:r>
              <w:rPr>
                <w:rFonts w:ascii="Arial" w:cs="Arial" w:eastAsia="Arial" w:hAnsi="Arial"/>
                <w:sz w:val="14"/>
                <w:szCs w:val="14"/>
                <w:color w:val="auto"/>
              </w:rPr>
              <w:t>Subsidiaries and Investments</w:t>
            </w:r>
          </w:p>
        </w:tc>
        <w:tc>
          <w:tcPr>
            <w:tcW w:w="2460" w:type="dxa"/>
            <w:vAlign w:val="bottom"/>
          </w:tcPr>
          <w:p>
            <w:pPr>
              <w:jc w:val="right"/>
              <w:spacing w:after="0"/>
              <w:rPr>
                <w:sz w:val="20"/>
                <w:szCs w:val="20"/>
                <w:color w:val="auto"/>
              </w:rPr>
            </w:pPr>
            <w:r>
              <w:rPr>
                <w:rFonts w:ascii="Arial" w:cs="Arial" w:eastAsia="Arial" w:hAnsi="Arial"/>
                <w:sz w:val="14"/>
                <w:szCs w:val="14"/>
                <w:color w:val="auto"/>
              </w:rPr>
              <w:t>40</w:t>
            </w:r>
          </w:p>
        </w:tc>
      </w:tr>
      <w:tr>
        <w:trPr>
          <w:trHeight w:val="324"/>
        </w:trPr>
        <w:tc>
          <w:tcPr>
            <w:tcW w:w="2400" w:type="dxa"/>
            <w:vAlign w:val="bottom"/>
            <w:gridSpan w:val="2"/>
          </w:tcPr>
          <w:p>
            <w:pPr>
              <w:ind w:left="500"/>
              <w:spacing w:after="0"/>
              <w:rPr>
                <w:sz w:val="20"/>
                <w:szCs w:val="20"/>
                <w:color w:val="auto"/>
              </w:rPr>
            </w:pPr>
            <w:r>
              <w:rPr>
                <w:rFonts w:ascii="Arial" w:cs="Arial" w:eastAsia="Arial" w:hAnsi="Arial"/>
                <w:sz w:val="14"/>
                <w:szCs w:val="14"/>
                <w:color w:val="auto"/>
              </w:rPr>
              <w:t>SECTION 3.13.</w:t>
            </w:r>
          </w:p>
        </w:tc>
        <w:tc>
          <w:tcPr>
            <w:tcW w:w="6400" w:type="dxa"/>
            <w:vAlign w:val="bottom"/>
          </w:tcPr>
          <w:p>
            <w:pPr>
              <w:ind w:left="360"/>
              <w:spacing w:after="0"/>
              <w:rPr>
                <w:sz w:val="20"/>
                <w:szCs w:val="20"/>
                <w:color w:val="auto"/>
              </w:rPr>
            </w:pPr>
            <w:r>
              <w:rPr>
                <w:rFonts w:ascii="Arial" w:cs="Arial" w:eastAsia="Arial" w:hAnsi="Arial"/>
                <w:sz w:val="14"/>
                <w:szCs w:val="14"/>
                <w:color w:val="auto"/>
              </w:rPr>
              <w:t>Properties</w:t>
            </w:r>
          </w:p>
        </w:tc>
        <w:tc>
          <w:tcPr>
            <w:tcW w:w="2460" w:type="dxa"/>
            <w:vAlign w:val="bottom"/>
          </w:tcPr>
          <w:p>
            <w:pPr>
              <w:jc w:val="right"/>
              <w:spacing w:after="0"/>
              <w:rPr>
                <w:sz w:val="20"/>
                <w:szCs w:val="20"/>
                <w:color w:val="auto"/>
              </w:rPr>
            </w:pPr>
            <w:r>
              <w:rPr>
                <w:rFonts w:ascii="Arial" w:cs="Arial" w:eastAsia="Arial" w:hAnsi="Arial"/>
                <w:sz w:val="14"/>
                <w:szCs w:val="14"/>
                <w:color w:val="auto"/>
              </w:rPr>
              <w:t>40</w:t>
            </w:r>
          </w:p>
        </w:tc>
      </w:tr>
      <w:tr>
        <w:trPr>
          <w:trHeight w:val="324"/>
        </w:trPr>
        <w:tc>
          <w:tcPr>
            <w:tcW w:w="2400" w:type="dxa"/>
            <w:vAlign w:val="bottom"/>
            <w:gridSpan w:val="2"/>
          </w:tcPr>
          <w:p>
            <w:pPr>
              <w:ind w:left="500"/>
              <w:spacing w:after="0"/>
              <w:rPr>
                <w:sz w:val="20"/>
                <w:szCs w:val="20"/>
                <w:color w:val="auto"/>
              </w:rPr>
            </w:pPr>
            <w:r>
              <w:rPr>
                <w:rFonts w:ascii="Arial" w:cs="Arial" w:eastAsia="Arial" w:hAnsi="Arial"/>
                <w:sz w:val="14"/>
                <w:szCs w:val="14"/>
                <w:color w:val="auto"/>
              </w:rPr>
              <w:t>SECTION 3.14.</w:t>
            </w:r>
          </w:p>
        </w:tc>
        <w:tc>
          <w:tcPr>
            <w:tcW w:w="6400" w:type="dxa"/>
            <w:vAlign w:val="bottom"/>
          </w:tcPr>
          <w:p>
            <w:pPr>
              <w:ind w:left="360"/>
              <w:spacing w:after="0"/>
              <w:rPr>
                <w:sz w:val="20"/>
                <w:szCs w:val="20"/>
                <w:color w:val="auto"/>
              </w:rPr>
            </w:pPr>
            <w:r>
              <w:rPr>
                <w:rFonts w:ascii="Arial" w:cs="Arial" w:eastAsia="Arial" w:hAnsi="Arial"/>
                <w:sz w:val="14"/>
                <w:szCs w:val="14"/>
                <w:color w:val="auto"/>
              </w:rPr>
              <w:t>Affiliate Agreements</w:t>
            </w:r>
          </w:p>
        </w:tc>
        <w:tc>
          <w:tcPr>
            <w:tcW w:w="2460" w:type="dxa"/>
            <w:vAlign w:val="bottom"/>
          </w:tcPr>
          <w:p>
            <w:pPr>
              <w:jc w:val="right"/>
              <w:spacing w:after="0"/>
              <w:rPr>
                <w:sz w:val="20"/>
                <w:szCs w:val="20"/>
                <w:color w:val="auto"/>
              </w:rPr>
            </w:pPr>
            <w:r>
              <w:rPr>
                <w:rFonts w:ascii="Arial" w:cs="Arial" w:eastAsia="Arial" w:hAnsi="Arial"/>
                <w:sz w:val="14"/>
                <w:szCs w:val="14"/>
                <w:color w:val="auto"/>
              </w:rPr>
              <w:t>40</w:t>
            </w:r>
          </w:p>
        </w:tc>
      </w:tr>
      <w:tr>
        <w:trPr>
          <w:trHeight w:val="324"/>
        </w:trPr>
        <w:tc>
          <w:tcPr>
            <w:tcW w:w="2400" w:type="dxa"/>
            <w:vAlign w:val="bottom"/>
            <w:gridSpan w:val="2"/>
          </w:tcPr>
          <w:p>
            <w:pPr>
              <w:ind w:left="500"/>
              <w:spacing w:after="0"/>
              <w:rPr>
                <w:sz w:val="20"/>
                <w:szCs w:val="20"/>
                <w:color w:val="auto"/>
              </w:rPr>
            </w:pPr>
            <w:r>
              <w:rPr>
                <w:rFonts w:ascii="Arial" w:cs="Arial" w:eastAsia="Arial" w:hAnsi="Arial"/>
                <w:sz w:val="14"/>
                <w:szCs w:val="14"/>
                <w:color w:val="auto"/>
              </w:rPr>
              <w:t>SECTION 3.15.</w:t>
            </w:r>
          </w:p>
        </w:tc>
        <w:tc>
          <w:tcPr>
            <w:tcW w:w="6400" w:type="dxa"/>
            <w:vAlign w:val="bottom"/>
          </w:tcPr>
          <w:p>
            <w:pPr>
              <w:ind w:left="360"/>
              <w:spacing w:after="0"/>
              <w:rPr>
                <w:sz w:val="20"/>
                <w:szCs w:val="20"/>
                <w:color w:val="auto"/>
              </w:rPr>
            </w:pPr>
            <w:r>
              <w:rPr>
                <w:rFonts w:ascii="Arial" w:cs="Arial" w:eastAsia="Arial" w:hAnsi="Arial"/>
                <w:sz w:val="14"/>
                <w:szCs w:val="14"/>
                <w:color w:val="auto"/>
              </w:rPr>
              <w:t>Sanctions</w:t>
            </w:r>
          </w:p>
        </w:tc>
        <w:tc>
          <w:tcPr>
            <w:tcW w:w="2460" w:type="dxa"/>
            <w:vAlign w:val="bottom"/>
          </w:tcPr>
          <w:p>
            <w:pPr>
              <w:jc w:val="right"/>
              <w:spacing w:after="0"/>
              <w:rPr>
                <w:sz w:val="20"/>
                <w:szCs w:val="20"/>
                <w:color w:val="auto"/>
              </w:rPr>
            </w:pPr>
            <w:r>
              <w:rPr>
                <w:rFonts w:ascii="Arial" w:cs="Arial" w:eastAsia="Arial" w:hAnsi="Arial"/>
                <w:sz w:val="14"/>
                <w:szCs w:val="14"/>
                <w:color w:val="auto"/>
              </w:rPr>
              <w:t>40</w:t>
            </w:r>
          </w:p>
        </w:tc>
      </w:tr>
      <w:tr>
        <w:trPr>
          <w:trHeight w:val="324"/>
        </w:trPr>
        <w:tc>
          <w:tcPr>
            <w:tcW w:w="2400" w:type="dxa"/>
            <w:vAlign w:val="bottom"/>
            <w:gridSpan w:val="2"/>
          </w:tcPr>
          <w:p>
            <w:pPr>
              <w:ind w:left="500"/>
              <w:spacing w:after="0"/>
              <w:rPr>
                <w:sz w:val="20"/>
                <w:szCs w:val="20"/>
                <w:color w:val="auto"/>
              </w:rPr>
            </w:pPr>
            <w:r>
              <w:rPr>
                <w:rFonts w:ascii="Arial" w:cs="Arial" w:eastAsia="Arial" w:hAnsi="Arial"/>
                <w:sz w:val="14"/>
                <w:szCs w:val="14"/>
                <w:color w:val="auto"/>
              </w:rPr>
              <w:t>SECTION 3.16.</w:t>
            </w:r>
          </w:p>
        </w:tc>
        <w:tc>
          <w:tcPr>
            <w:tcW w:w="6400" w:type="dxa"/>
            <w:vAlign w:val="bottom"/>
          </w:tcPr>
          <w:p>
            <w:pPr>
              <w:ind w:left="360"/>
              <w:spacing w:after="0"/>
              <w:rPr>
                <w:sz w:val="20"/>
                <w:szCs w:val="20"/>
                <w:color w:val="auto"/>
              </w:rPr>
            </w:pPr>
            <w:r>
              <w:rPr>
                <w:rFonts w:ascii="Arial" w:cs="Arial" w:eastAsia="Arial" w:hAnsi="Arial"/>
                <w:sz w:val="14"/>
                <w:szCs w:val="14"/>
                <w:color w:val="auto"/>
              </w:rPr>
              <w:t>Patriot Act</w:t>
            </w:r>
          </w:p>
        </w:tc>
        <w:tc>
          <w:tcPr>
            <w:tcW w:w="2460" w:type="dxa"/>
            <w:vAlign w:val="bottom"/>
          </w:tcPr>
          <w:p>
            <w:pPr>
              <w:jc w:val="right"/>
              <w:spacing w:after="0"/>
              <w:rPr>
                <w:sz w:val="20"/>
                <w:szCs w:val="20"/>
                <w:color w:val="auto"/>
              </w:rPr>
            </w:pPr>
            <w:r>
              <w:rPr>
                <w:rFonts w:ascii="Arial" w:cs="Arial" w:eastAsia="Arial" w:hAnsi="Arial"/>
                <w:sz w:val="14"/>
                <w:szCs w:val="14"/>
                <w:color w:val="auto"/>
              </w:rPr>
              <w:t>40</w:t>
            </w:r>
          </w:p>
        </w:tc>
      </w:tr>
      <w:tr>
        <w:trPr>
          <w:trHeight w:val="324"/>
        </w:trPr>
        <w:tc>
          <w:tcPr>
            <w:tcW w:w="2400" w:type="dxa"/>
            <w:vAlign w:val="bottom"/>
            <w:gridSpan w:val="2"/>
          </w:tcPr>
          <w:p>
            <w:pPr>
              <w:ind w:left="500"/>
              <w:spacing w:after="0"/>
              <w:rPr>
                <w:sz w:val="20"/>
                <w:szCs w:val="20"/>
                <w:color w:val="auto"/>
              </w:rPr>
            </w:pPr>
            <w:r>
              <w:rPr>
                <w:rFonts w:ascii="Arial" w:cs="Arial" w:eastAsia="Arial" w:hAnsi="Arial"/>
                <w:sz w:val="14"/>
                <w:szCs w:val="14"/>
                <w:color w:val="auto"/>
              </w:rPr>
              <w:t>SECTION 3.17.</w:t>
            </w:r>
          </w:p>
        </w:tc>
        <w:tc>
          <w:tcPr>
            <w:tcW w:w="6400" w:type="dxa"/>
            <w:vAlign w:val="bottom"/>
          </w:tcPr>
          <w:p>
            <w:pPr>
              <w:ind w:left="360"/>
              <w:spacing w:after="0"/>
              <w:rPr>
                <w:sz w:val="20"/>
                <w:szCs w:val="20"/>
                <w:color w:val="auto"/>
              </w:rPr>
            </w:pPr>
            <w:r>
              <w:rPr>
                <w:rFonts w:ascii="Arial" w:cs="Arial" w:eastAsia="Arial" w:hAnsi="Arial"/>
                <w:sz w:val="14"/>
                <w:szCs w:val="14"/>
                <w:color w:val="auto"/>
              </w:rPr>
              <w:t>Collateral Documents</w:t>
            </w:r>
          </w:p>
        </w:tc>
        <w:tc>
          <w:tcPr>
            <w:tcW w:w="2460" w:type="dxa"/>
            <w:vAlign w:val="bottom"/>
          </w:tcPr>
          <w:p>
            <w:pPr>
              <w:jc w:val="right"/>
              <w:spacing w:after="0"/>
              <w:rPr>
                <w:sz w:val="20"/>
                <w:szCs w:val="20"/>
                <w:color w:val="auto"/>
              </w:rPr>
            </w:pPr>
            <w:r>
              <w:rPr>
                <w:rFonts w:ascii="Arial" w:cs="Arial" w:eastAsia="Arial" w:hAnsi="Arial"/>
                <w:sz w:val="14"/>
                <w:szCs w:val="14"/>
                <w:color w:val="auto"/>
              </w:rPr>
              <w:t>40</w:t>
            </w:r>
          </w:p>
        </w:tc>
      </w:tr>
      <w:tr>
        <w:trPr>
          <w:trHeight w:val="324"/>
        </w:trPr>
        <w:tc>
          <w:tcPr>
            <w:tcW w:w="2400" w:type="dxa"/>
            <w:vAlign w:val="bottom"/>
            <w:gridSpan w:val="2"/>
          </w:tcPr>
          <w:p>
            <w:pPr>
              <w:ind w:left="500"/>
              <w:spacing w:after="0"/>
              <w:rPr>
                <w:sz w:val="20"/>
                <w:szCs w:val="20"/>
                <w:color w:val="auto"/>
              </w:rPr>
            </w:pPr>
            <w:r>
              <w:rPr>
                <w:rFonts w:ascii="Arial" w:cs="Arial" w:eastAsia="Arial" w:hAnsi="Arial"/>
                <w:sz w:val="14"/>
                <w:szCs w:val="14"/>
                <w:color w:val="auto"/>
              </w:rPr>
              <w:t>SECTION 3.18.</w:t>
            </w:r>
          </w:p>
        </w:tc>
        <w:tc>
          <w:tcPr>
            <w:tcW w:w="6400" w:type="dxa"/>
            <w:vAlign w:val="bottom"/>
          </w:tcPr>
          <w:p>
            <w:pPr>
              <w:ind w:left="360"/>
              <w:spacing w:after="0"/>
              <w:rPr>
                <w:sz w:val="20"/>
                <w:szCs w:val="20"/>
                <w:color w:val="auto"/>
              </w:rPr>
            </w:pPr>
            <w:r>
              <w:rPr>
                <w:rFonts w:ascii="Arial" w:cs="Arial" w:eastAsia="Arial" w:hAnsi="Arial"/>
                <w:sz w:val="14"/>
                <w:szCs w:val="14"/>
                <w:color w:val="auto"/>
              </w:rPr>
              <w:t>EEA Financial Institutions</w:t>
            </w:r>
          </w:p>
        </w:tc>
        <w:tc>
          <w:tcPr>
            <w:tcW w:w="2460" w:type="dxa"/>
            <w:vAlign w:val="bottom"/>
          </w:tcPr>
          <w:p>
            <w:pPr>
              <w:jc w:val="right"/>
              <w:spacing w:after="0"/>
              <w:rPr>
                <w:sz w:val="20"/>
                <w:szCs w:val="20"/>
                <w:color w:val="auto"/>
              </w:rPr>
            </w:pPr>
            <w:r>
              <w:rPr>
                <w:rFonts w:ascii="Arial" w:cs="Arial" w:eastAsia="Arial" w:hAnsi="Arial"/>
                <w:sz w:val="14"/>
                <w:szCs w:val="14"/>
                <w:color w:val="auto"/>
              </w:rPr>
              <w:t>40</w:t>
            </w:r>
          </w:p>
        </w:tc>
      </w:tr>
      <w:tr>
        <w:trPr>
          <w:trHeight w:val="324"/>
        </w:trPr>
        <w:tc>
          <w:tcPr>
            <w:tcW w:w="960" w:type="dxa"/>
            <w:vAlign w:val="bottom"/>
          </w:tcPr>
          <w:p>
            <w:pPr>
              <w:spacing w:after="0"/>
              <w:rPr>
                <w:sz w:val="20"/>
                <w:szCs w:val="20"/>
                <w:color w:val="auto"/>
              </w:rPr>
            </w:pPr>
            <w:r>
              <w:rPr>
                <w:rFonts w:ascii="Arial" w:cs="Arial" w:eastAsia="Arial" w:hAnsi="Arial"/>
                <w:sz w:val="14"/>
                <w:szCs w:val="14"/>
                <w:color w:val="auto"/>
              </w:rPr>
              <w:t>ARTICLE IV</w:t>
            </w:r>
          </w:p>
        </w:tc>
        <w:tc>
          <w:tcPr>
            <w:tcW w:w="1440" w:type="dxa"/>
            <w:vAlign w:val="bottom"/>
          </w:tcPr>
          <w:p>
            <w:pPr>
              <w:ind w:left="200"/>
              <w:spacing w:after="0"/>
              <w:rPr>
                <w:sz w:val="20"/>
                <w:szCs w:val="20"/>
                <w:color w:val="auto"/>
              </w:rPr>
            </w:pPr>
            <w:r>
              <w:rPr>
                <w:rFonts w:ascii="Arial" w:cs="Arial" w:eastAsia="Arial" w:hAnsi="Arial"/>
                <w:sz w:val="14"/>
                <w:szCs w:val="14"/>
                <w:color w:val="auto"/>
              </w:rPr>
              <w:t>CONDITIONS</w:t>
            </w:r>
          </w:p>
        </w:tc>
        <w:tc>
          <w:tcPr>
            <w:tcW w:w="6400" w:type="dxa"/>
            <w:vAlign w:val="bottom"/>
          </w:tcPr>
          <w:p>
            <w:pPr>
              <w:spacing w:after="0"/>
              <w:rPr>
                <w:sz w:val="24"/>
                <w:szCs w:val="24"/>
                <w:color w:val="auto"/>
              </w:rPr>
            </w:pPr>
          </w:p>
        </w:tc>
        <w:tc>
          <w:tcPr>
            <w:tcW w:w="2460" w:type="dxa"/>
            <w:vAlign w:val="bottom"/>
          </w:tcPr>
          <w:p>
            <w:pPr>
              <w:jc w:val="right"/>
              <w:spacing w:after="0"/>
              <w:rPr>
                <w:sz w:val="20"/>
                <w:szCs w:val="20"/>
                <w:color w:val="auto"/>
              </w:rPr>
            </w:pPr>
            <w:r>
              <w:rPr>
                <w:rFonts w:ascii="Arial" w:cs="Arial" w:eastAsia="Arial" w:hAnsi="Arial"/>
                <w:sz w:val="14"/>
                <w:szCs w:val="14"/>
                <w:color w:val="auto"/>
              </w:rPr>
              <w:t>41</w:t>
            </w:r>
          </w:p>
        </w:tc>
      </w:tr>
      <w:tr>
        <w:trPr>
          <w:trHeight w:val="324"/>
        </w:trPr>
        <w:tc>
          <w:tcPr>
            <w:tcW w:w="2400" w:type="dxa"/>
            <w:vAlign w:val="bottom"/>
            <w:gridSpan w:val="2"/>
          </w:tcPr>
          <w:p>
            <w:pPr>
              <w:ind w:left="500"/>
              <w:spacing w:after="0"/>
              <w:rPr>
                <w:sz w:val="20"/>
                <w:szCs w:val="20"/>
                <w:color w:val="auto"/>
              </w:rPr>
            </w:pPr>
            <w:r>
              <w:rPr>
                <w:rFonts w:ascii="Arial" w:cs="Arial" w:eastAsia="Arial" w:hAnsi="Arial"/>
                <w:sz w:val="14"/>
                <w:szCs w:val="14"/>
                <w:color w:val="auto"/>
              </w:rPr>
              <w:t>SECTION 4.01.</w:t>
            </w:r>
          </w:p>
        </w:tc>
        <w:tc>
          <w:tcPr>
            <w:tcW w:w="6400" w:type="dxa"/>
            <w:vAlign w:val="bottom"/>
          </w:tcPr>
          <w:p>
            <w:pPr>
              <w:ind w:left="360"/>
              <w:spacing w:after="0"/>
              <w:rPr>
                <w:sz w:val="20"/>
                <w:szCs w:val="20"/>
                <w:color w:val="auto"/>
              </w:rPr>
            </w:pPr>
            <w:r>
              <w:rPr>
                <w:rFonts w:ascii="Arial" w:cs="Arial" w:eastAsia="Arial" w:hAnsi="Arial"/>
                <w:sz w:val="14"/>
                <w:szCs w:val="14"/>
                <w:color w:val="auto"/>
              </w:rPr>
              <w:t>Effective Date</w:t>
            </w:r>
          </w:p>
        </w:tc>
        <w:tc>
          <w:tcPr>
            <w:tcW w:w="2460" w:type="dxa"/>
            <w:vAlign w:val="bottom"/>
          </w:tcPr>
          <w:p>
            <w:pPr>
              <w:jc w:val="right"/>
              <w:spacing w:after="0"/>
              <w:rPr>
                <w:sz w:val="20"/>
                <w:szCs w:val="20"/>
                <w:color w:val="auto"/>
              </w:rPr>
            </w:pPr>
            <w:r>
              <w:rPr>
                <w:rFonts w:ascii="Arial" w:cs="Arial" w:eastAsia="Arial" w:hAnsi="Arial"/>
                <w:sz w:val="14"/>
                <w:szCs w:val="14"/>
                <w:color w:val="auto"/>
              </w:rPr>
              <w:t>41</w:t>
            </w:r>
          </w:p>
        </w:tc>
      </w:tr>
      <w:tr>
        <w:trPr>
          <w:trHeight w:val="324"/>
        </w:trPr>
        <w:tc>
          <w:tcPr>
            <w:tcW w:w="2400" w:type="dxa"/>
            <w:vAlign w:val="bottom"/>
            <w:gridSpan w:val="2"/>
          </w:tcPr>
          <w:p>
            <w:pPr>
              <w:ind w:left="500"/>
              <w:spacing w:after="0"/>
              <w:rPr>
                <w:sz w:val="20"/>
                <w:szCs w:val="20"/>
                <w:color w:val="auto"/>
              </w:rPr>
            </w:pPr>
            <w:r>
              <w:rPr>
                <w:rFonts w:ascii="Arial" w:cs="Arial" w:eastAsia="Arial" w:hAnsi="Arial"/>
                <w:sz w:val="14"/>
                <w:szCs w:val="14"/>
                <w:color w:val="auto"/>
              </w:rPr>
              <w:t>SECTION 4.02.</w:t>
            </w:r>
          </w:p>
        </w:tc>
        <w:tc>
          <w:tcPr>
            <w:tcW w:w="6400" w:type="dxa"/>
            <w:vAlign w:val="bottom"/>
          </w:tcPr>
          <w:p>
            <w:pPr>
              <w:ind w:left="360"/>
              <w:spacing w:after="0"/>
              <w:rPr>
                <w:sz w:val="20"/>
                <w:szCs w:val="20"/>
                <w:color w:val="auto"/>
              </w:rPr>
            </w:pPr>
            <w:r>
              <w:rPr>
                <w:rFonts w:ascii="Arial" w:cs="Arial" w:eastAsia="Arial" w:hAnsi="Arial"/>
                <w:sz w:val="14"/>
                <w:szCs w:val="14"/>
                <w:color w:val="auto"/>
              </w:rPr>
              <w:t>Each Credit Event</w:t>
            </w:r>
          </w:p>
        </w:tc>
        <w:tc>
          <w:tcPr>
            <w:tcW w:w="2460" w:type="dxa"/>
            <w:vAlign w:val="bottom"/>
          </w:tcPr>
          <w:p>
            <w:pPr>
              <w:jc w:val="right"/>
              <w:spacing w:after="0"/>
              <w:rPr>
                <w:sz w:val="20"/>
                <w:szCs w:val="20"/>
                <w:color w:val="auto"/>
              </w:rPr>
            </w:pPr>
            <w:r>
              <w:rPr>
                <w:rFonts w:ascii="Arial" w:cs="Arial" w:eastAsia="Arial" w:hAnsi="Arial"/>
                <w:sz w:val="14"/>
                <w:szCs w:val="14"/>
                <w:color w:val="auto"/>
              </w:rPr>
              <w:t>41</w:t>
            </w:r>
          </w:p>
        </w:tc>
      </w:tr>
      <w:tr>
        <w:trPr>
          <w:trHeight w:val="324"/>
        </w:trPr>
        <w:tc>
          <w:tcPr>
            <w:tcW w:w="960" w:type="dxa"/>
            <w:vAlign w:val="bottom"/>
          </w:tcPr>
          <w:p>
            <w:pPr>
              <w:spacing w:after="0"/>
              <w:rPr>
                <w:sz w:val="20"/>
                <w:szCs w:val="20"/>
                <w:color w:val="auto"/>
              </w:rPr>
            </w:pPr>
            <w:r>
              <w:rPr>
                <w:rFonts w:ascii="Arial" w:cs="Arial" w:eastAsia="Arial" w:hAnsi="Arial"/>
                <w:sz w:val="14"/>
                <w:szCs w:val="14"/>
                <w:color w:val="auto"/>
              </w:rPr>
              <w:t>ARTICLE V</w:t>
            </w:r>
          </w:p>
        </w:tc>
        <w:tc>
          <w:tcPr>
            <w:tcW w:w="7840" w:type="dxa"/>
            <w:vAlign w:val="bottom"/>
            <w:gridSpan w:val="2"/>
          </w:tcPr>
          <w:p>
            <w:pPr>
              <w:ind w:left="180"/>
              <w:spacing w:after="0"/>
              <w:rPr>
                <w:sz w:val="20"/>
                <w:szCs w:val="20"/>
                <w:color w:val="auto"/>
              </w:rPr>
            </w:pPr>
            <w:r>
              <w:rPr>
                <w:rFonts w:ascii="Arial" w:cs="Arial" w:eastAsia="Arial" w:hAnsi="Arial"/>
                <w:sz w:val="14"/>
                <w:szCs w:val="14"/>
                <w:color w:val="auto"/>
              </w:rPr>
              <w:t>AFFIRMATIVE COVENANTS</w:t>
            </w:r>
          </w:p>
        </w:tc>
        <w:tc>
          <w:tcPr>
            <w:tcW w:w="2460" w:type="dxa"/>
            <w:vAlign w:val="bottom"/>
          </w:tcPr>
          <w:p>
            <w:pPr>
              <w:jc w:val="right"/>
              <w:spacing w:after="0"/>
              <w:rPr>
                <w:sz w:val="20"/>
                <w:szCs w:val="20"/>
                <w:color w:val="auto"/>
              </w:rPr>
            </w:pPr>
            <w:r>
              <w:rPr>
                <w:rFonts w:ascii="Arial" w:cs="Arial" w:eastAsia="Arial" w:hAnsi="Arial"/>
                <w:sz w:val="14"/>
                <w:szCs w:val="14"/>
                <w:color w:val="auto"/>
              </w:rPr>
              <w:t>42</w:t>
            </w:r>
          </w:p>
        </w:tc>
      </w:tr>
      <w:tr>
        <w:trPr>
          <w:trHeight w:val="324"/>
        </w:trPr>
        <w:tc>
          <w:tcPr>
            <w:tcW w:w="2400" w:type="dxa"/>
            <w:vAlign w:val="bottom"/>
            <w:gridSpan w:val="2"/>
          </w:tcPr>
          <w:p>
            <w:pPr>
              <w:ind w:left="500"/>
              <w:spacing w:after="0"/>
              <w:rPr>
                <w:sz w:val="20"/>
                <w:szCs w:val="20"/>
                <w:color w:val="auto"/>
              </w:rPr>
            </w:pPr>
            <w:r>
              <w:rPr>
                <w:rFonts w:ascii="Arial" w:cs="Arial" w:eastAsia="Arial" w:hAnsi="Arial"/>
                <w:sz w:val="14"/>
                <w:szCs w:val="14"/>
                <w:color w:val="auto"/>
              </w:rPr>
              <w:t>SECTION 5.01.</w:t>
            </w:r>
          </w:p>
        </w:tc>
        <w:tc>
          <w:tcPr>
            <w:tcW w:w="6400" w:type="dxa"/>
            <w:vAlign w:val="bottom"/>
          </w:tcPr>
          <w:p>
            <w:pPr>
              <w:ind w:left="360"/>
              <w:spacing w:after="0"/>
              <w:rPr>
                <w:sz w:val="20"/>
                <w:szCs w:val="20"/>
                <w:color w:val="auto"/>
              </w:rPr>
            </w:pPr>
            <w:r>
              <w:rPr>
                <w:rFonts w:ascii="Arial" w:cs="Arial" w:eastAsia="Arial" w:hAnsi="Arial"/>
                <w:sz w:val="14"/>
                <w:szCs w:val="14"/>
                <w:color w:val="auto"/>
              </w:rPr>
              <w:t>Financial Statements and Other Information</w:t>
            </w:r>
          </w:p>
        </w:tc>
        <w:tc>
          <w:tcPr>
            <w:tcW w:w="2460" w:type="dxa"/>
            <w:vAlign w:val="bottom"/>
          </w:tcPr>
          <w:p>
            <w:pPr>
              <w:jc w:val="right"/>
              <w:spacing w:after="0"/>
              <w:rPr>
                <w:sz w:val="20"/>
                <w:szCs w:val="20"/>
                <w:color w:val="auto"/>
              </w:rPr>
            </w:pPr>
            <w:r>
              <w:rPr>
                <w:rFonts w:ascii="Arial" w:cs="Arial" w:eastAsia="Arial" w:hAnsi="Arial"/>
                <w:sz w:val="14"/>
                <w:szCs w:val="14"/>
                <w:color w:val="auto"/>
              </w:rPr>
              <w:t>42</w:t>
            </w:r>
          </w:p>
        </w:tc>
      </w:tr>
      <w:tr>
        <w:trPr>
          <w:trHeight w:val="324"/>
        </w:trPr>
        <w:tc>
          <w:tcPr>
            <w:tcW w:w="2400" w:type="dxa"/>
            <w:vAlign w:val="bottom"/>
            <w:gridSpan w:val="2"/>
          </w:tcPr>
          <w:p>
            <w:pPr>
              <w:ind w:left="500"/>
              <w:spacing w:after="0"/>
              <w:rPr>
                <w:sz w:val="20"/>
                <w:szCs w:val="20"/>
                <w:color w:val="auto"/>
              </w:rPr>
            </w:pPr>
            <w:r>
              <w:rPr>
                <w:rFonts w:ascii="Arial" w:cs="Arial" w:eastAsia="Arial" w:hAnsi="Arial"/>
                <w:sz w:val="14"/>
                <w:szCs w:val="14"/>
                <w:color w:val="auto"/>
              </w:rPr>
              <w:t>SECTION 5.02.</w:t>
            </w:r>
          </w:p>
        </w:tc>
        <w:tc>
          <w:tcPr>
            <w:tcW w:w="6400" w:type="dxa"/>
            <w:vAlign w:val="bottom"/>
          </w:tcPr>
          <w:p>
            <w:pPr>
              <w:ind w:left="360"/>
              <w:spacing w:after="0"/>
              <w:rPr>
                <w:sz w:val="20"/>
                <w:szCs w:val="20"/>
                <w:color w:val="auto"/>
              </w:rPr>
            </w:pPr>
            <w:r>
              <w:rPr>
                <w:rFonts w:ascii="Arial" w:cs="Arial" w:eastAsia="Arial" w:hAnsi="Arial"/>
                <w:sz w:val="14"/>
                <w:szCs w:val="14"/>
                <w:color w:val="auto"/>
              </w:rPr>
              <w:t>Notices of Material Events</w:t>
            </w:r>
          </w:p>
        </w:tc>
        <w:tc>
          <w:tcPr>
            <w:tcW w:w="2460" w:type="dxa"/>
            <w:vAlign w:val="bottom"/>
          </w:tcPr>
          <w:p>
            <w:pPr>
              <w:jc w:val="right"/>
              <w:spacing w:after="0"/>
              <w:rPr>
                <w:sz w:val="20"/>
                <w:szCs w:val="20"/>
                <w:color w:val="auto"/>
              </w:rPr>
            </w:pPr>
            <w:r>
              <w:rPr>
                <w:rFonts w:ascii="Arial" w:cs="Arial" w:eastAsia="Arial" w:hAnsi="Arial"/>
                <w:sz w:val="14"/>
                <w:szCs w:val="14"/>
                <w:color w:val="auto"/>
              </w:rPr>
              <w:t>43</w:t>
            </w:r>
          </w:p>
        </w:tc>
      </w:tr>
      <w:tr>
        <w:trPr>
          <w:trHeight w:val="324"/>
        </w:trPr>
        <w:tc>
          <w:tcPr>
            <w:tcW w:w="2400" w:type="dxa"/>
            <w:vAlign w:val="bottom"/>
            <w:gridSpan w:val="2"/>
          </w:tcPr>
          <w:p>
            <w:pPr>
              <w:ind w:left="500"/>
              <w:spacing w:after="0"/>
              <w:rPr>
                <w:sz w:val="20"/>
                <w:szCs w:val="20"/>
                <w:color w:val="auto"/>
              </w:rPr>
            </w:pPr>
            <w:r>
              <w:rPr>
                <w:rFonts w:ascii="Arial" w:cs="Arial" w:eastAsia="Arial" w:hAnsi="Arial"/>
                <w:sz w:val="14"/>
                <w:szCs w:val="14"/>
                <w:color w:val="auto"/>
              </w:rPr>
              <w:t>SECTION 5.03.</w:t>
            </w:r>
          </w:p>
        </w:tc>
        <w:tc>
          <w:tcPr>
            <w:tcW w:w="6400" w:type="dxa"/>
            <w:vAlign w:val="bottom"/>
          </w:tcPr>
          <w:p>
            <w:pPr>
              <w:ind w:left="360"/>
              <w:spacing w:after="0"/>
              <w:rPr>
                <w:sz w:val="20"/>
                <w:szCs w:val="20"/>
                <w:color w:val="auto"/>
              </w:rPr>
            </w:pPr>
            <w:r>
              <w:rPr>
                <w:rFonts w:ascii="Arial" w:cs="Arial" w:eastAsia="Arial" w:hAnsi="Arial"/>
                <w:sz w:val="14"/>
                <w:szCs w:val="14"/>
                <w:color w:val="auto"/>
              </w:rPr>
              <w:t>Existence; Conduct of Business</w:t>
            </w:r>
          </w:p>
        </w:tc>
        <w:tc>
          <w:tcPr>
            <w:tcW w:w="2460" w:type="dxa"/>
            <w:vAlign w:val="bottom"/>
          </w:tcPr>
          <w:p>
            <w:pPr>
              <w:jc w:val="right"/>
              <w:spacing w:after="0"/>
              <w:rPr>
                <w:sz w:val="20"/>
                <w:szCs w:val="20"/>
                <w:color w:val="auto"/>
              </w:rPr>
            </w:pPr>
            <w:r>
              <w:rPr>
                <w:rFonts w:ascii="Arial" w:cs="Arial" w:eastAsia="Arial" w:hAnsi="Arial"/>
                <w:sz w:val="14"/>
                <w:szCs w:val="14"/>
                <w:color w:val="auto"/>
              </w:rPr>
              <w:t>43</w:t>
            </w:r>
          </w:p>
        </w:tc>
      </w:tr>
      <w:tr>
        <w:trPr>
          <w:trHeight w:val="324"/>
        </w:trPr>
        <w:tc>
          <w:tcPr>
            <w:tcW w:w="2400" w:type="dxa"/>
            <w:vAlign w:val="bottom"/>
            <w:gridSpan w:val="2"/>
          </w:tcPr>
          <w:p>
            <w:pPr>
              <w:ind w:left="500"/>
              <w:spacing w:after="0"/>
              <w:rPr>
                <w:sz w:val="20"/>
                <w:szCs w:val="20"/>
                <w:color w:val="auto"/>
              </w:rPr>
            </w:pPr>
            <w:r>
              <w:rPr>
                <w:rFonts w:ascii="Arial" w:cs="Arial" w:eastAsia="Arial" w:hAnsi="Arial"/>
                <w:sz w:val="14"/>
                <w:szCs w:val="14"/>
                <w:color w:val="auto"/>
              </w:rPr>
              <w:t>SECTION 5.04.</w:t>
            </w:r>
          </w:p>
        </w:tc>
        <w:tc>
          <w:tcPr>
            <w:tcW w:w="6400" w:type="dxa"/>
            <w:vAlign w:val="bottom"/>
          </w:tcPr>
          <w:p>
            <w:pPr>
              <w:ind w:left="360"/>
              <w:spacing w:after="0"/>
              <w:rPr>
                <w:sz w:val="20"/>
                <w:szCs w:val="20"/>
                <w:color w:val="auto"/>
              </w:rPr>
            </w:pPr>
            <w:r>
              <w:rPr>
                <w:rFonts w:ascii="Arial" w:cs="Arial" w:eastAsia="Arial" w:hAnsi="Arial"/>
                <w:sz w:val="14"/>
                <w:szCs w:val="14"/>
                <w:color w:val="auto"/>
              </w:rPr>
              <w:t>Payment of Obligations</w:t>
            </w:r>
          </w:p>
        </w:tc>
        <w:tc>
          <w:tcPr>
            <w:tcW w:w="2460" w:type="dxa"/>
            <w:vAlign w:val="bottom"/>
          </w:tcPr>
          <w:p>
            <w:pPr>
              <w:jc w:val="right"/>
              <w:spacing w:after="0"/>
              <w:rPr>
                <w:sz w:val="20"/>
                <w:szCs w:val="20"/>
                <w:color w:val="auto"/>
              </w:rPr>
            </w:pPr>
            <w:r>
              <w:rPr>
                <w:rFonts w:ascii="Arial" w:cs="Arial" w:eastAsia="Arial" w:hAnsi="Arial"/>
                <w:sz w:val="14"/>
                <w:szCs w:val="14"/>
                <w:color w:val="auto"/>
              </w:rPr>
              <w:t>43</w:t>
            </w:r>
          </w:p>
        </w:tc>
      </w:tr>
      <w:tr>
        <w:trPr>
          <w:trHeight w:val="324"/>
        </w:trPr>
        <w:tc>
          <w:tcPr>
            <w:tcW w:w="2400" w:type="dxa"/>
            <w:vAlign w:val="bottom"/>
            <w:gridSpan w:val="2"/>
          </w:tcPr>
          <w:p>
            <w:pPr>
              <w:ind w:left="500"/>
              <w:spacing w:after="0"/>
              <w:rPr>
                <w:sz w:val="20"/>
                <w:szCs w:val="20"/>
                <w:color w:val="auto"/>
              </w:rPr>
            </w:pPr>
            <w:r>
              <w:rPr>
                <w:rFonts w:ascii="Arial" w:cs="Arial" w:eastAsia="Arial" w:hAnsi="Arial"/>
                <w:sz w:val="14"/>
                <w:szCs w:val="14"/>
                <w:color w:val="auto"/>
              </w:rPr>
              <w:t>SECTION 5.05.</w:t>
            </w:r>
          </w:p>
        </w:tc>
        <w:tc>
          <w:tcPr>
            <w:tcW w:w="6400" w:type="dxa"/>
            <w:vAlign w:val="bottom"/>
          </w:tcPr>
          <w:p>
            <w:pPr>
              <w:ind w:left="360"/>
              <w:spacing w:after="0"/>
              <w:rPr>
                <w:sz w:val="20"/>
                <w:szCs w:val="20"/>
                <w:color w:val="auto"/>
              </w:rPr>
            </w:pPr>
            <w:r>
              <w:rPr>
                <w:rFonts w:ascii="Arial" w:cs="Arial" w:eastAsia="Arial" w:hAnsi="Arial"/>
                <w:sz w:val="14"/>
                <w:szCs w:val="14"/>
                <w:color w:val="auto"/>
              </w:rPr>
              <w:t>Maintenance of Properties; Insurance</w:t>
            </w:r>
          </w:p>
        </w:tc>
        <w:tc>
          <w:tcPr>
            <w:tcW w:w="2460" w:type="dxa"/>
            <w:vAlign w:val="bottom"/>
          </w:tcPr>
          <w:p>
            <w:pPr>
              <w:jc w:val="right"/>
              <w:spacing w:after="0"/>
              <w:rPr>
                <w:sz w:val="20"/>
                <w:szCs w:val="20"/>
                <w:color w:val="auto"/>
              </w:rPr>
            </w:pPr>
            <w:r>
              <w:rPr>
                <w:rFonts w:ascii="Arial" w:cs="Arial" w:eastAsia="Arial" w:hAnsi="Arial"/>
                <w:sz w:val="14"/>
                <w:szCs w:val="14"/>
                <w:color w:val="auto"/>
              </w:rPr>
              <w:t>43</w:t>
            </w:r>
          </w:p>
        </w:tc>
      </w:tr>
      <w:tr>
        <w:trPr>
          <w:trHeight w:val="324"/>
        </w:trPr>
        <w:tc>
          <w:tcPr>
            <w:tcW w:w="2400" w:type="dxa"/>
            <w:vAlign w:val="bottom"/>
            <w:gridSpan w:val="2"/>
          </w:tcPr>
          <w:p>
            <w:pPr>
              <w:ind w:left="500"/>
              <w:spacing w:after="0"/>
              <w:rPr>
                <w:sz w:val="20"/>
                <w:szCs w:val="20"/>
                <w:color w:val="auto"/>
              </w:rPr>
            </w:pPr>
            <w:r>
              <w:rPr>
                <w:rFonts w:ascii="Arial" w:cs="Arial" w:eastAsia="Arial" w:hAnsi="Arial"/>
                <w:sz w:val="14"/>
                <w:szCs w:val="14"/>
                <w:color w:val="auto"/>
              </w:rPr>
              <w:t>SECTION 5.06.</w:t>
            </w:r>
          </w:p>
        </w:tc>
        <w:tc>
          <w:tcPr>
            <w:tcW w:w="6400" w:type="dxa"/>
            <w:vAlign w:val="bottom"/>
          </w:tcPr>
          <w:p>
            <w:pPr>
              <w:ind w:left="360"/>
              <w:spacing w:after="0"/>
              <w:rPr>
                <w:sz w:val="20"/>
                <w:szCs w:val="20"/>
                <w:color w:val="auto"/>
              </w:rPr>
            </w:pPr>
            <w:r>
              <w:rPr>
                <w:rFonts w:ascii="Arial" w:cs="Arial" w:eastAsia="Arial" w:hAnsi="Arial"/>
                <w:sz w:val="14"/>
                <w:szCs w:val="14"/>
                <w:color w:val="auto"/>
              </w:rPr>
              <w:t>Books and Records; Inspection and Audit Rights</w:t>
            </w:r>
          </w:p>
        </w:tc>
        <w:tc>
          <w:tcPr>
            <w:tcW w:w="2460" w:type="dxa"/>
            <w:vAlign w:val="bottom"/>
          </w:tcPr>
          <w:p>
            <w:pPr>
              <w:jc w:val="right"/>
              <w:spacing w:after="0"/>
              <w:rPr>
                <w:sz w:val="20"/>
                <w:szCs w:val="20"/>
                <w:color w:val="auto"/>
              </w:rPr>
            </w:pPr>
            <w:r>
              <w:rPr>
                <w:rFonts w:ascii="Arial" w:cs="Arial" w:eastAsia="Arial" w:hAnsi="Arial"/>
                <w:sz w:val="14"/>
                <w:szCs w:val="14"/>
                <w:color w:val="auto"/>
              </w:rPr>
              <w:t>44</w:t>
            </w:r>
          </w:p>
        </w:tc>
      </w:tr>
      <w:tr>
        <w:trPr>
          <w:trHeight w:val="324"/>
        </w:trPr>
        <w:tc>
          <w:tcPr>
            <w:tcW w:w="2400" w:type="dxa"/>
            <w:vAlign w:val="bottom"/>
            <w:gridSpan w:val="2"/>
          </w:tcPr>
          <w:p>
            <w:pPr>
              <w:ind w:left="500"/>
              <w:spacing w:after="0"/>
              <w:rPr>
                <w:sz w:val="20"/>
                <w:szCs w:val="20"/>
                <w:color w:val="auto"/>
              </w:rPr>
            </w:pPr>
            <w:r>
              <w:rPr>
                <w:rFonts w:ascii="Arial" w:cs="Arial" w:eastAsia="Arial" w:hAnsi="Arial"/>
                <w:sz w:val="14"/>
                <w:szCs w:val="14"/>
                <w:color w:val="auto"/>
              </w:rPr>
              <w:t>SECTION 5.07.</w:t>
            </w:r>
          </w:p>
        </w:tc>
        <w:tc>
          <w:tcPr>
            <w:tcW w:w="6400" w:type="dxa"/>
            <w:vAlign w:val="bottom"/>
          </w:tcPr>
          <w:p>
            <w:pPr>
              <w:ind w:left="360"/>
              <w:spacing w:after="0"/>
              <w:rPr>
                <w:sz w:val="20"/>
                <w:szCs w:val="20"/>
                <w:color w:val="auto"/>
              </w:rPr>
            </w:pPr>
            <w:r>
              <w:rPr>
                <w:rFonts w:ascii="Arial" w:cs="Arial" w:eastAsia="Arial" w:hAnsi="Arial"/>
                <w:sz w:val="14"/>
                <w:szCs w:val="14"/>
                <w:color w:val="auto"/>
              </w:rPr>
              <w:t>Compliance with Laws</w:t>
            </w:r>
          </w:p>
        </w:tc>
        <w:tc>
          <w:tcPr>
            <w:tcW w:w="2460" w:type="dxa"/>
            <w:vAlign w:val="bottom"/>
          </w:tcPr>
          <w:p>
            <w:pPr>
              <w:jc w:val="right"/>
              <w:spacing w:after="0"/>
              <w:rPr>
                <w:sz w:val="20"/>
                <w:szCs w:val="20"/>
                <w:color w:val="auto"/>
              </w:rPr>
            </w:pPr>
            <w:r>
              <w:rPr>
                <w:rFonts w:ascii="Arial" w:cs="Arial" w:eastAsia="Arial" w:hAnsi="Arial"/>
                <w:sz w:val="14"/>
                <w:szCs w:val="14"/>
                <w:color w:val="auto"/>
              </w:rPr>
              <w:t>44</w:t>
            </w:r>
          </w:p>
        </w:tc>
      </w:tr>
      <w:tr>
        <w:trPr>
          <w:trHeight w:val="324"/>
        </w:trPr>
        <w:tc>
          <w:tcPr>
            <w:tcW w:w="2400" w:type="dxa"/>
            <w:vAlign w:val="bottom"/>
            <w:gridSpan w:val="2"/>
          </w:tcPr>
          <w:p>
            <w:pPr>
              <w:ind w:left="500"/>
              <w:spacing w:after="0"/>
              <w:rPr>
                <w:sz w:val="20"/>
                <w:szCs w:val="20"/>
                <w:color w:val="auto"/>
              </w:rPr>
            </w:pPr>
            <w:r>
              <w:rPr>
                <w:rFonts w:ascii="Arial" w:cs="Arial" w:eastAsia="Arial" w:hAnsi="Arial"/>
                <w:sz w:val="14"/>
                <w:szCs w:val="14"/>
                <w:color w:val="auto"/>
              </w:rPr>
              <w:t>SECTION 5.08.</w:t>
            </w:r>
          </w:p>
        </w:tc>
        <w:tc>
          <w:tcPr>
            <w:tcW w:w="6400" w:type="dxa"/>
            <w:vAlign w:val="bottom"/>
          </w:tcPr>
          <w:p>
            <w:pPr>
              <w:ind w:left="360"/>
              <w:spacing w:after="0"/>
              <w:rPr>
                <w:sz w:val="20"/>
                <w:szCs w:val="20"/>
                <w:color w:val="auto"/>
              </w:rPr>
            </w:pPr>
            <w:r>
              <w:rPr>
                <w:rFonts w:ascii="Arial" w:cs="Arial" w:eastAsia="Arial" w:hAnsi="Arial"/>
                <w:sz w:val="14"/>
                <w:szCs w:val="14"/>
                <w:color w:val="auto"/>
              </w:rPr>
              <w:t>Certain Obligations Respecting Subsidiaries; Further Assurances</w:t>
            </w:r>
          </w:p>
        </w:tc>
        <w:tc>
          <w:tcPr>
            <w:tcW w:w="2460" w:type="dxa"/>
            <w:vAlign w:val="bottom"/>
          </w:tcPr>
          <w:p>
            <w:pPr>
              <w:jc w:val="right"/>
              <w:spacing w:after="0"/>
              <w:rPr>
                <w:sz w:val="20"/>
                <w:szCs w:val="20"/>
                <w:color w:val="auto"/>
              </w:rPr>
            </w:pPr>
            <w:r>
              <w:rPr>
                <w:rFonts w:ascii="Arial" w:cs="Arial" w:eastAsia="Arial" w:hAnsi="Arial"/>
                <w:sz w:val="14"/>
                <w:szCs w:val="14"/>
                <w:color w:val="auto"/>
              </w:rPr>
              <w:t>44</w:t>
            </w:r>
          </w:p>
        </w:tc>
      </w:tr>
      <w:tr>
        <w:trPr>
          <w:trHeight w:val="324"/>
        </w:trPr>
        <w:tc>
          <w:tcPr>
            <w:tcW w:w="2400" w:type="dxa"/>
            <w:vAlign w:val="bottom"/>
            <w:gridSpan w:val="2"/>
          </w:tcPr>
          <w:p>
            <w:pPr>
              <w:ind w:left="500"/>
              <w:spacing w:after="0"/>
              <w:rPr>
                <w:sz w:val="20"/>
                <w:szCs w:val="20"/>
                <w:color w:val="auto"/>
              </w:rPr>
            </w:pPr>
            <w:r>
              <w:rPr>
                <w:rFonts w:ascii="Arial" w:cs="Arial" w:eastAsia="Arial" w:hAnsi="Arial"/>
                <w:sz w:val="14"/>
                <w:szCs w:val="14"/>
                <w:color w:val="auto"/>
              </w:rPr>
              <w:t>SECTION 5.09.</w:t>
            </w:r>
          </w:p>
        </w:tc>
        <w:tc>
          <w:tcPr>
            <w:tcW w:w="6400" w:type="dxa"/>
            <w:vAlign w:val="bottom"/>
          </w:tcPr>
          <w:p>
            <w:pPr>
              <w:ind w:left="360"/>
              <w:spacing w:after="0"/>
              <w:rPr>
                <w:sz w:val="20"/>
                <w:szCs w:val="20"/>
                <w:color w:val="auto"/>
              </w:rPr>
            </w:pPr>
            <w:r>
              <w:rPr>
                <w:rFonts w:ascii="Arial" w:cs="Arial" w:eastAsia="Arial" w:hAnsi="Arial"/>
                <w:sz w:val="14"/>
                <w:szCs w:val="14"/>
                <w:color w:val="auto"/>
              </w:rPr>
              <w:t>Use of Proceeds</w:t>
            </w:r>
          </w:p>
        </w:tc>
        <w:tc>
          <w:tcPr>
            <w:tcW w:w="2460" w:type="dxa"/>
            <w:vAlign w:val="bottom"/>
          </w:tcPr>
          <w:p>
            <w:pPr>
              <w:jc w:val="right"/>
              <w:spacing w:after="0"/>
              <w:rPr>
                <w:sz w:val="20"/>
                <w:szCs w:val="20"/>
                <w:color w:val="auto"/>
              </w:rPr>
            </w:pPr>
            <w:r>
              <w:rPr>
                <w:rFonts w:ascii="Arial" w:cs="Arial" w:eastAsia="Arial" w:hAnsi="Arial"/>
                <w:sz w:val="14"/>
                <w:szCs w:val="14"/>
                <w:color w:val="auto"/>
              </w:rPr>
              <w:t>45</w:t>
            </w:r>
          </w:p>
        </w:tc>
      </w:tr>
      <w:tr>
        <w:trPr>
          <w:trHeight w:val="288"/>
        </w:trPr>
        <w:tc>
          <w:tcPr>
            <w:tcW w:w="2400" w:type="dxa"/>
            <w:vAlign w:val="bottom"/>
            <w:gridSpan w:val="2"/>
          </w:tcPr>
          <w:p>
            <w:pPr>
              <w:ind w:left="500"/>
              <w:spacing w:after="0"/>
              <w:rPr>
                <w:sz w:val="20"/>
                <w:szCs w:val="20"/>
                <w:color w:val="auto"/>
              </w:rPr>
            </w:pPr>
            <w:r>
              <w:rPr>
                <w:rFonts w:ascii="Arial" w:cs="Arial" w:eastAsia="Arial" w:hAnsi="Arial"/>
                <w:sz w:val="14"/>
                <w:szCs w:val="14"/>
                <w:color w:val="auto"/>
              </w:rPr>
              <w:t>SECTION 5.10.</w:t>
            </w:r>
          </w:p>
        </w:tc>
        <w:tc>
          <w:tcPr>
            <w:tcW w:w="6400" w:type="dxa"/>
            <w:vAlign w:val="bottom"/>
          </w:tcPr>
          <w:p>
            <w:pPr>
              <w:ind w:left="360"/>
              <w:spacing w:after="0"/>
              <w:rPr>
                <w:sz w:val="20"/>
                <w:szCs w:val="20"/>
                <w:color w:val="auto"/>
              </w:rPr>
            </w:pPr>
            <w:r>
              <w:rPr>
                <w:rFonts w:ascii="Arial" w:cs="Arial" w:eastAsia="Arial" w:hAnsi="Arial"/>
                <w:sz w:val="14"/>
                <w:szCs w:val="14"/>
                <w:color w:val="auto"/>
              </w:rPr>
              <w:t>Status of RIC and BDC</w:t>
            </w:r>
          </w:p>
        </w:tc>
        <w:tc>
          <w:tcPr>
            <w:tcW w:w="2460" w:type="dxa"/>
            <w:vAlign w:val="bottom"/>
          </w:tcPr>
          <w:p>
            <w:pPr>
              <w:jc w:val="right"/>
              <w:spacing w:after="0"/>
              <w:rPr>
                <w:sz w:val="20"/>
                <w:szCs w:val="20"/>
                <w:color w:val="auto"/>
              </w:rPr>
            </w:pPr>
            <w:r>
              <w:rPr>
                <w:rFonts w:ascii="Arial" w:cs="Arial" w:eastAsia="Arial" w:hAnsi="Arial"/>
                <w:sz w:val="14"/>
                <w:szCs w:val="14"/>
                <w:color w:val="auto"/>
              </w:rPr>
              <w:t>45</w:t>
            </w:r>
          </w:p>
        </w:tc>
      </w:tr>
      <w:tr>
        <w:trPr>
          <w:trHeight w:val="274"/>
        </w:trPr>
        <w:tc>
          <w:tcPr>
            <w:tcW w:w="960" w:type="dxa"/>
            <w:vAlign w:val="bottom"/>
          </w:tcPr>
          <w:p>
            <w:pPr>
              <w:spacing w:after="0"/>
              <w:rPr>
                <w:sz w:val="23"/>
                <w:szCs w:val="23"/>
                <w:color w:val="auto"/>
              </w:rPr>
            </w:pPr>
          </w:p>
        </w:tc>
        <w:tc>
          <w:tcPr>
            <w:tcW w:w="1440" w:type="dxa"/>
            <w:vAlign w:val="bottom"/>
          </w:tcPr>
          <w:p>
            <w:pPr>
              <w:spacing w:after="0"/>
              <w:rPr>
                <w:sz w:val="23"/>
                <w:szCs w:val="23"/>
                <w:color w:val="auto"/>
              </w:rPr>
            </w:pPr>
          </w:p>
        </w:tc>
        <w:tc>
          <w:tcPr>
            <w:tcW w:w="6400" w:type="dxa"/>
            <w:vAlign w:val="bottom"/>
          </w:tcPr>
          <w:p>
            <w:pPr>
              <w:ind w:left="3120"/>
              <w:spacing w:after="0"/>
              <w:rPr>
                <w:sz w:val="20"/>
                <w:szCs w:val="20"/>
                <w:color w:val="auto"/>
              </w:rPr>
            </w:pPr>
            <w:r>
              <w:rPr>
                <w:rFonts w:ascii="Arial" w:cs="Arial" w:eastAsia="Arial" w:hAnsi="Arial"/>
                <w:sz w:val="14"/>
                <w:szCs w:val="14"/>
                <w:color w:val="auto"/>
              </w:rPr>
              <w:t>-ii</w:t>
            </w:r>
            <w:r>
              <w:rPr>
                <w:rFonts w:ascii="Arial" w:cs="Arial" w:eastAsia="Arial" w:hAnsi="Arial"/>
                <w:sz w:val="21"/>
                <w:szCs w:val="21"/>
                <w:color w:val="auto"/>
              </w:rPr>
              <w:t>-</w:t>
            </w:r>
          </w:p>
        </w:tc>
        <w:tc>
          <w:tcPr>
            <w:tcW w:w="2460" w:type="dxa"/>
            <w:vAlign w:val="bottom"/>
          </w:tcPr>
          <w:p>
            <w:pPr>
              <w:spacing w:after="0"/>
              <w:rPr>
                <w:sz w:val="23"/>
                <w:szCs w:val="23"/>
                <w:color w:val="auto"/>
              </w:rPr>
            </w:pPr>
          </w:p>
        </w:tc>
      </w:tr>
      <w:tr>
        <w:trPr>
          <w:trHeight w:val="510"/>
        </w:trPr>
        <w:tc>
          <w:tcPr>
            <w:tcW w:w="960" w:type="dxa"/>
            <w:vAlign w:val="bottom"/>
            <w:tcBorders>
              <w:bottom w:val="single" w:sz="8" w:color="9A9A9A"/>
            </w:tcBorders>
          </w:tcPr>
          <w:p>
            <w:pPr>
              <w:spacing w:after="0"/>
              <w:rPr>
                <w:sz w:val="24"/>
                <w:szCs w:val="24"/>
                <w:color w:val="auto"/>
              </w:rPr>
            </w:pPr>
          </w:p>
        </w:tc>
        <w:tc>
          <w:tcPr>
            <w:tcW w:w="1440" w:type="dxa"/>
            <w:vAlign w:val="bottom"/>
            <w:tcBorders>
              <w:bottom w:val="single" w:sz="8" w:color="9A9A9A"/>
            </w:tcBorders>
          </w:tcPr>
          <w:p>
            <w:pPr>
              <w:spacing w:after="0"/>
              <w:rPr>
                <w:sz w:val="24"/>
                <w:szCs w:val="24"/>
                <w:color w:val="auto"/>
              </w:rPr>
            </w:pPr>
          </w:p>
        </w:tc>
        <w:tc>
          <w:tcPr>
            <w:tcW w:w="6400" w:type="dxa"/>
            <w:vAlign w:val="bottom"/>
            <w:tcBorders>
              <w:bottom w:val="single" w:sz="8" w:color="9A9A9A"/>
            </w:tcBorders>
          </w:tcPr>
          <w:p>
            <w:pPr>
              <w:spacing w:after="0"/>
              <w:rPr>
                <w:sz w:val="24"/>
                <w:szCs w:val="24"/>
                <w:color w:val="auto"/>
              </w:rPr>
            </w:pPr>
          </w:p>
        </w:tc>
        <w:tc>
          <w:tcPr>
            <w:tcW w:w="246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7145655</wp:posOffset>
            </wp:positionH>
            <wp:positionV relativeFrom="paragraph">
              <wp:posOffset>-7620</wp:posOffset>
            </wp:positionV>
            <wp:extent cx="8255" cy="8255"/>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-16510</wp:posOffset>
            </wp:positionV>
            <wp:extent cx="8890" cy="17145"/>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8890" cy="17145"/>
                    </a:xfrm>
                    <a:prstGeom prst="rect">
                      <a:avLst/>
                    </a:prstGeom>
                    <a:noFill/>
                  </pic:spPr>
                </pic:pic>
              </a:graphicData>
            </a:graphic>
          </wp:anchor>
        </w:drawing>
      </w:r>
    </w:p>
    <w:p>
      <w:pPr>
        <w:sectPr>
          <w:pgSz w:w="11900" w:h="16838" w:orient="portrait"/>
          <w:cols w:equalWidth="0" w:num="1">
            <w:col w:w="11260"/>
          </w:cols>
          <w:pgMar w:left="320" w:top="350" w:right="319" w:bottom="1440" w:gutter="0" w:footer="0" w:header="0"/>
        </w:sectPr>
      </w:pPr>
    </w:p>
    <w:bookmarkStart w:id="61" w:name="page62"/>
    <w:bookmarkEnd w:id="61"/>
    <w:tbl>
      <w:tblPr>
        <w:tblLayout w:type="fixed"/>
        <w:tblInd w:w="0" w:type="dxa"/>
        <w:tblCellMar>
          <w:top w:w="0" w:type="dxa"/>
          <w:left w:w="0" w:type="dxa"/>
          <w:bottom w:w="0" w:type="dxa"/>
          <w:right w:w="0" w:type="dxa"/>
        </w:tblCellMar>
      </w:tblPr>
      <w:tr>
        <w:trPr>
          <w:trHeight w:val="182"/>
        </w:trPr>
        <w:tc>
          <w:tcPr>
            <w:tcW w:w="2680" w:type="dxa"/>
            <w:vAlign w:val="bottom"/>
            <w:gridSpan w:val="2"/>
          </w:tcPr>
          <w:p>
            <w:pPr>
              <w:ind w:left="500"/>
              <w:spacing w:after="0"/>
              <w:rPr>
                <w:sz w:val="20"/>
                <w:szCs w:val="20"/>
                <w:color w:val="auto"/>
              </w:rPr>
            </w:pPr>
            <w:r>
              <w:rPr>
                <w:rFonts w:ascii="Arial" w:cs="Arial" w:eastAsia="Arial" w:hAnsi="Arial"/>
                <w:sz w:val="14"/>
                <w:szCs w:val="14"/>
                <w:color w:val="auto"/>
              </w:rPr>
              <w:t>SECTION 5.11.</w:t>
            </w:r>
          </w:p>
        </w:tc>
        <w:tc>
          <w:tcPr>
            <w:tcW w:w="5860" w:type="dxa"/>
            <w:vAlign w:val="bottom"/>
          </w:tcPr>
          <w:p>
            <w:pPr>
              <w:ind w:left="80"/>
              <w:spacing w:after="0"/>
              <w:rPr>
                <w:sz w:val="20"/>
                <w:szCs w:val="20"/>
                <w:color w:val="auto"/>
              </w:rPr>
            </w:pPr>
            <w:r>
              <w:rPr>
                <w:rFonts w:ascii="Arial" w:cs="Arial" w:eastAsia="Arial" w:hAnsi="Arial"/>
                <w:sz w:val="14"/>
                <w:szCs w:val="14"/>
                <w:color w:val="auto"/>
              </w:rPr>
              <w:t>Investment Policies</w:t>
            </w:r>
          </w:p>
        </w:tc>
        <w:tc>
          <w:tcPr>
            <w:tcW w:w="2720" w:type="dxa"/>
            <w:vAlign w:val="bottom"/>
          </w:tcPr>
          <w:p>
            <w:pPr>
              <w:jc w:val="right"/>
              <w:spacing w:after="0"/>
              <w:rPr>
                <w:sz w:val="20"/>
                <w:szCs w:val="20"/>
                <w:color w:val="auto"/>
              </w:rPr>
            </w:pPr>
            <w:r>
              <w:rPr>
                <w:rFonts w:ascii="Arial" w:cs="Arial" w:eastAsia="Arial" w:hAnsi="Arial"/>
                <w:sz w:val="14"/>
                <w:szCs w:val="14"/>
                <w:color w:val="auto"/>
              </w:rPr>
              <w:t>45</w:t>
            </w:r>
          </w:p>
        </w:tc>
      </w:tr>
      <w:tr>
        <w:trPr>
          <w:trHeight w:val="324"/>
        </w:trPr>
        <w:tc>
          <w:tcPr>
            <w:tcW w:w="2680" w:type="dxa"/>
            <w:vAlign w:val="bottom"/>
            <w:gridSpan w:val="2"/>
          </w:tcPr>
          <w:p>
            <w:pPr>
              <w:ind w:left="500"/>
              <w:spacing w:after="0"/>
              <w:rPr>
                <w:sz w:val="20"/>
                <w:szCs w:val="20"/>
                <w:color w:val="auto"/>
              </w:rPr>
            </w:pPr>
            <w:r>
              <w:rPr>
                <w:rFonts w:ascii="Arial" w:cs="Arial" w:eastAsia="Arial" w:hAnsi="Arial"/>
                <w:sz w:val="14"/>
                <w:szCs w:val="14"/>
                <w:color w:val="auto"/>
              </w:rPr>
              <w:t>SECTION 5.12.</w:t>
            </w:r>
          </w:p>
        </w:tc>
        <w:tc>
          <w:tcPr>
            <w:tcW w:w="5860" w:type="dxa"/>
            <w:vAlign w:val="bottom"/>
          </w:tcPr>
          <w:p>
            <w:pPr>
              <w:ind w:left="80"/>
              <w:spacing w:after="0"/>
              <w:rPr>
                <w:sz w:val="20"/>
                <w:szCs w:val="20"/>
                <w:color w:val="auto"/>
              </w:rPr>
            </w:pPr>
            <w:r>
              <w:rPr>
                <w:rFonts w:ascii="Arial" w:cs="Arial" w:eastAsia="Arial" w:hAnsi="Arial"/>
                <w:sz w:val="14"/>
                <w:szCs w:val="14"/>
                <w:color w:val="auto"/>
              </w:rPr>
              <w:t>Portfolio Valuation and Diversification Etc</w:t>
            </w:r>
          </w:p>
        </w:tc>
        <w:tc>
          <w:tcPr>
            <w:tcW w:w="2720" w:type="dxa"/>
            <w:vAlign w:val="bottom"/>
          </w:tcPr>
          <w:p>
            <w:pPr>
              <w:jc w:val="right"/>
              <w:spacing w:after="0"/>
              <w:rPr>
                <w:sz w:val="20"/>
                <w:szCs w:val="20"/>
                <w:color w:val="auto"/>
              </w:rPr>
            </w:pPr>
            <w:r>
              <w:rPr>
                <w:rFonts w:ascii="Arial" w:cs="Arial" w:eastAsia="Arial" w:hAnsi="Arial"/>
                <w:sz w:val="14"/>
                <w:szCs w:val="14"/>
                <w:color w:val="auto"/>
              </w:rPr>
              <w:t>45</w:t>
            </w:r>
          </w:p>
        </w:tc>
      </w:tr>
      <w:tr>
        <w:trPr>
          <w:trHeight w:val="324"/>
        </w:trPr>
        <w:tc>
          <w:tcPr>
            <w:tcW w:w="2680" w:type="dxa"/>
            <w:vAlign w:val="bottom"/>
            <w:gridSpan w:val="2"/>
          </w:tcPr>
          <w:p>
            <w:pPr>
              <w:ind w:left="500"/>
              <w:spacing w:after="0"/>
              <w:rPr>
                <w:sz w:val="20"/>
                <w:szCs w:val="20"/>
                <w:color w:val="auto"/>
              </w:rPr>
            </w:pPr>
            <w:r>
              <w:rPr>
                <w:rFonts w:ascii="Arial" w:cs="Arial" w:eastAsia="Arial" w:hAnsi="Arial"/>
                <w:sz w:val="14"/>
                <w:szCs w:val="14"/>
                <w:color w:val="auto"/>
              </w:rPr>
              <w:t>SECTION 5.13.</w:t>
            </w:r>
          </w:p>
        </w:tc>
        <w:tc>
          <w:tcPr>
            <w:tcW w:w="5860" w:type="dxa"/>
            <w:vAlign w:val="bottom"/>
          </w:tcPr>
          <w:p>
            <w:pPr>
              <w:ind w:left="80"/>
              <w:spacing w:after="0"/>
              <w:rPr>
                <w:sz w:val="20"/>
                <w:szCs w:val="20"/>
                <w:color w:val="auto"/>
              </w:rPr>
            </w:pPr>
            <w:r>
              <w:rPr>
                <w:rFonts w:ascii="Arial" w:cs="Arial" w:eastAsia="Arial" w:hAnsi="Arial"/>
                <w:sz w:val="14"/>
                <w:szCs w:val="14"/>
                <w:color w:val="auto"/>
              </w:rPr>
              <w:t>Calculation of Borrowing Base</w:t>
            </w:r>
          </w:p>
        </w:tc>
        <w:tc>
          <w:tcPr>
            <w:tcW w:w="2720" w:type="dxa"/>
            <w:vAlign w:val="bottom"/>
          </w:tcPr>
          <w:p>
            <w:pPr>
              <w:jc w:val="right"/>
              <w:spacing w:after="0"/>
              <w:rPr>
                <w:sz w:val="20"/>
                <w:szCs w:val="20"/>
                <w:color w:val="auto"/>
              </w:rPr>
            </w:pPr>
            <w:r>
              <w:rPr>
                <w:rFonts w:ascii="Arial" w:cs="Arial" w:eastAsia="Arial" w:hAnsi="Arial"/>
                <w:sz w:val="14"/>
                <w:szCs w:val="14"/>
                <w:color w:val="auto"/>
              </w:rPr>
              <w:t>47</w:t>
            </w:r>
          </w:p>
        </w:tc>
      </w:tr>
      <w:tr>
        <w:trPr>
          <w:trHeight w:val="324"/>
        </w:trPr>
        <w:tc>
          <w:tcPr>
            <w:tcW w:w="980" w:type="dxa"/>
            <w:vAlign w:val="bottom"/>
          </w:tcPr>
          <w:p>
            <w:pPr>
              <w:spacing w:after="0"/>
              <w:rPr>
                <w:sz w:val="20"/>
                <w:szCs w:val="20"/>
                <w:color w:val="auto"/>
              </w:rPr>
            </w:pPr>
            <w:r>
              <w:rPr>
                <w:rFonts w:ascii="Arial" w:cs="Arial" w:eastAsia="Arial" w:hAnsi="Arial"/>
                <w:sz w:val="14"/>
                <w:szCs w:val="14"/>
                <w:color w:val="auto"/>
              </w:rPr>
              <w:t>ARTICLE VI</w:t>
            </w:r>
          </w:p>
        </w:tc>
        <w:tc>
          <w:tcPr>
            <w:tcW w:w="7560" w:type="dxa"/>
            <w:vAlign w:val="bottom"/>
            <w:gridSpan w:val="2"/>
          </w:tcPr>
          <w:p>
            <w:pPr>
              <w:ind w:left="180"/>
              <w:spacing w:after="0"/>
              <w:rPr>
                <w:sz w:val="20"/>
                <w:szCs w:val="20"/>
                <w:color w:val="auto"/>
              </w:rPr>
            </w:pPr>
            <w:r>
              <w:rPr>
                <w:rFonts w:ascii="Arial" w:cs="Arial" w:eastAsia="Arial" w:hAnsi="Arial"/>
                <w:sz w:val="14"/>
                <w:szCs w:val="14"/>
                <w:color w:val="auto"/>
              </w:rPr>
              <w:t>NEGATIVE COVENANTS</w:t>
            </w:r>
          </w:p>
        </w:tc>
        <w:tc>
          <w:tcPr>
            <w:tcW w:w="2720" w:type="dxa"/>
            <w:vAlign w:val="bottom"/>
          </w:tcPr>
          <w:p>
            <w:pPr>
              <w:jc w:val="right"/>
              <w:spacing w:after="0"/>
              <w:rPr>
                <w:sz w:val="20"/>
                <w:szCs w:val="20"/>
                <w:color w:val="auto"/>
              </w:rPr>
            </w:pPr>
            <w:r>
              <w:rPr>
                <w:rFonts w:ascii="Arial" w:cs="Arial" w:eastAsia="Arial" w:hAnsi="Arial"/>
                <w:sz w:val="14"/>
                <w:szCs w:val="14"/>
                <w:color w:val="auto"/>
              </w:rPr>
              <w:t>50</w:t>
            </w:r>
          </w:p>
        </w:tc>
      </w:tr>
      <w:tr>
        <w:trPr>
          <w:trHeight w:val="324"/>
        </w:trPr>
        <w:tc>
          <w:tcPr>
            <w:tcW w:w="2680" w:type="dxa"/>
            <w:vAlign w:val="bottom"/>
            <w:gridSpan w:val="2"/>
          </w:tcPr>
          <w:p>
            <w:pPr>
              <w:ind w:left="500"/>
              <w:spacing w:after="0"/>
              <w:rPr>
                <w:sz w:val="20"/>
                <w:szCs w:val="20"/>
                <w:color w:val="auto"/>
              </w:rPr>
            </w:pPr>
            <w:r>
              <w:rPr>
                <w:rFonts w:ascii="Arial" w:cs="Arial" w:eastAsia="Arial" w:hAnsi="Arial"/>
                <w:sz w:val="14"/>
                <w:szCs w:val="14"/>
                <w:color w:val="auto"/>
              </w:rPr>
              <w:t>SECTION 6.01.</w:t>
            </w:r>
          </w:p>
        </w:tc>
        <w:tc>
          <w:tcPr>
            <w:tcW w:w="5860" w:type="dxa"/>
            <w:vAlign w:val="bottom"/>
          </w:tcPr>
          <w:p>
            <w:pPr>
              <w:ind w:left="80"/>
              <w:spacing w:after="0"/>
              <w:rPr>
                <w:sz w:val="20"/>
                <w:szCs w:val="20"/>
                <w:color w:val="auto"/>
              </w:rPr>
            </w:pPr>
            <w:r>
              <w:rPr>
                <w:rFonts w:ascii="Arial" w:cs="Arial" w:eastAsia="Arial" w:hAnsi="Arial"/>
                <w:sz w:val="14"/>
                <w:szCs w:val="14"/>
                <w:color w:val="auto"/>
              </w:rPr>
              <w:t>Indebtedness</w:t>
            </w:r>
          </w:p>
        </w:tc>
        <w:tc>
          <w:tcPr>
            <w:tcW w:w="2720" w:type="dxa"/>
            <w:vAlign w:val="bottom"/>
          </w:tcPr>
          <w:p>
            <w:pPr>
              <w:jc w:val="right"/>
              <w:spacing w:after="0"/>
              <w:rPr>
                <w:sz w:val="20"/>
                <w:szCs w:val="20"/>
                <w:color w:val="auto"/>
              </w:rPr>
            </w:pPr>
            <w:r>
              <w:rPr>
                <w:rFonts w:ascii="Arial" w:cs="Arial" w:eastAsia="Arial" w:hAnsi="Arial"/>
                <w:sz w:val="14"/>
                <w:szCs w:val="14"/>
                <w:color w:val="auto"/>
              </w:rPr>
              <w:t>50</w:t>
            </w:r>
          </w:p>
        </w:tc>
      </w:tr>
      <w:tr>
        <w:trPr>
          <w:trHeight w:val="324"/>
        </w:trPr>
        <w:tc>
          <w:tcPr>
            <w:tcW w:w="2680" w:type="dxa"/>
            <w:vAlign w:val="bottom"/>
            <w:gridSpan w:val="2"/>
          </w:tcPr>
          <w:p>
            <w:pPr>
              <w:ind w:left="500"/>
              <w:spacing w:after="0"/>
              <w:rPr>
                <w:sz w:val="20"/>
                <w:szCs w:val="20"/>
                <w:color w:val="auto"/>
              </w:rPr>
            </w:pPr>
            <w:r>
              <w:rPr>
                <w:rFonts w:ascii="Arial" w:cs="Arial" w:eastAsia="Arial" w:hAnsi="Arial"/>
                <w:sz w:val="14"/>
                <w:szCs w:val="14"/>
                <w:color w:val="auto"/>
              </w:rPr>
              <w:t>SECTION 6.02.</w:t>
            </w:r>
          </w:p>
        </w:tc>
        <w:tc>
          <w:tcPr>
            <w:tcW w:w="5860" w:type="dxa"/>
            <w:vAlign w:val="bottom"/>
          </w:tcPr>
          <w:p>
            <w:pPr>
              <w:ind w:left="80"/>
              <w:spacing w:after="0"/>
              <w:rPr>
                <w:sz w:val="20"/>
                <w:szCs w:val="20"/>
                <w:color w:val="auto"/>
              </w:rPr>
            </w:pPr>
            <w:r>
              <w:rPr>
                <w:rFonts w:ascii="Arial" w:cs="Arial" w:eastAsia="Arial" w:hAnsi="Arial"/>
                <w:sz w:val="14"/>
                <w:szCs w:val="14"/>
                <w:color w:val="auto"/>
              </w:rPr>
              <w:t>Liens</w:t>
            </w:r>
          </w:p>
        </w:tc>
        <w:tc>
          <w:tcPr>
            <w:tcW w:w="2720" w:type="dxa"/>
            <w:vAlign w:val="bottom"/>
          </w:tcPr>
          <w:p>
            <w:pPr>
              <w:jc w:val="right"/>
              <w:spacing w:after="0"/>
              <w:rPr>
                <w:sz w:val="20"/>
                <w:szCs w:val="20"/>
                <w:color w:val="auto"/>
              </w:rPr>
            </w:pPr>
            <w:r>
              <w:rPr>
                <w:rFonts w:ascii="Arial" w:cs="Arial" w:eastAsia="Arial" w:hAnsi="Arial"/>
                <w:sz w:val="14"/>
                <w:szCs w:val="14"/>
                <w:color w:val="auto"/>
              </w:rPr>
              <w:t>51</w:t>
            </w:r>
          </w:p>
        </w:tc>
      </w:tr>
      <w:tr>
        <w:trPr>
          <w:trHeight w:val="324"/>
        </w:trPr>
        <w:tc>
          <w:tcPr>
            <w:tcW w:w="2680" w:type="dxa"/>
            <w:vAlign w:val="bottom"/>
            <w:gridSpan w:val="2"/>
          </w:tcPr>
          <w:p>
            <w:pPr>
              <w:ind w:left="500"/>
              <w:spacing w:after="0"/>
              <w:rPr>
                <w:sz w:val="20"/>
                <w:szCs w:val="20"/>
                <w:color w:val="auto"/>
              </w:rPr>
            </w:pPr>
            <w:r>
              <w:rPr>
                <w:rFonts w:ascii="Arial" w:cs="Arial" w:eastAsia="Arial" w:hAnsi="Arial"/>
                <w:sz w:val="14"/>
                <w:szCs w:val="14"/>
                <w:color w:val="auto"/>
              </w:rPr>
              <w:t>SECTION 6.03.</w:t>
            </w:r>
          </w:p>
        </w:tc>
        <w:tc>
          <w:tcPr>
            <w:tcW w:w="5860" w:type="dxa"/>
            <w:vAlign w:val="bottom"/>
          </w:tcPr>
          <w:p>
            <w:pPr>
              <w:ind w:left="80"/>
              <w:spacing w:after="0"/>
              <w:rPr>
                <w:sz w:val="20"/>
                <w:szCs w:val="20"/>
                <w:color w:val="auto"/>
              </w:rPr>
            </w:pPr>
            <w:r>
              <w:rPr>
                <w:rFonts w:ascii="Arial" w:cs="Arial" w:eastAsia="Arial" w:hAnsi="Arial"/>
                <w:sz w:val="14"/>
                <w:szCs w:val="14"/>
                <w:color w:val="auto"/>
              </w:rPr>
              <w:t>Fundamental Changes</w:t>
            </w:r>
          </w:p>
        </w:tc>
        <w:tc>
          <w:tcPr>
            <w:tcW w:w="2720" w:type="dxa"/>
            <w:vAlign w:val="bottom"/>
          </w:tcPr>
          <w:p>
            <w:pPr>
              <w:jc w:val="right"/>
              <w:spacing w:after="0"/>
              <w:rPr>
                <w:sz w:val="20"/>
                <w:szCs w:val="20"/>
                <w:color w:val="auto"/>
              </w:rPr>
            </w:pPr>
            <w:r>
              <w:rPr>
                <w:rFonts w:ascii="Arial" w:cs="Arial" w:eastAsia="Arial" w:hAnsi="Arial"/>
                <w:sz w:val="14"/>
                <w:szCs w:val="14"/>
                <w:color w:val="auto"/>
              </w:rPr>
              <w:t>52</w:t>
            </w:r>
          </w:p>
        </w:tc>
      </w:tr>
      <w:tr>
        <w:trPr>
          <w:trHeight w:val="324"/>
        </w:trPr>
        <w:tc>
          <w:tcPr>
            <w:tcW w:w="2680" w:type="dxa"/>
            <w:vAlign w:val="bottom"/>
            <w:gridSpan w:val="2"/>
          </w:tcPr>
          <w:p>
            <w:pPr>
              <w:ind w:left="500"/>
              <w:spacing w:after="0"/>
              <w:rPr>
                <w:sz w:val="20"/>
                <w:szCs w:val="20"/>
                <w:color w:val="auto"/>
              </w:rPr>
            </w:pPr>
            <w:r>
              <w:rPr>
                <w:rFonts w:ascii="Arial" w:cs="Arial" w:eastAsia="Arial" w:hAnsi="Arial"/>
                <w:sz w:val="14"/>
                <w:szCs w:val="14"/>
                <w:color w:val="auto"/>
              </w:rPr>
              <w:t>SECTION 6.04.</w:t>
            </w:r>
          </w:p>
        </w:tc>
        <w:tc>
          <w:tcPr>
            <w:tcW w:w="5860" w:type="dxa"/>
            <w:vAlign w:val="bottom"/>
          </w:tcPr>
          <w:p>
            <w:pPr>
              <w:ind w:left="80"/>
              <w:spacing w:after="0"/>
              <w:rPr>
                <w:sz w:val="20"/>
                <w:szCs w:val="20"/>
                <w:color w:val="auto"/>
              </w:rPr>
            </w:pPr>
            <w:r>
              <w:rPr>
                <w:rFonts w:ascii="Arial" w:cs="Arial" w:eastAsia="Arial" w:hAnsi="Arial"/>
                <w:sz w:val="14"/>
                <w:szCs w:val="14"/>
                <w:color w:val="auto"/>
              </w:rPr>
              <w:t>Investments</w:t>
            </w:r>
          </w:p>
        </w:tc>
        <w:tc>
          <w:tcPr>
            <w:tcW w:w="2720" w:type="dxa"/>
            <w:vAlign w:val="bottom"/>
          </w:tcPr>
          <w:p>
            <w:pPr>
              <w:jc w:val="right"/>
              <w:spacing w:after="0"/>
              <w:rPr>
                <w:sz w:val="20"/>
                <w:szCs w:val="20"/>
                <w:color w:val="auto"/>
              </w:rPr>
            </w:pPr>
            <w:r>
              <w:rPr>
                <w:rFonts w:ascii="Arial" w:cs="Arial" w:eastAsia="Arial" w:hAnsi="Arial"/>
                <w:sz w:val="14"/>
                <w:szCs w:val="14"/>
                <w:color w:val="auto"/>
              </w:rPr>
              <w:t>52</w:t>
            </w:r>
          </w:p>
        </w:tc>
      </w:tr>
      <w:tr>
        <w:trPr>
          <w:trHeight w:val="324"/>
        </w:trPr>
        <w:tc>
          <w:tcPr>
            <w:tcW w:w="2680" w:type="dxa"/>
            <w:vAlign w:val="bottom"/>
            <w:gridSpan w:val="2"/>
          </w:tcPr>
          <w:p>
            <w:pPr>
              <w:ind w:left="500"/>
              <w:spacing w:after="0"/>
              <w:rPr>
                <w:sz w:val="20"/>
                <w:szCs w:val="20"/>
                <w:color w:val="auto"/>
              </w:rPr>
            </w:pPr>
            <w:r>
              <w:rPr>
                <w:rFonts w:ascii="Arial" w:cs="Arial" w:eastAsia="Arial" w:hAnsi="Arial"/>
                <w:sz w:val="14"/>
                <w:szCs w:val="14"/>
                <w:color w:val="auto"/>
              </w:rPr>
              <w:t>SECTION 6.05.</w:t>
            </w:r>
          </w:p>
        </w:tc>
        <w:tc>
          <w:tcPr>
            <w:tcW w:w="5860" w:type="dxa"/>
            <w:vAlign w:val="bottom"/>
          </w:tcPr>
          <w:p>
            <w:pPr>
              <w:ind w:left="80"/>
              <w:spacing w:after="0"/>
              <w:rPr>
                <w:sz w:val="20"/>
                <w:szCs w:val="20"/>
                <w:color w:val="auto"/>
              </w:rPr>
            </w:pPr>
            <w:r>
              <w:rPr>
                <w:rFonts w:ascii="Arial" w:cs="Arial" w:eastAsia="Arial" w:hAnsi="Arial"/>
                <w:sz w:val="14"/>
                <w:szCs w:val="14"/>
                <w:color w:val="auto"/>
              </w:rPr>
              <w:t>Restricted Payments</w:t>
            </w:r>
          </w:p>
        </w:tc>
        <w:tc>
          <w:tcPr>
            <w:tcW w:w="2720" w:type="dxa"/>
            <w:vAlign w:val="bottom"/>
          </w:tcPr>
          <w:p>
            <w:pPr>
              <w:jc w:val="right"/>
              <w:spacing w:after="0"/>
              <w:rPr>
                <w:sz w:val="20"/>
                <w:szCs w:val="20"/>
                <w:color w:val="auto"/>
              </w:rPr>
            </w:pPr>
            <w:r>
              <w:rPr>
                <w:rFonts w:ascii="Arial" w:cs="Arial" w:eastAsia="Arial" w:hAnsi="Arial"/>
                <w:sz w:val="14"/>
                <w:szCs w:val="14"/>
                <w:color w:val="auto"/>
              </w:rPr>
              <w:t>53</w:t>
            </w:r>
          </w:p>
        </w:tc>
      </w:tr>
      <w:tr>
        <w:trPr>
          <w:trHeight w:val="324"/>
        </w:trPr>
        <w:tc>
          <w:tcPr>
            <w:tcW w:w="2680" w:type="dxa"/>
            <w:vAlign w:val="bottom"/>
            <w:gridSpan w:val="2"/>
          </w:tcPr>
          <w:p>
            <w:pPr>
              <w:ind w:left="500"/>
              <w:spacing w:after="0"/>
              <w:rPr>
                <w:sz w:val="20"/>
                <w:szCs w:val="20"/>
                <w:color w:val="auto"/>
              </w:rPr>
            </w:pPr>
            <w:r>
              <w:rPr>
                <w:rFonts w:ascii="Arial" w:cs="Arial" w:eastAsia="Arial" w:hAnsi="Arial"/>
                <w:sz w:val="14"/>
                <w:szCs w:val="14"/>
                <w:color w:val="auto"/>
              </w:rPr>
              <w:t>SECTION 6.06.</w:t>
            </w:r>
          </w:p>
        </w:tc>
        <w:tc>
          <w:tcPr>
            <w:tcW w:w="5860" w:type="dxa"/>
            <w:vAlign w:val="bottom"/>
          </w:tcPr>
          <w:p>
            <w:pPr>
              <w:ind w:left="80"/>
              <w:spacing w:after="0"/>
              <w:rPr>
                <w:sz w:val="20"/>
                <w:szCs w:val="20"/>
                <w:color w:val="auto"/>
              </w:rPr>
            </w:pPr>
            <w:r>
              <w:rPr>
                <w:rFonts w:ascii="Arial" w:cs="Arial" w:eastAsia="Arial" w:hAnsi="Arial"/>
                <w:sz w:val="14"/>
                <w:szCs w:val="14"/>
                <w:color w:val="auto"/>
              </w:rPr>
              <w:t>Certain Restrictions on Subsidiaries</w:t>
            </w:r>
          </w:p>
        </w:tc>
        <w:tc>
          <w:tcPr>
            <w:tcW w:w="2720" w:type="dxa"/>
            <w:vAlign w:val="bottom"/>
          </w:tcPr>
          <w:p>
            <w:pPr>
              <w:jc w:val="right"/>
              <w:spacing w:after="0"/>
              <w:rPr>
                <w:sz w:val="20"/>
                <w:szCs w:val="20"/>
                <w:color w:val="auto"/>
              </w:rPr>
            </w:pPr>
            <w:r>
              <w:rPr>
                <w:rFonts w:ascii="Arial" w:cs="Arial" w:eastAsia="Arial" w:hAnsi="Arial"/>
                <w:sz w:val="14"/>
                <w:szCs w:val="14"/>
                <w:color w:val="auto"/>
              </w:rPr>
              <w:t>54</w:t>
            </w:r>
          </w:p>
        </w:tc>
      </w:tr>
      <w:tr>
        <w:trPr>
          <w:trHeight w:val="324"/>
        </w:trPr>
        <w:tc>
          <w:tcPr>
            <w:tcW w:w="2680" w:type="dxa"/>
            <w:vAlign w:val="bottom"/>
            <w:gridSpan w:val="2"/>
          </w:tcPr>
          <w:p>
            <w:pPr>
              <w:ind w:left="500"/>
              <w:spacing w:after="0"/>
              <w:rPr>
                <w:sz w:val="20"/>
                <w:szCs w:val="20"/>
                <w:color w:val="auto"/>
              </w:rPr>
            </w:pPr>
            <w:r>
              <w:rPr>
                <w:rFonts w:ascii="Arial" w:cs="Arial" w:eastAsia="Arial" w:hAnsi="Arial"/>
                <w:sz w:val="14"/>
                <w:szCs w:val="14"/>
                <w:color w:val="auto"/>
              </w:rPr>
              <w:t>SECTION 6.07.</w:t>
            </w:r>
          </w:p>
        </w:tc>
        <w:tc>
          <w:tcPr>
            <w:tcW w:w="5860" w:type="dxa"/>
            <w:vAlign w:val="bottom"/>
          </w:tcPr>
          <w:p>
            <w:pPr>
              <w:ind w:left="80"/>
              <w:spacing w:after="0"/>
              <w:rPr>
                <w:sz w:val="20"/>
                <w:szCs w:val="20"/>
                <w:color w:val="auto"/>
              </w:rPr>
            </w:pPr>
            <w:r>
              <w:rPr>
                <w:rFonts w:ascii="Arial" w:cs="Arial" w:eastAsia="Arial" w:hAnsi="Arial"/>
                <w:sz w:val="14"/>
                <w:szCs w:val="14"/>
                <w:color w:val="auto"/>
              </w:rPr>
              <w:t>Certain Financial Covenants</w:t>
            </w:r>
          </w:p>
        </w:tc>
        <w:tc>
          <w:tcPr>
            <w:tcW w:w="2720" w:type="dxa"/>
            <w:vAlign w:val="bottom"/>
          </w:tcPr>
          <w:p>
            <w:pPr>
              <w:jc w:val="right"/>
              <w:spacing w:after="0"/>
              <w:rPr>
                <w:sz w:val="20"/>
                <w:szCs w:val="20"/>
                <w:color w:val="auto"/>
              </w:rPr>
            </w:pPr>
            <w:r>
              <w:rPr>
                <w:rFonts w:ascii="Arial" w:cs="Arial" w:eastAsia="Arial" w:hAnsi="Arial"/>
                <w:sz w:val="14"/>
                <w:szCs w:val="14"/>
                <w:color w:val="auto"/>
              </w:rPr>
              <w:t>54</w:t>
            </w:r>
          </w:p>
        </w:tc>
      </w:tr>
      <w:tr>
        <w:trPr>
          <w:trHeight w:val="324"/>
        </w:trPr>
        <w:tc>
          <w:tcPr>
            <w:tcW w:w="2680" w:type="dxa"/>
            <w:vAlign w:val="bottom"/>
            <w:gridSpan w:val="2"/>
          </w:tcPr>
          <w:p>
            <w:pPr>
              <w:ind w:left="500"/>
              <w:spacing w:after="0"/>
              <w:rPr>
                <w:sz w:val="20"/>
                <w:szCs w:val="20"/>
                <w:color w:val="auto"/>
              </w:rPr>
            </w:pPr>
            <w:r>
              <w:rPr>
                <w:rFonts w:ascii="Arial" w:cs="Arial" w:eastAsia="Arial" w:hAnsi="Arial"/>
                <w:sz w:val="14"/>
                <w:szCs w:val="14"/>
                <w:color w:val="auto"/>
              </w:rPr>
              <w:t>SECTION 6.08.</w:t>
            </w:r>
          </w:p>
        </w:tc>
        <w:tc>
          <w:tcPr>
            <w:tcW w:w="5860" w:type="dxa"/>
            <w:vAlign w:val="bottom"/>
          </w:tcPr>
          <w:p>
            <w:pPr>
              <w:ind w:left="80"/>
              <w:spacing w:after="0"/>
              <w:rPr>
                <w:sz w:val="20"/>
                <w:szCs w:val="20"/>
                <w:color w:val="auto"/>
              </w:rPr>
            </w:pPr>
            <w:r>
              <w:rPr>
                <w:rFonts w:ascii="Arial" w:cs="Arial" w:eastAsia="Arial" w:hAnsi="Arial"/>
                <w:sz w:val="14"/>
                <w:szCs w:val="14"/>
                <w:color w:val="auto"/>
              </w:rPr>
              <w:t>Transactions with Affiliates</w:t>
            </w:r>
          </w:p>
        </w:tc>
        <w:tc>
          <w:tcPr>
            <w:tcW w:w="2720" w:type="dxa"/>
            <w:vAlign w:val="bottom"/>
          </w:tcPr>
          <w:p>
            <w:pPr>
              <w:jc w:val="right"/>
              <w:spacing w:after="0"/>
              <w:rPr>
                <w:sz w:val="20"/>
                <w:szCs w:val="20"/>
                <w:color w:val="auto"/>
              </w:rPr>
            </w:pPr>
            <w:r>
              <w:rPr>
                <w:rFonts w:ascii="Arial" w:cs="Arial" w:eastAsia="Arial" w:hAnsi="Arial"/>
                <w:sz w:val="14"/>
                <w:szCs w:val="14"/>
                <w:color w:val="auto"/>
              </w:rPr>
              <w:t>54</w:t>
            </w:r>
          </w:p>
        </w:tc>
      </w:tr>
      <w:tr>
        <w:trPr>
          <w:trHeight w:val="324"/>
        </w:trPr>
        <w:tc>
          <w:tcPr>
            <w:tcW w:w="2680" w:type="dxa"/>
            <w:vAlign w:val="bottom"/>
            <w:gridSpan w:val="2"/>
          </w:tcPr>
          <w:p>
            <w:pPr>
              <w:ind w:left="500"/>
              <w:spacing w:after="0"/>
              <w:rPr>
                <w:sz w:val="20"/>
                <w:szCs w:val="20"/>
                <w:color w:val="auto"/>
              </w:rPr>
            </w:pPr>
            <w:r>
              <w:rPr>
                <w:rFonts w:ascii="Arial" w:cs="Arial" w:eastAsia="Arial" w:hAnsi="Arial"/>
                <w:sz w:val="14"/>
                <w:szCs w:val="14"/>
                <w:color w:val="auto"/>
              </w:rPr>
              <w:t>SECTION 6.09.</w:t>
            </w:r>
          </w:p>
        </w:tc>
        <w:tc>
          <w:tcPr>
            <w:tcW w:w="5860" w:type="dxa"/>
            <w:vAlign w:val="bottom"/>
          </w:tcPr>
          <w:p>
            <w:pPr>
              <w:ind w:left="80"/>
              <w:spacing w:after="0"/>
              <w:rPr>
                <w:sz w:val="20"/>
                <w:szCs w:val="20"/>
                <w:color w:val="auto"/>
              </w:rPr>
            </w:pPr>
            <w:r>
              <w:rPr>
                <w:rFonts w:ascii="Arial" w:cs="Arial" w:eastAsia="Arial" w:hAnsi="Arial"/>
                <w:sz w:val="14"/>
                <w:szCs w:val="14"/>
                <w:color w:val="auto"/>
              </w:rPr>
              <w:t>Lines of Business</w:t>
            </w:r>
          </w:p>
        </w:tc>
        <w:tc>
          <w:tcPr>
            <w:tcW w:w="2720" w:type="dxa"/>
            <w:vAlign w:val="bottom"/>
          </w:tcPr>
          <w:p>
            <w:pPr>
              <w:jc w:val="right"/>
              <w:spacing w:after="0"/>
              <w:rPr>
                <w:sz w:val="20"/>
                <w:szCs w:val="20"/>
                <w:color w:val="auto"/>
              </w:rPr>
            </w:pPr>
            <w:r>
              <w:rPr>
                <w:rFonts w:ascii="Arial" w:cs="Arial" w:eastAsia="Arial" w:hAnsi="Arial"/>
                <w:sz w:val="14"/>
                <w:szCs w:val="14"/>
                <w:color w:val="auto"/>
              </w:rPr>
              <w:t>54</w:t>
            </w:r>
          </w:p>
        </w:tc>
      </w:tr>
      <w:tr>
        <w:trPr>
          <w:trHeight w:val="324"/>
        </w:trPr>
        <w:tc>
          <w:tcPr>
            <w:tcW w:w="2680" w:type="dxa"/>
            <w:vAlign w:val="bottom"/>
            <w:gridSpan w:val="2"/>
          </w:tcPr>
          <w:p>
            <w:pPr>
              <w:ind w:left="500"/>
              <w:spacing w:after="0"/>
              <w:rPr>
                <w:sz w:val="20"/>
                <w:szCs w:val="20"/>
                <w:color w:val="auto"/>
              </w:rPr>
            </w:pPr>
            <w:r>
              <w:rPr>
                <w:rFonts w:ascii="Arial" w:cs="Arial" w:eastAsia="Arial" w:hAnsi="Arial"/>
                <w:sz w:val="14"/>
                <w:szCs w:val="14"/>
                <w:color w:val="auto"/>
              </w:rPr>
              <w:t>SECTION 6.10.</w:t>
            </w:r>
          </w:p>
        </w:tc>
        <w:tc>
          <w:tcPr>
            <w:tcW w:w="5860" w:type="dxa"/>
            <w:vAlign w:val="bottom"/>
          </w:tcPr>
          <w:p>
            <w:pPr>
              <w:ind w:left="80"/>
              <w:spacing w:after="0"/>
              <w:rPr>
                <w:sz w:val="20"/>
                <w:szCs w:val="20"/>
                <w:color w:val="auto"/>
              </w:rPr>
            </w:pPr>
            <w:r>
              <w:rPr>
                <w:rFonts w:ascii="Arial" w:cs="Arial" w:eastAsia="Arial" w:hAnsi="Arial"/>
                <w:sz w:val="14"/>
                <w:szCs w:val="14"/>
                <w:color w:val="auto"/>
              </w:rPr>
              <w:t>No Further Negative Pledge</w:t>
            </w:r>
          </w:p>
        </w:tc>
        <w:tc>
          <w:tcPr>
            <w:tcW w:w="2720" w:type="dxa"/>
            <w:vAlign w:val="bottom"/>
          </w:tcPr>
          <w:p>
            <w:pPr>
              <w:jc w:val="right"/>
              <w:spacing w:after="0"/>
              <w:rPr>
                <w:sz w:val="20"/>
                <w:szCs w:val="20"/>
                <w:color w:val="auto"/>
              </w:rPr>
            </w:pPr>
            <w:r>
              <w:rPr>
                <w:rFonts w:ascii="Arial" w:cs="Arial" w:eastAsia="Arial" w:hAnsi="Arial"/>
                <w:sz w:val="14"/>
                <w:szCs w:val="14"/>
                <w:color w:val="auto"/>
              </w:rPr>
              <w:t>54</w:t>
            </w:r>
          </w:p>
        </w:tc>
      </w:tr>
      <w:tr>
        <w:trPr>
          <w:trHeight w:val="324"/>
        </w:trPr>
        <w:tc>
          <w:tcPr>
            <w:tcW w:w="2680" w:type="dxa"/>
            <w:vAlign w:val="bottom"/>
            <w:gridSpan w:val="2"/>
          </w:tcPr>
          <w:p>
            <w:pPr>
              <w:ind w:left="500"/>
              <w:spacing w:after="0"/>
              <w:rPr>
                <w:sz w:val="20"/>
                <w:szCs w:val="20"/>
                <w:color w:val="auto"/>
              </w:rPr>
            </w:pPr>
            <w:r>
              <w:rPr>
                <w:rFonts w:ascii="Arial" w:cs="Arial" w:eastAsia="Arial" w:hAnsi="Arial"/>
                <w:sz w:val="14"/>
                <w:szCs w:val="14"/>
                <w:color w:val="auto"/>
              </w:rPr>
              <w:t>SECTION 6.11.</w:t>
            </w:r>
          </w:p>
        </w:tc>
        <w:tc>
          <w:tcPr>
            <w:tcW w:w="5860" w:type="dxa"/>
            <w:vAlign w:val="bottom"/>
          </w:tcPr>
          <w:p>
            <w:pPr>
              <w:ind w:left="80"/>
              <w:spacing w:after="0"/>
              <w:rPr>
                <w:sz w:val="20"/>
                <w:szCs w:val="20"/>
                <w:color w:val="auto"/>
              </w:rPr>
            </w:pPr>
            <w:r>
              <w:rPr>
                <w:rFonts w:ascii="Arial" w:cs="Arial" w:eastAsia="Arial" w:hAnsi="Arial"/>
                <w:sz w:val="14"/>
                <w:szCs w:val="14"/>
                <w:color w:val="auto"/>
              </w:rPr>
              <w:t>Modifications of Longer-Term Indebtedness Documents</w:t>
            </w:r>
          </w:p>
        </w:tc>
        <w:tc>
          <w:tcPr>
            <w:tcW w:w="2720" w:type="dxa"/>
            <w:vAlign w:val="bottom"/>
          </w:tcPr>
          <w:p>
            <w:pPr>
              <w:jc w:val="right"/>
              <w:spacing w:after="0"/>
              <w:rPr>
                <w:sz w:val="20"/>
                <w:szCs w:val="20"/>
                <w:color w:val="auto"/>
              </w:rPr>
            </w:pPr>
            <w:r>
              <w:rPr>
                <w:rFonts w:ascii="Arial" w:cs="Arial" w:eastAsia="Arial" w:hAnsi="Arial"/>
                <w:sz w:val="14"/>
                <w:szCs w:val="14"/>
                <w:color w:val="auto"/>
              </w:rPr>
              <w:t>54</w:t>
            </w:r>
          </w:p>
        </w:tc>
      </w:tr>
      <w:tr>
        <w:trPr>
          <w:trHeight w:val="324"/>
        </w:trPr>
        <w:tc>
          <w:tcPr>
            <w:tcW w:w="2680" w:type="dxa"/>
            <w:vAlign w:val="bottom"/>
            <w:gridSpan w:val="2"/>
          </w:tcPr>
          <w:p>
            <w:pPr>
              <w:ind w:left="500"/>
              <w:spacing w:after="0"/>
              <w:rPr>
                <w:sz w:val="20"/>
                <w:szCs w:val="20"/>
                <w:color w:val="auto"/>
              </w:rPr>
            </w:pPr>
            <w:r>
              <w:rPr>
                <w:rFonts w:ascii="Arial" w:cs="Arial" w:eastAsia="Arial" w:hAnsi="Arial"/>
                <w:sz w:val="14"/>
                <w:szCs w:val="14"/>
                <w:color w:val="auto"/>
              </w:rPr>
              <w:t>SECTION 6.12.</w:t>
            </w:r>
          </w:p>
        </w:tc>
        <w:tc>
          <w:tcPr>
            <w:tcW w:w="5860" w:type="dxa"/>
            <w:vAlign w:val="bottom"/>
          </w:tcPr>
          <w:p>
            <w:pPr>
              <w:ind w:left="80"/>
              <w:spacing w:after="0"/>
              <w:rPr>
                <w:sz w:val="20"/>
                <w:szCs w:val="20"/>
                <w:color w:val="auto"/>
              </w:rPr>
            </w:pPr>
            <w:r>
              <w:rPr>
                <w:rFonts w:ascii="Arial" w:cs="Arial" w:eastAsia="Arial" w:hAnsi="Arial"/>
                <w:sz w:val="14"/>
                <w:szCs w:val="14"/>
                <w:color w:val="auto"/>
              </w:rPr>
              <w:t>Payments of Longer-Term Indebtedness</w:t>
            </w:r>
          </w:p>
        </w:tc>
        <w:tc>
          <w:tcPr>
            <w:tcW w:w="2720" w:type="dxa"/>
            <w:vAlign w:val="bottom"/>
          </w:tcPr>
          <w:p>
            <w:pPr>
              <w:jc w:val="right"/>
              <w:spacing w:after="0"/>
              <w:rPr>
                <w:sz w:val="20"/>
                <w:szCs w:val="20"/>
                <w:color w:val="auto"/>
              </w:rPr>
            </w:pPr>
            <w:r>
              <w:rPr>
                <w:rFonts w:ascii="Arial" w:cs="Arial" w:eastAsia="Arial" w:hAnsi="Arial"/>
                <w:sz w:val="14"/>
                <w:szCs w:val="14"/>
                <w:color w:val="auto"/>
              </w:rPr>
              <w:t>55</w:t>
            </w:r>
          </w:p>
        </w:tc>
      </w:tr>
      <w:tr>
        <w:trPr>
          <w:trHeight w:val="324"/>
        </w:trPr>
        <w:tc>
          <w:tcPr>
            <w:tcW w:w="2680" w:type="dxa"/>
            <w:vAlign w:val="bottom"/>
            <w:gridSpan w:val="2"/>
          </w:tcPr>
          <w:p>
            <w:pPr>
              <w:ind w:left="500"/>
              <w:spacing w:after="0"/>
              <w:rPr>
                <w:sz w:val="20"/>
                <w:szCs w:val="20"/>
                <w:color w:val="auto"/>
              </w:rPr>
            </w:pPr>
            <w:r>
              <w:rPr>
                <w:rFonts w:ascii="Arial" w:cs="Arial" w:eastAsia="Arial" w:hAnsi="Arial"/>
                <w:sz w:val="14"/>
                <w:szCs w:val="14"/>
                <w:color w:val="auto"/>
              </w:rPr>
              <w:t>SECTION 6.13.</w:t>
            </w:r>
          </w:p>
        </w:tc>
        <w:tc>
          <w:tcPr>
            <w:tcW w:w="5860" w:type="dxa"/>
            <w:vAlign w:val="bottom"/>
          </w:tcPr>
          <w:p>
            <w:pPr>
              <w:ind w:left="80"/>
              <w:spacing w:after="0"/>
              <w:rPr>
                <w:sz w:val="20"/>
                <w:szCs w:val="20"/>
                <w:color w:val="auto"/>
              </w:rPr>
            </w:pPr>
            <w:r>
              <w:rPr>
                <w:rFonts w:ascii="Arial" w:cs="Arial" w:eastAsia="Arial" w:hAnsi="Arial"/>
                <w:sz w:val="14"/>
                <w:szCs w:val="14"/>
                <w:color w:val="auto"/>
              </w:rPr>
              <w:t>Accounting Changes</w:t>
            </w:r>
          </w:p>
        </w:tc>
        <w:tc>
          <w:tcPr>
            <w:tcW w:w="2720" w:type="dxa"/>
            <w:vAlign w:val="bottom"/>
          </w:tcPr>
          <w:p>
            <w:pPr>
              <w:jc w:val="right"/>
              <w:spacing w:after="0"/>
              <w:rPr>
                <w:sz w:val="20"/>
                <w:szCs w:val="20"/>
                <w:color w:val="auto"/>
              </w:rPr>
            </w:pPr>
            <w:r>
              <w:rPr>
                <w:rFonts w:ascii="Arial" w:cs="Arial" w:eastAsia="Arial" w:hAnsi="Arial"/>
                <w:sz w:val="14"/>
                <w:szCs w:val="14"/>
                <w:color w:val="auto"/>
              </w:rPr>
              <w:t>55</w:t>
            </w:r>
          </w:p>
        </w:tc>
      </w:tr>
      <w:tr>
        <w:trPr>
          <w:trHeight w:val="324"/>
        </w:trPr>
        <w:tc>
          <w:tcPr>
            <w:tcW w:w="2680" w:type="dxa"/>
            <w:vAlign w:val="bottom"/>
            <w:gridSpan w:val="2"/>
          </w:tcPr>
          <w:p>
            <w:pPr>
              <w:ind w:left="500"/>
              <w:spacing w:after="0"/>
              <w:rPr>
                <w:sz w:val="20"/>
                <w:szCs w:val="20"/>
                <w:color w:val="auto"/>
              </w:rPr>
            </w:pPr>
            <w:r>
              <w:rPr>
                <w:rFonts w:ascii="Arial" w:cs="Arial" w:eastAsia="Arial" w:hAnsi="Arial"/>
                <w:sz w:val="14"/>
                <w:szCs w:val="14"/>
                <w:color w:val="auto"/>
              </w:rPr>
              <w:t>SECTION 6.14.</w:t>
            </w:r>
          </w:p>
        </w:tc>
        <w:tc>
          <w:tcPr>
            <w:tcW w:w="5860" w:type="dxa"/>
            <w:vAlign w:val="bottom"/>
          </w:tcPr>
          <w:p>
            <w:pPr>
              <w:ind w:left="80"/>
              <w:spacing w:after="0"/>
              <w:rPr>
                <w:sz w:val="20"/>
                <w:szCs w:val="20"/>
                <w:color w:val="auto"/>
              </w:rPr>
            </w:pPr>
            <w:r>
              <w:rPr>
                <w:rFonts w:ascii="Arial" w:cs="Arial" w:eastAsia="Arial" w:hAnsi="Arial"/>
                <w:sz w:val="14"/>
                <w:szCs w:val="14"/>
                <w:color w:val="auto"/>
              </w:rPr>
              <w:t>SBIC Guarantee</w:t>
            </w:r>
          </w:p>
        </w:tc>
        <w:tc>
          <w:tcPr>
            <w:tcW w:w="2720" w:type="dxa"/>
            <w:vAlign w:val="bottom"/>
          </w:tcPr>
          <w:p>
            <w:pPr>
              <w:jc w:val="right"/>
              <w:spacing w:after="0"/>
              <w:rPr>
                <w:sz w:val="20"/>
                <w:szCs w:val="20"/>
                <w:color w:val="auto"/>
              </w:rPr>
            </w:pPr>
            <w:r>
              <w:rPr>
                <w:rFonts w:ascii="Arial" w:cs="Arial" w:eastAsia="Arial" w:hAnsi="Arial"/>
                <w:sz w:val="14"/>
                <w:szCs w:val="14"/>
                <w:color w:val="auto"/>
              </w:rPr>
              <w:t>55</w:t>
            </w:r>
          </w:p>
        </w:tc>
      </w:tr>
      <w:tr>
        <w:trPr>
          <w:trHeight w:val="324"/>
        </w:trPr>
        <w:tc>
          <w:tcPr>
            <w:tcW w:w="980" w:type="dxa"/>
            <w:vAlign w:val="bottom"/>
          </w:tcPr>
          <w:p>
            <w:pPr>
              <w:spacing w:after="0"/>
              <w:rPr>
                <w:sz w:val="20"/>
                <w:szCs w:val="20"/>
                <w:color w:val="auto"/>
              </w:rPr>
            </w:pPr>
            <w:r>
              <w:rPr>
                <w:rFonts w:ascii="Arial" w:cs="Arial" w:eastAsia="Arial" w:hAnsi="Arial"/>
                <w:sz w:val="14"/>
                <w:szCs w:val="14"/>
                <w:color w:val="auto"/>
              </w:rPr>
              <w:t>ARTICLE VII</w:t>
            </w:r>
          </w:p>
        </w:tc>
        <w:tc>
          <w:tcPr>
            <w:tcW w:w="1700" w:type="dxa"/>
            <w:vAlign w:val="bottom"/>
          </w:tcPr>
          <w:p>
            <w:pPr>
              <w:ind w:left="180"/>
              <w:spacing w:after="0"/>
              <w:rPr>
                <w:sz w:val="20"/>
                <w:szCs w:val="20"/>
                <w:color w:val="auto"/>
              </w:rPr>
            </w:pPr>
            <w:r>
              <w:rPr>
                <w:rFonts w:ascii="Arial" w:cs="Arial" w:eastAsia="Arial" w:hAnsi="Arial"/>
                <w:sz w:val="14"/>
                <w:szCs w:val="14"/>
                <w:color w:val="auto"/>
              </w:rPr>
              <w:t>EVENTS OF DEFAULT</w:t>
            </w:r>
          </w:p>
        </w:tc>
        <w:tc>
          <w:tcPr>
            <w:tcW w:w="5860" w:type="dxa"/>
            <w:vAlign w:val="bottom"/>
          </w:tcPr>
          <w:p>
            <w:pPr>
              <w:spacing w:after="0"/>
              <w:rPr>
                <w:sz w:val="24"/>
                <w:szCs w:val="24"/>
                <w:color w:val="auto"/>
              </w:rPr>
            </w:pPr>
          </w:p>
        </w:tc>
        <w:tc>
          <w:tcPr>
            <w:tcW w:w="2720" w:type="dxa"/>
            <w:vAlign w:val="bottom"/>
          </w:tcPr>
          <w:p>
            <w:pPr>
              <w:jc w:val="right"/>
              <w:spacing w:after="0"/>
              <w:rPr>
                <w:sz w:val="20"/>
                <w:szCs w:val="20"/>
                <w:color w:val="auto"/>
              </w:rPr>
            </w:pPr>
            <w:r>
              <w:rPr>
                <w:rFonts w:ascii="Arial" w:cs="Arial" w:eastAsia="Arial" w:hAnsi="Arial"/>
                <w:sz w:val="14"/>
                <w:szCs w:val="14"/>
                <w:color w:val="auto"/>
              </w:rPr>
              <w:t>55</w:t>
            </w:r>
          </w:p>
        </w:tc>
      </w:tr>
      <w:tr>
        <w:trPr>
          <w:trHeight w:val="324"/>
        </w:trPr>
        <w:tc>
          <w:tcPr>
            <w:tcW w:w="980" w:type="dxa"/>
            <w:vAlign w:val="bottom"/>
          </w:tcPr>
          <w:p>
            <w:pPr>
              <w:spacing w:after="0"/>
              <w:rPr>
                <w:sz w:val="20"/>
                <w:szCs w:val="20"/>
                <w:color w:val="auto"/>
              </w:rPr>
            </w:pPr>
            <w:r>
              <w:rPr>
                <w:rFonts w:ascii="Arial" w:cs="Arial" w:eastAsia="Arial" w:hAnsi="Arial"/>
                <w:sz w:val="14"/>
                <w:szCs w:val="14"/>
                <w:color w:val="auto"/>
              </w:rPr>
              <w:t>ARTICLE VIII</w:t>
            </w:r>
          </w:p>
        </w:tc>
        <w:tc>
          <w:tcPr>
            <w:tcW w:w="7560" w:type="dxa"/>
            <w:vAlign w:val="bottom"/>
            <w:gridSpan w:val="2"/>
          </w:tcPr>
          <w:p>
            <w:pPr>
              <w:ind w:left="160"/>
              <w:spacing w:after="0"/>
              <w:rPr>
                <w:sz w:val="20"/>
                <w:szCs w:val="20"/>
                <w:color w:val="auto"/>
              </w:rPr>
            </w:pPr>
            <w:r>
              <w:rPr>
                <w:rFonts w:ascii="Arial" w:cs="Arial" w:eastAsia="Arial" w:hAnsi="Arial"/>
                <w:sz w:val="14"/>
                <w:szCs w:val="14"/>
                <w:color w:val="auto"/>
              </w:rPr>
              <w:t>THE ADMINISTRATIVE AGENT</w:t>
            </w:r>
          </w:p>
        </w:tc>
        <w:tc>
          <w:tcPr>
            <w:tcW w:w="2720" w:type="dxa"/>
            <w:vAlign w:val="bottom"/>
          </w:tcPr>
          <w:p>
            <w:pPr>
              <w:jc w:val="right"/>
              <w:spacing w:after="0"/>
              <w:rPr>
                <w:sz w:val="20"/>
                <w:szCs w:val="20"/>
                <w:color w:val="auto"/>
              </w:rPr>
            </w:pPr>
            <w:r>
              <w:rPr>
                <w:rFonts w:ascii="Arial" w:cs="Arial" w:eastAsia="Arial" w:hAnsi="Arial"/>
                <w:sz w:val="14"/>
                <w:szCs w:val="14"/>
                <w:color w:val="auto"/>
              </w:rPr>
              <w:t>57</w:t>
            </w:r>
          </w:p>
        </w:tc>
      </w:tr>
      <w:tr>
        <w:trPr>
          <w:trHeight w:val="324"/>
        </w:trPr>
        <w:tc>
          <w:tcPr>
            <w:tcW w:w="2680" w:type="dxa"/>
            <w:vAlign w:val="bottom"/>
            <w:gridSpan w:val="2"/>
          </w:tcPr>
          <w:p>
            <w:pPr>
              <w:ind w:left="500"/>
              <w:spacing w:after="0"/>
              <w:rPr>
                <w:sz w:val="20"/>
                <w:szCs w:val="20"/>
                <w:color w:val="auto"/>
              </w:rPr>
            </w:pPr>
            <w:r>
              <w:rPr>
                <w:rFonts w:ascii="Arial" w:cs="Arial" w:eastAsia="Arial" w:hAnsi="Arial"/>
                <w:sz w:val="14"/>
                <w:szCs w:val="14"/>
                <w:color w:val="auto"/>
              </w:rPr>
              <w:t>SECTION 8.01.</w:t>
            </w:r>
          </w:p>
        </w:tc>
        <w:tc>
          <w:tcPr>
            <w:tcW w:w="5860" w:type="dxa"/>
            <w:vAlign w:val="bottom"/>
          </w:tcPr>
          <w:p>
            <w:pPr>
              <w:ind w:left="80"/>
              <w:spacing w:after="0"/>
              <w:rPr>
                <w:sz w:val="20"/>
                <w:szCs w:val="20"/>
                <w:color w:val="auto"/>
              </w:rPr>
            </w:pPr>
            <w:r>
              <w:rPr>
                <w:rFonts w:ascii="Arial" w:cs="Arial" w:eastAsia="Arial" w:hAnsi="Arial"/>
                <w:sz w:val="14"/>
                <w:szCs w:val="14"/>
                <w:color w:val="auto"/>
              </w:rPr>
              <w:t>Appointment of the Administrative Agent</w:t>
            </w:r>
          </w:p>
        </w:tc>
        <w:tc>
          <w:tcPr>
            <w:tcW w:w="2720" w:type="dxa"/>
            <w:vAlign w:val="bottom"/>
          </w:tcPr>
          <w:p>
            <w:pPr>
              <w:jc w:val="right"/>
              <w:spacing w:after="0"/>
              <w:rPr>
                <w:sz w:val="20"/>
                <w:szCs w:val="20"/>
                <w:color w:val="auto"/>
              </w:rPr>
            </w:pPr>
            <w:r>
              <w:rPr>
                <w:rFonts w:ascii="Arial" w:cs="Arial" w:eastAsia="Arial" w:hAnsi="Arial"/>
                <w:sz w:val="14"/>
                <w:szCs w:val="14"/>
                <w:color w:val="auto"/>
              </w:rPr>
              <w:t>57</w:t>
            </w:r>
          </w:p>
        </w:tc>
      </w:tr>
      <w:tr>
        <w:trPr>
          <w:trHeight w:val="324"/>
        </w:trPr>
        <w:tc>
          <w:tcPr>
            <w:tcW w:w="2680" w:type="dxa"/>
            <w:vAlign w:val="bottom"/>
            <w:gridSpan w:val="2"/>
          </w:tcPr>
          <w:p>
            <w:pPr>
              <w:ind w:left="500"/>
              <w:spacing w:after="0"/>
              <w:rPr>
                <w:sz w:val="20"/>
                <w:szCs w:val="20"/>
                <w:color w:val="auto"/>
              </w:rPr>
            </w:pPr>
            <w:r>
              <w:rPr>
                <w:rFonts w:ascii="Arial" w:cs="Arial" w:eastAsia="Arial" w:hAnsi="Arial"/>
                <w:sz w:val="14"/>
                <w:szCs w:val="14"/>
                <w:color w:val="auto"/>
              </w:rPr>
              <w:t>SECTION 8.02.</w:t>
            </w:r>
          </w:p>
        </w:tc>
        <w:tc>
          <w:tcPr>
            <w:tcW w:w="5860" w:type="dxa"/>
            <w:vAlign w:val="bottom"/>
          </w:tcPr>
          <w:p>
            <w:pPr>
              <w:ind w:left="80"/>
              <w:spacing w:after="0"/>
              <w:rPr>
                <w:sz w:val="20"/>
                <w:szCs w:val="20"/>
                <w:color w:val="auto"/>
              </w:rPr>
            </w:pPr>
            <w:r>
              <w:rPr>
                <w:rFonts w:ascii="Arial" w:cs="Arial" w:eastAsia="Arial" w:hAnsi="Arial"/>
                <w:sz w:val="14"/>
                <w:szCs w:val="14"/>
                <w:color w:val="auto"/>
              </w:rPr>
              <w:t>Capacity as Lender</w:t>
            </w:r>
          </w:p>
        </w:tc>
        <w:tc>
          <w:tcPr>
            <w:tcW w:w="2720" w:type="dxa"/>
            <w:vAlign w:val="bottom"/>
          </w:tcPr>
          <w:p>
            <w:pPr>
              <w:jc w:val="right"/>
              <w:spacing w:after="0"/>
              <w:rPr>
                <w:sz w:val="20"/>
                <w:szCs w:val="20"/>
                <w:color w:val="auto"/>
              </w:rPr>
            </w:pPr>
            <w:r>
              <w:rPr>
                <w:rFonts w:ascii="Arial" w:cs="Arial" w:eastAsia="Arial" w:hAnsi="Arial"/>
                <w:sz w:val="14"/>
                <w:szCs w:val="14"/>
                <w:color w:val="auto"/>
              </w:rPr>
              <w:t>57</w:t>
            </w:r>
          </w:p>
        </w:tc>
      </w:tr>
      <w:tr>
        <w:trPr>
          <w:trHeight w:val="324"/>
        </w:trPr>
        <w:tc>
          <w:tcPr>
            <w:tcW w:w="2680" w:type="dxa"/>
            <w:vAlign w:val="bottom"/>
            <w:gridSpan w:val="2"/>
          </w:tcPr>
          <w:p>
            <w:pPr>
              <w:ind w:left="500"/>
              <w:spacing w:after="0"/>
              <w:rPr>
                <w:sz w:val="20"/>
                <w:szCs w:val="20"/>
                <w:color w:val="auto"/>
              </w:rPr>
            </w:pPr>
            <w:r>
              <w:rPr>
                <w:rFonts w:ascii="Arial" w:cs="Arial" w:eastAsia="Arial" w:hAnsi="Arial"/>
                <w:sz w:val="14"/>
                <w:szCs w:val="14"/>
                <w:color w:val="auto"/>
              </w:rPr>
              <w:t>SECTION 8.03.</w:t>
            </w:r>
          </w:p>
        </w:tc>
        <w:tc>
          <w:tcPr>
            <w:tcW w:w="5860" w:type="dxa"/>
            <w:vAlign w:val="bottom"/>
          </w:tcPr>
          <w:p>
            <w:pPr>
              <w:ind w:left="80"/>
              <w:spacing w:after="0"/>
              <w:rPr>
                <w:sz w:val="20"/>
                <w:szCs w:val="20"/>
                <w:color w:val="auto"/>
              </w:rPr>
            </w:pPr>
            <w:r>
              <w:rPr>
                <w:rFonts w:ascii="Arial" w:cs="Arial" w:eastAsia="Arial" w:hAnsi="Arial"/>
                <w:sz w:val="14"/>
                <w:szCs w:val="14"/>
                <w:color w:val="auto"/>
              </w:rPr>
              <w:t>Limitation of Duties; Exculpation</w:t>
            </w:r>
          </w:p>
        </w:tc>
        <w:tc>
          <w:tcPr>
            <w:tcW w:w="2720" w:type="dxa"/>
            <w:vAlign w:val="bottom"/>
          </w:tcPr>
          <w:p>
            <w:pPr>
              <w:jc w:val="right"/>
              <w:spacing w:after="0"/>
              <w:rPr>
                <w:sz w:val="20"/>
                <w:szCs w:val="20"/>
                <w:color w:val="auto"/>
              </w:rPr>
            </w:pPr>
            <w:r>
              <w:rPr>
                <w:rFonts w:ascii="Arial" w:cs="Arial" w:eastAsia="Arial" w:hAnsi="Arial"/>
                <w:sz w:val="14"/>
                <w:szCs w:val="14"/>
                <w:color w:val="auto"/>
              </w:rPr>
              <w:t>57</w:t>
            </w:r>
          </w:p>
        </w:tc>
      </w:tr>
      <w:tr>
        <w:trPr>
          <w:trHeight w:val="324"/>
        </w:trPr>
        <w:tc>
          <w:tcPr>
            <w:tcW w:w="2680" w:type="dxa"/>
            <w:vAlign w:val="bottom"/>
            <w:gridSpan w:val="2"/>
          </w:tcPr>
          <w:p>
            <w:pPr>
              <w:ind w:left="500"/>
              <w:spacing w:after="0"/>
              <w:rPr>
                <w:sz w:val="20"/>
                <w:szCs w:val="20"/>
                <w:color w:val="auto"/>
              </w:rPr>
            </w:pPr>
            <w:r>
              <w:rPr>
                <w:rFonts w:ascii="Arial" w:cs="Arial" w:eastAsia="Arial" w:hAnsi="Arial"/>
                <w:sz w:val="14"/>
                <w:szCs w:val="14"/>
                <w:color w:val="auto"/>
              </w:rPr>
              <w:t>SECTION 8.04.</w:t>
            </w:r>
          </w:p>
        </w:tc>
        <w:tc>
          <w:tcPr>
            <w:tcW w:w="5860" w:type="dxa"/>
            <w:vAlign w:val="bottom"/>
          </w:tcPr>
          <w:p>
            <w:pPr>
              <w:ind w:left="80"/>
              <w:spacing w:after="0"/>
              <w:rPr>
                <w:sz w:val="20"/>
                <w:szCs w:val="20"/>
                <w:color w:val="auto"/>
              </w:rPr>
            </w:pPr>
            <w:r>
              <w:rPr>
                <w:rFonts w:ascii="Arial" w:cs="Arial" w:eastAsia="Arial" w:hAnsi="Arial"/>
                <w:sz w:val="14"/>
                <w:szCs w:val="14"/>
                <w:color w:val="auto"/>
              </w:rPr>
              <w:t>Reliance</w:t>
            </w:r>
          </w:p>
        </w:tc>
        <w:tc>
          <w:tcPr>
            <w:tcW w:w="2720" w:type="dxa"/>
            <w:vAlign w:val="bottom"/>
          </w:tcPr>
          <w:p>
            <w:pPr>
              <w:jc w:val="right"/>
              <w:spacing w:after="0"/>
              <w:rPr>
                <w:sz w:val="20"/>
                <w:szCs w:val="20"/>
                <w:color w:val="auto"/>
              </w:rPr>
            </w:pPr>
            <w:r>
              <w:rPr>
                <w:rFonts w:ascii="Arial" w:cs="Arial" w:eastAsia="Arial" w:hAnsi="Arial"/>
                <w:sz w:val="14"/>
                <w:szCs w:val="14"/>
                <w:color w:val="auto"/>
              </w:rPr>
              <w:t>58</w:t>
            </w:r>
          </w:p>
        </w:tc>
      </w:tr>
      <w:tr>
        <w:trPr>
          <w:trHeight w:val="324"/>
        </w:trPr>
        <w:tc>
          <w:tcPr>
            <w:tcW w:w="2680" w:type="dxa"/>
            <w:vAlign w:val="bottom"/>
            <w:gridSpan w:val="2"/>
          </w:tcPr>
          <w:p>
            <w:pPr>
              <w:ind w:left="500"/>
              <w:spacing w:after="0"/>
              <w:rPr>
                <w:sz w:val="20"/>
                <w:szCs w:val="20"/>
                <w:color w:val="auto"/>
              </w:rPr>
            </w:pPr>
            <w:r>
              <w:rPr>
                <w:rFonts w:ascii="Arial" w:cs="Arial" w:eastAsia="Arial" w:hAnsi="Arial"/>
                <w:sz w:val="14"/>
                <w:szCs w:val="14"/>
                <w:color w:val="auto"/>
              </w:rPr>
              <w:t>SECTION 8.05.</w:t>
            </w:r>
          </w:p>
        </w:tc>
        <w:tc>
          <w:tcPr>
            <w:tcW w:w="5860" w:type="dxa"/>
            <w:vAlign w:val="bottom"/>
          </w:tcPr>
          <w:p>
            <w:pPr>
              <w:ind w:left="80"/>
              <w:spacing w:after="0"/>
              <w:rPr>
                <w:sz w:val="20"/>
                <w:szCs w:val="20"/>
                <w:color w:val="auto"/>
              </w:rPr>
            </w:pPr>
            <w:r>
              <w:rPr>
                <w:rFonts w:ascii="Arial" w:cs="Arial" w:eastAsia="Arial" w:hAnsi="Arial"/>
                <w:sz w:val="14"/>
                <w:szCs w:val="14"/>
                <w:color w:val="auto"/>
              </w:rPr>
              <w:t>Sub-Agents</w:t>
            </w:r>
          </w:p>
        </w:tc>
        <w:tc>
          <w:tcPr>
            <w:tcW w:w="2720" w:type="dxa"/>
            <w:vAlign w:val="bottom"/>
          </w:tcPr>
          <w:p>
            <w:pPr>
              <w:jc w:val="right"/>
              <w:spacing w:after="0"/>
              <w:rPr>
                <w:sz w:val="20"/>
                <w:szCs w:val="20"/>
                <w:color w:val="auto"/>
              </w:rPr>
            </w:pPr>
            <w:r>
              <w:rPr>
                <w:rFonts w:ascii="Arial" w:cs="Arial" w:eastAsia="Arial" w:hAnsi="Arial"/>
                <w:sz w:val="14"/>
                <w:szCs w:val="14"/>
                <w:color w:val="auto"/>
              </w:rPr>
              <w:t>58</w:t>
            </w:r>
          </w:p>
        </w:tc>
      </w:tr>
      <w:tr>
        <w:trPr>
          <w:trHeight w:val="324"/>
        </w:trPr>
        <w:tc>
          <w:tcPr>
            <w:tcW w:w="2680" w:type="dxa"/>
            <w:vAlign w:val="bottom"/>
            <w:gridSpan w:val="2"/>
          </w:tcPr>
          <w:p>
            <w:pPr>
              <w:ind w:left="500"/>
              <w:spacing w:after="0"/>
              <w:rPr>
                <w:sz w:val="20"/>
                <w:szCs w:val="20"/>
                <w:color w:val="auto"/>
              </w:rPr>
            </w:pPr>
            <w:r>
              <w:rPr>
                <w:rFonts w:ascii="Arial" w:cs="Arial" w:eastAsia="Arial" w:hAnsi="Arial"/>
                <w:sz w:val="14"/>
                <w:szCs w:val="14"/>
                <w:color w:val="auto"/>
              </w:rPr>
              <w:t>SECTION 8.06.</w:t>
            </w:r>
          </w:p>
        </w:tc>
        <w:tc>
          <w:tcPr>
            <w:tcW w:w="5860" w:type="dxa"/>
            <w:vAlign w:val="bottom"/>
          </w:tcPr>
          <w:p>
            <w:pPr>
              <w:ind w:left="80"/>
              <w:spacing w:after="0"/>
              <w:rPr>
                <w:sz w:val="20"/>
                <w:szCs w:val="20"/>
                <w:color w:val="auto"/>
              </w:rPr>
            </w:pPr>
            <w:r>
              <w:rPr>
                <w:rFonts w:ascii="Arial" w:cs="Arial" w:eastAsia="Arial" w:hAnsi="Arial"/>
                <w:sz w:val="14"/>
                <w:szCs w:val="14"/>
                <w:color w:val="auto"/>
              </w:rPr>
              <w:t>Resignation; Successor Administrative Agent</w:t>
            </w:r>
          </w:p>
        </w:tc>
        <w:tc>
          <w:tcPr>
            <w:tcW w:w="2720" w:type="dxa"/>
            <w:vAlign w:val="bottom"/>
          </w:tcPr>
          <w:p>
            <w:pPr>
              <w:jc w:val="right"/>
              <w:spacing w:after="0"/>
              <w:rPr>
                <w:sz w:val="20"/>
                <w:szCs w:val="20"/>
                <w:color w:val="auto"/>
              </w:rPr>
            </w:pPr>
            <w:r>
              <w:rPr>
                <w:rFonts w:ascii="Arial" w:cs="Arial" w:eastAsia="Arial" w:hAnsi="Arial"/>
                <w:sz w:val="14"/>
                <w:szCs w:val="14"/>
                <w:color w:val="auto"/>
              </w:rPr>
              <w:t>58</w:t>
            </w:r>
          </w:p>
        </w:tc>
      </w:tr>
      <w:tr>
        <w:trPr>
          <w:trHeight w:val="324"/>
        </w:trPr>
        <w:tc>
          <w:tcPr>
            <w:tcW w:w="2680" w:type="dxa"/>
            <w:vAlign w:val="bottom"/>
            <w:gridSpan w:val="2"/>
          </w:tcPr>
          <w:p>
            <w:pPr>
              <w:ind w:left="500"/>
              <w:spacing w:after="0"/>
              <w:rPr>
                <w:sz w:val="20"/>
                <w:szCs w:val="20"/>
                <w:color w:val="auto"/>
              </w:rPr>
            </w:pPr>
            <w:r>
              <w:rPr>
                <w:rFonts w:ascii="Arial" w:cs="Arial" w:eastAsia="Arial" w:hAnsi="Arial"/>
                <w:sz w:val="14"/>
                <w:szCs w:val="14"/>
                <w:color w:val="auto"/>
              </w:rPr>
              <w:t>SECTION 8.07.</w:t>
            </w:r>
          </w:p>
        </w:tc>
        <w:tc>
          <w:tcPr>
            <w:tcW w:w="5860" w:type="dxa"/>
            <w:vAlign w:val="bottom"/>
          </w:tcPr>
          <w:p>
            <w:pPr>
              <w:ind w:left="80"/>
              <w:spacing w:after="0"/>
              <w:rPr>
                <w:sz w:val="20"/>
                <w:szCs w:val="20"/>
                <w:color w:val="auto"/>
              </w:rPr>
            </w:pPr>
            <w:r>
              <w:rPr>
                <w:rFonts w:ascii="Arial" w:cs="Arial" w:eastAsia="Arial" w:hAnsi="Arial"/>
                <w:sz w:val="14"/>
                <w:szCs w:val="14"/>
                <w:color w:val="auto"/>
              </w:rPr>
              <w:t>Reliance by Lenders</w:t>
            </w:r>
          </w:p>
        </w:tc>
        <w:tc>
          <w:tcPr>
            <w:tcW w:w="2720" w:type="dxa"/>
            <w:vAlign w:val="bottom"/>
          </w:tcPr>
          <w:p>
            <w:pPr>
              <w:jc w:val="right"/>
              <w:spacing w:after="0"/>
              <w:rPr>
                <w:sz w:val="20"/>
                <w:szCs w:val="20"/>
                <w:color w:val="auto"/>
              </w:rPr>
            </w:pPr>
            <w:r>
              <w:rPr>
                <w:rFonts w:ascii="Arial" w:cs="Arial" w:eastAsia="Arial" w:hAnsi="Arial"/>
                <w:sz w:val="14"/>
                <w:szCs w:val="14"/>
                <w:color w:val="auto"/>
              </w:rPr>
              <w:t>58</w:t>
            </w:r>
          </w:p>
        </w:tc>
      </w:tr>
      <w:tr>
        <w:trPr>
          <w:trHeight w:val="324"/>
        </w:trPr>
        <w:tc>
          <w:tcPr>
            <w:tcW w:w="2680" w:type="dxa"/>
            <w:vAlign w:val="bottom"/>
            <w:gridSpan w:val="2"/>
          </w:tcPr>
          <w:p>
            <w:pPr>
              <w:ind w:left="500"/>
              <w:spacing w:after="0"/>
              <w:rPr>
                <w:sz w:val="20"/>
                <w:szCs w:val="20"/>
                <w:color w:val="auto"/>
              </w:rPr>
            </w:pPr>
            <w:r>
              <w:rPr>
                <w:rFonts w:ascii="Arial" w:cs="Arial" w:eastAsia="Arial" w:hAnsi="Arial"/>
                <w:sz w:val="14"/>
                <w:szCs w:val="14"/>
                <w:color w:val="auto"/>
              </w:rPr>
              <w:t>SECTION 8.08.</w:t>
            </w:r>
          </w:p>
        </w:tc>
        <w:tc>
          <w:tcPr>
            <w:tcW w:w="5860" w:type="dxa"/>
            <w:vAlign w:val="bottom"/>
          </w:tcPr>
          <w:p>
            <w:pPr>
              <w:ind w:left="80"/>
              <w:spacing w:after="0"/>
              <w:rPr>
                <w:sz w:val="20"/>
                <w:szCs w:val="20"/>
                <w:color w:val="auto"/>
              </w:rPr>
            </w:pPr>
            <w:r>
              <w:rPr>
                <w:rFonts w:ascii="Arial" w:cs="Arial" w:eastAsia="Arial" w:hAnsi="Arial"/>
                <w:sz w:val="14"/>
                <w:szCs w:val="14"/>
                <w:color w:val="auto"/>
              </w:rPr>
              <w:t>Modifications to Loan Documents</w:t>
            </w:r>
          </w:p>
        </w:tc>
        <w:tc>
          <w:tcPr>
            <w:tcW w:w="2720" w:type="dxa"/>
            <w:vAlign w:val="bottom"/>
          </w:tcPr>
          <w:p>
            <w:pPr>
              <w:jc w:val="right"/>
              <w:spacing w:after="0"/>
              <w:rPr>
                <w:sz w:val="20"/>
                <w:szCs w:val="20"/>
                <w:color w:val="auto"/>
              </w:rPr>
            </w:pPr>
            <w:r>
              <w:rPr>
                <w:rFonts w:ascii="Arial" w:cs="Arial" w:eastAsia="Arial" w:hAnsi="Arial"/>
                <w:sz w:val="14"/>
                <w:szCs w:val="14"/>
                <w:color w:val="auto"/>
              </w:rPr>
              <w:t>58</w:t>
            </w:r>
          </w:p>
        </w:tc>
      </w:tr>
      <w:tr>
        <w:trPr>
          <w:trHeight w:val="324"/>
        </w:trPr>
        <w:tc>
          <w:tcPr>
            <w:tcW w:w="980" w:type="dxa"/>
            <w:vAlign w:val="bottom"/>
          </w:tcPr>
          <w:p>
            <w:pPr>
              <w:spacing w:after="0"/>
              <w:rPr>
                <w:sz w:val="20"/>
                <w:szCs w:val="20"/>
                <w:color w:val="auto"/>
              </w:rPr>
            </w:pPr>
            <w:r>
              <w:rPr>
                <w:rFonts w:ascii="Arial" w:cs="Arial" w:eastAsia="Arial" w:hAnsi="Arial"/>
                <w:sz w:val="14"/>
                <w:szCs w:val="14"/>
                <w:color w:val="auto"/>
              </w:rPr>
              <w:t>ARTICLE IX</w:t>
            </w:r>
          </w:p>
        </w:tc>
        <w:tc>
          <w:tcPr>
            <w:tcW w:w="1700" w:type="dxa"/>
            <w:vAlign w:val="bottom"/>
          </w:tcPr>
          <w:p>
            <w:pPr>
              <w:ind w:left="100"/>
              <w:spacing w:after="0"/>
              <w:rPr>
                <w:sz w:val="20"/>
                <w:szCs w:val="20"/>
                <w:color w:val="auto"/>
              </w:rPr>
            </w:pPr>
            <w:r>
              <w:rPr>
                <w:rFonts w:ascii="Arial" w:cs="Arial" w:eastAsia="Arial" w:hAnsi="Arial"/>
                <w:sz w:val="14"/>
                <w:szCs w:val="14"/>
                <w:color w:val="auto"/>
              </w:rPr>
              <w:t>MISCELLANEOUS</w:t>
            </w:r>
          </w:p>
        </w:tc>
        <w:tc>
          <w:tcPr>
            <w:tcW w:w="5860" w:type="dxa"/>
            <w:vAlign w:val="bottom"/>
          </w:tcPr>
          <w:p>
            <w:pPr>
              <w:spacing w:after="0"/>
              <w:rPr>
                <w:sz w:val="24"/>
                <w:szCs w:val="24"/>
                <w:color w:val="auto"/>
              </w:rPr>
            </w:pPr>
          </w:p>
        </w:tc>
        <w:tc>
          <w:tcPr>
            <w:tcW w:w="2720" w:type="dxa"/>
            <w:vAlign w:val="bottom"/>
          </w:tcPr>
          <w:p>
            <w:pPr>
              <w:jc w:val="right"/>
              <w:spacing w:after="0"/>
              <w:rPr>
                <w:sz w:val="20"/>
                <w:szCs w:val="20"/>
                <w:color w:val="auto"/>
              </w:rPr>
            </w:pPr>
            <w:r>
              <w:rPr>
                <w:rFonts w:ascii="Arial" w:cs="Arial" w:eastAsia="Arial" w:hAnsi="Arial"/>
                <w:sz w:val="14"/>
                <w:szCs w:val="14"/>
                <w:color w:val="auto"/>
              </w:rPr>
              <w:t>59</w:t>
            </w:r>
          </w:p>
        </w:tc>
      </w:tr>
      <w:tr>
        <w:trPr>
          <w:trHeight w:val="324"/>
        </w:trPr>
        <w:tc>
          <w:tcPr>
            <w:tcW w:w="2680" w:type="dxa"/>
            <w:vAlign w:val="bottom"/>
            <w:gridSpan w:val="2"/>
          </w:tcPr>
          <w:p>
            <w:pPr>
              <w:ind w:left="500"/>
              <w:spacing w:after="0"/>
              <w:rPr>
                <w:sz w:val="20"/>
                <w:szCs w:val="20"/>
                <w:color w:val="auto"/>
              </w:rPr>
            </w:pPr>
            <w:r>
              <w:rPr>
                <w:rFonts w:ascii="Arial" w:cs="Arial" w:eastAsia="Arial" w:hAnsi="Arial"/>
                <w:sz w:val="14"/>
                <w:szCs w:val="14"/>
                <w:color w:val="auto"/>
              </w:rPr>
              <w:t>SECTION 9.01.</w:t>
            </w:r>
          </w:p>
        </w:tc>
        <w:tc>
          <w:tcPr>
            <w:tcW w:w="5860" w:type="dxa"/>
            <w:vAlign w:val="bottom"/>
          </w:tcPr>
          <w:p>
            <w:pPr>
              <w:ind w:left="80"/>
              <w:spacing w:after="0"/>
              <w:rPr>
                <w:sz w:val="20"/>
                <w:szCs w:val="20"/>
                <w:color w:val="auto"/>
              </w:rPr>
            </w:pPr>
            <w:r>
              <w:rPr>
                <w:rFonts w:ascii="Arial" w:cs="Arial" w:eastAsia="Arial" w:hAnsi="Arial"/>
                <w:sz w:val="14"/>
                <w:szCs w:val="14"/>
                <w:color w:val="auto"/>
              </w:rPr>
              <w:t>Notices; Electronic Communications</w:t>
            </w:r>
          </w:p>
        </w:tc>
        <w:tc>
          <w:tcPr>
            <w:tcW w:w="2720" w:type="dxa"/>
            <w:vAlign w:val="bottom"/>
          </w:tcPr>
          <w:p>
            <w:pPr>
              <w:jc w:val="right"/>
              <w:spacing w:after="0"/>
              <w:rPr>
                <w:sz w:val="20"/>
                <w:szCs w:val="20"/>
                <w:color w:val="auto"/>
              </w:rPr>
            </w:pPr>
            <w:r>
              <w:rPr>
                <w:rFonts w:ascii="Arial" w:cs="Arial" w:eastAsia="Arial" w:hAnsi="Arial"/>
                <w:sz w:val="14"/>
                <w:szCs w:val="14"/>
                <w:color w:val="auto"/>
              </w:rPr>
              <w:t>59</w:t>
            </w:r>
          </w:p>
        </w:tc>
      </w:tr>
      <w:tr>
        <w:trPr>
          <w:trHeight w:val="324"/>
        </w:trPr>
        <w:tc>
          <w:tcPr>
            <w:tcW w:w="2680" w:type="dxa"/>
            <w:vAlign w:val="bottom"/>
            <w:gridSpan w:val="2"/>
          </w:tcPr>
          <w:p>
            <w:pPr>
              <w:ind w:left="500"/>
              <w:spacing w:after="0"/>
              <w:rPr>
                <w:sz w:val="20"/>
                <w:szCs w:val="20"/>
                <w:color w:val="auto"/>
              </w:rPr>
            </w:pPr>
            <w:r>
              <w:rPr>
                <w:rFonts w:ascii="Arial" w:cs="Arial" w:eastAsia="Arial" w:hAnsi="Arial"/>
                <w:sz w:val="14"/>
                <w:szCs w:val="14"/>
                <w:color w:val="auto"/>
              </w:rPr>
              <w:t>SECTION 9.02.</w:t>
            </w:r>
          </w:p>
        </w:tc>
        <w:tc>
          <w:tcPr>
            <w:tcW w:w="5860" w:type="dxa"/>
            <w:vAlign w:val="bottom"/>
          </w:tcPr>
          <w:p>
            <w:pPr>
              <w:ind w:left="80"/>
              <w:spacing w:after="0"/>
              <w:rPr>
                <w:sz w:val="20"/>
                <w:szCs w:val="20"/>
                <w:color w:val="auto"/>
              </w:rPr>
            </w:pPr>
            <w:r>
              <w:rPr>
                <w:rFonts w:ascii="Arial" w:cs="Arial" w:eastAsia="Arial" w:hAnsi="Arial"/>
                <w:sz w:val="14"/>
                <w:szCs w:val="14"/>
                <w:color w:val="auto"/>
              </w:rPr>
              <w:t>Waivers; Amendments</w:t>
            </w:r>
          </w:p>
        </w:tc>
        <w:tc>
          <w:tcPr>
            <w:tcW w:w="2720" w:type="dxa"/>
            <w:vAlign w:val="bottom"/>
          </w:tcPr>
          <w:p>
            <w:pPr>
              <w:jc w:val="right"/>
              <w:spacing w:after="0"/>
              <w:rPr>
                <w:sz w:val="20"/>
                <w:szCs w:val="20"/>
                <w:color w:val="auto"/>
              </w:rPr>
            </w:pPr>
            <w:r>
              <w:rPr>
                <w:rFonts w:ascii="Arial" w:cs="Arial" w:eastAsia="Arial" w:hAnsi="Arial"/>
                <w:sz w:val="14"/>
                <w:szCs w:val="14"/>
                <w:color w:val="auto"/>
              </w:rPr>
              <w:t>60</w:t>
            </w:r>
          </w:p>
        </w:tc>
      </w:tr>
      <w:tr>
        <w:trPr>
          <w:trHeight w:val="324"/>
        </w:trPr>
        <w:tc>
          <w:tcPr>
            <w:tcW w:w="2680" w:type="dxa"/>
            <w:vAlign w:val="bottom"/>
            <w:gridSpan w:val="2"/>
          </w:tcPr>
          <w:p>
            <w:pPr>
              <w:ind w:left="500"/>
              <w:spacing w:after="0"/>
              <w:rPr>
                <w:sz w:val="20"/>
                <w:szCs w:val="20"/>
                <w:color w:val="auto"/>
              </w:rPr>
            </w:pPr>
            <w:r>
              <w:rPr>
                <w:rFonts w:ascii="Arial" w:cs="Arial" w:eastAsia="Arial" w:hAnsi="Arial"/>
                <w:sz w:val="14"/>
                <w:szCs w:val="14"/>
                <w:color w:val="auto"/>
              </w:rPr>
              <w:t>SECTION 9.03.</w:t>
            </w:r>
          </w:p>
        </w:tc>
        <w:tc>
          <w:tcPr>
            <w:tcW w:w="5860" w:type="dxa"/>
            <w:vAlign w:val="bottom"/>
          </w:tcPr>
          <w:p>
            <w:pPr>
              <w:ind w:left="80"/>
              <w:spacing w:after="0"/>
              <w:rPr>
                <w:sz w:val="20"/>
                <w:szCs w:val="20"/>
                <w:color w:val="auto"/>
              </w:rPr>
            </w:pPr>
            <w:r>
              <w:rPr>
                <w:rFonts w:ascii="Arial" w:cs="Arial" w:eastAsia="Arial" w:hAnsi="Arial"/>
                <w:sz w:val="14"/>
                <w:szCs w:val="14"/>
                <w:color w:val="auto"/>
              </w:rPr>
              <w:t>Expenses; Indemnity; Damage Waiver</w:t>
            </w:r>
          </w:p>
        </w:tc>
        <w:tc>
          <w:tcPr>
            <w:tcW w:w="2720" w:type="dxa"/>
            <w:vAlign w:val="bottom"/>
          </w:tcPr>
          <w:p>
            <w:pPr>
              <w:jc w:val="right"/>
              <w:spacing w:after="0"/>
              <w:rPr>
                <w:sz w:val="20"/>
                <w:szCs w:val="20"/>
                <w:color w:val="auto"/>
              </w:rPr>
            </w:pPr>
            <w:r>
              <w:rPr>
                <w:rFonts w:ascii="Arial" w:cs="Arial" w:eastAsia="Arial" w:hAnsi="Arial"/>
                <w:sz w:val="14"/>
                <w:szCs w:val="14"/>
                <w:color w:val="auto"/>
              </w:rPr>
              <w:t>61</w:t>
            </w:r>
          </w:p>
        </w:tc>
      </w:tr>
      <w:tr>
        <w:trPr>
          <w:trHeight w:val="400"/>
        </w:trPr>
        <w:tc>
          <w:tcPr>
            <w:tcW w:w="980" w:type="dxa"/>
            <w:vAlign w:val="bottom"/>
          </w:tcPr>
          <w:p>
            <w:pPr>
              <w:spacing w:after="0"/>
              <w:rPr>
                <w:sz w:val="24"/>
                <w:szCs w:val="24"/>
                <w:color w:val="auto"/>
              </w:rPr>
            </w:pPr>
          </w:p>
        </w:tc>
        <w:tc>
          <w:tcPr>
            <w:tcW w:w="1700" w:type="dxa"/>
            <w:vAlign w:val="bottom"/>
          </w:tcPr>
          <w:p>
            <w:pPr>
              <w:spacing w:after="0"/>
              <w:rPr>
                <w:sz w:val="24"/>
                <w:szCs w:val="24"/>
                <w:color w:val="auto"/>
              </w:rPr>
            </w:pPr>
          </w:p>
        </w:tc>
        <w:tc>
          <w:tcPr>
            <w:tcW w:w="5860" w:type="dxa"/>
            <w:vAlign w:val="bottom"/>
          </w:tcPr>
          <w:p>
            <w:pPr>
              <w:ind w:left="2820"/>
              <w:spacing w:after="0"/>
              <w:rPr>
                <w:sz w:val="20"/>
                <w:szCs w:val="20"/>
                <w:color w:val="auto"/>
              </w:rPr>
            </w:pPr>
            <w:r>
              <w:rPr>
                <w:rFonts w:ascii="Arial" w:cs="Arial" w:eastAsia="Arial" w:hAnsi="Arial"/>
                <w:sz w:val="14"/>
                <w:szCs w:val="14"/>
                <w:color w:val="auto"/>
              </w:rPr>
              <w:t>-iii</w:t>
            </w:r>
            <w:r>
              <w:rPr>
                <w:rFonts w:ascii="Arial" w:cs="Arial" w:eastAsia="Arial" w:hAnsi="Arial"/>
                <w:sz w:val="21"/>
                <w:szCs w:val="21"/>
                <w:color w:val="auto"/>
              </w:rPr>
              <w:t>-</w:t>
            </w:r>
          </w:p>
        </w:tc>
        <w:tc>
          <w:tcPr>
            <w:tcW w:w="2720" w:type="dxa"/>
            <w:vAlign w:val="bottom"/>
          </w:tcPr>
          <w:p>
            <w:pPr>
              <w:spacing w:after="0"/>
              <w:rPr>
                <w:sz w:val="24"/>
                <w:szCs w:val="24"/>
                <w:color w:val="auto"/>
              </w:rPr>
            </w:pPr>
          </w:p>
        </w:tc>
      </w:tr>
      <w:tr>
        <w:trPr>
          <w:trHeight w:val="510"/>
        </w:trPr>
        <w:tc>
          <w:tcPr>
            <w:tcW w:w="980" w:type="dxa"/>
            <w:vAlign w:val="bottom"/>
            <w:tcBorders>
              <w:bottom w:val="single" w:sz="8" w:color="9A9A9A"/>
            </w:tcBorders>
          </w:tcPr>
          <w:p>
            <w:pPr>
              <w:spacing w:after="0"/>
              <w:rPr>
                <w:sz w:val="24"/>
                <w:szCs w:val="24"/>
                <w:color w:val="auto"/>
              </w:rPr>
            </w:pPr>
          </w:p>
        </w:tc>
        <w:tc>
          <w:tcPr>
            <w:tcW w:w="1700" w:type="dxa"/>
            <w:vAlign w:val="bottom"/>
            <w:tcBorders>
              <w:bottom w:val="single" w:sz="8" w:color="9A9A9A"/>
            </w:tcBorders>
          </w:tcPr>
          <w:p>
            <w:pPr>
              <w:spacing w:after="0"/>
              <w:rPr>
                <w:sz w:val="24"/>
                <w:szCs w:val="24"/>
                <w:color w:val="auto"/>
              </w:rPr>
            </w:pPr>
          </w:p>
        </w:tc>
        <w:tc>
          <w:tcPr>
            <w:tcW w:w="5860" w:type="dxa"/>
            <w:vAlign w:val="bottom"/>
            <w:tcBorders>
              <w:bottom w:val="single" w:sz="8" w:color="9A9A9A"/>
            </w:tcBorders>
          </w:tcPr>
          <w:p>
            <w:pPr>
              <w:spacing w:after="0"/>
              <w:rPr>
                <w:sz w:val="24"/>
                <w:szCs w:val="24"/>
                <w:color w:val="auto"/>
              </w:rPr>
            </w:pPr>
          </w:p>
        </w:tc>
        <w:tc>
          <w:tcPr>
            <w:tcW w:w="272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7145655</wp:posOffset>
            </wp:positionH>
            <wp:positionV relativeFrom="paragraph">
              <wp:posOffset>-7620</wp:posOffset>
            </wp:positionV>
            <wp:extent cx="8255" cy="8255"/>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-16510</wp:posOffset>
            </wp:positionV>
            <wp:extent cx="8890" cy="17145"/>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8890" cy="17145"/>
                    </a:xfrm>
                    <a:prstGeom prst="rect">
                      <a:avLst/>
                    </a:prstGeom>
                    <a:noFill/>
                  </pic:spPr>
                </pic:pic>
              </a:graphicData>
            </a:graphic>
          </wp:anchor>
        </w:drawing>
      </w:r>
    </w:p>
    <w:p>
      <w:pPr>
        <w:sectPr>
          <w:pgSz w:w="11900" w:h="16838" w:orient="portrait"/>
          <w:cols w:equalWidth="0" w:num="1">
            <w:col w:w="11260"/>
          </w:cols>
          <w:pgMar w:left="320" w:top="512" w:right="319" w:bottom="1440" w:gutter="0" w:footer="0" w:header="0"/>
        </w:sectPr>
      </w:pPr>
    </w:p>
    <w:bookmarkStart w:id="62" w:name="page63"/>
    <w:bookmarkEnd w:id="62"/>
    <w:tbl>
      <w:tblPr>
        <w:tblLayout w:type="fixed"/>
        <w:tblInd w:w="0" w:type="dxa"/>
        <w:tblCellMar>
          <w:top w:w="0" w:type="dxa"/>
          <w:left w:w="0" w:type="dxa"/>
          <w:bottom w:w="0" w:type="dxa"/>
          <w:right w:w="0" w:type="dxa"/>
        </w:tblCellMar>
      </w:tblPr>
      <w:tr>
        <w:trPr>
          <w:trHeight w:val="182"/>
        </w:trPr>
        <w:tc>
          <w:tcPr>
            <w:tcW w:w="2100" w:type="dxa"/>
            <w:vAlign w:val="bottom"/>
          </w:tcPr>
          <w:p>
            <w:pPr>
              <w:ind w:left="500"/>
              <w:spacing w:after="0"/>
              <w:rPr>
                <w:sz w:val="20"/>
                <w:szCs w:val="20"/>
                <w:color w:val="auto"/>
              </w:rPr>
            </w:pPr>
            <w:r>
              <w:rPr>
                <w:rFonts w:ascii="Arial" w:cs="Arial" w:eastAsia="Arial" w:hAnsi="Arial"/>
                <w:sz w:val="14"/>
                <w:szCs w:val="14"/>
                <w:color w:val="auto"/>
              </w:rPr>
              <w:t>SECTION 9.04.</w:t>
            </w:r>
          </w:p>
        </w:tc>
        <w:tc>
          <w:tcPr>
            <w:tcW w:w="6900" w:type="dxa"/>
            <w:vAlign w:val="bottom"/>
            <w:gridSpan w:val="2"/>
          </w:tcPr>
          <w:p>
            <w:pPr>
              <w:ind w:left="660"/>
              <w:spacing w:after="0"/>
              <w:rPr>
                <w:sz w:val="20"/>
                <w:szCs w:val="20"/>
                <w:color w:val="auto"/>
              </w:rPr>
            </w:pPr>
            <w:r>
              <w:rPr>
                <w:rFonts w:ascii="Arial" w:cs="Arial" w:eastAsia="Arial" w:hAnsi="Arial"/>
                <w:sz w:val="14"/>
                <w:szCs w:val="14"/>
                <w:color w:val="auto"/>
              </w:rPr>
              <w:t>Successors and Assigns</w:t>
            </w:r>
          </w:p>
        </w:tc>
        <w:tc>
          <w:tcPr>
            <w:tcW w:w="2220" w:type="dxa"/>
            <w:vAlign w:val="bottom"/>
          </w:tcPr>
          <w:p>
            <w:pPr>
              <w:jc w:val="right"/>
              <w:spacing w:after="0"/>
              <w:rPr>
                <w:sz w:val="20"/>
                <w:szCs w:val="20"/>
                <w:color w:val="auto"/>
              </w:rPr>
            </w:pPr>
            <w:r>
              <w:rPr>
                <w:rFonts w:ascii="Arial" w:cs="Arial" w:eastAsia="Arial" w:hAnsi="Arial"/>
                <w:sz w:val="14"/>
                <w:szCs w:val="14"/>
                <w:color w:val="auto"/>
              </w:rPr>
              <w:t>62</w:t>
            </w:r>
          </w:p>
        </w:tc>
      </w:tr>
      <w:tr>
        <w:trPr>
          <w:trHeight w:val="324"/>
        </w:trPr>
        <w:tc>
          <w:tcPr>
            <w:tcW w:w="2100" w:type="dxa"/>
            <w:vAlign w:val="bottom"/>
          </w:tcPr>
          <w:p>
            <w:pPr>
              <w:ind w:left="500"/>
              <w:spacing w:after="0"/>
              <w:rPr>
                <w:sz w:val="20"/>
                <w:szCs w:val="20"/>
                <w:color w:val="auto"/>
              </w:rPr>
            </w:pPr>
            <w:r>
              <w:rPr>
                <w:rFonts w:ascii="Arial" w:cs="Arial" w:eastAsia="Arial" w:hAnsi="Arial"/>
                <w:sz w:val="14"/>
                <w:szCs w:val="14"/>
                <w:color w:val="auto"/>
              </w:rPr>
              <w:t>SECTION 9.05.</w:t>
            </w:r>
          </w:p>
        </w:tc>
        <w:tc>
          <w:tcPr>
            <w:tcW w:w="1520" w:type="dxa"/>
            <w:vAlign w:val="bottom"/>
          </w:tcPr>
          <w:p>
            <w:pPr>
              <w:ind w:left="660"/>
              <w:spacing w:after="0"/>
              <w:rPr>
                <w:sz w:val="20"/>
                <w:szCs w:val="20"/>
                <w:color w:val="auto"/>
              </w:rPr>
            </w:pPr>
            <w:r>
              <w:rPr>
                <w:rFonts w:ascii="Arial" w:cs="Arial" w:eastAsia="Arial" w:hAnsi="Arial"/>
                <w:sz w:val="14"/>
                <w:szCs w:val="14"/>
                <w:color w:val="auto"/>
              </w:rPr>
              <w:t>Survival</w:t>
            </w:r>
          </w:p>
        </w:tc>
        <w:tc>
          <w:tcPr>
            <w:tcW w:w="5380" w:type="dxa"/>
            <w:vAlign w:val="bottom"/>
          </w:tcPr>
          <w:p>
            <w:pPr>
              <w:spacing w:after="0"/>
              <w:rPr>
                <w:sz w:val="24"/>
                <w:szCs w:val="24"/>
                <w:color w:val="auto"/>
              </w:rPr>
            </w:pPr>
          </w:p>
        </w:tc>
        <w:tc>
          <w:tcPr>
            <w:tcW w:w="2220" w:type="dxa"/>
            <w:vAlign w:val="bottom"/>
          </w:tcPr>
          <w:p>
            <w:pPr>
              <w:jc w:val="right"/>
              <w:spacing w:after="0"/>
              <w:rPr>
                <w:sz w:val="20"/>
                <w:szCs w:val="20"/>
                <w:color w:val="auto"/>
              </w:rPr>
            </w:pPr>
            <w:r>
              <w:rPr>
                <w:rFonts w:ascii="Arial" w:cs="Arial" w:eastAsia="Arial" w:hAnsi="Arial"/>
                <w:sz w:val="14"/>
                <w:szCs w:val="14"/>
                <w:color w:val="auto"/>
              </w:rPr>
              <w:t>65</w:t>
            </w:r>
          </w:p>
        </w:tc>
      </w:tr>
      <w:tr>
        <w:trPr>
          <w:trHeight w:val="324"/>
        </w:trPr>
        <w:tc>
          <w:tcPr>
            <w:tcW w:w="2100" w:type="dxa"/>
            <w:vAlign w:val="bottom"/>
          </w:tcPr>
          <w:p>
            <w:pPr>
              <w:ind w:left="500"/>
              <w:spacing w:after="0"/>
              <w:rPr>
                <w:sz w:val="20"/>
                <w:szCs w:val="20"/>
                <w:color w:val="auto"/>
              </w:rPr>
            </w:pPr>
            <w:r>
              <w:rPr>
                <w:rFonts w:ascii="Arial" w:cs="Arial" w:eastAsia="Arial" w:hAnsi="Arial"/>
                <w:sz w:val="14"/>
                <w:szCs w:val="14"/>
                <w:color w:val="auto"/>
              </w:rPr>
              <w:t>SECTION 9.06.</w:t>
            </w:r>
          </w:p>
        </w:tc>
        <w:tc>
          <w:tcPr>
            <w:tcW w:w="6900" w:type="dxa"/>
            <w:vAlign w:val="bottom"/>
            <w:gridSpan w:val="2"/>
          </w:tcPr>
          <w:p>
            <w:pPr>
              <w:ind w:left="660"/>
              <w:spacing w:after="0"/>
              <w:rPr>
                <w:sz w:val="20"/>
                <w:szCs w:val="20"/>
                <w:color w:val="auto"/>
              </w:rPr>
            </w:pPr>
            <w:r>
              <w:rPr>
                <w:rFonts w:ascii="Arial" w:cs="Arial" w:eastAsia="Arial" w:hAnsi="Arial"/>
                <w:sz w:val="14"/>
                <w:szCs w:val="14"/>
                <w:color w:val="auto"/>
              </w:rPr>
              <w:t>Counterparts; Integration; Effectiveness; Electronic Execution</w:t>
            </w:r>
          </w:p>
        </w:tc>
        <w:tc>
          <w:tcPr>
            <w:tcW w:w="2220" w:type="dxa"/>
            <w:vAlign w:val="bottom"/>
          </w:tcPr>
          <w:p>
            <w:pPr>
              <w:jc w:val="right"/>
              <w:spacing w:after="0"/>
              <w:rPr>
                <w:sz w:val="20"/>
                <w:szCs w:val="20"/>
                <w:color w:val="auto"/>
              </w:rPr>
            </w:pPr>
            <w:r>
              <w:rPr>
                <w:rFonts w:ascii="Arial" w:cs="Arial" w:eastAsia="Arial" w:hAnsi="Arial"/>
                <w:sz w:val="14"/>
                <w:szCs w:val="14"/>
                <w:color w:val="auto"/>
              </w:rPr>
              <w:t>65</w:t>
            </w:r>
          </w:p>
        </w:tc>
      </w:tr>
      <w:tr>
        <w:trPr>
          <w:trHeight w:val="324"/>
        </w:trPr>
        <w:tc>
          <w:tcPr>
            <w:tcW w:w="2100" w:type="dxa"/>
            <w:vAlign w:val="bottom"/>
          </w:tcPr>
          <w:p>
            <w:pPr>
              <w:ind w:left="500"/>
              <w:spacing w:after="0"/>
              <w:rPr>
                <w:sz w:val="20"/>
                <w:szCs w:val="20"/>
                <w:color w:val="auto"/>
              </w:rPr>
            </w:pPr>
            <w:r>
              <w:rPr>
                <w:rFonts w:ascii="Arial" w:cs="Arial" w:eastAsia="Arial" w:hAnsi="Arial"/>
                <w:sz w:val="14"/>
                <w:szCs w:val="14"/>
                <w:color w:val="auto"/>
              </w:rPr>
              <w:t>SECTION 9.07.</w:t>
            </w:r>
          </w:p>
        </w:tc>
        <w:tc>
          <w:tcPr>
            <w:tcW w:w="1520" w:type="dxa"/>
            <w:vAlign w:val="bottom"/>
          </w:tcPr>
          <w:p>
            <w:pPr>
              <w:ind w:left="660"/>
              <w:spacing w:after="0"/>
              <w:rPr>
                <w:sz w:val="20"/>
                <w:szCs w:val="20"/>
                <w:color w:val="auto"/>
              </w:rPr>
            </w:pPr>
            <w:r>
              <w:rPr>
                <w:rFonts w:ascii="Arial" w:cs="Arial" w:eastAsia="Arial" w:hAnsi="Arial"/>
                <w:sz w:val="14"/>
                <w:szCs w:val="14"/>
                <w:color w:val="auto"/>
              </w:rPr>
              <w:t>Severability</w:t>
            </w:r>
          </w:p>
        </w:tc>
        <w:tc>
          <w:tcPr>
            <w:tcW w:w="5380" w:type="dxa"/>
            <w:vAlign w:val="bottom"/>
          </w:tcPr>
          <w:p>
            <w:pPr>
              <w:spacing w:after="0"/>
              <w:rPr>
                <w:sz w:val="24"/>
                <w:szCs w:val="24"/>
                <w:color w:val="auto"/>
              </w:rPr>
            </w:pPr>
          </w:p>
        </w:tc>
        <w:tc>
          <w:tcPr>
            <w:tcW w:w="2220" w:type="dxa"/>
            <w:vAlign w:val="bottom"/>
          </w:tcPr>
          <w:p>
            <w:pPr>
              <w:jc w:val="right"/>
              <w:spacing w:after="0"/>
              <w:rPr>
                <w:sz w:val="20"/>
                <w:szCs w:val="20"/>
                <w:color w:val="auto"/>
              </w:rPr>
            </w:pPr>
            <w:r>
              <w:rPr>
                <w:rFonts w:ascii="Arial" w:cs="Arial" w:eastAsia="Arial" w:hAnsi="Arial"/>
                <w:sz w:val="14"/>
                <w:szCs w:val="14"/>
                <w:color w:val="auto"/>
              </w:rPr>
              <w:t>65</w:t>
            </w:r>
          </w:p>
        </w:tc>
      </w:tr>
      <w:tr>
        <w:trPr>
          <w:trHeight w:val="324"/>
        </w:trPr>
        <w:tc>
          <w:tcPr>
            <w:tcW w:w="2100" w:type="dxa"/>
            <w:vAlign w:val="bottom"/>
          </w:tcPr>
          <w:p>
            <w:pPr>
              <w:ind w:left="500"/>
              <w:spacing w:after="0"/>
              <w:rPr>
                <w:sz w:val="20"/>
                <w:szCs w:val="20"/>
                <w:color w:val="auto"/>
              </w:rPr>
            </w:pPr>
            <w:r>
              <w:rPr>
                <w:rFonts w:ascii="Arial" w:cs="Arial" w:eastAsia="Arial" w:hAnsi="Arial"/>
                <w:sz w:val="14"/>
                <w:szCs w:val="14"/>
                <w:color w:val="auto"/>
              </w:rPr>
              <w:t>SECTION 9.08.</w:t>
            </w:r>
          </w:p>
        </w:tc>
        <w:tc>
          <w:tcPr>
            <w:tcW w:w="1520" w:type="dxa"/>
            <w:vAlign w:val="bottom"/>
          </w:tcPr>
          <w:p>
            <w:pPr>
              <w:ind w:left="660"/>
              <w:spacing w:after="0"/>
              <w:rPr>
                <w:sz w:val="20"/>
                <w:szCs w:val="20"/>
                <w:color w:val="auto"/>
              </w:rPr>
            </w:pPr>
            <w:r>
              <w:rPr>
                <w:rFonts w:ascii="Arial" w:cs="Arial" w:eastAsia="Arial" w:hAnsi="Arial"/>
                <w:sz w:val="14"/>
                <w:szCs w:val="14"/>
                <w:color w:val="auto"/>
                <w:w w:val="94"/>
              </w:rPr>
              <w:t>Right of Setoff</w:t>
            </w:r>
          </w:p>
        </w:tc>
        <w:tc>
          <w:tcPr>
            <w:tcW w:w="5380" w:type="dxa"/>
            <w:vAlign w:val="bottom"/>
          </w:tcPr>
          <w:p>
            <w:pPr>
              <w:spacing w:after="0"/>
              <w:rPr>
                <w:sz w:val="24"/>
                <w:szCs w:val="24"/>
                <w:color w:val="auto"/>
              </w:rPr>
            </w:pPr>
          </w:p>
        </w:tc>
        <w:tc>
          <w:tcPr>
            <w:tcW w:w="2220" w:type="dxa"/>
            <w:vAlign w:val="bottom"/>
          </w:tcPr>
          <w:p>
            <w:pPr>
              <w:jc w:val="right"/>
              <w:spacing w:after="0"/>
              <w:rPr>
                <w:sz w:val="20"/>
                <w:szCs w:val="20"/>
                <w:color w:val="auto"/>
              </w:rPr>
            </w:pPr>
            <w:r>
              <w:rPr>
                <w:rFonts w:ascii="Arial" w:cs="Arial" w:eastAsia="Arial" w:hAnsi="Arial"/>
                <w:sz w:val="14"/>
                <w:szCs w:val="14"/>
                <w:color w:val="auto"/>
              </w:rPr>
              <w:t>65</w:t>
            </w:r>
          </w:p>
        </w:tc>
      </w:tr>
      <w:tr>
        <w:trPr>
          <w:trHeight w:val="324"/>
        </w:trPr>
        <w:tc>
          <w:tcPr>
            <w:tcW w:w="2100" w:type="dxa"/>
            <w:vAlign w:val="bottom"/>
          </w:tcPr>
          <w:p>
            <w:pPr>
              <w:ind w:left="500"/>
              <w:spacing w:after="0"/>
              <w:rPr>
                <w:sz w:val="20"/>
                <w:szCs w:val="20"/>
                <w:color w:val="auto"/>
              </w:rPr>
            </w:pPr>
            <w:r>
              <w:rPr>
                <w:rFonts w:ascii="Arial" w:cs="Arial" w:eastAsia="Arial" w:hAnsi="Arial"/>
                <w:sz w:val="14"/>
                <w:szCs w:val="14"/>
                <w:color w:val="auto"/>
              </w:rPr>
              <w:t>SECTION 9.09.</w:t>
            </w:r>
          </w:p>
        </w:tc>
        <w:tc>
          <w:tcPr>
            <w:tcW w:w="6900" w:type="dxa"/>
            <w:vAlign w:val="bottom"/>
            <w:gridSpan w:val="2"/>
          </w:tcPr>
          <w:p>
            <w:pPr>
              <w:ind w:left="660"/>
              <w:spacing w:after="0"/>
              <w:rPr>
                <w:sz w:val="20"/>
                <w:szCs w:val="20"/>
                <w:color w:val="auto"/>
              </w:rPr>
            </w:pPr>
            <w:r>
              <w:rPr>
                <w:rFonts w:ascii="Arial" w:cs="Arial" w:eastAsia="Arial" w:hAnsi="Arial"/>
                <w:sz w:val="14"/>
                <w:szCs w:val="14"/>
                <w:color w:val="auto"/>
              </w:rPr>
              <w:t>Governing Law; Jurisdiction; Etc</w:t>
            </w:r>
          </w:p>
        </w:tc>
        <w:tc>
          <w:tcPr>
            <w:tcW w:w="2220" w:type="dxa"/>
            <w:vAlign w:val="bottom"/>
          </w:tcPr>
          <w:p>
            <w:pPr>
              <w:jc w:val="right"/>
              <w:spacing w:after="0"/>
              <w:rPr>
                <w:sz w:val="20"/>
                <w:szCs w:val="20"/>
                <w:color w:val="auto"/>
              </w:rPr>
            </w:pPr>
            <w:r>
              <w:rPr>
                <w:rFonts w:ascii="Arial" w:cs="Arial" w:eastAsia="Arial" w:hAnsi="Arial"/>
                <w:sz w:val="14"/>
                <w:szCs w:val="14"/>
                <w:color w:val="auto"/>
              </w:rPr>
              <w:t>66</w:t>
            </w:r>
          </w:p>
        </w:tc>
      </w:tr>
      <w:tr>
        <w:trPr>
          <w:trHeight w:val="324"/>
        </w:trPr>
        <w:tc>
          <w:tcPr>
            <w:tcW w:w="2100" w:type="dxa"/>
            <w:vAlign w:val="bottom"/>
          </w:tcPr>
          <w:p>
            <w:pPr>
              <w:ind w:left="500"/>
              <w:spacing w:after="0"/>
              <w:rPr>
                <w:sz w:val="20"/>
                <w:szCs w:val="20"/>
                <w:color w:val="auto"/>
              </w:rPr>
            </w:pPr>
            <w:r>
              <w:rPr>
                <w:rFonts w:ascii="Arial" w:cs="Arial" w:eastAsia="Arial" w:hAnsi="Arial"/>
                <w:sz w:val="14"/>
                <w:szCs w:val="14"/>
                <w:color w:val="auto"/>
              </w:rPr>
              <w:t>SECTION 9.10.</w:t>
            </w:r>
          </w:p>
        </w:tc>
        <w:tc>
          <w:tcPr>
            <w:tcW w:w="6900" w:type="dxa"/>
            <w:vAlign w:val="bottom"/>
            <w:gridSpan w:val="2"/>
          </w:tcPr>
          <w:p>
            <w:pPr>
              <w:ind w:left="660"/>
              <w:spacing w:after="0"/>
              <w:rPr>
                <w:sz w:val="20"/>
                <w:szCs w:val="20"/>
                <w:color w:val="auto"/>
              </w:rPr>
            </w:pPr>
            <w:r>
              <w:rPr>
                <w:rFonts w:ascii="Arial" w:cs="Arial" w:eastAsia="Arial" w:hAnsi="Arial"/>
                <w:sz w:val="14"/>
                <w:szCs w:val="14"/>
                <w:color w:val="auto"/>
              </w:rPr>
              <w:t>WAIVER OF JURY TRIAL</w:t>
            </w:r>
          </w:p>
        </w:tc>
        <w:tc>
          <w:tcPr>
            <w:tcW w:w="2220" w:type="dxa"/>
            <w:vAlign w:val="bottom"/>
          </w:tcPr>
          <w:p>
            <w:pPr>
              <w:jc w:val="right"/>
              <w:spacing w:after="0"/>
              <w:rPr>
                <w:sz w:val="20"/>
                <w:szCs w:val="20"/>
                <w:color w:val="auto"/>
              </w:rPr>
            </w:pPr>
            <w:r>
              <w:rPr>
                <w:rFonts w:ascii="Arial" w:cs="Arial" w:eastAsia="Arial" w:hAnsi="Arial"/>
                <w:sz w:val="14"/>
                <w:szCs w:val="14"/>
                <w:color w:val="auto"/>
              </w:rPr>
              <w:t>66</w:t>
            </w:r>
          </w:p>
        </w:tc>
      </w:tr>
      <w:tr>
        <w:trPr>
          <w:trHeight w:val="324"/>
        </w:trPr>
        <w:tc>
          <w:tcPr>
            <w:tcW w:w="2100" w:type="dxa"/>
            <w:vAlign w:val="bottom"/>
          </w:tcPr>
          <w:p>
            <w:pPr>
              <w:ind w:left="500"/>
              <w:spacing w:after="0"/>
              <w:rPr>
                <w:sz w:val="20"/>
                <w:szCs w:val="20"/>
                <w:color w:val="auto"/>
              </w:rPr>
            </w:pPr>
            <w:r>
              <w:rPr>
                <w:rFonts w:ascii="Arial" w:cs="Arial" w:eastAsia="Arial" w:hAnsi="Arial"/>
                <w:sz w:val="14"/>
                <w:szCs w:val="14"/>
                <w:color w:val="auto"/>
              </w:rPr>
              <w:t>SECTION 9.11.</w:t>
            </w:r>
          </w:p>
        </w:tc>
        <w:tc>
          <w:tcPr>
            <w:tcW w:w="6900" w:type="dxa"/>
            <w:vAlign w:val="bottom"/>
            <w:gridSpan w:val="2"/>
          </w:tcPr>
          <w:p>
            <w:pPr>
              <w:ind w:left="660"/>
              <w:spacing w:after="0"/>
              <w:rPr>
                <w:sz w:val="20"/>
                <w:szCs w:val="20"/>
                <w:color w:val="auto"/>
              </w:rPr>
            </w:pPr>
            <w:r>
              <w:rPr>
                <w:rFonts w:ascii="Arial" w:cs="Arial" w:eastAsia="Arial" w:hAnsi="Arial"/>
                <w:sz w:val="14"/>
                <w:szCs w:val="14"/>
                <w:color w:val="auto"/>
              </w:rPr>
              <w:t>Judgment Currency</w:t>
            </w:r>
          </w:p>
        </w:tc>
        <w:tc>
          <w:tcPr>
            <w:tcW w:w="2220" w:type="dxa"/>
            <w:vAlign w:val="bottom"/>
          </w:tcPr>
          <w:p>
            <w:pPr>
              <w:jc w:val="right"/>
              <w:spacing w:after="0"/>
              <w:rPr>
                <w:sz w:val="20"/>
                <w:szCs w:val="20"/>
                <w:color w:val="auto"/>
              </w:rPr>
            </w:pPr>
            <w:r>
              <w:rPr>
                <w:rFonts w:ascii="Arial" w:cs="Arial" w:eastAsia="Arial" w:hAnsi="Arial"/>
                <w:sz w:val="14"/>
                <w:szCs w:val="14"/>
                <w:color w:val="auto"/>
              </w:rPr>
              <w:t>66</w:t>
            </w:r>
          </w:p>
        </w:tc>
      </w:tr>
      <w:tr>
        <w:trPr>
          <w:trHeight w:val="324"/>
        </w:trPr>
        <w:tc>
          <w:tcPr>
            <w:tcW w:w="2100" w:type="dxa"/>
            <w:vAlign w:val="bottom"/>
          </w:tcPr>
          <w:p>
            <w:pPr>
              <w:ind w:left="500"/>
              <w:spacing w:after="0"/>
              <w:rPr>
                <w:sz w:val="20"/>
                <w:szCs w:val="20"/>
                <w:color w:val="auto"/>
              </w:rPr>
            </w:pPr>
            <w:r>
              <w:rPr>
                <w:rFonts w:ascii="Arial" w:cs="Arial" w:eastAsia="Arial" w:hAnsi="Arial"/>
                <w:sz w:val="14"/>
                <w:szCs w:val="14"/>
                <w:color w:val="auto"/>
              </w:rPr>
              <w:t>SECTION 9.12.</w:t>
            </w:r>
          </w:p>
        </w:tc>
        <w:tc>
          <w:tcPr>
            <w:tcW w:w="1520" w:type="dxa"/>
            <w:vAlign w:val="bottom"/>
          </w:tcPr>
          <w:p>
            <w:pPr>
              <w:ind w:left="660"/>
              <w:spacing w:after="0"/>
              <w:rPr>
                <w:sz w:val="20"/>
                <w:szCs w:val="20"/>
                <w:color w:val="auto"/>
              </w:rPr>
            </w:pPr>
            <w:r>
              <w:rPr>
                <w:rFonts w:ascii="Arial" w:cs="Arial" w:eastAsia="Arial" w:hAnsi="Arial"/>
                <w:sz w:val="14"/>
                <w:szCs w:val="14"/>
                <w:color w:val="auto"/>
              </w:rPr>
              <w:t>Headings</w:t>
            </w:r>
          </w:p>
        </w:tc>
        <w:tc>
          <w:tcPr>
            <w:tcW w:w="5380" w:type="dxa"/>
            <w:vAlign w:val="bottom"/>
          </w:tcPr>
          <w:p>
            <w:pPr>
              <w:spacing w:after="0"/>
              <w:rPr>
                <w:sz w:val="24"/>
                <w:szCs w:val="24"/>
                <w:color w:val="auto"/>
              </w:rPr>
            </w:pPr>
          </w:p>
        </w:tc>
        <w:tc>
          <w:tcPr>
            <w:tcW w:w="2220" w:type="dxa"/>
            <w:vAlign w:val="bottom"/>
          </w:tcPr>
          <w:p>
            <w:pPr>
              <w:jc w:val="right"/>
              <w:spacing w:after="0"/>
              <w:rPr>
                <w:sz w:val="20"/>
                <w:szCs w:val="20"/>
                <w:color w:val="auto"/>
              </w:rPr>
            </w:pPr>
            <w:r>
              <w:rPr>
                <w:rFonts w:ascii="Arial" w:cs="Arial" w:eastAsia="Arial" w:hAnsi="Arial"/>
                <w:sz w:val="14"/>
                <w:szCs w:val="14"/>
                <w:color w:val="auto"/>
              </w:rPr>
              <w:t>66</w:t>
            </w:r>
          </w:p>
        </w:tc>
      </w:tr>
      <w:tr>
        <w:trPr>
          <w:trHeight w:val="324"/>
        </w:trPr>
        <w:tc>
          <w:tcPr>
            <w:tcW w:w="2100" w:type="dxa"/>
            <w:vAlign w:val="bottom"/>
          </w:tcPr>
          <w:p>
            <w:pPr>
              <w:ind w:left="500"/>
              <w:spacing w:after="0"/>
              <w:rPr>
                <w:sz w:val="20"/>
                <w:szCs w:val="20"/>
                <w:color w:val="auto"/>
              </w:rPr>
            </w:pPr>
            <w:r>
              <w:rPr>
                <w:rFonts w:ascii="Arial" w:cs="Arial" w:eastAsia="Arial" w:hAnsi="Arial"/>
                <w:sz w:val="14"/>
                <w:szCs w:val="14"/>
                <w:color w:val="auto"/>
              </w:rPr>
              <w:t>SECTION 9.13.</w:t>
            </w:r>
          </w:p>
        </w:tc>
        <w:tc>
          <w:tcPr>
            <w:tcW w:w="6900" w:type="dxa"/>
            <w:vAlign w:val="bottom"/>
            <w:gridSpan w:val="2"/>
          </w:tcPr>
          <w:p>
            <w:pPr>
              <w:ind w:left="660"/>
              <w:spacing w:after="0"/>
              <w:rPr>
                <w:sz w:val="20"/>
                <w:szCs w:val="20"/>
                <w:color w:val="auto"/>
              </w:rPr>
            </w:pPr>
            <w:r>
              <w:rPr>
                <w:rFonts w:ascii="Arial" w:cs="Arial" w:eastAsia="Arial" w:hAnsi="Arial"/>
                <w:sz w:val="14"/>
                <w:szCs w:val="14"/>
                <w:color w:val="auto"/>
              </w:rPr>
              <w:t>Treatment of Certain Information; No Fiduciary Duty; Confidentiality</w:t>
            </w:r>
          </w:p>
        </w:tc>
        <w:tc>
          <w:tcPr>
            <w:tcW w:w="2220" w:type="dxa"/>
            <w:vAlign w:val="bottom"/>
          </w:tcPr>
          <w:p>
            <w:pPr>
              <w:jc w:val="right"/>
              <w:spacing w:after="0"/>
              <w:rPr>
                <w:sz w:val="20"/>
                <w:szCs w:val="20"/>
                <w:color w:val="auto"/>
              </w:rPr>
            </w:pPr>
            <w:r>
              <w:rPr>
                <w:rFonts w:ascii="Arial" w:cs="Arial" w:eastAsia="Arial" w:hAnsi="Arial"/>
                <w:sz w:val="14"/>
                <w:szCs w:val="14"/>
                <w:color w:val="auto"/>
              </w:rPr>
              <w:t>67</w:t>
            </w:r>
          </w:p>
        </w:tc>
      </w:tr>
      <w:tr>
        <w:trPr>
          <w:trHeight w:val="324"/>
        </w:trPr>
        <w:tc>
          <w:tcPr>
            <w:tcW w:w="2100" w:type="dxa"/>
            <w:vAlign w:val="bottom"/>
          </w:tcPr>
          <w:p>
            <w:pPr>
              <w:ind w:left="500"/>
              <w:spacing w:after="0"/>
              <w:rPr>
                <w:sz w:val="20"/>
                <w:szCs w:val="20"/>
                <w:color w:val="auto"/>
              </w:rPr>
            </w:pPr>
            <w:r>
              <w:rPr>
                <w:rFonts w:ascii="Arial" w:cs="Arial" w:eastAsia="Arial" w:hAnsi="Arial"/>
                <w:sz w:val="14"/>
                <w:szCs w:val="14"/>
                <w:color w:val="auto"/>
              </w:rPr>
              <w:t>SECTION 9.14.</w:t>
            </w:r>
          </w:p>
        </w:tc>
        <w:tc>
          <w:tcPr>
            <w:tcW w:w="6900" w:type="dxa"/>
            <w:vAlign w:val="bottom"/>
            <w:gridSpan w:val="2"/>
          </w:tcPr>
          <w:p>
            <w:pPr>
              <w:ind w:left="660"/>
              <w:spacing w:after="0"/>
              <w:rPr>
                <w:sz w:val="20"/>
                <w:szCs w:val="20"/>
                <w:color w:val="auto"/>
              </w:rPr>
            </w:pPr>
            <w:r>
              <w:rPr>
                <w:rFonts w:ascii="Arial" w:cs="Arial" w:eastAsia="Arial" w:hAnsi="Arial"/>
                <w:sz w:val="14"/>
                <w:szCs w:val="14"/>
                <w:color w:val="auto"/>
              </w:rPr>
              <w:t>USA PATRIOT Act</w:t>
            </w:r>
          </w:p>
        </w:tc>
        <w:tc>
          <w:tcPr>
            <w:tcW w:w="2220" w:type="dxa"/>
            <w:vAlign w:val="bottom"/>
          </w:tcPr>
          <w:p>
            <w:pPr>
              <w:jc w:val="right"/>
              <w:spacing w:after="0"/>
              <w:rPr>
                <w:sz w:val="20"/>
                <w:szCs w:val="20"/>
                <w:color w:val="auto"/>
              </w:rPr>
            </w:pPr>
            <w:r>
              <w:rPr>
                <w:rFonts w:ascii="Arial" w:cs="Arial" w:eastAsia="Arial" w:hAnsi="Arial"/>
                <w:sz w:val="14"/>
                <w:szCs w:val="14"/>
                <w:color w:val="auto"/>
              </w:rPr>
              <w:t>67</w:t>
            </w:r>
          </w:p>
        </w:tc>
      </w:tr>
      <w:tr>
        <w:trPr>
          <w:trHeight w:val="324"/>
        </w:trPr>
        <w:tc>
          <w:tcPr>
            <w:tcW w:w="2100" w:type="dxa"/>
            <w:vAlign w:val="bottom"/>
          </w:tcPr>
          <w:p>
            <w:pPr>
              <w:ind w:left="500"/>
              <w:spacing w:after="0"/>
              <w:rPr>
                <w:sz w:val="20"/>
                <w:szCs w:val="20"/>
                <w:color w:val="auto"/>
              </w:rPr>
            </w:pPr>
            <w:r>
              <w:rPr>
                <w:rFonts w:ascii="Arial" w:cs="Arial" w:eastAsia="Arial" w:hAnsi="Arial"/>
                <w:sz w:val="14"/>
                <w:szCs w:val="14"/>
                <w:color w:val="auto"/>
              </w:rPr>
              <w:t>SECTION 9.15.</w:t>
            </w:r>
          </w:p>
        </w:tc>
        <w:tc>
          <w:tcPr>
            <w:tcW w:w="6900" w:type="dxa"/>
            <w:vAlign w:val="bottom"/>
            <w:gridSpan w:val="2"/>
          </w:tcPr>
          <w:p>
            <w:pPr>
              <w:ind w:left="660"/>
              <w:spacing w:after="0"/>
              <w:rPr>
                <w:sz w:val="20"/>
                <w:szCs w:val="20"/>
                <w:color w:val="auto"/>
              </w:rPr>
            </w:pPr>
            <w:r>
              <w:rPr>
                <w:rFonts w:ascii="Arial" w:cs="Arial" w:eastAsia="Arial" w:hAnsi="Arial"/>
                <w:sz w:val="14"/>
                <w:szCs w:val="14"/>
                <w:color w:val="auto"/>
              </w:rPr>
              <w:t>Effect of Amendment and Restatement of the Existing Agreement</w:t>
            </w:r>
          </w:p>
        </w:tc>
        <w:tc>
          <w:tcPr>
            <w:tcW w:w="2220" w:type="dxa"/>
            <w:vAlign w:val="bottom"/>
          </w:tcPr>
          <w:p>
            <w:pPr>
              <w:jc w:val="right"/>
              <w:spacing w:after="0"/>
              <w:rPr>
                <w:sz w:val="20"/>
                <w:szCs w:val="20"/>
                <w:color w:val="auto"/>
              </w:rPr>
            </w:pPr>
            <w:r>
              <w:rPr>
                <w:rFonts w:ascii="Arial" w:cs="Arial" w:eastAsia="Arial" w:hAnsi="Arial"/>
                <w:sz w:val="14"/>
                <w:szCs w:val="14"/>
                <w:color w:val="auto"/>
              </w:rPr>
              <w:t>67</w:t>
            </w:r>
          </w:p>
        </w:tc>
      </w:tr>
      <w:tr>
        <w:trPr>
          <w:trHeight w:val="324"/>
        </w:trPr>
        <w:tc>
          <w:tcPr>
            <w:tcW w:w="2100" w:type="dxa"/>
            <w:vAlign w:val="bottom"/>
          </w:tcPr>
          <w:p>
            <w:pPr>
              <w:ind w:left="500"/>
              <w:spacing w:after="0"/>
              <w:rPr>
                <w:sz w:val="20"/>
                <w:szCs w:val="20"/>
                <w:color w:val="auto"/>
              </w:rPr>
            </w:pPr>
            <w:r>
              <w:rPr>
                <w:rFonts w:ascii="Arial" w:cs="Arial" w:eastAsia="Arial" w:hAnsi="Arial"/>
                <w:sz w:val="14"/>
                <w:szCs w:val="14"/>
                <w:color w:val="auto"/>
              </w:rPr>
              <w:t>SECTION 9.16.</w:t>
            </w:r>
          </w:p>
        </w:tc>
        <w:tc>
          <w:tcPr>
            <w:tcW w:w="6900" w:type="dxa"/>
            <w:vAlign w:val="bottom"/>
            <w:gridSpan w:val="2"/>
          </w:tcPr>
          <w:p>
            <w:pPr>
              <w:ind w:left="660"/>
              <w:spacing w:after="0"/>
              <w:rPr>
                <w:sz w:val="20"/>
                <w:szCs w:val="20"/>
                <w:color w:val="auto"/>
              </w:rPr>
            </w:pPr>
            <w:r>
              <w:rPr>
                <w:rFonts w:ascii="Arial" w:cs="Arial" w:eastAsia="Arial" w:hAnsi="Arial"/>
                <w:sz w:val="14"/>
                <w:szCs w:val="14"/>
                <w:color w:val="auto"/>
              </w:rPr>
              <w:t>Acknowledgement and Consent to Bail-In of EEA Financial Institutions</w:t>
            </w:r>
          </w:p>
        </w:tc>
        <w:tc>
          <w:tcPr>
            <w:tcW w:w="2220" w:type="dxa"/>
            <w:vAlign w:val="bottom"/>
          </w:tcPr>
          <w:p>
            <w:pPr>
              <w:jc w:val="right"/>
              <w:spacing w:after="0"/>
              <w:rPr>
                <w:sz w:val="20"/>
                <w:szCs w:val="20"/>
                <w:color w:val="auto"/>
              </w:rPr>
            </w:pPr>
            <w:r>
              <w:rPr>
                <w:rFonts w:ascii="Arial" w:cs="Arial" w:eastAsia="Arial" w:hAnsi="Arial"/>
                <w:sz w:val="14"/>
                <w:szCs w:val="14"/>
                <w:color w:val="auto"/>
              </w:rPr>
              <w:t>68</w:t>
            </w:r>
          </w:p>
        </w:tc>
      </w:tr>
      <w:tr>
        <w:trPr>
          <w:trHeight w:val="547"/>
        </w:trPr>
        <w:tc>
          <w:tcPr>
            <w:tcW w:w="2100" w:type="dxa"/>
            <w:vAlign w:val="bottom"/>
          </w:tcPr>
          <w:p>
            <w:pPr>
              <w:spacing w:after="0"/>
              <w:rPr>
                <w:sz w:val="20"/>
                <w:szCs w:val="20"/>
                <w:color w:val="auto"/>
              </w:rPr>
            </w:pPr>
            <w:r>
              <w:rPr>
                <w:rFonts w:ascii="Arial" w:cs="Arial" w:eastAsia="Arial" w:hAnsi="Arial"/>
                <w:sz w:val="14"/>
                <w:szCs w:val="14"/>
                <w:color w:val="auto"/>
              </w:rPr>
              <w:t>SCHEDULE 1.01(a)</w:t>
            </w:r>
          </w:p>
        </w:tc>
        <w:tc>
          <w:tcPr>
            <w:tcW w:w="1520" w:type="dxa"/>
            <w:vAlign w:val="bottom"/>
          </w:tcPr>
          <w:p>
            <w:pPr>
              <w:ind w:left="720"/>
              <w:spacing w:after="0"/>
              <w:rPr>
                <w:sz w:val="20"/>
                <w:szCs w:val="20"/>
                <w:color w:val="auto"/>
              </w:rPr>
            </w:pPr>
            <w:r>
              <w:rPr>
                <w:rFonts w:ascii="Arial" w:cs="Arial" w:eastAsia="Arial" w:hAnsi="Arial"/>
                <w:sz w:val="14"/>
                <w:szCs w:val="14"/>
                <w:color w:val="auto"/>
              </w:rPr>
              <w:t>-</w:t>
            </w:r>
          </w:p>
        </w:tc>
        <w:tc>
          <w:tcPr>
            <w:tcW w:w="5380" w:type="dxa"/>
            <w:vAlign w:val="bottom"/>
          </w:tcPr>
          <w:p>
            <w:pPr>
              <w:spacing w:after="0"/>
              <w:rPr>
                <w:sz w:val="20"/>
                <w:szCs w:val="20"/>
                <w:color w:val="auto"/>
              </w:rPr>
            </w:pPr>
            <w:r>
              <w:rPr>
                <w:rFonts w:ascii="Arial" w:cs="Arial" w:eastAsia="Arial" w:hAnsi="Arial"/>
                <w:sz w:val="14"/>
                <w:szCs w:val="14"/>
                <w:color w:val="auto"/>
              </w:rPr>
              <w:t>Approved Dealers and Approved Pricing Services</w:t>
            </w:r>
          </w:p>
        </w:tc>
        <w:tc>
          <w:tcPr>
            <w:tcW w:w="2220" w:type="dxa"/>
            <w:vAlign w:val="bottom"/>
          </w:tcPr>
          <w:p>
            <w:pPr>
              <w:spacing w:after="0"/>
              <w:rPr>
                <w:sz w:val="24"/>
                <w:szCs w:val="24"/>
                <w:color w:val="auto"/>
              </w:rPr>
            </w:pPr>
          </w:p>
        </w:tc>
      </w:tr>
      <w:tr>
        <w:trPr>
          <w:trHeight w:val="162"/>
        </w:trPr>
        <w:tc>
          <w:tcPr>
            <w:tcW w:w="2100" w:type="dxa"/>
            <w:vAlign w:val="bottom"/>
          </w:tcPr>
          <w:p>
            <w:pPr>
              <w:spacing w:after="0"/>
              <w:rPr>
                <w:sz w:val="20"/>
                <w:szCs w:val="20"/>
                <w:color w:val="auto"/>
              </w:rPr>
            </w:pPr>
            <w:r>
              <w:rPr>
                <w:rFonts w:ascii="Arial" w:cs="Arial" w:eastAsia="Arial" w:hAnsi="Arial"/>
                <w:sz w:val="14"/>
                <w:szCs w:val="14"/>
                <w:color w:val="auto"/>
              </w:rPr>
              <w:t>SCHEDULE 1.01(b)</w:t>
            </w:r>
          </w:p>
        </w:tc>
        <w:tc>
          <w:tcPr>
            <w:tcW w:w="1520" w:type="dxa"/>
            <w:vAlign w:val="bottom"/>
          </w:tcPr>
          <w:p>
            <w:pPr>
              <w:ind w:left="720"/>
              <w:spacing w:after="0"/>
              <w:rPr>
                <w:sz w:val="20"/>
                <w:szCs w:val="20"/>
                <w:color w:val="auto"/>
              </w:rPr>
            </w:pPr>
            <w:r>
              <w:rPr>
                <w:rFonts w:ascii="Arial" w:cs="Arial" w:eastAsia="Arial" w:hAnsi="Arial"/>
                <w:sz w:val="14"/>
                <w:szCs w:val="14"/>
                <w:color w:val="auto"/>
              </w:rPr>
              <w:t>-</w:t>
            </w:r>
          </w:p>
        </w:tc>
        <w:tc>
          <w:tcPr>
            <w:tcW w:w="5380" w:type="dxa"/>
            <w:vAlign w:val="bottom"/>
          </w:tcPr>
          <w:p>
            <w:pPr>
              <w:spacing w:after="0"/>
              <w:rPr>
                <w:sz w:val="20"/>
                <w:szCs w:val="20"/>
                <w:color w:val="auto"/>
              </w:rPr>
            </w:pPr>
            <w:r>
              <w:rPr>
                <w:rFonts w:ascii="Arial" w:cs="Arial" w:eastAsia="Arial" w:hAnsi="Arial"/>
                <w:sz w:val="14"/>
                <w:szCs w:val="14"/>
                <w:color w:val="auto"/>
              </w:rPr>
              <w:t>Commitments</w:t>
            </w:r>
          </w:p>
        </w:tc>
        <w:tc>
          <w:tcPr>
            <w:tcW w:w="2220" w:type="dxa"/>
            <w:vAlign w:val="bottom"/>
          </w:tcPr>
          <w:p>
            <w:pPr>
              <w:spacing w:after="0"/>
              <w:rPr>
                <w:sz w:val="14"/>
                <w:szCs w:val="14"/>
                <w:color w:val="auto"/>
              </w:rPr>
            </w:pPr>
          </w:p>
        </w:tc>
      </w:tr>
      <w:tr>
        <w:trPr>
          <w:trHeight w:val="162"/>
        </w:trPr>
        <w:tc>
          <w:tcPr>
            <w:tcW w:w="2100" w:type="dxa"/>
            <w:vAlign w:val="bottom"/>
          </w:tcPr>
          <w:p>
            <w:pPr>
              <w:spacing w:after="0"/>
              <w:rPr>
                <w:sz w:val="20"/>
                <w:szCs w:val="20"/>
                <w:color w:val="auto"/>
              </w:rPr>
            </w:pPr>
            <w:r>
              <w:rPr>
                <w:rFonts w:ascii="Arial" w:cs="Arial" w:eastAsia="Arial" w:hAnsi="Arial"/>
                <w:sz w:val="14"/>
                <w:szCs w:val="14"/>
                <w:color w:val="auto"/>
              </w:rPr>
              <w:t>SCHEDULE 1.01(c)</w:t>
            </w:r>
          </w:p>
        </w:tc>
        <w:tc>
          <w:tcPr>
            <w:tcW w:w="1520" w:type="dxa"/>
            <w:vAlign w:val="bottom"/>
          </w:tcPr>
          <w:p>
            <w:pPr>
              <w:ind w:left="720"/>
              <w:spacing w:after="0"/>
              <w:rPr>
                <w:sz w:val="20"/>
                <w:szCs w:val="20"/>
                <w:color w:val="auto"/>
              </w:rPr>
            </w:pPr>
            <w:r>
              <w:rPr>
                <w:rFonts w:ascii="Arial" w:cs="Arial" w:eastAsia="Arial" w:hAnsi="Arial"/>
                <w:sz w:val="14"/>
                <w:szCs w:val="14"/>
                <w:color w:val="auto"/>
              </w:rPr>
              <w:t>-</w:t>
            </w:r>
          </w:p>
        </w:tc>
        <w:tc>
          <w:tcPr>
            <w:tcW w:w="5380" w:type="dxa"/>
            <w:vAlign w:val="bottom"/>
          </w:tcPr>
          <w:p>
            <w:pPr>
              <w:spacing w:after="0"/>
              <w:rPr>
                <w:sz w:val="20"/>
                <w:szCs w:val="20"/>
                <w:color w:val="auto"/>
              </w:rPr>
            </w:pPr>
            <w:r>
              <w:rPr>
                <w:rFonts w:ascii="Arial" w:cs="Arial" w:eastAsia="Arial" w:hAnsi="Arial"/>
                <w:sz w:val="14"/>
                <w:szCs w:val="14"/>
                <w:color w:val="auto"/>
              </w:rPr>
              <w:t>Industry Classification Group List</w:t>
            </w:r>
          </w:p>
        </w:tc>
        <w:tc>
          <w:tcPr>
            <w:tcW w:w="2220" w:type="dxa"/>
            <w:vAlign w:val="bottom"/>
          </w:tcPr>
          <w:p>
            <w:pPr>
              <w:spacing w:after="0"/>
              <w:rPr>
                <w:sz w:val="14"/>
                <w:szCs w:val="14"/>
                <w:color w:val="auto"/>
              </w:rPr>
            </w:pPr>
          </w:p>
        </w:tc>
      </w:tr>
      <w:tr>
        <w:trPr>
          <w:trHeight w:val="162"/>
        </w:trPr>
        <w:tc>
          <w:tcPr>
            <w:tcW w:w="2100" w:type="dxa"/>
            <w:vAlign w:val="bottom"/>
          </w:tcPr>
          <w:p>
            <w:pPr>
              <w:spacing w:after="0"/>
              <w:rPr>
                <w:sz w:val="20"/>
                <w:szCs w:val="20"/>
                <w:color w:val="auto"/>
              </w:rPr>
            </w:pPr>
            <w:r>
              <w:rPr>
                <w:rFonts w:ascii="Arial" w:cs="Arial" w:eastAsia="Arial" w:hAnsi="Arial"/>
                <w:sz w:val="14"/>
                <w:szCs w:val="14"/>
                <w:color w:val="auto"/>
              </w:rPr>
              <w:t>SCHEDULE 3.11</w:t>
            </w:r>
          </w:p>
        </w:tc>
        <w:tc>
          <w:tcPr>
            <w:tcW w:w="1520" w:type="dxa"/>
            <w:vAlign w:val="bottom"/>
          </w:tcPr>
          <w:p>
            <w:pPr>
              <w:ind w:left="720"/>
              <w:spacing w:after="0"/>
              <w:rPr>
                <w:sz w:val="20"/>
                <w:szCs w:val="20"/>
                <w:color w:val="auto"/>
              </w:rPr>
            </w:pPr>
            <w:r>
              <w:rPr>
                <w:rFonts w:ascii="Arial" w:cs="Arial" w:eastAsia="Arial" w:hAnsi="Arial"/>
                <w:sz w:val="14"/>
                <w:szCs w:val="14"/>
                <w:color w:val="auto"/>
              </w:rPr>
              <w:t>-</w:t>
            </w:r>
          </w:p>
        </w:tc>
        <w:tc>
          <w:tcPr>
            <w:tcW w:w="5380" w:type="dxa"/>
            <w:vAlign w:val="bottom"/>
          </w:tcPr>
          <w:p>
            <w:pPr>
              <w:spacing w:after="0"/>
              <w:rPr>
                <w:sz w:val="20"/>
                <w:szCs w:val="20"/>
                <w:color w:val="auto"/>
              </w:rPr>
            </w:pPr>
            <w:r>
              <w:rPr>
                <w:rFonts w:ascii="Arial" w:cs="Arial" w:eastAsia="Arial" w:hAnsi="Arial"/>
                <w:sz w:val="14"/>
                <w:szCs w:val="14"/>
                <w:color w:val="auto"/>
              </w:rPr>
              <w:t>Material Agreements and Liens</w:t>
            </w:r>
          </w:p>
        </w:tc>
        <w:tc>
          <w:tcPr>
            <w:tcW w:w="2220" w:type="dxa"/>
            <w:vAlign w:val="bottom"/>
          </w:tcPr>
          <w:p>
            <w:pPr>
              <w:spacing w:after="0"/>
              <w:rPr>
                <w:sz w:val="14"/>
                <w:szCs w:val="14"/>
                <w:color w:val="auto"/>
              </w:rPr>
            </w:pPr>
          </w:p>
        </w:tc>
      </w:tr>
      <w:tr>
        <w:trPr>
          <w:trHeight w:val="162"/>
        </w:trPr>
        <w:tc>
          <w:tcPr>
            <w:tcW w:w="2100" w:type="dxa"/>
            <w:vAlign w:val="bottom"/>
          </w:tcPr>
          <w:p>
            <w:pPr>
              <w:spacing w:after="0"/>
              <w:rPr>
                <w:sz w:val="20"/>
                <w:szCs w:val="20"/>
                <w:color w:val="auto"/>
              </w:rPr>
            </w:pPr>
            <w:r>
              <w:rPr>
                <w:rFonts w:ascii="Arial" w:cs="Arial" w:eastAsia="Arial" w:hAnsi="Arial"/>
                <w:sz w:val="14"/>
                <w:szCs w:val="14"/>
                <w:color w:val="auto"/>
              </w:rPr>
              <w:t>SCHEDULE 3.12(a)</w:t>
            </w:r>
          </w:p>
        </w:tc>
        <w:tc>
          <w:tcPr>
            <w:tcW w:w="1520" w:type="dxa"/>
            <w:vAlign w:val="bottom"/>
          </w:tcPr>
          <w:p>
            <w:pPr>
              <w:ind w:left="720"/>
              <w:spacing w:after="0"/>
              <w:rPr>
                <w:sz w:val="20"/>
                <w:szCs w:val="20"/>
                <w:color w:val="auto"/>
              </w:rPr>
            </w:pPr>
            <w:r>
              <w:rPr>
                <w:rFonts w:ascii="Arial" w:cs="Arial" w:eastAsia="Arial" w:hAnsi="Arial"/>
                <w:sz w:val="14"/>
                <w:szCs w:val="14"/>
                <w:color w:val="auto"/>
              </w:rPr>
              <w:t>-</w:t>
            </w:r>
          </w:p>
        </w:tc>
        <w:tc>
          <w:tcPr>
            <w:tcW w:w="5380" w:type="dxa"/>
            <w:vAlign w:val="bottom"/>
          </w:tcPr>
          <w:p>
            <w:pPr>
              <w:spacing w:after="0"/>
              <w:rPr>
                <w:sz w:val="20"/>
                <w:szCs w:val="20"/>
                <w:color w:val="auto"/>
              </w:rPr>
            </w:pPr>
            <w:r>
              <w:rPr>
                <w:rFonts w:ascii="Arial" w:cs="Arial" w:eastAsia="Arial" w:hAnsi="Arial"/>
                <w:sz w:val="14"/>
                <w:szCs w:val="14"/>
                <w:color w:val="auto"/>
              </w:rPr>
              <w:t>Subsidiaries</w:t>
            </w:r>
          </w:p>
        </w:tc>
        <w:tc>
          <w:tcPr>
            <w:tcW w:w="2220" w:type="dxa"/>
            <w:vAlign w:val="bottom"/>
          </w:tcPr>
          <w:p>
            <w:pPr>
              <w:spacing w:after="0"/>
              <w:rPr>
                <w:sz w:val="14"/>
                <w:szCs w:val="14"/>
                <w:color w:val="auto"/>
              </w:rPr>
            </w:pPr>
          </w:p>
        </w:tc>
      </w:tr>
      <w:tr>
        <w:trPr>
          <w:trHeight w:val="162"/>
        </w:trPr>
        <w:tc>
          <w:tcPr>
            <w:tcW w:w="2100" w:type="dxa"/>
            <w:vAlign w:val="bottom"/>
          </w:tcPr>
          <w:p>
            <w:pPr>
              <w:spacing w:after="0"/>
              <w:rPr>
                <w:sz w:val="20"/>
                <w:szCs w:val="20"/>
                <w:color w:val="auto"/>
              </w:rPr>
            </w:pPr>
            <w:r>
              <w:rPr>
                <w:rFonts w:ascii="Arial" w:cs="Arial" w:eastAsia="Arial" w:hAnsi="Arial"/>
                <w:sz w:val="14"/>
                <w:szCs w:val="14"/>
                <w:color w:val="auto"/>
              </w:rPr>
              <w:t>SCHEDULE 3.12(b)</w:t>
            </w:r>
          </w:p>
        </w:tc>
        <w:tc>
          <w:tcPr>
            <w:tcW w:w="1520" w:type="dxa"/>
            <w:vAlign w:val="bottom"/>
          </w:tcPr>
          <w:p>
            <w:pPr>
              <w:ind w:left="720"/>
              <w:spacing w:after="0"/>
              <w:rPr>
                <w:sz w:val="20"/>
                <w:szCs w:val="20"/>
                <w:color w:val="auto"/>
              </w:rPr>
            </w:pPr>
            <w:r>
              <w:rPr>
                <w:rFonts w:ascii="Arial" w:cs="Arial" w:eastAsia="Arial" w:hAnsi="Arial"/>
                <w:sz w:val="14"/>
                <w:szCs w:val="14"/>
                <w:color w:val="auto"/>
              </w:rPr>
              <w:t>-</w:t>
            </w:r>
          </w:p>
        </w:tc>
        <w:tc>
          <w:tcPr>
            <w:tcW w:w="5380" w:type="dxa"/>
            <w:vAlign w:val="bottom"/>
          </w:tcPr>
          <w:p>
            <w:pPr>
              <w:spacing w:after="0"/>
              <w:rPr>
                <w:sz w:val="20"/>
                <w:szCs w:val="20"/>
                <w:color w:val="auto"/>
              </w:rPr>
            </w:pPr>
            <w:r>
              <w:rPr>
                <w:rFonts w:ascii="Arial" w:cs="Arial" w:eastAsia="Arial" w:hAnsi="Arial"/>
                <w:sz w:val="14"/>
                <w:szCs w:val="14"/>
                <w:color w:val="auto"/>
              </w:rPr>
              <w:t>Investments</w:t>
            </w:r>
          </w:p>
        </w:tc>
        <w:tc>
          <w:tcPr>
            <w:tcW w:w="2220" w:type="dxa"/>
            <w:vAlign w:val="bottom"/>
          </w:tcPr>
          <w:p>
            <w:pPr>
              <w:spacing w:after="0"/>
              <w:rPr>
                <w:sz w:val="14"/>
                <w:szCs w:val="14"/>
                <w:color w:val="auto"/>
              </w:rPr>
            </w:pPr>
          </w:p>
        </w:tc>
      </w:tr>
      <w:tr>
        <w:trPr>
          <w:trHeight w:val="182"/>
        </w:trPr>
        <w:tc>
          <w:tcPr>
            <w:tcW w:w="2100" w:type="dxa"/>
            <w:vAlign w:val="bottom"/>
          </w:tcPr>
          <w:p>
            <w:pPr>
              <w:spacing w:after="0"/>
              <w:rPr>
                <w:sz w:val="20"/>
                <w:szCs w:val="20"/>
                <w:color w:val="auto"/>
              </w:rPr>
            </w:pPr>
            <w:r>
              <w:rPr>
                <w:rFonts w:ascii="Arial" w:cs="Arial" w:eastAsia="Arial" w:hAnsi="Arial"/>
                <w:sz w:val="14"/>
                <w:szCs w:val="14"/>
                <w:color w:val="auto"/>
              </w:rPr>
              <w:t>SCHEDULE 6.08</w:t>
            </w:r>
          </w:p>
        </w:tc>
        <w:tc>
          <w:tcPr>
            <w:tcW w:w="1520" w:type="dxa"/>
            <w:vAlign w:val="bottom"/>
          </w:tcPr>
          <w:p>
            <w:pPr>
              <w:ind w:left="720"/>
              <w:spacing w:after="0"/>
              <w:rPr>
                <w:sz w:val="20"/>
                <w:szCs w:val="20"/>
                <w:color w:val="auto"/>
              </w:rPr>
            </w:pPr>
            <w:r>
              <w:rPr>
                <w:rFonts w:ascii="Arial" w:cs="Arial" w:eastAsia="Arial" w:hAnsi="Arial"/>
                <w:sz w:val="14"/>
                <w:szCs w:val="14"/>
                <w:color w:val="auto"/>
              </w:rPr>
              <w:t>-</w:t>
            </w:r>
          </w:p>
        </w:tc>
        <w:tc>
          <w:tcPr>
            <w:tcW w:w="5380" w:type="dxa"/>
            <w:vAlign w:val="bottom"/>
          </w:tcPr>
          <w:p>
            <w:pPr>
              <w:spacing w:after="0"/>
              <w:rPr>
                <w:sz w:val="20"/>
                <w:szCs w:val="20"/>
                <w:color w:val="auto"/>
              </w:rPr>
            </w:pPr>
            <w:r>
              <w:rPr>
                <w:rFonts w:ascii="Arial" w:cs="Arial" w:eastAsia="Arial" w:hAnsi="Arial"/>
                <w:sz w:val="14"/>
                <w:szCs w:val="14"/>
                <w:color w:val="auto"/>
              </w:rPr>
              <w:t>Transactions with Affiliates</w:t>
            </w:r>
          </w:p>
        </w:tc>
        <w:tc>
          <w:tcPr>
            <w:tcW w:w="2220" w:type="dxa"/>
            <w:vAlign w:val="bottom"/>
          </w:tcPr>
          <w:p>
            <w:pPr>
              <w:spacing w:after="0"/>
              <w:rPr>
                <w:sz w:val="15"/>
                <w:szCs w:val="15"/>
                <w:color w:val="auto"/>
              </w:rPr>
            </w:pPr>
          </w:p>
        </w:tc>
      </w:tr>
      <w:tr>
        <w:trPr>
          <w:trHeight w:val="290"/>
        </w:trPr>
        <w:tc>
          <w:tcPr>
            <w:tcW w:w="2100" w:type="dxa"/>
            <w:vAlign w:val="bottom"/>
          </w:tcPr>
          <w:p>
            <w:pPr>
              <w:spacing w:after="0"/>
              <w:rPr>
                <w:sz w:val="20"/>
                <w:szCs w:val="20"/>
                <w:color w:val="auto"/>
              </w:rPr>
            </w:pPr>
            <w:r>
              <w:rPr>
                <w:rFonts w:ascii="Arial" w:cs="Arial" w:eastAsia="Arial" w:hAnsi="Arial"/>
                <w:sz w:val="14"/>
                <w:szCs w:val="14"/>
                <w:color w:val="auto"/>
              </w:rPr>
              <w:t>EXHIBIT A</w:t>
            </w:r>
          </w:p>
        </w:tc>
        <w:tc>
          <w:tcPr>
            <w:tcW w:w="1520" w:type="dxa"/>
            <w:vAlign w:val="bottom"/>
          </w:tcPr>
          <w:p>
            <w:pPr>
              <w:ind w:left="720"/>
              <w:spacing w:after="0"/>
              <w:rPr>
                <w:sz w:val="20"/>
                <w:szCs w:val="20"/>
                <w:color w:val="auto"/>
              </w:rPr>
            </w:pPr>
            <w:r>
              <w:rPr>
                <w:rFonts w:ascii="Arial" w:cs="Arial" w:eastAsia="Arial" w:hAnsi="Arial"/>
                <w:sz w:val="14"/>
                <w:szCs w:val="14"/>
                <w:color w:val="auto"/>
              </w:rPr>
              <w:t>-</w:t>
            </w:r>
          </w:p>
        </w:tc>
        <w:tc>
          <w:tcPr>
            <w:tcW w:w="5380" w:type="dxa"/>
            <w:vAlign w:val="bottom"/>
          </w:tcPr>
          <w:p>
            <w:pPr>
              <w:spacing w:after="0"/>
              <w:rPr>
                <w:sz w:val="20"/>
                <w:szCs w:val="20"/>
                <w:color w:val="auto"/>
              </w:rPr>
            </w:pPr>
            <w:r>
              <w:rPr>
                <w:rFonts w:ascii="Arial" w:cs="Arial" w:eastAsia="Arial" w:hAnsi="Arial"/>
                <w:sz w:val="14"/>
                <w:szCs w:val="14"/>
                <w:color w:val="auto"/>
              </w:rPr>
              <w:t>Form of Assignment and Assumption</w:t>
            </w:r>
          </w:p>
        </w:tc>
        <w:tc>
          <w:tcPr>
            <w:tcW w:w="2220" w:type="dxa"/>
            <w:vAlign w:val="bottom"/>
          </w:tcPr>
          <w:p>
            <w:pPr>
              <w:spacing w:after="0"/>
              <w:rPr>
                <w:sz w:val="24"/>
                <w:szCs w:val="24"/>
                <w:color w:val="auto"/>
              </w:rPr>
            </w:pPr>
          </w:p>
        </w:tc>
      </w:tr>
      <w:tr>
        <w:trPr>
          <w:trHeight w:val="162"/>
        </w:trPr>
        <w:tc>
          <w:tcPr>
            <w:tcW w:w="2100" w:type="dxa"/>
            <w:vAlign w:val="bottom"/>
          </w:tcPr>
          <w:p>
            <w:pPr>
              <w:spacing w:after="0"/>
              <w:rPr>
                <w:sz w:val="20"/>
                <w:szCs w:val="20"/>
                <w:color w:val="auto"/>
              </w:rPr>
            </w:pPr>
            <w:r>
              <w:rPr>
                <w:rFonts w:ascii="Arial" w:cs="Arial" w:eastAsia="Arial" w:hAnsi="Arial"/>
                <w:sz w:val="14"/>
                <w:szCs w:val="14"/>
                <w:color w:val="auto"/>
              </w:rPr>
              <w:t>EXHIBIT B</w:t>
            </w:r>
          </w:p>
        </w:tc>
        <w:tc>
          <w:tcPr>
            <w:tcW w:w="1520" w:type="dxa"/>
            <w:vAlign w:val="bottom"/>
          </w:tcPr>
          <w:p>
            <w:pPr>
              <w:ind w:left="720"/>
              <w:spacing w:after="0"/>
              <w:rPr>
                <w:sz w:val="20"/>
                <w:szCs w:val="20"/>
                <w:color w:val="auto"/>
              </w:rPr>
            </w:pPr>
            <w:r>
              <w:rPr>
                <w:rFonts w:ascii="Arial" w:cs="Arial" w:eastAsia="Arial" w:hAnsi="Arial"/>
                <w:sz w:val="14"/>
                <w:szCs w:val="14"/>
                <w:color w:val="auto"/>
              </w:rPr>
              <w:t>-</w:t>
            </w:r>
          </w:p>
        </w:tc>
        <w:tc>
          <w:tcPr>
            <w:tcW w:w="5380" w:type="dxa"/>
            <w:vAlign w:val="bottom"/>
          </w:tcPr>
          <w:p>
            <w:pPr>
              <w:spacing w:after="0"/>
              <w:rPr>
                <w:sz w:val="20"/>
                <w:szCs w:val="20"/>
                <w:color w:val="auto"/>
              </w:rPr>
            </w:pPr>
            <w:r>
              <w:rPr>
                <w:rFonts w:ascii="Arial" w:cs="Arial" w:eastAsia="Arial" w:hAnsi="Arial"/>
                <w:sz w:val="14"/>
                <w:szCs w:val="14"/>
                <w:color w:val="auto"/>
              </w:rPr>
              <w:t>Form of Borrowing Base Certificate</w:t>
            </w:r>
          </w:p>
        </w:tc>
        <w:tc>
          <w:tcPr>
            <w:tcW w:w="2220" w:type="dxa"/>
            <w:vAlign w:val="bottom"/>
          </w:tcPr>
          <w:p>
            <w:pPr>
              <w:spacing w:after="0"/>
              <w:rPr>
                <w:sz w:val="14"/>
                <w:szCs w:val="14"/>
                <w:color w:val="auto"/>
              </w:rPr>
            </w:pPr>
          </w:p>
        </w:tc>
      </w:tr>
      <w:tr>
        <w:trPr>
          <w:trHeight w:val="182"/>
        </w:trPr>
        <w:tc>
          <w:tcPr>
            <w:tcW w:w="2100" w:type="dxa"/>
            <w:vAlign w:val="bottom"/>
          </w:tcPr>
          <w:p>
            <w:pPr>
              <w:spacing w:after="0"/>
              <w:rPr>
                <w:sz w:val="20"/>
                <w:szCs w:val="20"/>
                <w:color w:val="auto"/>
              </w:rPr>
            </w:pPr>
            <w:r>
              <w:rPr>
                <w:rFonts w:ascii="Arial" w:cs="Arial" w:eastAsia="Arial" w:hAnsi="Arial"/>
                <w:sz w:val="14"/>
                <w:szCs w:val="14"/>
                <w:color w:val="auto"/>
              </w:rPr>
              <w:t>EXHIBIT C</w:t>
            </w:r>
          </w:p>
        </w:tc>
        <w:tc>
          <w:tcPr>
            <w:tcW w:w="1520" w:type="dxa"/>
            <w:vAlign w:val="bottom"/>
          </w:tcPr>
          <w:p>
            <w:pPr>
              <w:ind w:left="720"/>
              <w:spacing w:after="0"/>
              <w:rPr>
                <w:sz w:val="20"/>
                <w:szCs w:val="20"/>
                <w:color w:val="auto"/>
              </w:rPr>
            </w:pPr>
            <w:r>
              <w:rPr>
                <w:rFonts w:ascii="Arial" w:cs="Arial" w:eastAsia="Arial" w:hAnsi="Arial"/>
                <w:sz w:val="14"/>
                <w:szCs w:val="14"/>
                <w:color w:val="auto"/>
              </w:rPr>
              <w:t>-</w:t>
            </w:r>
          </w:p>
        </w:tc>
        <w:tc>
          <w:tcPr>
            <w:tcW w:w="5380" w:type="dxa"/>
            <w:vAlign w:val="bottom"/>
          </w:tcPr>
          <w:p>
            <w:pPr>
              <w:spacing w:after="0"/>
              <w:rPr>
                <w:sz w:val="20"/>
                <w:szCs w:val="20"/>
                <w:color w:val="auto"/>
              </w:rPr>
            </w:pPr>
            <w:r>
              <w:rPr>
                <w:rFonts w:ascii="Arial" w:cs="Arial" w:eastAsia="Arial" w:hAnsi="Arial"/>
                <w:sz w:val="14"/>
                <w:szCs w:val="14"/>
                <w:color w:val="auto"/>
              </w:rPr>
              <w:t>Form of Borrowing Request</w:t>
            </w:r>
          </w:p>
        </w:tc>
        <w:tc>
          <w:tcPr>
            <w:tcW w:w="2220" w:type="dxa"/>
            <w:vAlign w:val="bottom"/>
          </w:tcPr>
          <w:p>
            <w:pPr>
              <w:spacing w:after="0"/>
              <w:rPr>
                <w:sz w:val="15"/>
                <w:szCs w:val="15"/>
                <w:color w:val="auto"/>
              </w:rPr>
            </w:pPr>
          </w:p>
        </w:tc>
      </w:tr>
    </w:tbl>
    <w:p>
      <w:pPr>
        <w:spacing w:after="0" w:line="200" w:lineRule="exact"/>
        <w:rPr>
          <w:sz w:val="20"/>
          <w:szCs w:val="20"/>
          <w:color w:val="auto"/>
        </w:rPr>
      </w:pPr>
    </w:p>
    <w:p>
      <w:pPr>
        <w:spacing w:after="0" w:line="209"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-iv</w:t>
      </w:r>
      <w:r>
        <w:rPr>
          <w:rFonts w:ascii="Arial" w:cs="Arial" w:eastAsia="Arial" w:hAnsi="Arial"/>
          <w:sz w:val="21"/>
          <w:szCs w:val="21"/>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340360</wp:posOffset>
            </wp:positionV>
            <wp:extent cx="7149465" cy="17145"/>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20"/>
          </w:cols>
          <w:pgMar w:left="320" w:top="350" w:right="359" w:bottom="1440" w:gutter="0" w:footer="0" w:header="0"/>
        </w:sectPr>
      </w:pPr>
    </w:p>
    <w:bookmarkStart w:id="63" w:name="page64"/>
    <w:bookmarkEnd w:id="63"/>
    <w:p>
      <w:pPr>
        <w:jc w:val="both"/>
        <w:ind w:firstLine="1727"/>
        <w:spacing w:after="0" w:line="253" w:lineRule="auto"/>
        <w:rPr>
          <w:sz w:val="20"/>
          <w:szCs w:val="20"/>
          <w:color w:val="auto"/>
        </w:rPr>
      </w:pPr>
      <w:r>
        <w:rPr>
          <w:rFonts w:ascii="Arial" w:cs="Arial" w:eastAsia="Arial" w:hAnsi="Arial"/>
          <w:sz w:val="14"/>
          <w:szCs w:val="14"/>
          <w:color w:val="auto"/>
        </w:rPr>
        <w:t>SECOND AMENDED AND RESTATED SENIOR SECURED REVOLVING CREDIT AGREEMENT dated as of June 25, 2014 (this “</w:t>
      </w:r>
      <w:r>
        <w:rPr>
          <w:rFonts w:ascii="Arial" w:cs="Arial" w:eastAsia="Arial" w:hAnsi="Arial"/>
          <w:sz w:val="14"/>
          <w:szCs w:val="14"/>
          <w:u w:val="single" w:color="auto"/>
          <w:color w:val="auto"/>
        </w:rPr>
        <w:t>Agreement</w:t>
      </w:r>
      <w:r>
        <w:rPr>
          <w:rFonts w:ascii="Arial" w:cs="Arial" w:eastAsia="Arial" w:hAnsi="Arial"/>
          <w:sz w:val="14"/>
          <w:szCs w:val="14"/>
          <w:color w:val="auto"/>
        </w:rPr>
        <w:t>”), among PENNANTPARK INVESTMENT CORPORATION, a Maryland corporation (the “</w:t>
      </w:r>
      <w:r>
        <w:rPr>
          <w:rFonts w:ascii="Arial" w:cs="Arial" w:eastAsia="Arial" w:hAnsi="Arial"/>
          <w:sz w:val="14"/>
          <w:szCs w:val="14"/>
          <w:u w:val="single" w:color="auto"/>
          <w:color w:val="auto"/>
        </w:rPr>
        <w:t>Borrower</w:t>
      </w:r>
      <w:r>
        <w:rPr>
          <w:rFonts w:ascii="Arial" w:cs="Arial" w:eastAsia="Arial" w:hAnsi="Arial"/>
          <w:sz w:val="14"/>
          <w:szCs w:val="14"/>
          <w:color w:val="auto"/>
        </w:rPr>
        <w:t>”), the LENDERS party hereto, and SUNTRUST BANK, as Administrative Agent.</w:t>
      </w:r>
    </w:p>
    <w:p>
      <w:pPr>
        <w:spacing w:after="0" w:line="174" w:lineRule="exact"/>
        <w:rPr>
          <w:sz w:val="20"/>
          <w:szCs w:val="20"/>
          <w:color w:val="auto"/>
        </w:rPr>
      </w:pPr>
    </w:p>
    <w:p>
      <w:pPr>
        <w:jc w:val="both"/>
        <w:ind w:firstLine="1727"/>
        <w:spacing w:after="0" w:line="264" w:lineRule="auto"/>
        <w:rPr>
          <w:sz w:val="20"/>
          <w:szCs w:val="20"/>
          <w:color w:val="auto"/>
        </w:rPr>
      </w:pPr>
      <w:r>
        <w:rPr>
          <w:rFonts w:ascii="Arial" w:cs="Arial" w:eastAsia="Arial" w:hAnsi="Arial"/>
          <w:sz w:val="13"/>
          <w:szCs w:val="13"/>
          <w:color w:val="auto"/>
        </w:rPr>
        <w:t>Pursuant to the Amended and Restated Senior Secured Revolving Credit Agreement dated as of February 21, 2012 (as amended, supplemented or otherwise modified prior to the Effective Date, the “</w:t>
      </w:r>
      <w:r>
        <w:rPr>
          <w:rFonts w:ascii="Arial" w:cs="Arial" w:eastAsia="Arial" w:hAnsi="Arial"/>
          <w:sz w:val="13"/>
          <w:szCs w:val="13"/>
          <w:u w:val="single" w:color="auto"/>
          <w:color w:val="auto"/>
        </w:rPr>
        <w:t>Existing Credit Agreement</w:t>
      </w:r>
      <w:r>
        <w:rPr>
          <w:rFonts w:ascii="Arial" w:cs="Arial" w:eastAsia="Arial" w:hAnsi="Arial"/>
          <w:sz w:val="13"/>
          <w:szCs w:val="13"/>
          <w:color w:val="auto"/>
        </w:rPr>
        <w:t>”), among the Borrower, the lenders party thereto (collectively, the “</w:t>
      </w:r>
      <w:r>
        <w:rPr>
          <w:rFonts w:ascii="Arial" w:cs="Arial" w:eastAsia="Arial" w:hAnsi="Arial"/>
          <w:sz w:val="13"/>
          <w:szCs w:val="13"/>
          <w:u w:val="single" w:color="auto"/>
          <w:color w:val="auto"/>
        </w:rPr>
        <w:t>Existing Lenders</w:t>
      </w:r>
      <w:r>
        <w:rPr>
          <w:rFonts w:ascii="Arial" w:cs="Arial" w:eastAsia="Arial" w:hAnsi="Arial"/>
          <w:sz w:val="13"/>
          <w:szCs w:val="13"/>
          <w:color w:val="auto"/>
        </w:rPr>
        <w:t>”) and the Administrative Agent, the Existing Lenders agreed to make extensions of credit to the Borrower on the terms and conditions set forth therein, including making loans (the “</w:t>
      </w:r>
      <w:r>
        <w:rPr>
          <w:rFonts w:ascii="Arial" w:cs="Arial" w:eastAsia="Arial" w:hAnsi="Arial"/>
          <w:sz w:val="13"/>
          <w:szCs w:val="13"/>
          <w:u w:val="single" w:color="auto"/>
          <w:color w:val="auto"/>
        </w:rPr>
        <w:t>Existing Loans</w:t>
      </w:r>
      <w:r>
        <w:rPr>
          <w:rFonts w:ascii="Arial" w:cs="Arial" w:eastAsia="Arial" w:hAnsi="Arial"/>
          <w:sz w:val="13"/>
          <w:szCs w:val="13"/>
          <w:color w:val="auto"/>
        </w:rPr>
        <w:t>”) to the Borrower.</w:t>
      </w:r>
    </w:p>
    <w:p>
      <w:pPr>
        <w:spacing w:after="0" w:line="60" w:lineRule="exact"/>
        <w:rPr>
          <w:sz w:val="20"/>
          <w:szCs w:val="20"/>
          <w:color w:val="auto"/>
        </w:rPr>
      </w:pPr>
    </w:p>
    <w:p>
      <w:pPr>
        <w:jc w:val="both"/>
        <w:ind w:firstLine="1727"/>
        <w:spacing w:after="0" w:line="245" w:lineRule="auto"/>
        <w:rPr>
          <w:sz w:val="20"/>
          <w:szCs w:val="20"/>
          <w:color w:val="auto"/>
        </w:rPr>
      </w:pPr>
      <w:r>
        <w:rPr>
          <w:rFonts w:ascii="Arial" w:cs="Arial" w:eastAsia="Arial" w:hAnsi="Arial"/>
          <w:sz w:val="13"/>
          <w:szCs w:val="13"/>
          <w:color w:val="auto"/>
        </w:rPr>
        <w:t>The Borrower has requested that the Existing Credit Agreement be amended and restated in its entirety to become effective and binding on the Borrower pursuant to the terms of this Agreement, and the Lenders (including certain of the Existing Lenders) have agreed (subject to the terms of this Agreement) to amend and restate the Existing Credit Agreement in its entirety to read as set forth in this Agreement, and it has been agreed by the parties to the Existing Credit Agreement that (a) the commitments which the Existing Lenders have agreed to extend to the Borrower under the Existing Credit Agreement shall be extended or advanced upon the amended and restated terms and conditions contained in this Agreement; and (b) the Existing Loans and other obligations outstanding under the Existing Credit Agreement shall be governed by and deemed to be outstanding under the amended and restated terms and conditions contained in this Agreement on and after the date hereof, with the intent that the terms of this Agreement shall supersede the terms of the Existing Credit Agreement (each of which shall hereafter have no further effect upon the parties thereto, other than for accrued and unpaid fees and expenses, and indemnification provisions accrued and owing, under the terms of the Existing Credit Agreement on or prior to the Effective Date or arising (in the case of indemnification) under the terms of the Existing Credit Agreement).</w:t>
      </w:r>
    </w:p>
    <w:p>
      <w:pPr>
        <w:spacing w:after="0" w:line="183" w:lineRule="exact"/>
        <w:rPr>
          <w:sz w:val="20"/>
          <w:szCs w:val="20"/>
          <w:color w:val="auto"/>
        </w:rPr>
      </w:pPr>
    </w:p>
    <w:p>
      <w:pPr>
        <w:ind w:left="1740"/>
        <w:spacing w:after="0"/>
        <w:rPr>
          <w:sz w:val="20"/>
          <w:szCs w:val="20"/>
          <w:color w:val="auto"/>
        </w:rPr>
      </w:pPr>
      <w:r>
        <w:rPr>
          <w:rFonts w:ascii="Arial" w:cs="Arial" w:eastAsia="Arial" w:hAnsi="Arial"/>
          <w:sz w:val="13"/>
          <w:szCs w:val="13"/>
          <w:color w:val="auto"/>
        </w:rPr>
        <w:t>The parties hereto hereby agree to amend and restate the Existing Credit Agreement, and the Existing Credit Agreement is hereby amended and restated in its</w:t>
      </w:r>
    </w:p>
    <w:p>
      <w:pPr>
        <w:spacing w:after="0" w:line="11" w:lineRule="exact"/>
        <w:rPr>
          <w:sz w:val="20"/>
          <w:szCs w:val="20"/>
          <w:color w:val="auto"/>
        </w:rPr>
      </w:pPr>
    </w:p>
    <w:p>
      <w:pPr>
        <w:spacing w:after="0"/>
        <w:rPr>
          <w:sz w:val="20"/>
          <w:szCs w:val="20"/>
          <w:color w:val="auto"/>
        </w:rPr>
      </w:pPr>
      <w:r>
        <w:rPr>
          <w:rFonts w:ascii="Arial" w:cs="Arial" w:eastAsia="Arial" w:hAnsi="Arial"/>
          <w:sz w:val="14"/>
          <w:szCs w:val="14"/>
          <w:color w:val="auto"/>
        </w:rPr>
        <w:t>entirety as follows:</w:t>
      </w:r>
    </w:p>
    <w:p>
      <w:pPr>
        <w:spacing w:after="0" w:line="192"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ARTICLE I</w:t>
      </w:r>
    </w:p>
    <w:p>
      <w:pPr>
        <w:spacing w:after="0" w:line="136" w:lineRule="exact"/>
        <w:rPr>
          <w:sz w:val="20"/>
          <w:szCs w:val="20"/>
          <w:color w:val="auto"/>
        </w:rPr>
      </w:pPr>
    </w:p>
    <w:p>
      <w:pPr>
        <w:jc w:val="center"/>
        <w:spacing w:after="0"/>
        <w:rPr>
          <w:sz w:val="20"/>
          <w:szCs w:val="20"/>
          <w:color w:val="auto"/>
        </w:rPr>
      </w:pPr>
      <w:r>
        <w:rPr>
          <w:rFonts w:ascii="Arial" w:cs="Arial" w:eastAsia="Arial" w:hAnsi="Arial"/>
          <w:sz w:val="14"/>
          <w:szCs w:val="14"/>
          <w:u w:val="single" w:color="auto"/>
          <w:color w:val="auto"/>
        </w:rPr>
        <w:t>DEFINITIONS</w:t>
      </w:r>
    </w:p>
    <w:p>
      <w:pPr>
        <w:spacing w:after="0" w:line="204" w:lineRule="exact"/>
        <w:rPr>
          <w:sz w:val="20"/>
          <w:szCs w:val="20"/>
          <w:color w:val="auto"/>
        </w:rPr>
      </w:pPr>
    </w:p>
    <w:p>
      <w:pPr>
        <w:ind w:left="1740"/>
        <w:spacing w:after="0"/>
        <w:rPr>
          <w:sz w:val="20"/>
          <w:szCs w:val="20"/>
          <w:color w:val="auto"/>
        </w:rPr>
      </w:pPr>
      <w:r>
        <w:rPr>
          <w:rFonts w:ascii="Arial" w:cs="Arial" w:eastAsia="Arial" w:hAnsi="Arial"/>
          <w:sz w:val="14"/>
          <w:szCs w:val="14"/>
          <w:color w:val="auto"/>
        </w:rPr>
        <w:t xml:space="preserve">SECTION 1.01. </w:t>
      </w:r>
      <w:r>
        <w:rPr>
          <w:rFonts w:ascii="Arial" w:cs="Arial" w:eastAsia="Arial" w:hAnsi="Arial"/>
          <w:sz w:val="14"/>
          <w:szCs w:val="14"/>
          <w:u w:val="single" w:color="auto"/>
          <w:color w:val="auto"/>
        </w:rPr>
        <w:t>Defined Terms</w:t>
      </w:r>
      <w:r>
        <w:rPr>
          <w:rFonts w:ascii="Arial" w:cs="Arial" w:eastAsia="Arial" w:hAnsi="Arial"/>
          <w:sz w:val="14"/>
          <w:szCs w:val="14"/>
          <w:color w:val="auto"/>
        </w:rPr>
        <w:t>. As used in this Agreement, the following terms have the meanings specified below:</w:t>
      </w:r>
    </w:p>
    <w:p>
      <w:pPr>
        <w:spacing w:after="0" w:line="204" w:lineRule="exact"/>
        <w:rPr>
          <w:sz w:val="20"/>
          <w:szCs w:val="20"/>
          <w:color w:val="auto"/>
        </w:rPr>
      </w:pPr>
    </w:p>
    <w:p>
      <w:pPr>
        <w:ind w:left="1740"/>
        <w:spacing w:after="0"/>
        <w:rPr>
          <w:sz w:val="20"/>
          <w:szCs w:val="20"/>
          <w:color w:val="auto"/>
        </w:rPr>
      </w:pPr>
      <w:r>
        <w:rPr>
          <w:rFonts w:ascii="Arial" w:cs="Arial" w:eastAsia="Arial" w:hAnsi="Arial"/>
          <w:sz w:val="14"/>
          <w:szCs w:val="14"/>
          <w:color w:val="auto"/>
        </w:rPr>
        <w:t>“</w:t>
      </w:r>
      <w:r>
        <w:rPr>
          <w:rFonts w:ascii="Arial" w:cs="Arial" w:eastAsia="Arial" w:hAnsi="Arial"/>
          <w:sz w:val="14"/>
          <w:szCs w:val="14"/>
          <w:u w:val="single" w:color="auto"/>
          <w:color w:val="auto"/>
        </w:rPr>
        <w:t>2019 Notes</w:t>
      </w:r>
      <w:r>
        <w:rPr>
          <w:rFonts w:ascii="Arial" w:cs="Arial" w:eastAsia="Arial" w:hAnsi="Arial"/>
          <w:sz w:val="14"/>
          <w:szCs w:val="14"/>
          <w:color w:val="auto"/>
        </w:rPr>
        <w:t>” means the Borrower’s $250,000,000 aggregate principal amount notes due October 1, 2019 issued in September 2014.</w:t>
      </w:r>
    </w:p>
    <w:p>
      <w:pPr>
        <w:spacing w:after="0" w:line="204" w:lineRule="exact"/>
        <w:rPr>
          <w:sz w:val="20"/>
          <w:szCs w:val="20"/>
          <w:color w:val="auto"/>
        </w:rPr>
      </w:pPr>
    </w:p>
    <w:p>
      <w:pPr>
        <w:jc w:val="both"/>
        <w:ind w:right="20" w:firstLine="1727"/>
        <w:spacing w:after="0" w:line="253" w:lineRule="auto"/>
        <w:rPr>
          <w:sz w:val="20"/>
          <w:szCs w:val="20"/>
          <w:color w:val="auto"/>
        </w:rPr>
      </w:pPr>
      <w:r>
        <w:rPr>
          <w:rFonts w:ascii="Arial" w:cs="Arial" w:eastAsia="Arial" w:hAnsi="Arial"/>
          <w:sz w:val="14"/>
          <w:szCs w:val="14"/>
          <w:color w:val="auto"/>
        </w:rPr>
        <w:t>“</w:t>
      </w:r>
      <w:r>
        <w:rPr>
          <w:rFonts w:ascii="Arial" w:cs="Arial" w:eastAsia="Arial" w:hAnsi="Arial"/>
          <w:sz w:val="14"/>
          <w:szCs w:val="14"/>
          <w:u w:val="single" w:color="auto"/>
          <w:color w:val="auto"/>
        </w:rPr>
        <w:t>ABR</w:t>
      </w:r>
      <w:r>
        <w:rPr>
          <w:rFonts w:ascii="Arial" w:cs="Arial" w:eastAsia="Arial" w:hAnsi="Arial"/>
          <w:sz w:val="14"/>
          <w:szCs w:val="14"/>
          <w:color w:val="auto"/>
        </w:rPr>
        <w:t>”, when used in reference to any Loan or Borrowing, refers to whether such Loan, or the Loans constituting such Borrowing, are denominated in Dollars and bearing interest at a rate determined by reference to the Alternate Base Rate.</w:t>
      </w:r>
    </w:p>
    <w:p>
      <w:pPr>
        <w:spacing w:after="0" w:line="174" w:lineRule="exact"/>
        <w:rPr>
          <w:sz w:val="20"/>
          <w:szCs w:val="20"/>
          <w:color w:val="auto"/>
        </w:rPr>
      </w:pPr>
    </w:p>
    <w:p>
      <w:pPr>
        <w:jc w:val="both"/>
        <w:ind w:right="20" w:firstLine="1727"/>
        <w:spacing w:after="0" w:line="253" w:lineRule="auto"/>
        <w:rPr>
          <w:sz w:val="20"/>
          <w:szCs w:val="20"/>
          <w:color w:val="auto"/>
        </w:rPr>
      </w:pPr>
      <w:r>
        <w:rPr>
          <w:rFonts w:ascii="Arial" w:cs="Arial" w:eastAsia="Arial" w:hAnsi="Arial"/>
          <w:sz w:val="14"/>
          <w:szCs w:val="14"/>
          <w:color w:val="auto"/>
        </w:rPr>
        <w:t>“</w:t>
      </w:r>
      <w:r>
        <w:rPr>
          <w:rFonts w:ascii="Arial" w:cs="Arial" w:eastAsia="Arial" w:hAnsi="Arial"/>
          <w:sz w:val="14"/>
          <w:szCs w:val="14"/>
          <w:u w:val="single" w:color="auto"/>
          <w:color w:val="auto"/>
        </w:rPr>
        <w:t>Adjusted Borrowing Base</w:t>
      </w:r>
      <w:r>
        <w:rPr>
          <w:rFonts w:ascii="Arial" w:cs="Arial" w:eastAsia="Arial" w:hAnsi="Arial"/>
          <w:sz w:val="14"/>
          <w:szCs w:val="14"/>
          <w:color w:val="auto"/>
        </w:rPr>
        <w:t xml:space="preserve">” means the Borrowing Base </w:t>
      </w:r>
      <w:r>
        <w:rPr>
          <w:rFonts w:ascii="Arial" w:cs="Arial" w:eastAsia="Arial" w:hAnsi="Arial"/>
          <w:sz w:val="14"/>
          <w:szCs w:val="14"/>
          <w:u w:val="single" w:color="auto"/>
          <w:color w:val="auto"/>
        </w:rPr>
        <w:t>minus</w:t>
      </w:r>
      <w:r>
        <w:rPr>
          <w:rFonts w:ascii="Arial" w:cs="Arial" w:eastAsia="Arial" w:hAnsi="Arial"/>
          <w:sz w:val="14"/>
          <w:szCs w:val="14"/>
          <w:color w:val="auto"/>
        </w:rPr>
        <w:t xml:space="preserve"> the aggregate amount of Cash and Cash Equivalents included in the Portfolio Investments held by the Obligors (provided that Cash Collateral for outstanding Letters of Credit shall not be treated as a portion of the Portfolio Investments).</w:t>
      </w:r>
    </w:p>
    <w:p>
      <w:pPr>
        <w:spacing w:after="0" w:line="174" w:lineRule="exact"/>
        <w:rPr>
          <w:sz w:val="20"/>
          <w:szCs w:val="20"/>
          <w:color w:val="auto"/>
        </w:rPr>
      </w:pPr>
    </w:p>
    <w:p>
      <w:pPr>
        <w:jc w:val="both"/>
        <w:ind w:right="20" w:firstLine="1727"/>
        <w:spacing w:after="0" w:line="290" w:lineRule="auto"/>
        <w:rPr>
          <w:sz w:val="20"/>
          <w:szCs w:val="20"/>
          <w:color w:val="auto"/>
        </w:rPr>
      </w:pPr>
      <w:r>
        <w:rPr>
          <w:rFonts w:ascii="Arial" w:cs="Arial" w:eastAsia="Arial" w:hAnsi="Arial"/>
          <w:sz w:val="13"/>
          <w:szCs w:val="13"/>
          <w:color w:val="auto"/>
        </w:rPr>
        <w:t>“</w:t>
      </w:r>
      <w:r>
        <w:rPr>
          <w:rFonts w:ascii="Arial" w:cs="Arial" w:eastAsia="Arial" w:hAnsi="Arial"/>
          <w:sz w:val="13"/>
          <w:szCs w:val="13"/>
          <w:u w:val="single" w:color="auto"/>
          <w:color w:val="auto"/>
        </w:rPr>
        <w:t>Adjusted Covered Debt Balance</w:t>
      </w:r>
      <w:r>
        <w:rPr>
          <w:rFonts w:ascii="Arial" w:cs="Arial" w:eastAsia="Arial" w:hAnsi="Arial"/>
          <w:sz w:val="13"/>
          <w:szCs w:val="13"/>
          <w:color w:val="auto"/>
        </w:rPr>
        <w:t xml:space="preserve">” means, on any date, the aggregate Covered Debt Amount on such date </w:t>
      </w:r>
      <w:r>
        <w:rPr>
          <w:rFonts w:ascii="Arial" w:cs="Arial" w:eastAsia="Arial" w:hAnsi="Arial"/>
          <w:sz w:val="13"/>
          <w:szCs w:val="13"/>
          <w:u w:val="single" w:color="auto"/>
          <w:color w:val="auto"/>
        </w:rPr>
        <w:t>minus</w:t>
      </w:r>
      <w:r>
        <w:rPr>
          <w:rFonts w:ascii="Arial" w:cs="Arial" w:eastAsia="Arial" w:hAnsi="Arial"/>
          <w:sz w:val="13"/>
          <w:szCs w:val="13"/>
          <w:color w:val="auto"/>
        </w:rPr>
        <w:t xml:space="preserve"> the aggregate amount of Cash and Cash Equivalents included in the Portfolio Investments held by the Obligors (provided that Cash Collateral for outstanding Letters of Credit shall not be treated as a portion of the Portfolio Investments).</w:t>
      </w:r>
    </w:p>
    <w:p>
      <w:pPr>
        <w:spacing w:after="0" w:line="152" w:lineRule="exact"/>
        <w:rPr>
          <w:sz w:val="20"/>
          <w:szCs w:val="20"/>
          <w:color w:val="auto"/>
        </w:rPr>
      </w:pPr>
    </w:p>
    <w:p>
      <w:pPr>
        <w:jc w:val="both"/>
        <w:ind w:firstLine="1727"/>
        <w:spacing w:after="0" w:line="233" w:lineRule="auto"/>
        <w:rPr>
          <w:sz w:val="20"/>
          <w:szCs w:val="20"/>
          <w:color w:val="auto"/>
        </w:rPr>
      </w:pPr>
      <w:r>
        <w:rPr>
          <w:rFonts w:ascii="Arial" w:cs="Arial" w:eastAsia="Arial" w:hAnsi="Arial"/>
          <w:sz w:val="14"/>
          <w:szCs w:val="14"/>
          <w:color w:val="auto"/>
        </w:rPr>
        <w:t>“</w:t>
      </w:r>
      <w:r>
        <w:rPr>
          <w:rFonts w:ascii="Arial" w:cs="Arial" w:eastAsia="Arial" w:hAnsi="Arial"/>
          <w:sz w:val="14"/>
          <w:szCs w:val="14"/>
          <w:u w:val="single" w:color="auto"/>
          <w:color w:val="auto"/>
        </w:rPr>
        <w:t>Adjusted LIBO Rate</w:t>
      </w:r>
      <w:r>
        <w:rPr>
          <w:rFonts w:ascii="Arial" w:cs="Arial" w:eastAsia="Arial" w:hAnsi="Arial"/>
          <w:sz w:val="14"/>
          <w:szCs w:val="14"/>
          <w:color w:val="auto"/>
        </w:rPr>
        <w:t xml:space="preserve">” means (a) for the Interest Period for any Eurocurrency Borrowing denominated in a LIBO Quoted Currency, an interest rate per annum (rounded upwards, if necessary, to the next 1/16 of 1%) equal to (i) the LIBO Rate for such Interest Period </w:t>
      </w:r>
      <w:r>
        <w:rPr>
          <w:rFonts w:ascii="Arial" w:cs="Arial" w:eastAsia="Arial" w:hAnsi="Arial"/>
          <w:sz w:val="14"/>
          <w:szCs w:val="14"/>
          <w:u w:val="single" w:color="auto"/>
          <w:color w:val="auto"/>
        </w:rPr>
        <w:t>multiplied by</w:t>
      </w:r>
      <w:r>
        <w:rPr>
          <w:rFonts w:ascii="Arial" w:cs="Arial" w:eastAsia="Arial" w:hAnsi="Arial"/>
          <w:sz w:val="14"/>
          <w:szCs w:val="14"/>
          <w:color w:val="auto"/>
        </w:rPr>
        <w:t xml:space="preserve"> (ii) the Statutory Reserve Rate for such Interest Period and (b) for the Interest Period for any Eurocurrency Borrowing denominated in a Non-LIBO Quoted Currency, an interest rate per annum (rounded upwards, if necessary, to the next 1/16 of 1%) equal to the LIBO Rate for such Interest Period.</w:t>
      </w:r>
    </w:p>
    <w:p>
      <w:pPr>
        <w:spacing w:after="0" w:line="185" w:lineRule="exact"/>
        <w:rPr>
          <w:sz w:val="20"/>
          <w:szCs w:val="20"/>
          <w:color w:val="auto"/>
        </w:rPr>
      </w:pPr>
    </w:p>
    <w:p>
      <w:pPr>
        <w:ind w:left="1740"/>
        <w:spacing w:after="0"/>
        <w:rPr>
          <w:sz w:val="20"/>
          <w:szCs w:val="20"/>
          <w:color w:val="auto"/>
        </w:rPr>
      </w:pPr>
      <w:r>
        <w:rPr>
          <w:rFonts w:ascii="Arial" w:cs="Arial" w:eastAsia="Arial" w:hAnsi="Arial"/>
          <w:sz w:val="14"/>
          <w:szCs w:val="14"/>
          <w:color w:val="auto"/>
        </w:rPr>
        <w:t>“</w:t>
      </w:r>
      <w:r>
        <w:rPr>
          <w:rFonts w:ascii="Arial" w:cs="Arial" w:eastAsia="Arial" w:hAnsi="Arial"/>
          <w:sz w:val="14"/>
          <w:szCs w:val="14"/>
          <w:u w:val="single" w:color="auto"/>
          <w:color w:val="auto"/>
        </w:rPr>
        <w:t>Administrative Agent</w:t>
      </w:r>
      <w:r>
        <w:rPr>
          <w:rFonts w:ascii="Arial" w:cs="Arial" w:eastAsia="Arial" w:hAnsi="Arial"/>
          <w:sz w:val="14"/>
          <w:szCs w:val="14"/>
          <w:color w:val="auto"/>
        </w:rPr>
        <w:t>” means SunTrust, in its capacity as administrative agent for the Lenders hereunder.</w:t>
      </w:r>
    </w:p>
    <w:p>
      <w:pPr>
        <w:spacing w:after="0" w:line="204" w:lineRule="exact"/>
        <w:rPr>
          <w:sz w:val="20"/>
          <w:szCs w:val="20"/>
          <w:color w:val="auto"/>
        </w:rPr>
      </w:pPr>
    </w:p>
    <w:p>
      <w:pPr>
        <w:ind w:left="1740"/>
        <w:spacing w:after="0"/>
        <w:rPr>
          <w:sz w:val="20"/>
          <w:szCs w:val="20"/>
          <w:color w:val="auto"/>
        </w:rPr>
      </w:pPr>
      <w:r>
        <w:rPr>
          <w:rFonts w:ascii="Arial" w:cs="Arial" w:eastAsia="Arial" w:hAnsi="Arial"/>
          <w:sz w:val="14"/>
          <w:szCs w:val="14"/>
          <w:color w:val="auto"/>
        </w:rPr>
        <w:t>“</w:t>
      </w:r>
      <w:r>
        <w:rPr>
          <w:rFonts w:ascii="Arial" w:cs="Arial" w:eastAsia="Arial" w:hAnsi="Arial"/>
          <w:sz w:val="14"/>
          <w:szCs w:val="14"/>
          <w:u w:val="single" w:color="auto"/>
          <w:color w:val="auto"/>
        </w:rPr>
        <w:t>Administrative Agent Appraisal Testing Month</w:t>
      </w:r>
      <w:r>
        <w:rPr>
          <w:rFonts w:ascii="Arial" w:cs="Arial" w:eastAsia="Arial" w:hAnsi="Arial"/>
          <w:sz w:val="14"/>
          <w:szCs w:val="14"/>
          <w:color w:val="auto"/>
        </w:rPr>
        <w:t xml:space="preserve">” has the meaning assigned to such term in </w:t>
      </w:r>
      <w:r>
        <w:rPr>
          <w:rFonts w:ascii="Arial" w:cs="Arial" w:eastAsia="Arial" w:hAnsi="Arial"/>
          <w:sz w:val="14"/>
          <w:szCs w:val="14"/>
          <w:u w:val="single" w:color="auto"/>
          <w:color w:val="auto"/>
        </w:rPr>
        <w:t>Section 5.12(b)(ii)(E)(y)</w:t>
      </w:r>
      <w:r>
        <w:rPr>
          <w:rFonts w:ascii="Arial" w:cs="Arial" w:eastAsia="Arial" w:hAnsi="Arial"/>
          <w:sz w:val="14"/>
          <w:szCs w:val="14"/>
          <w:color w:val="auto"/>
        </w:rPr>
        <w:t>.</w:t>
      </w:r>
    </w:p>
    <w:p>
      <w:pPr>
        <w:spacing w:after="0" w:line="204" w:lineRule="exact"/>
        <w:rPr>
          <w:sz w:val="20"/>
          <w:szCs w:val="20"/>
          <w:color w:val="auto"/>
        </w:rPr>
      </w:pPr>
    </w:p>
    <w:p>
      <w:pPr>
        <w:ind w:left="1740"/>
        <w:spacing w:after="0"/>
        <w:rPr>
          <w:sz w:val="20"/>
          <w:szCs w:val="20"/>
          <w:color w:val="auto"/>
        </w:rPr>
      </w:pPr>
      <w:r>
        <w:rPr>
          <w:rFonts w:ascii="Arial" w:cs="Arial" w:eastAsia="Arial" w:hAnsi="Arial"/>
          <w:sz w:val="13"/>
          <w:szCs w:val="13"/>
          <w:color w:val="auto"/>
        </w:rPr>
        <w:t>“</w:t>
      </w:r>
      <w:r>
        <w:rPr>
          <w:rFonts w:ascii="Arial" w:cs="Arial" w:eastAsia="Arial" w:hAnsi="Arial"/>
          <w:sz w:val="13"/>
          <w:szCs w:val="13"/>
          <w:u w:val="single" w:color="auto"/>
          <w:color w:val="auto"/>
        </w:rPr>
        <w:t>Administrative Agent’s Account</w:t>
      </w:r>
      <w:r>
        <w:rPr>
          <w:rFonts w:ascii="Arial" w:cs="Arial" w:eastAsia="Arial" w:hAnsi="Arial"/>
          <w:sz w:val="13"/>
          <w:szCs w:val="13"/>
          <w:color w:val="auto"/>
        </w:rPr>
        <w:t>” means, for each Currency, an account in respect of such Currency designated by the Administrative Agent in a notice to the</w:t>
      </w:r>
    </w:p>
    <w:p>
      <w:pPr>
        <w:spacing w:after="0" w:line="11" w:lineRule="exact"/>
        <w:rPr>
          <w:sz w:val="20"/>
          <w:szCs w:val="20"/>
          <w:color w:val="auto"/>
        </w:rPr>
      </w:pPr>
    </w:p>
    <w:p>
      <w:pPr>
        <w:spacing w:after="0"/>
        <w:rPr>
          <w:sz w:val="20"/>
          <w:szCs w:val="20"/>
          <w:color w:val="auto"/>
        </w:rPr>
      </w:pPr>
      <w:r>
        <w:rPr>
          <w:rFonts w:ascii="Arial" w:cs="Arial" w:eastAsia="Arial" w:hAnsi="Arial"/>
          <w:sz w:val="14"/>
          <w:szCs w:val="14"/>
          <w:color w:val="auto"/>
        </w:rPr>
        <w:t>Borrower and the Lenders.</w:t>
      </w:r>
    </w:p>
    <w:p>
      <w:pPr>
        <w:spacing w:after="0" w:line="192" w:lineRule="exact"/>
        <w:rPr>
          <w:sz w:val="20"/>
          <w:szCs w:val="20"/>
          <w:color w:val="auto"/>
        </w:rPr>
      </w:pPr>
    </w:p>
    <w:p>
      <w:pPr>
        <w:ind w:left="1740"/>
        <w:spacing w:after="0"/>
        <w:rPr>
          <w:sz w:val="20"/>
          <w:szCs w:val="20"/>
          <w:color w:val="auto"/>
        </w:rPr>
      </w:pPr>
      <w:r>
        <w:rPr>
          <w:rFonts w:ascii="Arial" w:cs="Arial" w:eastAsia="Arial" w:hAnsi="Arial"/>
          <w:sz w:val="14"/>
          <w:szCs w:val="14"/>
          <w:color w:val="auto"/>
        </w:rPr>
        <w:t>“</w:t>
      </w:r>
      <w:r>
        <w:rPr>
          <w:rFonts w:ascii="Arial" w:cs="Arial" w:eastAsia="Arial" w:hAnsi="Arial"/>
          <w:sz w:val="14"/>
          <w:szCs w:val="14"/>
          <w:u w:val="single" w:color="auto"/>
          <w:color w:val="auto"/>
        </w:rPr>
        <w:t>Administrative Questionnaire</w:t>
      </w:r>
      <w:r>
        <w:rPr>
          <w:rFonts w:ascii="Arial" w:cs="Arial" w:eastAsia="Arial" w:hAnsi="Arial"/>
          <w:sz w:val="14"/>
          <w:szCs w:val="14"/>
          <w:color w:val="auto"/>
        </w:rPr>
        <w:t>” means an administrative questionnaire in a form supplied by the Administrative Agent.</w:t>
      </w:r>
    </w:p>
    <w:p>
      <w:pPr>
        <w:spacing w:after="0" w:line="204" w:lineRule="exact"/>
        <w:rPr>
          <w:sz w:val="20"/>
          <w:szCs w:val="20"/>
          <w:color w:val="auto"/>
        </w:rPr>
      </w:pPr>
    </w:p>
    <w:p>
      <w:pPr>
        <w:ind w:left="1740"/>
        <w:spacing w:after="0"/>
        <w:rPr>
          <w:sz w:val="20"/>
          <w:szCs w:val="20"/>
          <w:color w:val="auto"/>
        </w:rPr>
      </w:pPr>
      <w:r>
        <w:rPr>
          <w:rFonts w:ascii="Arial" w:cs="Arial" w:eastAsia="Arial" w:hAnsi="Arial"/>
          <w:sz w:val="14"/>
          <w:szCs w:val="14"/>
          <w:color w:val="auto"/>
        </w:rPr>
        <w:t>“</w:t>
      </w:r>
      <w:r>
        <w:rPr>
          <w:rFonts w:ascii="Arial" w:cs="Arial" w:eastAsia="Arial" w:hAnsi="Arial"/>
          <w:sz w:val="14"/>
          <w:szCs w:val="14"/>
          <w:u w:val="single" w:color="auto"/>
          <w:color w:val="auto"/>
        </w:rPr>
        <w:t>Advance Rate</w:t>
      </w:r>
      <w:r>
        <w:rPr>
          <w:rFonts w:ascii="Arial" w:cs="Arial" w:eastAsia="Arial" w:hAnsi="Arial"/>
          <w:sz w:val="14"/>
          <w:szCs w:val="14"/>
          <w:color w:val="auto"/>
        </w:rPr>
        <w:t xml:space="preserve">” has the meaning assigned to such term in </w:t>
      </w:r>
      <w:r>
        <w:rPr>
          <w:rFonts w:ascii="Arial" w:cs="Arial" w:eastAsia="Arial" w:hAnsi="Arial"/>
          <w:sz w:val="14"/>
          <w:szCs w:val="14"/>
          <w:u w:val="single" w:color="auto"/>
          <w:color w:val="auto"/>
        </w:rPr>
        <w:t>Section 5.13</w:t>
      </w:r>
      <w:r>
        <w:rPr>
          <w:rFonts w:ascii="Arial" w:cs="Arial" w:eastAsia="Arial" w:hAnsi="Arial"/>
          <w:sz w:val="14"/>
          <w:szCs w:val="14"/>
          <w:color w:val="auto"/>
        </w:rPr>
        <w:t>.</w:t>
      </w:r>
    </w:p>
    <w:p>
      <w:pPr>
        <w:spacing w:after="0" w:line="204" w:lineRule="exact"/>
        <w:rPr>
          <w:sz w:val="20"/>
          <w:szCs w:val="20"/>
          <w:color w:val="auto"/>
        </w:rPr>
      </w:pPr>
    </w:p>
    <w:p>
      <w:pPr>
        <w:ind w:left="1740"/>
        <w:spacing w:after="0"/>
        <w:rPr>
          <w:sz w:val="20"/>
          <w:szCs w:val="20"/>
          <w:color w:val="auto"/>
        </w:rPr>
      </w:pPr>
      <w:r>
        <w:rPr>
          <w:rFonts w:ascii="Arial" w:cs="Arial" w:eastAsia="Arial" w:hAnsi="Arial"/>
          <w:sz w:val="14"/>
          <w:szCs w:val="14"/>
          <w:color w:val="auto"/>
        </w:rPr>
        <w:t>“</w:t>
      </w:r>
      <w:r>
        <w:rPr>
          <w:rFonts w:ascii="Arial" w:cs="Arial" w:eastAsia="Arial" w:hAnsi="Arial"/>
          <w:sz w:val="14"/>
          <w:szCs w:val="14"/>
          <w:u w:val="single" w:color="auto"/>
          <w:color w:val="auto"/>
        </w:rPr>
        <w:t>Affected Currency</w:t>
      </w:r>
      <w:r>
        <w:rPr>
          <w:rFonts w:ascii="Arial" w:cs="Arial" w:eastAsia="Arial" w:hAnsi="Arial"/>
          <w:sz w:val="14"/>
          <w:szCs w:val="14"/>
          <w:color w:val="auto"/>
        </w:rPr>
        <w:t xml:space="preserve">” has the meaning assigned to such term in </w:t>
      </w:r>
      <w:r>
        <w:rPr>
          <w:rFonts w:ascii="Arial" w:cs="Arial" w:eastAsia="Arial" w:hAnsi="Arial"/>
          <w:sz w:val="14"/>
          <w:szCs w:val="14"/>
          <w:u w:val="single" w:color="auto"/>
          <w:color w:val="auto"/>
        </w:rPr>
        <w:t>Section 2.13</w:t>
      </w:r>
      <w:r>
        <w:rPr>
          <w:rFonts w:ascii="Arial" w:cs="Arial" w:eastAsia="Arial" w:hAnsi="Arial"/>
          <w:sz w:val="14"/>
          <w:szCs w:val="14"/>
          <w:color w:val="auto"/>
        </w:rPr>
        <w:t>.</w:t>
      </w: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jc w:val="right"/>
        <w:spacing w:after="0"/>
        <w:rPr>
          <w:sz w:val="20"/>
          <w:szCs w:val="20"/>
          <w:color w:val="auto"/>
        </w:rPr>
      </w:pPr>
      <w:r>
        <w:rPr>
          <w:rFonts w:ascii="Arial" w:cs="Arial" w:eastAsia="Arial" w:hAnsi="Arial"/>
          <w:sz w:val="14"/>
          <w:szCs w:val="14"/>
          <w:i w:val="1"/>
          <w:iCs w:val="1"/>
          <w:color w:val="auto"/>
        </w:rPr>
        <w:t>Second Amended and Restated</w:t>
      </w:r>
    </w:p>
    <w:p>
      <w:pPr>
        <w:jc w:val="right"/>
        <w:spacing w:after="0"/>
        <w:rPr>
          <w:sz w:val="20"/>
          <w:szCs w:val="20"/>
          <w:color w:val="auto"/>
        </w:rPr>
      </w:pPr>
      <w:r>
        <w:rPr>
          <w:rFonts w:ascii="Arial" w:cs="Arial" w:eastAsia="Arial" w:hAnsi="Arial"/>
          <w:sz w:val="14"/>
          <w:szCs w:val="14"/>
          <w:i w:val="1"/>
          <w:iCs w:val="1"/>
          <w:color w:val="auto"/>
        </w:rPr>
        <w:t>Revolving Credit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201930</wp:posOffset>
            </wp:positionV>
            <wp:extent cx="7149465" cy="17145"/>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64" w:name="page65"/>
    <w:bookmarkEnd w:id="64"/>
    <w:p>
      <w:pPr>
        <w:jc w:val="both"/>
        <w:ind w:right="20" w:firstLine="1727"/>
        <w:spacing w:after="0" w:line="238" w:lineRule="auto"/>
        <w:rPr>
          <w:sz w:val="20"/>
          <w:szCs w:val="20"/>
          <w:color w:val="auto"/>
        </w:rPr>
      </w:pPr>
      <w:r>
        <w:rPr>
          <w:rFonts w:ascii="Arial" w:cs="Arial" w:eastAsia="Arial" w:hAnsi="Arial"/>
          <w:sz w:val="14"/>
          <w:szCs w:val="14"/>
          <w:color w:val="auto"/>
        </w:rPr>
        <w:t>“</w:t>
      </w:r>
      <w:r>
        <w:rPr>
          <w:rFonts w:ascii="Arial" w:cs="Arial" w:eastAsia="Arial" w:hAnsi="Arial"/>
          <w:sz w:val="14"/>
          <w:szCs w:val="14"/>
          <w:u w:val="single" w:color="auto"/>
          <w:color w:val="auto"/>
        </w:rPr>
        <w:t>Affiliate</w:t>
      </w:r>
      <w:r>
        <w:rPr>
          <w:rFonts w:ascii="Arial" w:cs="Arial" w:eastAsia="Arial" w:hAnsi="Arial"/>
          <w:sz w:val="14"/>
          <w:szCs w:val="14"/>
          <w:color w:val="auto"/>
        </w:rPr>
        <w:t>” means, with respect to a specified Person, another Person that directly, or indirectly through one or more intermediaries, Controls or is Controlled by or is under common Control with the Person specified. Anything herein to the contrary notwithstanding, the term “Affiliate” shall not include any Person that constitutes an Investment held by any Obligor in the ordinary course of business.</w:t>
      </w:r>
    </w:p>
    <w:p>
      <w:pPr>
        <w:spacing w:after="0" w:line="183" w:lineRule="exact"/>
        <w:rPr>
          <w:sz w:val="20"/>
          <w:szCs w:val="20"/>
          <w:color w:val="auto"/>
        </w:rPr>
      </w:pPr>
    </w:p>
    <w:p>
      <w:pPr>
        <w:jc w:val="both"/>
        <w:ind w:right="20" w:firstLine="1727"/>
        <w:spacing w:after="0" w:line="248" w:lineRule="auto"/>
        <w:rPr>
          <w:sz w:val="20"/>
          <w:szCs w:val="20"/>
          <w:color w:val="auto"/>
        </w:rPr>
      </w:pPr>
      <w:r>
        <w:rPr>
          <w:rFonts w:ascii="Arial" w:cs="Arial" w:eastAsia="Arial" w:hAnsi="Arial"/>
          <w:sz w:val="13"/>
          <w:szCs w:val="13"/>
          <w:color w:val="auto"/>
        </w:rPr>
        <w:t>“</w:t>
      </w:r>
      <w:r>
        <w:rPr>
          <w:rFonts w:ascii="Arial" w:cs="Arial" w:eastAsia="Arial" w:hAnsi="Arial"/>
          <w:sz w:val="13"/>
          <w:szCs w:val="13"/>
          <w:u w:val="single" w:color="auto"/>
          <w:color w:val="auto"/>
        </w:rPr>
        <w:t>Affiliate Agreements</w:t>
      </w:r>
      <w:r>
        <w:rPr>
          <w:rFonts w:ascii="Arial" w:cs="Arial" w:eastAsia="Arial" w:hAnsi="Arial"/>
          <w:sz w:val="13"/>
          <w:szCs w:val="13"/>
          <w:color w:val="auto"/>
        </w:rPr>
        <w:t>” means, collectively, (a) the Administration Agreement dated June 11, 2010 by and among the Borrower, PennantPark SBIC LP and PennantPark SBIC GP, LLC, (b) the Investment Advisory Agreement dated June 11, 2010 by and among the Borrower, PennantPark SBIC LP and PennantPark SBIC GP, LLC, (c) the Investment Advisory Management Agreement dated as of April 17, 2007, between the Borrower and Pennant Investment Advisers, LLC, (d) the Administration Agreement dated as of April 17, 2007, between the Borrower and PennantPark Investment Administration, LLC, (e) the Trademark License Agreement dated as of April 15, 2007, between the Borrower and Pennant Investment Advisers, LLC, (f) the Administration Agreement, dated December 28, 2012, by and among the Borrower, PennantPark SBIC II LP and PennantPark SBIC GP II, LLC and (g) the Investment Advisory Agreement, dated December 28, 2012, by and among the Borrower, PennantPark SBIC II LP and PennantPark SBIC GP II, LLC.</w:t>
      </w:r>
    </w:p>
    <w:p>
      <w:pPr>
        <w:spacing w:after="0" w:line="180" w:lineRule="exact"/>
        <w:rPr>
          <w:sz w:val="20"/>
          <w:szCs w:val="20"/>
          <w:color w:val="auto"/>
        </w:rPr>
      </w:pPr>
    </w:p>
    <w:p>
      <w:pPr>
        <w:jc w:val="both"/>
        <w:ind w:right="20" w:firstLine="1727"/>
        <w:spacing w:after="0" w:line="248" w:lineRule="auto"/>
        <w:rPr>
          <w:sz w:val="20"/>
          <w:szCs w:val="20"/>
          <w:color w:val="auto"/>
        </w:rPr>
      </w:pPr>
      <w:r>
        <w:rPr>
          <w:rFonts w:ascii="Arial" w:cs="Arial" w:eastAsia="Arial" w:hAnsi="Arial"/>
          <w:sz w:val="13"/>
          <w:szCs w:val="13"/>
          <w:color w:val="auto"/>
        </w:rPr>
        <w:t>“</w:t>
      </w:r>
      <w:r>
        <w:rPr>
          <w:rFonts w:ascii="Arial" w:cs="Arial" w:eastAsia="Arial" w:hAnsi="Arial"/>
          <w:sz w:val="13"/>
          <w:szCs w:val="13"/>
          <w:u w:val="single" w:color="auto"/>
          <w:color w:val="auto"/>
        </w:rPr>
        <w:t>Agreed Foreign Currency</w:t>
      </w:r>
      <w:r>
        <w:rPr>
          <w:rFonts w:ascii="Arial" w:cs="Arial" w:eastAsia="Arial" w:hAnsi="Arial"/>
          <w:sz w:val="13"/>
          <w:szCs w:val="13"/>
          <w:color w:val="auto"/>
        </w:rPr>
        <w:t>” means, at any time, (i) any of Canadian Dollars, English Pounds Sterling, Euros, Japanese Yen, Australian Dollars, Swiss Franc, Swedish Krona and New Zealand Dollars and (ii) with the agreement of each Multicurrency Lender, any other Foreign Currency, so long as, in respect of any such specified Foreign Currency or other Foreign Currency, at such time (a) such Foreign Currency is dealt with in the London interbank deposit market, (b) such Foreign Currency is freely transferable and convertible into Dollars in the London foreign exchange market and (c) no central bank or other governmental authorization in the country of issue of such Foreign Currency (including, in the case of the Euro, any authorization by the European Central Bank) is required to permit use of such Foreign Currency by any Multicurrency Lender for making any Loan hereunder and/or to permit the Borrower to borrow and repay the principal thereof and to pay the interest thereon, unless such authorization has been obtained and is in full force and effect.</w:t>
      </w:r>
    </w:p>
    <w:p>
      <w:pPr>
        <w:spacing w:after="0" w:line="180" w:lineRule="exact"/>
        <w:rPr>
          <w:sz w:val="20"/>
          <w:szCs w:val="20"/>
          <w:color w:val="auto"/>
        </w:rPr>
      </w:pPr>
    </w:p>
    <w:p>
      <w:pPr>
        <w:ind w:left="1740"/>
        <w:spacing w:after="0"/>
        <w:rPr>
          <w:sz w:val="20"/>
          <w:szCs w:val="20"/>
          <w:color w:val="auto"/>
        </w:rPr>
      </w:pPr>
      <w:r>
        <w:rPr>
          <w:rFonts w:ascii="Arial" w:cs="Arial" w:eastAsia="Arial" w:hAnsi="Arial"/>
          <w:sz w:val="14"/>
          <w:szCs w:val="14"/>
          <w:color w:val="auto"/>
        </w:rPr>
        <w:t>“</w:t>
      </w:r>
      <w:r>
        <w:rPr>
          <w:rFonts w:ascii="Arial" w:cs="Arial" w:eastAsia="Arial" w:hAnsi="Arial"/>
          <w:sz w:val="14"/>
          <w:szCs w:val="14"/>
          <w:u w:val="single" w:color="auto"/>
          <w:color w:val="auto"/>
        </w:rPr>
        <w:t>Agreement</w:t>
      </w:r>
      <w:r>
        <w:rPr>
          <w:rFonts w:ascii="Arial" w:cs="Arial" w:eastAsia="Arial" w:hAnsi="Arial"/>
          <w:sz w:val="14"/>
          <w:szCs w:val="14"/>
          <w:color w:val="auto"/>
        </w:rPr>
        <w:t xml:space="preserve">” has the meaning assigned to such term in the </w:t>
      </w:r>
      <w:r>
        <w:rPr>
          <w:rFonts w:ascii="Arial" w:cs="Arial" w:eastAsia="Arial" w:hAnsi="Arial"/>
          <w:sz w:val="14"/>
          <w:szCs w:val="14"/>
          <w:u w:val="single" w:color="auto"/>
          <w:color w:val="auto"/>
        </w:rPr>
        <w:t>preamble</w:t>
      </w:r>
      <w:r>
        <w:rPr>
          <w:rFonts w:ascii="Arial" w:cs="Arial" w:eastAsia="Arial" w:hAnsi="Arial"/>
          <w:sz w:val="14"/>
          <w:szCs w:val="14"/>
          <w:color w:val="auto"/>
        </w:rPr>
        <w:t xml:space="preserve"> to this Agreement</w:t>
      </w:r>
    </w:p>
    <w:p>
      <w:pPr>
        <w:spacing w:after="0" w:line="204" w:lineRule="exact"/>
        <w:rPr>
          <w:sz w:val="20"/>
          <w:szCs w:val="20"/>
          <w:color w:val="auto"/>
        </w:rPr>
      </w:pPr>
    </w:p>
    <w:p>
      <w:pPr>
        <w:jc w:val="both"/>
        <w:ind w:right="20" w:firstLine="1727"/>
        <w:spacing w:after="0" w:line="227" w:lineRule="auto"/>
        <w:rPr>
          <w:sz w:val="20"/>
          <w:szCs w:val="20"/>
          <w:color w:val="auto"/>
        </w:rPr>
      </w:pPr>
      <w:r>
        <w:rPr>
          <w:rFonts w:ascii="Arial" w:cs="Arial" w:eastAsia="Arial" w:hAnsi="Arial"/>
          <w:sz w:val="14"/>
          <w:szCs w:val="14"/>
          <w:color w:val="auto"/>
        </w:rPr>
        <w:t>“</w:t>
      </w:r>
      <w:r>
        <w:rPr>
          <w:rFonts w:ascii="Arial" w:cs="Arial" w:eastAsia="Arial" w:hAnsi="Arial"/>
          <w:sz w:val="14"/>
          <w:szCs w:val="14"/>
          <w:u w:val="single" w:color="auto"/>
          <w:color w:val="auto"/>
        </w:rPr>
        <w:t>Alternate Base Rate</w:t>
      </w:r>
      <w:r>
        <w:rPr>
          <w:rFonts w:ascii="Arial" w:cs="Arial" w:eastAsia="Arial" w:hAnsi="Arial"/>
          <w:sz w:val="14"/>
          <w:szCs w:val="14"/>
          <w:color w:val="auto"/>
        </w:rPr>
        <w:t xml:space="preserve">” means, for any day, a rate per annum equal to the greatest of (a) the Prime Rate in effect on such day, (b) the Federal Funds Effective Rate for such day </w:t>
      </w:r>
      <w:r>
        <w:rPr>
          <w:rFonts w:ascii="Arial" w:cs="Arial" w:eastAsia="Arial" w:hAnsi="Arial"/>
          <w:sz w:val="14"/>
          <w:szCs w:val="14"/>
          <w:u w:val="single" w:color="auto"/>
          <w:color w:val="auto"/>
        </w:rPr>
        <w:t>plus</w:t>
      </w:r>
      <w:r>
        <w:rPr>
          <w:rFonts w:ascii="Arial" w:cs="Arial" w:eastAsia="Arial" w:hAnsi="Arial"/>
          <w:sz w:val="14"/>
          <w:szCs w:val="14"/>
          <w:color w:val="auto"/>
        </w:rPr>
        <w:t xml:space="preserve"> 1/2 of 1% and (c) the rate per annum equal to 1% </w:t>
      </w:r>
      <w:r>
        <w:rPr>
          <w:rFonts w:ascii="Arial" w:cs="Arial" w:eastAsia="Arial" w:hAnsi="Arial"/>
          <w:sz w:val="14"/>
          <w:szCs w:val="14"/>
          <w:u w:val="single" w:color="auto"/>
          <w:color w:val="auto"/>
        </w:rPr>
        <w:t>plus</w:t>
      </w:r>
      <w:r>
        <w:rPr>
          <w:rFonts w:ascii="Arial" w:cs="Arial" w:eastAsia="Arial" w:hAnsi="Arial"/>
          <w:sz w:val="14"/>
          <w:szCs w:val="14"/>
          <w:color w:val="auto"/>
        </w:rPr>
        <w:t xml:space="preserve"> the rate as displayed in the Bloomberg Financial Markets System (or on any successor or substitute page of such service, or any successor to such service, providing rate quotations comparable to those currently provided on such page of such service, as determined by the Administrative Agent in its reasonable discretion from time to time for purposes of providing quotations of interest rates applicable to Dollar deposits in the London interbank market) at approximately 11:00 a.m., London time, on such day (or, if such day is not a Business Day, the immediately preceding Business Day), for Dollar deposits with a term of one month. Any change in the Alternate Base Rate due to a change in the Prime Rate, the Federal Funds Effective Rate or the rate as displayed in the Bloomberg Financial Markets System (or successor therefor) as set forth above shall be effective from and including the effective date of such change in the Prime Rate, the Federal Funds Effective Rate or such rate as displayed in the Bloomberg Financial Markets System (or successor therefor), respectively.</w:t>
      </w:r>
    </w:p>
    <w:p>
      <w:pPr>
        <w:spacing w:after="0" w:line="186" w:lineRule="exact"/>
        <w:rPr>
          <w:sz w:val="20"/>
          <w:szCs w:val="20"/>
          <w:color w:val="auto"/>
        </w:rPr>
      </w:pPr>
    </w:p>
    <w:p>
      <w:pPr>
        <w:ind w:left="1740"/>
        <w:spacing w:after="0"/>
        <w:rPr>
          <w:sz w:val="20"/>
          <w:szCs w:val="20"/>
          <w:color w:val="auto"/>
        </w:rPr>
      </w:pPr>
      <w:r>
        <w:rPr>
          <w:rFonts w:ascii="Arial" w:cs="Arial" w:eastAsia="Arial" w:hAnsi="Arial"/>
          <w:sz w:val="14"/>
          <w:szCs w:val="14"/>
          <w:color w:val="auto"/>
        </w:rPr>
        <w:t>“</w:t>
      </w:r>
      <w:r>
        <w:rPr>
          <w:rFonts w:ascii="Arial" w:cs="Arial" w:eastAsia="Arial" w:hAnsi="Arial"/>
          <w:sz w:val="14"/>
          <w:szCs w:val="14"/>
          <w:u w:val="single" w:color="auto"/>
          <w:color w:val="auto"/>
        </w:rPr>
        <w:t>Anti-Corruption Laws</w:t>
      </w:r>
      <w:r>
        <w:rPr>
          <w:rFonts w:ascii="Arial" w:cs="Arial" w:eastAsia="Arial" w:hAnsi="Arial"/>
          <w:sz w:val="14"/>
          <w:szCs w:val="14"/>
          <w:color w:val="auto"/>
        </w:rPr>
        <w:t xml:space="preserve">” has the meaning assigned to such term in </w:t>
      </w:r>
      <w:r>
        <w:rPr>
          <w:rFonts w:ascii="Arial" w:cs="Arial" w:eastAsia="Arial" w:hAnsi="Arial"/>
          <w:sz w:val="14"/>
          <w:szCs w:val="14"/>
          <w:u w:val="single" w:color="auto"/>
          <w:color w:val="auto"/>
        </w:rPr>
        <w:t>Section 3.15</w:t>
      </w:r>
      <w:r>
        <w:rPr>
          <w:rFonts w:ascii="Arial" w:cs="Arial" w:eastAsia="Arial" w:hAnsi="Arial"/>
          <w:sz w:val="14"/>
          <w:szCs w:val="14"/>
          <w:color w:val="auto"/>
        </w:rPr>
        <w:t>.</w:t>
      </w:r>
    </w:p>
    <w:p>
      <w:pPr>
        <w:spacing w:after="0" w:line="204" w:lineRule="exact"/>
        <w:rPr>
          <w:sz w:val="20"/>
          <w:szCs w:val="20"/>
          <w:color w:val="auto"/>
        </w:rPr>
      </w:pPr>
    </w:p>
    <w:p>
      <w:pPr>
        <w:jc w:val="both"/>
        <w:ind w:right="20" w:firstLine="1727"/>
        <w:spacing w:after="0" w:line="238" w:lineRule="auto"/>
        <w:rPr>
          <w:sz w:val="20"/>
          <w:szCs w:val="20"/>
          <w:color w:val="auto"/>
        </w:rPr>
      </w:pPr>
      <w:r>
        <w:rPr>
          <w:rFonts w:ascii="Arial" w:cs="Arial" w:eastAsia="Arial" w:hAnsi="Arial"/>
          <w:sz w:val="14"/>
          <w:szCs w:val="14"/>
          <w:color w:val="auto"/>
        </w:rPr>
        <w:t>“</w:t>
      </w:r>
      <w:r>
        <w:rPr>
          <w:rFonts w:ascii="Arial" w:cs="Arial" w:eastAsia="Arial" w:hAnsi="Arial"/>
          <w:sz w:val="14"/>
          <w:szCs w:val="14"/>
          <w:u w:val="single" w:color="auto"/>
          <w:color w:val="auto"/>
        </w:rPr>
        <w:t>Applicable Dollar Percentage</w:t>
      </w:r>
      <w:r>
        <w:rPr>
          <w:rFonts w:ascii="Arial" w:cs="Arial" w:eastAsia="Arial" w:hAnsi="Arial"/>
          <w:sz w:val="14"/>
          <w:szCs w:val="14"/>
          <w:color w:val="auto"/>
        </w:rPr>
        <w:t>” means, with respect to any Dollar Lender, the percentage of the total Dollar Commitments represented by such Dollar Lender’s Dollar Commitment. If the Dollar Commitments have terminated or expired, the Applicable Dollar Percentages shall be determined based upon the Dollar Commitments most recently in effect, giving effect to any assignments.</w:t>
      </w:r>
    </w:p>
    <w:p>
      <w:pPr>
        <w:spacing w:after="0" w:line="183" w:lineRule="exact"/>
        <w:rPr>
          <w:sz w:val="20"/>
          <w:szCs w:val="20"/>
          <w:color w:val="auto"/>
        </w:rPr>
      </w:pPr>
    </w:p>
    <w:p>
      <w:pPr>
        <w:jc w:val="both"/>
        <w:ind w:right="20" w:firstLine="1727"/>
        <w:spacing w:after="0" w:line="233" w:lineRule="auto"/>
        <w:rPr>
          <w:sz w:val="20"/>
          <w:szCs w:val="20"/>
          <w:color w:val="auto"/>
        </w:rPr>
      </w:pPr>
      <w:r>
        <w:rPr>
          <w:rFonts w:ascii="Arial" w:cs="Arial" w:eastAsia="Arial" w:hAnsi="Arial"/>
          <w:sz w:val="14"/>
          <w:szCs w:val="14"/>
          <w:color w:val="auto"/>
        </w:rPr>
        <w:t>“</w:t>
      </w:r>
      <w:r>
        <w:rPr>
          <w:rFonts w:ascii="Arial" w:cs="Arial" w:eastAsia="Arial" w:hAnsi="Arial"/>
          <w:sz w:val="14"/>
          <w:szCs w:val="14"/>
          <w:u w:val="single" w:color="auto"/>
          <w:color w:val="auto"/>
        </w:rPr>
        <w:t>Applicable Financial Statements</w:t>
      </w:r>
      <w:r>
        <w:rPr>
          <w:rFonts w:ascii="Arial" w:cs="Arial" w:eastAsia="Arial" w:hAnsi="Arial"/>
          <w:sz w:val="14"/>
          <w:szCs w:val="14"/>
          <w:color w:val="auto"/>
        </w:rPr>
        <w:t xml:space="preserve">” means, as at any date, the most-recent audited financial statements of the Borrower delivered to the Lenders; </w:t>
      </w:r>
      <w:r>
        <w:rPr>
          <w:rFonts w:ascii="Arial" w:cs="Arial" w:eastAsia="Arial" w:hAnsi="Arial"/>
          <w:sz w:val="14"/>
          <w:szCs w:val="14"/>
          <w:u w:val="single" w:color="auto"/>
          <w:color w:val="auto"/>
        </w:rPr>
        <w:t>provided</w:t>
      </w:r>
      <w:r>
        <w:rPr>
          <w:rFonts w:ascii="Arial" w:cs="Arial" w:eastAsia="Arial" w:hAnsi="Arial"/>
          <w:sz w:val="14"/>
          <w:szCs w:val="14"/>
          <w:color w:val="auto"/>
        </w:rPr>
        <w:t xml:space="preserve"> that if immediately prior to the delivery to the Lenders of new audited financial statements of the Borrower a Material Adverse Change (the “</w:t>
      </w:r>
      <w:r>
        <w:rPr>
          <w:rFonts w:ascii="Arial" w:cs="Arial" w:eastAsia="Arial" w:hAnsi="Arial"/>
          <w:sz w:val="14"/>
          <w:szCs w:val="14"/>
          <w:u w:val="single" w:color="auto"/>
          <w:color w:val="auto"/>
        </w:rPr>
        <w:t>Pre-existing MAC</w:t>
      </w:r>
      <w:r>
        <w:rPr>
          <w:rFonts w:ascii="Arial" w:cs="Arial" w:eastAsia="Arial" w:hAnsi="Arial"/>
          <w:sz w:val="14"/>
          <w:szCs w:val="14"/>
          <w:color w:val="auto"/>
        </w:rPr>
        <w:t>”) shall exist (regardless of when it occurred), then the “Applicable Financial Statements” as at said date means the Applicable Financial Statements in effect immediately prior to such delivery until such time as the Pre-existing MAC shall no longer exist.</w:t>
      </w:r>
    </w:p>
    <w:p>
      <w:pPr>
        <w:spacing w:after="0" w:line="185" w:lineRule="exact"/>
        <w:rPr>
          <w:sz w:val="20"/>
          <w:szCs w:val="20"/>
          <w:color w:val="auto"/>
        </w:rPr>
      </w:pPr>
    </w:p>
    <w:p>
      <w:pPr>
        <w:jc w:val="both"/>
        <w:ind w:right="20" w:firstLine="1727"/>
        <w:spacing w:after="0" w:line="233" w:lineRule="auto"/>
        <w:rPr>
          <w:sz w:val="20"/>
          <w:szCs w:val="20"/>
          <w:color w:val="auto"/>
        </w:rPr>
      </w:pPr>
      <w:r>
        <w:rPr>
          <w:rFonts w:ascii="Arial" w:cs="Arial" w:eastAsia="Arial" w:hAnsi="Arial"/>
          <w:sz w:val="14"/>
          <w:szCs w:val="14"/>
          <w:color w:val="auto"/>
        </w:rPr>
        <w:t>“</w:t>
      </w:r>
      <w:r>
        <w:rPr>
          <w:rFonts w:ascii="Arial" w:cs="Arial" w:eastAsia="Arial" w:hAnsi="Arial"/>
          <w:sz w:val="14"/>
          <w:szCs w:val="14"/>
          <w:u w:val="single" w:color="auto"/>
          <w:color w:val="auto"/>
        </w:rPr>
        <w:t>Applicable Margin</w:t>
      </w:r>
      <w:r>
        <w:rPr>
          <w:rFonts w:ascii="Arial" w:cs="Arial" w:eastAsia="Arial" w:hAnsi="Arial"/>
          <w:sz w:val="14"/>
          <w:szCs w:val="14"/>
          <w:color w:val="auto"/>
        </w:rPr>
        <w:t>” means (a) if the Borrowing Base (as of the most recently delivered Borrowing Base Certificate) is greater than or equal to the product of 1.85 and the Combined Debt Amount, (i) with respect to any ABR Loan, 1.00% per annum and (ii) with respect to any Eurocurrency Loan, 2.00% per annum; and (b) if the Borrowing Base (as of the most recently delivered Borrowing Base Certificate) is less than the product of 1.85 and the Combined Debt Amount, (i) with respect to any ABR Loan, 1.25% per annum and (ii) with respect to any Eurocurrency Loan, 2.25% per annum.</w:t>
      </w:r>
    </w:p>
    <w:p>
      <w:pPr>
        <w:spacing w:after="0" w:line="185" w:lineRule="exact"/>
        <w:rPr>
          <w:sz w:val="20"/>
          <w:szCs w:val="20"/>
          <w:color w:val="auto"/>
        </w:rPr>
      </w:pPr>
    </w:p>
    <w:p>
      <w:pPr>
        <w:jc w:val="both"/>
        <w:ind w:right="20" w:firstLine="1727"/>
        <w:spacing w:after="0" w:line="238" w:lineRule="auto"/>
        <w:rPr>
          <w:sz w:val="20"/>
          <w:szCs w:val="20"/>
          <w:color w:val="auto"/>
        </w:rPr>
      </w:pPr>
      <w:r>
        <w:rPr>
          <w:rFonts w:ascii="Arial" w:cs="Arial" w:eastAsia="Arial" w:hAnsi="Arial"/>
          <w:sz w:val="14"/>
          <w:szCs w:val="14"/>
          <w:color w:val="auto"/>
        </w:rPr>
        <w:t>“</w:t>
      </w:r>
      <w:r>
        <w:rPr>
          <w:rFonts w:ascii="Arial" w:cs="Arial" w:eastAsia="Arial" w:hAnsi="Arial"/>
          <w:sz w:val="14"/>
          <w:szCs w:val="14"/>
          <w:u w:val="single" w:color="auto"/>
          <w:color w:val="auto"/>
        </w:rPr>
        <w:t>Applicable Multicurrency Percentage</w:t>
      </w:r>
      <w:r>
        <w:rPr>
          <w:rFonts w:ascii="Arial" w:cs="Arial" w:eastAsia="Arial" w:hAnsi="Arial"/>
          <w:sz w:val="14"/>
          <w:szCs w:val="14"/>
          <w:color w:val="auto"/>
        </w:rPr>
        <w:t>” means, with respect to any Multicurrency Lender, the percentage of the total Multicurrency Commitments represented by such Multicurrency Lender’s Multicurrency Commitment. If the Multicurrency Commitments have terminated or expired, the Applicable Multicurrency Percentages shall be determined based upon the Multicurrency Commitments most recently in effect, giving effect to any assignments.</w:t>
      </w:r>
    </w:p>
    <w:p>
      <w:pPr>
        <w:spacing w:after="0" w:line="183" w:lineRule="exact"/>
        <w:rPr>
          <w:sz w:val="20"/>
          <w:szCs w:val="20"/>
          <w:color w:val="auto"/>
        </w:rPr>
      </w:pPr>
    </w:p>
    <w:p>
      <w:pPr>
        <w:jc w:val="both"/>
        <w:ind w:right="20" w:firstLine="1727"/>
        <w:spacing w:after="0" w:line="253" w:lineRule="auto"/>
        <w:rPr>
          <w:sz w:val="20"/>
          <w:szCs w:val="20"/>
          <w:color w:val="auto"/>
        </w:rPr>
      </w:pPr>
      <w:r>
        <w:rPr>
          <w:rFonts w:ascii="Arial" w:cs="Arial" w:eastAsia="Arial" w:hAnsi="Arial"/>
          <w:sz w:val="14"/>
          <w:szCs w:val="14"/>
          <w:color w:val="auto"/>
        </w:rPr>
        <w:t>“</w:t>
      </w:r>
      <w:r>
        <w:rPr>
          <w:rFonts w:ascii="Arial" w:cs="Arial" w:eastAsia="Arial" w:hAnsi="Arial"/>
          <w:sz w:val="14"/>
          <w:szCs w:val="14"/>
          <w:u w:val="single" w:color="auto"/>
          <w:color w:val="auto"/>
        </w:rPr>
        <w:t>Applicable Percentage</w:t>
      </w:r>
      <w:r>
        <w:rPr>
          <w:rFonts w:ascii="Arial" w:cs="Arial" w:eastAsia="Arial" w:hAnsi="Arial"/>
          <w:sz w:val="14"/>
          <w:szCs w:val="14"/>
          <w:color w:val="auto"/>
        </w:rPr>
        <w:t>” means, with respect to any Lender, the percentage of the total Commitments represented by such Lender’s Commitments. If the Commitments have terminated or expired, the Applicable Percentages shall be determined based upon the Commitments most recently in effect, giving effect to any assignments.</w:t>
      </w:r>
    </w:p>
    <w:p>
      <w:pPr>
        <w:spacing w:after="0" w:line="174" w:lineRule="exact"/>
        <w:rPr>
          <w:sz w:val="20"/>
          <w:szCs w:val="20"/>
          <w:color w:val="auto"/>
        </w:rPr>
      </w:pPr>
    </w:p>
    <w:p>
      <w:pPr>
        <w:jc w:val="both"/>
        <w:ind w:right="20" w:firstLine="1727"/>
        <w:spacing w:after="0" w:line="238" w:lineRule="auto"/>
        <w:rPr>
          <w:sz w:val="20"/>
          <w:szCs w:val="20"/>
          <w:color w:val="auto"/>
        </w:rPr>
      </w:pPr>
      <w:r>
        <w:rPr>
          <w:rFonts w:ascii="Arial" w:cs="Arial" w:eastAsia="Arial" w:hAnsi="Arial"/>
          <w:sz w:val="14"/>
          <w:szCs w:val="14"/>
          <w:color w:val="auto"/>
        </w:rPr>
        <w:t>“</w:t>
      </w:r>
      <w:r>
        <w:rPr>
          <w:rFonts w:ascii="Arial" w:cs="Arial" w:eastAsia="Arial" w:hAnsi="Arial"/>
          <w:sz w:val="14"/>
          <w:szCs w:val="14"/>
          <w:u w:val="single" w:color="auto"/>
          <w:color w:val="auto"/>
        </w:rPr>
        <w:t>Approved Dealer</w:t>
      </w:r>
      <w:r>
        <w:rPr>
          <w:rFonts w:ascii="Arial" w:cs="Arial" w:eastAsia="Arial" w:hAnsi="Arial"/>
          <w:sz w:val="14"/>
          <w:szCs w:val="14"/>
          <w:color w:val="auto"/>
        </w:rPr>
        <w:t>” means (a) in the case of any Portfolio Investment that is not a U.S. Government Security, a bank or a broker-dealer registered under the Securities Exchange Act of 1934 of nationally recognized standing or an Affiliate thereof, (b) in the case of a U.S. Government Security, any primary dealer in U.S. Government Securities, and (c) in the case of any foreign Portfolio Investment, any</w:t>
      </w:r>
    </w:p>
    <w:p>
      <w:pPr>
        <w:spacing w:after="0" w:line="200" w:lineRule="exact"/>
        <w:rPr>
          <w:sz w:val="20"/>
          <w:szCs w:val="20"/>
          <w:color w:val="auto"/>
        </w:rPr>
      </w:pPr>
    </w:p>
    <w:p>
      <w:pPr>
        <w:spacing w:after="0" w:line="200" w:lineRule="exact"/>
        <w:rPr>
          <w:sz w:val="20"/>
          <w:szCs w:val="20"/>
          <w:color w:val="auto"/>
        </w:rPr>
      </w:pPr>
    </w:p>
    <w:p>
      <w:pPr>
        <w:spacing w:after="0" w:line="20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7560" w:type="dxa"/>
            <w:vAlign w:val="bottom"/>
          </w:tcPr>
          <w:p>
            <w:pPr>
              <w:jc w:val="right"/>
              <w:ind w:right="1828"/>
              <w:spacing w:after="0"/>
              <w:rPr>
                <w:sz w:val="20"/>
                <w:szCs w:val="20"/>
                <w:color w:val="auto"/>
              </w:rPr>
            </w:pPr>
            <w:r>
              <w:rPr>
                <w:rFonts w:ascii="Arial" w:cs="Arial" w:eastAsia="Arial" w:hAnsi="Arial"/>
                <w:sz w:val="14"/>
                <w:szCs w:val="14"/>
                <w:color w:val="auto"/>
              </w:rPr>
              <w:t>2</w:t>
            </w:r>
          </w:p>
        </w:tc>
        <w:tc>
          <w:tcPr>
            <w:tcW w:w="3700" w:type="dxa"/>
            <w:vAlign w:val="bottom"/>
          </w:tcPr>
          <w:p>
            <w:pPr>
              <w:jc w:val="right"/>
              <w:spacing w:after="0"/>
              <w:rPr>
                <w:sz w:val="20"/>
                <w:szCs w:val="20"/>
                <w:color w:val="auto"/>
              </w:rPr>
            </w:pPr>
            <w:r>
              <w:rPr>
                <w:rFonts w:ascii="Arial" w:cs="Arial" w:eastAsia="Arial" w:hAnsi="Arial"/>
                <w:sz w:val="14"/>
                <w:szCs w:val="14"/>
                <w:i w:val="1"/>
                <w:iCs w:val="1"/>
                <w:color w:val="auto"/>
              </w:rPr>
              <w:t>Second Amended and Restated</w:t>
            </w:r>
          </w:p>
        </w:tc>
      </w:tr>
      <w:tr>
        <w:trPr>
          <w:trHeight w:val="182"/>
        </w:trPr>
        <w:tc>
          <w:tcPr>
            <w:tcW w:w="7560" w:type="dxa"/>
            <w:vAlign w:val="bottom"/>
          </w:tcPr>
          <w:p>
            <w:pPr>
              <w:spacing w:after="0"/>
              <w:rPr>
                <w:sz w:val="15"/>
                <w:szCs w:val="15"/>
                <w:color w:val="auto"/>
              </w:rPr>
            </w:pPr>
          </w:p>
        </w:tc>
        <w:tc>
          <w:tcPr>
            <w:tcW w:w="3700" w:type="dxa"/>
            <w:vAlign w:val="bottom"/>
          </w:tcPr>
          <w:p>
            <w:pPr>
              <w:jc w:val="right"/>
              <w:spacing w:after="0"/>
              <w:rPr>
                <w:sz w:val="20"/>
                <w:szCs w:val="20"/>
                <w:color w:val="auto"/>
              </w:rPr>
            </w:pPr>
            <w:r>
              <w:rPr>
                <w:rFonts w:ascii="Arial" w:cs="Arial" w:eastAsia="Arial" w:hAnsi="Arial"/>
                <w:sz w:val="14"/>
                <w:szCs w:val="14"/>
                <w:i w:val="1"/>
                <w:iCs w:val="1"/>
                <w:color w:val="auto"/>
              </w:rPr>
              <w:t>Revolving Credit Agreement</w:t>
            </w:r>
          </w:p>
        </w:tc>
      </w:tr>
      <w:tr>
        <w:trPr>
          <w:trHeight w:val="316"/>
        </w:trPr>
        <w:tc>
          <w:tcPr>
            <w:tcW w:w="7560" w:type="dxa"/>
            <w:vAlign w:val="bottom"/>
            <w:tcBorders>
              <w:bottom w:val="single" w:sz="8" w:color="9A9A9A"/>
            </w:tcBorders>
          </w:tcPr>
          <w:p>
            <w:pPr>
              <w:spacing w:after="0"/>
              <w:rPr>
                <w:sz w:val="24"/>
                <w:szCs w:val="24"/>
                <w:color w:val="auto"/>
              </w:rPr>
            </w:pPr>
          </w:p>
        </w:tc>
        <w:tc>
          <w:tcPr>
            <w:tcW w:w="370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7145655</wp:posOffset>
            </wp:positionH>
            <wp:positionV relativeFrom="paragraph">
              <wp:posOffset>-8255</wp:posOffset>
            </wp:positionV>
            <wp:extent cx="8255" cy="8890"/>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-16510</wp:posOffset>
            </wp:positionV>
            <wp:extent cx="8890" cy="17145"/>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8890" cy="17145"/>
                    </a:xfrm>
                    <a:prstGeom prst="rect">
                      <a:avLst/>
                    </a:prstGeom>
                    <a:noFill/>
                  </pic:spPr>
                </pic:pic>
              </a:graphicData>
            </a:graphic>
          </wp:anchor>
        </w:drawing>
      </w:r>
    </w:p>
    <w:p>
      <w:pPr>
        <w:sectPr>
          <w:pgSz w:w="11900" w:h="16838" w:orient="portrait"/>
          <w:cols w:equalWidth="0" w:num="1">
            <w:col w:w="11260"/>
          </w:cols>
          <w:pgMar w:left="320" w:top="337" w:right="319" w:bottom="1440" w:gutter="0" w:footer="0" w:header="0"/>
        </w:sectPr>
      </w:pPr>
    </w:p>
    <w:bookmarkStart w:id="65" w:name="page66"/>
    <w:bookmarkEnd w:id="65"/>
    <w:p>
      <w:pPr>
        <w:jc w:val="both"/>
        <w:ind w:right="20"/>
        <w:spacing w:after="0" w:line="253" w:lineRule="auto"/>
        <w:rPr>
          <w:sz w:val="20"/>
          <w:szCs w:val="20"/>
          <w:color w:val="auto"/>
        </w:rPr>
      </w:pPr>
      <w:r>
        <w:rPr>
          <w:rFonts w:ascii="Arial" w:cs="Arial" w:eastAsia="Arial" w:hAnsi="Arial"/>
          <w:sz w:val="14"/>
          <w:szCs w:val="14"/>
          <w:color w:val="auto"/>
        </w:rPr>
        <w:t xml:space="preserve">foreign broker-dealer of internationally recognized standing or an Affiliate thereof, in the case of each of </w:t>
      </w:r>
      <w:r>
        <w:rPr>
          <w:rFonts w:ascii="Arial" w:cs="Arial" w:eastAsia="Arial" w:hAnsi="Arial"/>
          <w:sz w:val="14"/>
          <w:szCs w:val="14"/>
          <w:u w:val="single" w:color="auto"/>
          <w:color w:val="auto"/>
        </w:rPr>
        <w:t>clauses (a)</w:t>
      </w:r>
      <w:r>
        <w:rPr>
          <w:rFonts w:ascii="Arial" w:cs="Arial" w:eastAsia="Arial" w:hAnsi="Arial"/>
          <w:sz w:val="14"/>
          <w:szCs w:val="14"/>
          <w:color w:val="auto"/>
        </w:rPr>
        <w:t xml:space="preserve">, </w:t>
      </w:r>
      <w:r>
        <w:rPr>
          <w:rFonts w:ascii="Arial" w:cs="Arial" w:eastAsia="Arial" w:hAnsi="Arial"/>
          <w:sz w:val="14"/>
          <w:szCs w:val="14"/>
          <w:u w:val="single" w:color="auto"/>
          <w:color w:val="auto"/>
        </w:rPr>
        <w:t>(b)</w:t>
      </w:r>
      <w:r>
        <w:rPr>
          <w:rFonts w:ascii="Arial" w:cs="Arial" w:eastAsia="Arial" w:hAnsi="Arial"/>
          <w:sz w:val="14"/>
          <w:szCs w:val="14"/>
          <w:color w:val="auto"/>
        </w:rPr>
        <w:t xml:space="preserve"> and </w:t>
      </w:r>
      <w:r>
        <w:rPr>
          <w:rFonts w:ascii="Arial" w:cs="Arial" w:eastAsia="Arial" w:hAnsi="Arial"/>
          <w:sz w:val="14"/>
          <w:szCs w:val="14"/>
          <w:u w:val="single" w:color="auto"/>
          <w:color w:val="auto"/>
        </w:rPr>
        <w:t>(c)</w:t>
      </w:r>
      <w:r>
        <w:rPr>
          <w:rFonts w:ascii="Arial" w:cs="Arial" w:eastAsia="Arial" w:hAnsi="Arial"/>
          <w:sz w:val="14"/>
          <w:szCs w:val="14"/>
          <w:color w:val="auto"/>
        </w:rPr>
        <w:t xml:space="preserve"> above, as set forth on </w:t>
      </w:r>
      <w:r>
        <w:rPr>
          <w:rFonts w:ascii="Arial" w:cs="Arial" w:eastAsia="Arial" w:hAnsi="Arial"/>
          <w:sz w:val="14"/>
          <w:szCs w:val="14"/>
          <w:u w:val="single" w:color="auto"/>
          <w:color w:val="auto"/>
        </w:rPr>
        <w:t>Schedule 1.01(a)</w:t>
      </w:r>
      <w:r>
        <w:rPr>
          <w:rFonts w:ascii="Arial" w:cs="Arial" w:eastAsia="Arial" w:hAnsi="Arial"/>
          <w:sz w:val="14"/>
          <w:szCs w:val="14"/>
          <w:color w:val="auto"/>
        </w:rPr>
        <w:t xml:space="preserve"> or any other bank or broker-dealer acceptable to the Administrative Agent in its reasonable determination.</w:t>
      </w:r>
    </w:p>
    <w:p>
      <w:pPr>
        <w:spacing w:after="0" w:line="174" w:lineRule="exact"/>
        <w:rPr>
          <w:sz w:val="20"/>
          <w:szCs w:val="20"/>
          <w:color w:val="auto"/>
        </w:rPr>
      </w:pPr>
    </w:p>
    <w:p>
      <w:pPr>
        <w:jc w:val="both"/>
        <w:ind w:right="20" w:firstLine="1727"/>
        <w:spacing w:after="0" w:line="238" w:lineRule="auto"/>
        <w:rPr>
          <w:sz w:val="20"/>
          <w:szCs w:val="20"/>
          <w:color w:val="auto"/>
        </w:rPr>
      </w:pPr>
      <w:r>
        <w:rPr>
          <w:rFonts w:ascii="Arial" w:cs="Arial" w:eastAsia="Arial" w:hAnsi="Arial"/>
          <w:sz w:val="14"/>
          <w:szCs w:val="14"/>
          <w:color w:val="auto"/>
        </w:rPr>
        <w:t>“</w:t>
      </w:r>
      <w:r>
        <w:rPr>
          <w:rFonts w:ascii="Arial" w:cs="Arial" w:eastAsia="Arial" w:hAnsi="Arial"/>
          <w:sz w:val="14"/>
          <w:szCs w:val="14"/>
          <w:u w:val="single" w:color="auto"/>
          <w:color w:val="auto"/>
        </w:rPr>
        <w:t>Approved Pricing Service</w:t>
      </w:r>
      <w:r>
        <w:rPr>
          <w:rFonts w:ascii="Arial" w:cs="Arial" w:eastAsia="Arial" w:hAnsi="Arial"/>
          <w:sz w:val="14"/>
          <w:szCs w:val="14"/>
          <w:color w:val="auto"/>
        </w:rPr>
        <w:t xml:space="preserve">” means a pricing or quotation service as set forth in </w:t>
      </w:r>
      <w:r>
        <w:rPr>
          <w:rFonts w:ascii="Arial" w:cs="Arial" w:eastAsia="Arial" w:hAnsi="Arial"/>
          <w:sz w:val="14"/>
          <w:szCs w:val="14"/>
          <w:u w:val="single" w:color="auto"/>
          <w:color w:val="auto"/>
        </w:rPr>
        <w:t>Schedule 1.01(a)</w:t>
      </w:r>
      <w:r>
        <w:rPr>
          <w:rFonts w:ascii="Arial" w:cs="Arial" w:eastAsia="Arial" w:hAnsi="Arial"/>
          <w:sz w:val="14"/>
          <w:szCs w:val="14"/>
          <w:color w:val="auto"/>
        </w:rPr>
        <w:t xml:space="preserve"> or any other pricing or quotation service approved by the Board of Directors of the Borrower and designated in writing to the Administrative Agent (which designation shall be accompanied by a copy of a resolution of the Board of Directors of the Borrower that such pricing or quotation service has been approved by the Borrower).</w:t>
      </w:r>
    </w:p>
    <w:p>
      <w:pPr>
        <w:spacing w:after="0" w:line="183" w:lineRule="exact"/>
        <w:rPr>
          <w:sz w:val="20"/>
          <w:szCs w:val="20"/>
          <w:color w:val="auto"/>
        </w:rPr>
      </w:pPr>
    </w:p>
    <w:p>
      <w:pPr>
        <w:jc w:val="both"/>
        <w:ind w:right="20" w:firstLine="1727"/>
        <w:spacing w:after="0" w:line="228" w:lineRule="auto"/>
        <w:rPr>
          <w:sz w:val="20"/>
          <w:szCs w:val="20"/>
          <w:color w:val="auto"/>
        </w:rPr>
      </w:pPr>
      <w:r>
        <w:rPr>
          <w:rFonts w:ascii="Arial" w:cs="Arial" w:eastAsia="Arial" w:hAnsi="Arial"/>
          <w:sz w:val="14"/>
          <w:szCs w:val="14"/>
          <w:color w:val="auto"/>
        </w:rPr>
        <w:t>“</w:t>
      </w:r>
      <w:r>
        <w:rPr>
          <w:rFonts w:ascii="Arial" w:cs="Arial" w:eastAsia="Arial" w:hAnsi="Arial"/>
          <w:sz w:val="14"/>
          <w:szCs w:val="14"/>
          <w:u w:val="single" w:color="auto"/>
          <w:color w:val="auto"/>
        </w:rPr>
        <w:t>Approved Third-Party Appraiser</w:t>
      </w:r>
      <w:r>
        <w:rPr>
          <w:rFonts w:ascii="Arial" w:cs="Arial" w:eastAsia="Arial" w:hAnsi="Arial"/>
          <w:sz w:val="14"/>
          <w:szCs w:val="14"/>
          <w:color w:val="auto"/>
        </w:rPr>
        <w:t xml:space="preserve">” means any Independent nationally recognized third-party appraisal firm (a) designated by the Borrower in writing to the Administrative Agent (which designation shall be accompanied by a copy of a resolution of the Board of Directors of the Borrower that such firm has been approved by the Borrower for purposes of assisting the Board of Directors of the Borrower in making valuations of portfolio assets to determine the Borrower’s compliance with the applicable provisions of the Investment Company Act) and (b) acceptable to the Administrative Agent. It is understood and agreed that Houlihan Lokey Howard &amp; Zukin Capital, Inc., Duff &amp; Phelps LLC, Murray, Devine and Company, Lincoln International LLC and Valuation Research Corporation are acceptable to the Administrative Agent. As used in </w:t>
      </w:r>
      <w:r>
        <w:rPr>
          <w:rFonts w:ascii="Arial" w:cs="Arial" w:eastAsia="Arial" w:hAnsi="Arial"/>
          <w:sz w:val="14"/>
          <w:szCs w:val="14"/>
          <w:u w:val="single" w:color="auto"/>
          <w:color w:val="auto"/>
        </w:rPr>
        <w:t>Section 5.12</w:t>
      </w:r>
      <w:r>
        <w:rPr>
          <w:rFonts w:ascii="Arial" w:cs="Arial" w:eastAsia="Arial" w:hAnsi="Arial"/>
          <w:sz w:val="14"/>
          <w:szCs w:val="14"/>
          <w:color w:val="auto"/>
        </w:rPr>
        <w:t xml:space="preserve"> hereof, an “Approved Third-Party Appraiser selected by the Administrative Agent” shall mean any of the firms identified in the preceding sentence and any other Independent nationally recognized third-party appraisal firm identified by the Administrative Agent and consented to by the Borrower (such consent not to be unreasonably withheld).</w:t>
      </w:r>
    </w:p>
    <w:p>
      <w:pPr>
        <w:spacing w:after="0" w:line="185" w:lineRule="exact"/>
        <w:rPr>
          <w:sz w:val="20"/>
          <w:szCs w:val="20"/>
          <w:color w:val="auto"/>
        </w:rPr>
      </w:pPr>
    </w:p>
    <w:p>
      <w:pPr>
        <w:jc w:val="both"/>
        <w:ind w:right="20" w:firstLine="1727"/>
        <w:spacing w:after="0" w:line="255" w:lineRule="auto"/>
        <w:rPr>
          <w:sz w:val="20"/>
          <w:szCs w:val="20"/>
          <w:color w:val="auto"/>
        </w:rPr>
      </w:pPr>
      <w:r>
        <w:rPr>
          <w:rFonts w:ascii="Arial" w:cs="Arial" w:eastAsia="Arial" w:hAnsi="Arial"/>
          <w:sz w:val="13"/>
          <w:szCs w:val="13"/>
          <w:color w:val="auto"/>
        </w:rPr>
        <w:t>“</w:t>
      </w:r>
      <w:r>
        <w:rPr>
          <w:rFonts w:ascii="Arial" w:cs="Arial" w:eastAsia="Arial" w:hAnsi="Arial"/>
          <w:sz w:val="13"/>
          <w:szCs w:val="13"/>
          <w:u w:val="single" w:color="auto"/>
          <w:color w:val="auto"/>
        </w:rPr>
        <w:t>Asset Coverage Ratio</w:t>
      </w:r>
      <w:r>
        <w:rPr>
          <w:rFonts w:ascii="Arial" w:cs="Arial" w:eastAsia="Arial" w:hAnsi="Arial"/>
          <w:sz w:val="13"/>
          <w:szCs w:val="13"/>
          <w:color w:val="auto"/>
        </w:rPr>
        <w:t>” means the ratio, determined on a consolidated basis for Borrower and its Subsidiaries, without duplication, (a) the value of total assets of the Borrower and its Subsidiaries, less all liabilities and indebtedness not represented by senior securities to (b) to the aggregate amount of senior securities representing indebtedness of Borrower and its Subsidiaries, in each case as determined pursuant to the Investment Company Act and any orders of the Securities and Exchange Commission issued to or with respect to Borrower thereunder, including any exemptive relief granted by the Securities and Exchange Commission with respect to the indebtedness of any SBIC Subsidiary.</w:t>
      </w:r>
    </w:p>
    <w:p>
      <w:pPr>
        <w:spacing w:after="0" w:line="175" w:lineRule="exact"/>
        <w:rPr>
          <w:sz w:val="20"/>
          <w:szCs w:val="20"/>
          <w:color w:val="auto"/>
        </w:rPr>
      </w:pPr>
    </w:p>
    <w:p>
      <w:pPr>
        <w:jc w:val="both"/>
        <w:ind w:right="20" w:firstLine="1727"/>
        <w:spacing w:after="0" w:line="253" w:lineRule="auto"/>
        <w:rPr>
          <w:sz w:val="20"/>
          <w:szCs w:val="20"/>
          <w:color w:val="auto"/>
        </w:rPr>
      </w:pPr>
      <w:r>
        <w:rPr>
          <w:rFonts w:ascii="Arial" w:cs="Arial" w:eastAsia="Arial" w:hAnsi="Arial"/>
          <w:sz w:val="14"/>
          <w:szCs w:val="14"/>
          <w:color w:val="auto"/>
        </w:rPr>
        <w:t>“</w:t>
      </w:r>
      <w:r>
        <w:rPr>
          <w:rFonts w:ascii="Arial" w:cs="Arial" w:eastAsia="Arial" w:hAnsi="Arial"/>
          <w:sz w:val="14"/>
          <w:szCs w:val="14"/>
          <w:u w:val="single" w:color="auto"/>
          <w:color w:val="auto"/>
        </w:rPr>
        <w:t>Assignment and Assumption</w:t>
      </w:r>
      <w:r>
        <w:rPr>
          <w:rFonts w:ascii="Arial" w:cs="Arial" w:eastAsia="Arial" w:hAnsi="Arial"/>
          <w:sz w:val="14"/>
          <w:szCs w:val="14"/>
          <w:color w:val="auto"/>
        </w:rPr>
        <w:t xml:space="preserve">” means an Assignment and Assumption entered into by a Lender and an assignee (with the consent of any party whose consent is required by </w:t>
      </w:r>
      <w:r>
        <w:rPr>
          <w:rFonts w:ascii="Arial" w:cs="Arial" w:eastAsia="Arial" w:hAnsi="Arial"/>
          <w:sz w:val="14"/>
          <w:szCs w:val="14"/>
          <w:u w:val="single" w:color="auto"/>
          <w:color w:val="auto"/>
        </w:rPr>
        <w:t>Section 9.04</w:t>
      </w:r>
      <w:r>
        <w:rPr>
          <w:rFonts w:ascii="Arial" w:cs="Arial" w:eastAsia="Arial" w:hAnsi="Arial"/>
          <w:sz w:val="14"/>
          <w:szCs w:val="14"/>
          <w:color w:val="auto"/>
        </w:rPr>
        <w:t xml:space="preserve">), and accepted by the Administrative Agent, in the form of </w:t>
      </w:r>
      <w:r>
        <w:rPr>
          <w:rFonts w:ascii="Arial" w:cs="Arial" w:eastAsia="Arial" w:hAnsi="Arial"/>
          <w:sz w:val="14"/>
          <w:szCs w:val="14"/>
          <w:u w:val="single" w:color="auto"/>
          <w:color w:val="auto"/>
        </w:rPr>
        <w:t>Exhibit A</w:t>
      </w:r>
      <w:r>
        <w:rPr>
          <w:rFonts w:ascii="Arial" w:cs="Arial" w:eastAsia="Arial" w:hAnsi="Arial"/>
          <w:sz w:val="14"/>
          <w:szCs w:val="14"/>
          <w:color w:val="auto"/>
        </w:rPr>
        <w:t xml:space="preserve"> or any other form approved by the Administrative Agent.</w:t>
      </w:r>
    </w:p>
    <w:p>
      <w:pPr>
        <w:spacing w:after="0" w:line="174" w:lineRule="exact"/>
        <w:rPr>
          <w:sz w:val="20"/>
          <w:szCs w:val="20"/>
          <w:color w:val="auto"/>
        </w:rPr>
      </w:pPr>
    </w:p>
    <w:p>
      <w:pPr>
        <w:ind w:left="1740"/>
        <w:spacing w:after="0"/>
        <w:rPr>
          <w:sz w:val="20"/>
          <w:szCs w:val="20"/>
          <w:color w:val="auto"/>
        </w:rPr>
      </w:pPr>
      <w:r>
        <w:rPr>
          <w:rFonts w:ascii="Arial" w:cs="Arial" w:eastAsia="Arial" w:hAnsi="Arial"/>
          <w:sz w:val="14"/>
          <w:szCs w:val="14"/>
          <w:color w:val="auto"/>
        </w:rPr>
        <w:t>“</w:t>
      </w:r>
      <w:r>
        <w:rPr>
          <w:rFonts w:ascii="Arial" w:cs="Arial" w:eastAsia="Arial" w:hAnsi="Arial"/>
          <w:sz w:val="14"/>
          <w:szCs w:val="14"/>
          <w:u w:val="single" w:color="auto"/>
          <w:color w:val="auto"/>
        </w:rPr>
        <w:t>Assuming Lender</w:t>
      </w:r>
      <w:r>
        <w:rPr>
          <w:rFonts w:ascii="Arial" w:cs="Arial" w:eastAsia="Arial" w:hAnsi="Arial"/>
          <w:sz w:val="14"/>
          <w:szCs w:val="14"/>
          <w:color w:val="auto"/>
        </w:rPr>
        <w:t xml:space="preserve">” has the meaning assigned to such term in </w:t>
      </w:r>
      <w:r>
        <w:rPr>
          <w:rFonts w:ascii="Arial" w:cs="Arial" w:eastAsia="Arial" w:hAnsi="Arial"/>
          <w:sz w:val="14"/>
          <w:szCs w:val="14"/>
          <w:u w:val="single" w:color="auto"/>
          <w:color w:val="auto"/>
        </w:rPr>
        <w:t>Section 2.08(e)</w:t>
      </w:r>
      <w:r>
        <w:rPr>
          <w:rFonts w:ascii="Arial" w:cs="Arial" w:eastAsia="Arial" w:hAnsi="Arial"/>
          <w:sz w:val="14"/>
          <w:szCs w:val="14"/>
          <w:color w:val="auto"/>
        </w:rPr>
        <w:t>.</w:t>
      </w:r>
    </w:p>
    <w:p>
      <w:pPr>
        <w:spacing w:after="0" w:line="204" w:lineRule="exact"/>
        <w:rPr>
          <w:sz w:val="20"/>
          <w:szCs w:val="20"/>
          <w:color w:val="auto"/>
        </w:rPr>
      </w:pPr>
    </w:p>
    <w:p>
      <w:pPr>
        <w:jc w:val="both"/>
        <w:ind w:right="20" w:firstLine="1727"/>
        <w:spacing w:after="0" w:line="253" w:lineRule="auto"/>
        <w:rPr>
          <w:sz w:val="20"/>
          <w:szCs w:val="20"/>
          <w:color w:val="auto"/>
        </w:rPr>
      </w:pPr>
      <w:r>
        <w:rPr>
          <w:rFonts w:ascii="Arial" w:cs="Arial" w:eastAsia="Arial" w:hAnsi="Arial"/>
          <w:sz w:val="14"/>
          <w:szCs w:val="14"/>
          <w:color w:val="auto"/>
        </w:rPr>
        <w:t>“</w:t>
      </w:r>
      <w:r>
        <w:rPr>
          <w:rFonts w:ascii="Arial" w:cs="Arial" w:eastAsia="Arial" w:hAnsi="Arial"/>
          <w:sz w:val="14"/>
          <w:szCs w:val="14"/>
          <w:u w:val="single" w:color="auto"/>
          <w:color w:val="auto"/>
        </w:rPr>
        <w:t>Availability Period</w:t>
      </w:r>
      <w:r>
        <w:rPr>
          <w:rFonts w:ascii="Arial" w:cs="Arial" w:eastAsia="Arial" w:hAnsi="Arial"/>
          <w:sz w:val="14"/>
          <w:szCs w:val="14"/>
          <w:color w:val="auto"/>
        </w:rPr>
        <w:t>” means the period from and including the Effective Date to but excluding the earlier of the Commitment Termination Date and the date of termination of the Commitments.</w:t>
      </w:r>
    </w:p>
    <w:p>
      <w:pPr>
        <w:spacing w:after="0" w:line="174" w:lineRule="exact"/>
        <w:rPr>
          <w:sz w:val="20"/>
          <w:szCs w:val="20"/>
          <w:color w:val="auto"/>
        </w:rPr>
      </w:pPr>
    </w:p>
    <w:p>
      <w:pPr>
        <w:ind w:left="1740"/>
        <w:spacing w:after="0"/>
        <w:rPr>
          <w:sz w:val="20"/>
          <w:szCs w:val="20"/>
          <w:color w:val="auto"/>
        </w:rPr>
      </w:pPr>
      <w:r>
        <w:rPr>
          <w:rFonts w:ascii="Arial" w:cs="Arial" w:eastAsia="Arial" w:hAnsi="Arial"/>
          <w:sz w:val="13"/>
          <w:szCs w:val="13"/>
          <w:color w:val="auto"/>
        </w:rPr>
        <w:t>“</w:t>
      </w:r>
      <w:r>
        <w:rPr>
          <w:rFonts w:ascii="Arial" w:cs="Arial" w:eastAsia="Arial" w:hAnsi="Arial"/>
          <w:sz w:val="13"/>
          <w:szCs w:val="13"/>
          <w:u w:val="single" w:color="auto"/>
          <w:color w:val="auto"/>
        </w:rPr>
        <w:t>Bail-In Action</w:t>
      </w:r>
      <w:r>
        <w:rPr>
          <w:rFonts w:ascii="Arial" w:cs="Arial" w:eastAsia="Arial" w:hAnsi="Arial"/>
          <w:sz w:val="13"/>
          <w:szCs w:val="13"/>
          <w:color w:val="auto"/>
        </w:rPr>
        <w:t>” means the exercise of any Write-down and Conversion Powers by the applicable EEA Resolution Authority in respect of any liability of an EEA</w:t>
      </w:r>
    </w:p>
    <w:p>
      <w:pPr>
        <w:spacing w:after="0" w:line="11" w:lineRule="exact"/>
        <w:rPr>
          <w:sz w:val="20"/>
          <w:szCs w:val="20"/>
          <w:color w:val="auto"/>
        </w:rPr>
      </w:pPr>
    </w:p>
    <w:p>
      <w:pPr>
        <w:spacing w:after="0"/>
        <w:rPr>
          <w:sz w:val="20"/>
          <w:szCs w:val="20"/>
          <w:color w:val="auto"/>
        </w:rPr>
      </w:pPr>
      <w:r>
        <w:rPr>
          <w:rFonts w:ascii="Arial" w:cs="Arial" w:eastAsia="Arial" w:hAnsi="Arial"/>
          <w:sz w:val="14"/>
          <w:szCs w:val="14"/>
          <w:color w:val="auto"/>
        </w:rPr>
        <w:t>Financial Institution.</w:t>
      </w:r>
    </w:p>
    <w:p>
      <w:pPr>
        <w:spacing w:after="0" w:line="192" w:lineRule="exact"/>
        <w:rPr>
          <w:sz w:val="20"/>
          <w:szCs w:val="20"/>
          <w:color w:val="auto"/>
        </w:rPr>
      </w:pPr>
    </w:p>
    <w:p>
      <w:pPr>
        <w:jc w:val="both"/>
        <w:ind w:right="20" w:firstLine="1727"/>
        <w:spacing w:after="0" w:line="253" w:lineRule="auto"/>
        <w:rPr>
          <w:sz w:val="20"/>
          <w:szCs w:val="20"/>
          <w:color w:val="auto"/>
        </w:rPr>
      </w:pPr>
      <w:r>
        <w:rPr>
          <w:rFonts w:ascii="Arial" w:cs="Arial" w:eastAsia="Arial" w:hAnsi="Arial"/>
          <w:sz w:val="14"/>
          <w:szCs w:val="14"/>
          <w:color w:val="auto"/>
        </w:rPr>
        <w:t>“</w:t>
      </w:r>
      <w:r>
        <w:rPr>
          <w:rFonts w:ascii="Arial" w:cs="Arial" w:eastAsia="Arial" w:hAnsi="Arial"/>
          <w:sz w:val="14"/>
          <w:szCs w:val="14"/>
          <w:u w:val="single" w:color="auto"/>
          <w:color w:val="auto"/>
        </w:rPr>
        <w:t>Bail-In Legislation</w:t>
      </w:r>
      <w:r>
        <w:rPr>
          <w:rFonts w:ascii="Arial" w:cs="Arial" w:eastAsia="Arial" w:hAnsi="Arial"/>
          <w:sz w:val="14"/>
          <w:szCs w:val="14"/>
          <w:color w:val="auto"/>
        </w:rPr>
        <w:t>” means, with respect to any EEA Member Country implementing Article 55 of Directive 2014/59/EU of the European Parliament and of the Council of the European Union, the implementing law for such EEA Member Country from time to time which is described in the EU Bail-In Legislation Schedule.</w:t>
      </w:r>
    </w:p>
    <w:p>
      <w:pPr>
        <w:spacing w:after="0" w:line="174" w:lineRule="exact"/>
        <w:rPr>
          <w:sz w:val="20"/>
          <w:szCs w:val="20"/>
          <w:color w:val="auto"/>
        </w:rPr>
      </w:pPr>
    </w:p>
    <w:p>
      <w:pPr>
        <w:ind w:left="1740"/>
        <w:spacing w:after="0"/>
        <w:rPr>
          <w:sz w:val="20"/>
          <w:szCs w:val="20"/>
          <w:color w:val="auto"/>
        </w:rPr>
      </w:pPr>
      <w:r>
        <w:rPr>
          <w:rFonts w:ascii="Arial" w:cs="Arial" w:eastAsia="Arial" w:hAnsi="Arial"/>
          <w:sz w:val="14"/>
          <w:szCs w:val="14"/>
          <w:color w:val="auto"/>
        </w:rPr>
        <w:t>“</w:t>
      </w:r>
      <w:r>
        <w:rPr>
          <w:rFonts w:ascii="Arial" w:cs="Arial" w:eastAsia="Arial" w:hAnsi="Arial"/>
          <w:sz w:val="14"/>
          <w:szCs w:val="14"/>
          <w:u w:val="single" w:color="auto"/>
          <w:color w:val="auto"/>
        </w:rPr>
        <w:t>Board</w:t>
      </w:r>
      <w:r>
        <w:rPr>
          <w:rFonts w:ascii="Arial" w:cs="Arial" w:eastAsia="Arial" w:hAnsi="Arial"/>
          <w:sz w:val="14"/>
          <w:szCs w:val="14"/>
          <w:color w:val="auto"/>
        </w:rPr>
        <w:t>” means the Board of Governors of the Federal Reserve System of the United States of America.</w:t>
      </w:r>
    </w:p>
    <w:p>
      <w:pPr>
        <w:spacing w:after="0" w:line="204" w:lineRule="exact"/>
        <w:rPr>
          <w:sz w:val="20"/>
          <w:szCs w:val="20"/>
          <w:color w:val="auto"/>
        </w:rPr>
      </w:pPr>
    </w:p>
    <w:p>
      <w:pPr>
        <w:ind w:left="1740"/>
        <w:spacing w:after="0"/>
        <w:rPr>
          <w:sz w:val="20"/>
          <w:szCs w:val="20"/>
          <w:color w:val="auto"/>
        </w:rPr>
      </w:pPr>
      <w:r>
        <w:rPr>
          <w:rFonts w:ascii="Arial" w:cs="Arial" w:eastAsia="Arial" w:hAnsi="Arial"/>
          <w:sz w:val="14"/>
          <w:szCs w:val="14"/>
          <w:color w:val="auto"/>
        </w:rPr>
        <w:t>“</w:t>
      </w:r>
      <w:r>
        <w:rPr>
          <w:rFonts w:ascii="Arial" w:cs="Arial" w:eastAsia="Arial" w:hAnsi="Arial"/>
          <w:sz w:val="14"/>
          <w:szCs w:val="14"/>
          <w:u w:val="single" w:color="auto"/>
          <w:color w:val="auto"/>
        </w:rPr>
        <w:t>Borrower</w:t>
      </w:r>
      <w:r>
        <w:rPr>
          <w:rFonts w:ascii="Arial" w:cs="Arial" w:eastAsia="Arial" w:hAnsi="Arial"/>
          <w:sz w:val="14"/>
          <w:szCs w:val="14"/>
          <w:color w:val="auto"/>
        </w:rPr>
        <w:t>” has the meaning assigned to such term in the preamble to this Agreement.</w:t>
      </w:r>
    </w:p>
    <w:p>
      <w:pPr>
        <w:spacing w:after="0" w:line="204" w:lineRule="exact"/>
        <w:rPr>
          <w:sz w:val="20"/>
          <w:szCs w:val="20"/>
          <w:color w:val="auto"/>
        </w:rPr>
      </w:pPr>
    </w:p>
    <w:p>
      <w:pPr>
        <w:jc w:val="both"/>
        <w:ind w:right="20" w:firstLine="1727"/>
        <w:spacing w:after="0" w:line="253" w:lineRule="auto"/>
        <w:rPr>
          <w:sz w:val="20"/>
          <w:szCs w:val="20"/>
          <w:color w:val="auto"/>
        </w:rPr>
      </w:pPr>
      <w:r>
        <w:rPr>
          <w:rFonts w:ascii="Arial" w:cs="Arial" w:eastAsia="Arial" w:hAnsi="Arial"/>
          <w:sz w:val="14"/>
          <w:szCs w:val="14"/>
          <w:color w:val="auto"/>
        </w:rPr>
        <w:t>“</w:t>
      </w:r>
      <w:r>
        <w:rPr>
          <w:rFonts w:ascii="Arial" w:cs="Arial" w:eastAsia="Arial" w:hAnsi="Arial"/>
          <w:sz w:val="14"/>
          <w:szCs w:val="14"/>
          <w:u w:val="single" w:color="auto"/>
          <w:color w:val="auto"/>
        </w:rPr>
        <w:t>Borrowing</w:t>
      </w:r>
      <w:r>
        <w:rPr>
          <w:rFonts w:ascii="Arial" w:cs="Arial" w:eastAsia="Arial" w:hAnsi="Arial"/>
          <w:sz w:val="14"/>
          <w:szCs w:val="14"/>
          <w:color w:val="auto"/>
        </w:rPr>
        <w:t>” means (a) all Syndicated ABR Loans of the same Class made, converted or continued on the same date, (b) all Eurocurrency Loans of the same Class denominated in the same Currency that have the same Interest Period or (c) a Swingline Loan.</w:t>
      </w:r>
    </w:p>
    <w:p>
      <w:pPr>
        <w:spacing w:after="0" w:line="174" w:lineRule="exact"/>
        <w:rPr>
          <w:sz w:val="20"/>
          <w:szCs w:val="20"/>
          <w:color w:val="auto"/>
        </w:rPr>
      </w:pPr>
    </w:p>
    <w:p>
      <w:pPr>
        <w:ind w:left="1740"/>
        <w:spacing w:after="0"/>
        <w:rPr>
          <w:sz w:val="20"/>
          <w:szCs w:val="20"/>
          <w:color w:val="auto"/>
        </w:rPr>
      </w:pPr>
      <w:r>
        <w:rPr>
          <w:rFonts w:ascii="Arial" w:cs="Arial" w:eastAsia="Arial" w:hAnsi="Arial"/>
          <w:sz w:val="14"/>
          <w:szCs w:val="14"/>
          <w:color w:val="auto"/>
        </w:rPr>
        <w:t>“</w:t>
      </w:r>
      <w:r>
        <w:rPr>
          <w:rFonts w:ascii="Arial" w:cs="Arial" w:eastAsia="Arial" w:hAnsi="Arial"/>
          <w:sz w:val="14"/>
          <w:szCs w:val="14"/>
          <w:u w:val="single" w:color="auto"/>
          <w:color w:val="auto"/>
        </w:rPr>
        <w:t>Borrowing Base</w:t>
      </w:r>
      <w:r>
        <w:rPr>
          <w:rFonts w:ascii="Arial" w:cs="Arial" w:eastAsia="Arial" w:hAnsi="Arial"/>
          <w:sz w:val="14"/>
          <w:szCs w:val="14"/>
          <w:color w:val="auto"/>
        </w:rPr>
        <w:t xml:space="preserve">” has the meaning assigned to such term in </w:t>
      </w:r>
      <w:r>
        <w:rPr>
          <w:rFonts w:ascii="Arial" w:cs="Arial" w:eastAsia="Arial" w:hAnsi="Arial"/>
          <w:sz w:val="14"/>
          <w:szCs w:val="14"/>
          <w:u w:val="single" w:color="auto"/>
          <w:color w:val="auto"/>
        </w:rPr>
        <w:t>Section 5.13</w:t>
      </w:r>
      <w:r>
        <w:rPr>
          <w:rFonts w:ascii="Arial" w:cs="Arial" w:eastAsia="Arial" w:hAnsi="Arial"/>
          <w:sz w:val="14"/>
          <w:szCs w:val="14"/>
          <w:color w:val="auto"/>
        </w:rPr>
        <w:t>.</w:t>
      </w:r>
    </w:p>
    <w:p>
      <w:pPr>
        <w:spacing w:after="0" w:line="204" w:lineRule="exact"/>
        <w:rPr>
          <w:sz w:val="20"/>
          <w:szCs w:val="20"/>
          <w:color w:val="auto"/>
        </w:rPr>
      </w:pPr>
    </w:p>
    <w:p>
      <w:pPr>
        <w:ind w:left="1740"/>
        <w:spacing w:after="0"/>
        <w:rPr>
          <w:sz w:val="20"/>
          <w:szCs w:val="20"/>
          <w:color w:val="auto"/>
        </w:rPr>
      </w:pPr>
      <w:r>
        <w:rPr>
          <w:rFonts w:ascii="Arial" w:cs="Arial" w:eastAsia="Arial" w:hAnsi="Arial"/>
          <w:sz w:val="14"/>
          <w:szCs w:val="14"/>
          <w:color w:val="auto"/>
        </w:rPr>
        <w:t>“</w:t>
      </w:r>
      <w:r>
        <w:rPr>
          <w:rFonts w:ascii="Arial" w:cs="Arial" w:eastAsia="Arial" w:hAnsi="Arial"/>
          <w:sz w:val="14"/>
          <w:szCs w:val="14"/>
          <w:u w:val="single" w:color="auto"/>
          <w:color w:val="auto"/>
        </w:rPr>
        <w:t>Borrowing Base Certificate</w:t>
      </w:r>
      <w:r>
        <w:rPr>
          <w:rFonts w:ascii="Arial" w:cs="Arial" w:eastAsia="Arial" w:hAnsi="Arial"/>
          <w:sz w:val="14"/>
          <w:szCs w:val="14"/>
          <w:color w:val="auto"/>
        </w:rPr>
        <w:t xml:space="preserve">” means a certificate of a Financial Officer of the Borrower, substantially in the form of </w:t>
      </w:r>
      <w:r>
        <w:rPr>
          <w:rFonts w:ascii="Arial" w:cs="Arial" w:eastAsia="Arial" w:hAnsi="Arial"/>
          <w:sz w:val="14"/>
          <w:szCs w:val="14"/>
          <w:u w:val="single" w:color="auto"/>
          <w:color w:val="auto"/>
        </w:rPr>
        <w:t>Exhibit B</w:t>
      </w:r>
      <w:r>
        <w:rPr>
          <w:rFonts w:ascii="Arial" w:cs="Arial" w:eastAsia="Arial" w:hAnsi="Arial"/>
          <w:sz w:val="14"/>
          <w:szCs w:val="14"/>
          <w:color w:val="auto"/>
        </w:rPr>
        <w:t xml:space="preserve"> and appropriately completed.</w:t>
      </w:r>
    </w:p>
    <w:p>
      <w:pPr>
        <w:spacing w:after="0" w:line="204" w:lineRule="exact"/>
        <w:rPr>
          <w:sz w:val="20"/>
          <w:szCs w:val="20"/>
          <w:color w:val="auto"/>
        </w:rPr>
      </w:pPr>
    </w:p>
    <w:p>
      <w:pPr>
        <w:jc w:val="both"/>
        <w:ind w:right="20" w:firstLine="1727"/>
        <w:spacing w:after="0" w:line="253" w:lineRule="auto"/>
        <w:rPr>
          <w:sz w:val="20"/>
          <w:szCs w:val="20"/>
          <w:color w:val="auto"/>
        </w:rPr>
      </w:pPr>
      <w:r>
        <w:rPr>
          <w:rFonts w:ascii="Arial" w:cs="Arial" w:eastAsia="Arial" w:hAnsi="Arial"/>
          <w:sz w:val="14"/>
          <w:szCs w:val="14"/>
          <w:color w:val="auto"/>
        </w:rPr>
        <w:t>“</w:t>
      </w:r>
      <w:r>
        <w:rPr>
          <w:rFonts w:ascii="Arial" w:cs="Arial" w:eastAsia="Arial" w:hAnsi="Arial"/>
          <w:sz w:val="14"/>
          <w:szCs w:val="14"/>
          <w:u w:val="single" w:color="auto"/>
          <w:color w:val="auto"/>
        </w:rPr>
        <w:t>Borrowing Base Deficiency</w:t>
      </w:r>
      <w:r>
        <w:rPr>
          <w:rFonts w:ascii="Arial" w:cs="Arial" w:eastAsia="Arial" w:hAnsi="Arial"/>
          <w:sz w:val="14"/>
          <w:szCs w:val="14"/>
          <w:color w:val="auto"/>
        </w:rPr>
        <w:t>” means, at any date on which the same is determined, the amount, if any, that (a) the aggregate Covered Debt Amount as of such date exceeds (b) the Borrowing Base as of such date.</w:t>
      </w:r>
    </w:p>
    <w:p>
      <w:pPr>
        <w:spacing w:after="0" w:line="174" w:lineRule="exact"/>
        <w:rPr>
          <w:sz w:val="20"/>
          <w:szCs w:val="20"/>
          <w:color w:val="auto"/>
        </w:rPr>
      </w:pPr>
    </w:p>
    <w:p>
      <w:pPr>
        <w:ind w:left="1740"/>
        <w:spacing w:after="0"/>
        <w:rPr>
          <w:sz w:val="20"/>
          <w:szCs w:val="20"/>
          <w:color w:val="auto"/>
        </w:rPr>
      </w:pPr>
      <w:r>
        <w:rPr>
          <w:rFonts w:ascii="Arial" w:cs="Arial" w:eastAsia="Arial" w:hAnsi="Arial"/>
          <w:sz w:val="13"/>
          <w:szCs w:val="13"/>
          <w:color w:val="auto"/>
        </w:rPr>
        <w:t>“</w:t>
      </w:r>
      <w:r>
        <w:rPr>
          <w:rFonts w:ascii="Arial" w:cs="Arial" w:eastAsia="Arial" w:hAnsi="Arial"/>
          <w:sz w:val="13"/>
          <w:szCs w:val="13"/>
          <w:u w:val="single" w:color="auto"/>
          <w:color w:val="auto"/>
        </w:rPr>
        <w:t>Borrowing Request</w:t>
      </w:r>
      <w:r>
        <w:rPr>
          <w:rFonts w:ascii="Arial" w:cs="Arial" w:eastAsia="Arial" w:hAnsi="Arial"/>
          <w:sz w:val="13"/>
          <w:szCs w:val="13"/>
          <w:color w:val="auto"/>
        </w:rPr>
        <w:t xml:space="preserve">” means a request by the Borrower for a Syndicated Borrowing in accordance with </w:t>
      </w:r>
      <w:r>
        <w:rPr>
          <w:rFonts w:ascii="Arial" w:cs="Arial" w:eastAsia="Arial" w:hAnsi="Arial"/>
          <w:sz w:val="13"/>
          <w:szCs w:val="13"/>
          <w:u w:val="single" w:color="auto"/>
          <w:color w:val="auto"/>
        </w:rPr>
        <w:t>Section 2.03</w:t>
      </w:r>
      <w:r>
        <w:rPr>
          <w:rFonts w:ascii="Arial" w:cs="Arial" w:eastAsia="Arial" w:hAnsi="Arial"/>
          <w:sz w:val="13"/>
          <w:szCs w:val="13"/>
          <w:color w:val="auto"/>
        </w:rPr>
        <w:t>, which, if in writing, shall be substantially in</w:t>
      </w:r>
    </w:p>
    <w:p>
      <w:pPr>
        <w:spacing w:after="0" w:line="11" w:lineRule="exact"/>
        <w:rPr>
          <w:sz w:val="20"/>
          <w:szCs w:val="20"/>
          <w:color w:val="auto"/>
        </w:rPr>
      </w:pPr>
    </w:p>
    <w:p>
      <w:pPr>
        <w:spacing w:after="0"/>
        <w:rPr>
          <w:sz w:val="20"/>
          <w:szCs w:val="20"/>
          <w:color w:val="auto"/>
        </w:rPr>
      </w:pPr>
      <w:r>
        <w:rPr>
          <w:rFonts w:ascii="Arial" w:cs="Arial" w:eastAsia="Arial" w:hAnsi="Arial"/>
          <w:sz w:val="14"/>
          <w:szCs w:val="14"/>
          <w:color w:val="auto"/>
        </w:rPr>
        <w:t xml:space="preserve">the form of </w:t>
      </w:r>
      <w:r>
        <w:rPr>
          <w:rFonts w:ascii="Arial" w:cs="Arial" w:eastAsia="Arial" w:hAnsi="Arial"/>
          <w:sz w:val="14"/>
          <w:szCs w:val="14"/>
          <w:u w:val="single" w:color="auto"/>
          <w:color w:val="auto"/>
        </w:rPr>
        <w:t>Exhibit C</w:t>
      </w:r>
      <w:r>
        <w:rPr>
          <w:rFonts w:ascii="Arial" w:cs="Arial" w:eastAsia="Arial" w:hAnsi="Arial"/>
          <w:sz w:val="14"/>
          <w:szCs w:val="14"/>
          <w:color w:val="auto"/>
        </w:rPr>
        <w:t>.</w:t>
      </w:r>
    </w:p>
    <w:p>
      <w:pPr>
        <w:spacing w:after="0" w:line="192" w:lineRule="exact"/>
        <w:rPr>
          <w:sz w:val="20"/>
          <w:szCs w:val="20"/>
          <w:color w:val="auto"/>
        </w:rPr>
      </w:pPr>
    </w:p>
    <w:p>
      <w:pPr>
        <w:jc w:val="both"/>
        <w:ind w:right="20" w:firstLine="1727"/>
        <w:spacing w:after="0" w:line="233" w:lineRule="auto"/>
        <w:rPr>
          <w:sz w:val="20"/>
          <w:szCs w:val="20"/>
          <w:color w:val="auto"/>
        </w:rPr>
      </w:pPr>
      <w:r>
        <w:rPr>
          <w:rFonts w:ascii="Arial" w:cs="Arial" w:eastAsia="Arial" w:hAnsi="Arial"/>
          <w:sz w:val="14"/>
          <w:szCs w:val="14"/>
          <w:color w:val="auto"/>
        </w:rPr>
        <w:t>“</w:t>
      </w:r>
      <w:r>
        <w:rPr>
          <w:rFonts w:ascii="Arial" w:cs="Arial" w:eastAsia="Arial" w:hAnsi="Arial"/>
          <w:sz w:val="14"/>
          <w:szCs w:val="14"/>
          <w:u w:val="single" w:color="auto"/>
          <w:color w:val="auto"/>
        </w:rPr>
        <w:t>Business Day</w:t>
      </w:r>
      <w:r>
        <w:rPr>
          <w:rFonts w:ascii="Arial" w:cs="Arial" w:eastAsia="Arial" w:hAnsi="Arial"/>
          <w:sz w:val="14"/>
          <w:szCs w:val="14"/>
          <w:color w:val="auto"/>
        </w:rPr>
        <w:t>” means any day (a) that is not a Saturday, Sunday or other day on which commercial banks in Atlanta, Georgia are authorized or required by law to remain closed, (b) if such day relates to a borrowing of, a payment or prepayment of principal of or interest on, a continuation or conversion of or into, or the Interest Period for, a Eurocurrency Borrowing denominated in Dollars, or to a notice by the Borrower with respect to any such borrowing, payment, prepayment, continuation, conversion, or Interest Period, that is also a day on which dealings in deposits denominated in Dollars are carried out in the London interbank market and (c) if such day relates to a borrowing or</w:t>
      </w:r>
    </w:p>
    <w:p>
      <w:pPr>
        <w:spacing w:after="0" w:line="200" w:lineRule="exact"/>
        <w:rPr>
          <w:sz w:val="20"/>
          <w:szCs w:val="20"/>
          <w:color w:val="auto"/>
        </w:rPr>
      </w:pPr>
    </w:p>
    <w:p>
      <w:pPr>
        <w:spacing w:after="0" w:line="200" w:lineRule="exact"/>
        <w:rPr>
          <w:sz w:val="20"/>
          <w:szCs w:val="20"/>
          <w:color w:val="auto"/>
        </w:rPr>
      </w:pPr>
    </w:p>
    <w:p>
      <w:pPr>
        <w:spacing w:after="0" w:line="20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7560" w:type="dxa"/>
            <w:vAlign w:val="bottom"/>
          </w:tcPr>
          <w:p>
            <w:pPr>
              <w:jc w:val="right"/>
              <w:ind w:right="1828"/>
              <w:spacing w:after="0"/>
              <w:rPr>
                <w:sz w:val="20"/>
                <w:szCs w:val="20"/>
                <w:color w:val="auto"/>
              </w:rPr>
            </w:pPr>
            <w:r>
              <w:rPr>
                <w:rFonts w:ascii="Arial" w:cs="Arial" w:eastAsia="Arial" w:hAnsi="Arial"/>
                <w:sz w:val="14"/>
                <w:szCs w:val="14"/>
                <w:color w:val="auto"/>
              </w:rPr>
              <w:t>3</w:t>
            </w:r>
          </w:p>
        </w:tc>
        <w:tc>
          <w:tcPr>
            <w:tcW w:w="3700" w:type="dxa"/>
            <w:vAlign w:val="bottom"/>
          </w:tcPr>
          <w:p>
            <w:pPr>
              <w:jc w:val="right"/>
              <w:spacing w:after="0"/>
              <w:rPr>
                <w:sz w:val="20"/>
                <w:szCs w:val="20"/>
                <w:color w:val="auto"/>
              </w:rPr>
            </w:pPr>
            <w:r>
              <w:rPr>
                <w:rFonts w:ascii="Arial" w:cs="Arial" w:eastAsia="Arial" w:hAnsi="Arial"/>
                <w:sz w:val="14"/>
                <w:szCs w:val="14"/>
                <w:i w:val="1"/>
                <w:iCs w:val="1"/>
                <w:color w:val="auto"/>
              </w:rPr>
              <w:t>Second Amended and Restated</w:t>
            </w:r>
          </w:p>
        </w:tc>
      </w:tr>
      <w:tr>
        <w:trPr>
          <w:trHeight w:val="182"/>
        </w:trPr>
        <w:tc>
          <w:tcPr>
            <w:tcW w:w="7560" w:type="dxa"/>
            <w:vAlign w:val="bottom"/>
          </w:tcPr>
          <w:p>
            <w:pPr>
              <w:spacing w:after="0"/>
              <w:rPr>
                <w:sz w:val="15"/>
                <w:szCs w:val="15"/>
                <w:color w:val="auto"/>
              </w:rPr>
            </w:pPr>
          </w:p>
        </w:tc>
        <w:tc>
          <w:tcPr>
            <w:tcW w:w="3700" w:type="dxa"/>
            <w:vAlign w:val="bottom"/>
          </w:tcPr>
          <w:p>
            <w:pPr>
              <w:jc w:val="right"/>
              <w:spacing w:after="0"/>
              <w:rPr>
                <w:sz w:val="20"/>
                <w:szCs w:val="20"/>
                <w:color w:val="auto"/>
              </w:rPr>
            </w:pPr>
            <w:r>
              <w:rPr>
                <w:rFonts w:ascii="Arial" w:cs="Arial" w:eastAsia="Arial" w:hAnsi="Arial"/>
                <w:sz w:val="14"/>
                <w:szCs w:val="14"/>
                <w:i w:val="1"/>
                <w:iCs w:val="1"/>
                <w:color w:val="auto"/>
              </w:rPr>
              <w:t>Revolving Credit Agreement</w:t>
            </w:r>
          </w:p>
        </w:tc>
      </w:tr>
      <w:tr>
        <w:trPr>
          <w:trHeight w:val="316"/>
        </w:trPr>
        <w:tc>
          <w:tcPr>
            <w:tcW w:w="7560" w:type="dxa"/>
            <w:vAlign w:val="bottom"/>
            <w:tcBorders>
              <w:bottom w:val="single" w:sz="8" w:color="9A9A9A"/>
            </w:tcBorders>
          </w:tcPr>
          <w:p>
            <w:pPr>
              <w:spacing w:after="0"/>
              <w:rPr>
                <w:sz w:val="24"/>
                <w:szCs w:val="24"/>
                <w:color w:val="auto"/>
              </w:rPr>
            </w:pPr>
          </w:p>
        </w:tc>
        <w:tc>
          <w:tcPr>
            <w:tcW w:w="370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7145655</wp:posOffset>
            </wp:positionH>
            <wp:positionV relativeFrom="paragraph">
              <wp:posOffset>-8255</wp:posOffset>
            </wp:positionV>
            <wp:extent cx="8255" cy="8890"/>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-16510</wp:posOffset>
            </wp:positionV>
            <wp:extent cx="8890" cy="17145"/>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8890" cy="17145"/>
                    </a:xfrm>
                    <a:prstGeom prst="rect">
                      <a:avLst/>
                    </a:prstGeom>
                    <a:noFill/>
                  </pic:spPr>
                </pic:pic>
              </a:graphicData>
            </a:graphic>
          </wp:anchor>
        </w:drawing>
      </w:r>
    </w:p>
    <w:p>
      <w:pPr>
        <w:sectPr>
          <w:pgSz w:w="11900" w:h="16838" w:orient="portrait"/>
          <w:cols w:equalWidth="0" w:num="1">
            <w:col w:w="11260"/>
          </w:cols>
          <w:pgMar w:left="320" w:top="337" w:right="319" w:bottom="1440" w:gutter="0" w:footer="0" w:header="0"/>
        </w:sectPr>
      </w:pPr>
    </w:p>
    <w:bookmarkStart w:id="66" w:name="page67"/>
    <w:bookmarkEnd w:id="66"/>
    <w:p>
      <w:pPr>
        <w:jc w:val="both"/>
        <w:ind w:right="20"/>
        <w:spacing w:after="0" w:line="238" w:lineRule="auto"/>
        <w:rPr>
          <w:sz w:val="20"/>
          <w:szCs w:val="20"/>
          <w:color w:val="auto"/>
        </w:rPr>
      </w:pPr>
      <w:r>
        <w:rPr>
          <w:rFonts w:ascii="Arial" w:cs="Arial" w:eastAsia="Arial" w:hAnsi="Arial"/>
          <w:sz w:val="14"/>
          <w:szCs w:val="14"/>
          <w:color w:val="auto"/>
        </w:rPr>
        <w:t>continuation of, a payment or prepayment of principal of or interest on, or the Interest Period for, any Borrowing denominated in any Foreign Currency, or to a notice by the Borrower with respect to any such borrowing, continuation, payment, prepayment or Interest Period, that is also a day on which commercial banks and the London foreign exchange market settle payments in the Principal Financial Center for such Foreign Currency.</w:t>
      </w:r>
    </w:p>
    <w:p>
      <w:pPr>
        <w:spacing w:after="0" w:line="183" w:lineRule="exact"/>
        <w:rPr>
          <w:sz w:val="20"/>
          <w:szCs w:val="20"/>
          <w:color w:val="auto"/>
        </w:rPr>
      </w:pPr>
    </w:p>
    <w:p>
      <w:pPr>
        <w:jc w:val="both"/>
        <w:ind w:right="20" w:firstLine="1727"/>
        <w:spacing w:after="0" w:line="248" w:lineRule="auto"/>
        <w:rPr>
          <w:sz w:val="20"/>
          <w:szCs w:val="20"/>
          <w:color w:val="auto"/>
        </w:rPr>
      </w:pPr>
      <w:r>
        <w:rPr>
          <w:rFonts w:ascii="Arial" w:cs="Arial" w:eastAsia="Arial" w:hAnsi="Arial"/>
          <w:sz w:val="13"/>
          <w:szCs w:val="13"/>
          <w:color w:val="auto"/>
        </w:rPr>
        <w:t>“</w:t>
      </w:r>
      <w:r>
        <w:rPr>
          <w:rFonts w:ascii="Arial" w:cs="Arial" w:eastAsia="Arial" w:hAnsi="Arial"/>
          <w:sz w:val="13"/>
          <w:szCs w:val="13"/>
          <w:u w:val="single" w:color="auto"/>
          <w:color w:val="auto"/>
        </w:rPr>
        <w:t>Calculation Amount</w:t>
      </w:r>
      <w:r>
        <w:rPr>
          <w:rFonts w:ascii="Arial" w:cs="Arial" w:eastAsia="Arial" w:hAnsi="Arial"/>
          <w:sz w:val="13"/>
          <w:szCs w:val="13"/>
          <w:color w:val="auto"/>
        </w:rPr>
        <w:t xml:space="preserve">” shall mean, as of the end of any Testing Quarter, an amount equal to the greater of: (a) (i) 125% of the Adjusted Covered Debt Balance (as of the end of such Testing Quarter) </w:t>
      </w:r>
      <w:r>
        <w:rPr>
          <w:rFonts w:ascii="Arial" w:cs="Arial" w:eastAsia="Arial" w:hAnsi="Arial"/>
          <w:sz w:val="13"/>
          <w:szCs w:val="13"/>
          <w:u w:val="single" w:color="auto"/>
          <w:color w:val="auto"/>
        </w:rPr>
        <w:t>minus</w:t>
      </w:r>
      <w:r>
        <w:rPr>
          <w:rFonts w:ascii="Arial" w:cs="Arial" w:eastAsia="Arial" w:hAnsi="Arial"/>
          <w:sz w:val="13"/>
          <w:szCs w:val="13"/>
          <w:color w:val="auto"/>
        </w:rPr>
        <w:t xml:space="preserve"> (ii) the aggregate Value of all Quoted Investments (including, without duplication, Market Value Investments) included in the Borrowing Base (as of the end of such Testing Quarter) and (b) 10% of the aggregate Value (or as near thereto as reasonably practicable) of all Unquoted Investments included in the Borrowing Base (as of the end of such Testing Quarter); </w:t>
      </w:r>
      <w:r>
        <w:rPr>
          <w:rFonts w:ascii="Arial" w:cs="Arial" w:eastAsia="Arial" w:hAnsi="Arial"/>
          <w:sz w:val="13"/>
          <w:szCs w:val="13"/>
          <w:u w:val="single" w:color="auto"/>
          <w:color w:val="auto"/>
        </w:rPr>
        <w:t>provided</w:t>
      </w:r>
      <w:r>
        <w:rPr>
          <w:rFonts w:ascii="Arial" w:cs="Arial" w:eastAsia="Arial" w:hAnsi="Arial"/>
          <w:sz w:val="13"/>
          <w:szCs w:val="13"/>
          <w:color w:val="auto"/>
        </w:rPr>
        <w:t xml:space="preserve"> that in no event shall more than 25% (or, if </w:t>
      </w:r>
      <w:r>
        <w:rPr>
          <w:rFonts w:ascii="Arial" w:cs="Arial" w:eastAsia="Arial" w:hAnsi="Arial"/>
          <w:sz w:val="13"/>
          <w:szCs w:val="13"/>
          <w:u w:val="single" w:color="auto"/>
          <w:color w:val="auto"/>
        </w:rPr>
        <w:t>clause (b)</w:t>
      </w:r>
      <w:r>
        <w:rPr>
          <w:rFonts w:ascii="Arial" w:cs="Arial" w:eastAsia="Arial" w:hAnsi="Arial"/>
          <w:sz w:val="13"/>
          <w:szCs w:val="13"/>
          <w:color w:val="auto"/>
        </w:rPr>
        <w:t xml:space="preserve"> applies, 10%) of the aggregate Value (or as near thereto as reasonably practicable) of all Unquoted Investments in the Borrowing Base be subject to testing by the Administrative Agent pursuant to </w:t>
      </w:r>
      <w:r>
        <w:rPr>
          <w:rFonts w:ascii="Arial" w:cs="Arial" w:eastAsia="Arial" w:hAnsi="Arial"/>
          <w:sz w:val="13"/>
          <w:szCs w:val="13"/>
          <w:u w:val="single" w:color="auto"/>
          <w:color w:val="auto"/>
        </w:rPr>
        <w:t>Section 5.12(b)(ii)(E)</w:t>
      </w:r>
      <w:r>
        <w:rPr>
          <w:rFonts w:ascii="Arial" w:cs="Arial" w:eastAsia="Arial" w:hAnsi="Arial"/>
          <w:sz w:val="13"/>
          <w:szCs w:val="13"/>
          <w:color w:val="auto"/>
        </w:rPr>
        <w:t xml:space="preserve"> in respect of any applicable Testing Quarter; </w:t>
      </w:r>
      <w:r>
        <w:rPr>
          <w:rFonts w:ascii="Arial" w:cs="Arial" w:eastAsia="Arial" w:hAnsi="Arial"/>
          <w:sz w:val="13"/>
          <w:szCs w:val="13"/>
          <w:u w:val="single" w:color="auto"/>
          <w:color w:val="auto"/>
        </w:rPr>
        <w:t>provided</w:t>
      </w:r>
      <w:r>
        <w:rPr>
          <w:rFonts w:ascii="Arial" w:cs="Arial" w:eastAsia="Arial" w:hAnsi="Arial"/>
          <w:sz w:val="13"/>
          <w:szCs w:val="13"/>
          <w:color w:val="auto"/>
        </w:rPr>
        <w:t xml:space="preserve">, </w:t>
      </w:r>
      <w:r>
        <w:rPr>
          <w:rFonts w:ascii="Arial" w:cs="Arial" w:eastAsia="Arial" w:hAnsi="Arial"/>
          <w:sz w:val="13"/>
          <w:szCs w:val="13"/>
          <w:u w:val="single" w:color="auto"/>
          <w:color w:val="auto"/>
        </w:rPr>
        <w:t>further</w:t>
      </w:r>
      <w:r>
        <w:rPr>
          <w:rFonts w:ascii="Arial" w:cs="Arial" w:eastAsia="Arial" w:hAnsi="Arial"/>
          <w:sz w:val="13"/>
          <w:szCs w:val="13"/>
          <w:color w:val="auto"/>
        </w:rPr>
        <w:t>, that notwithstanding anything to the contrary in this Agreement, Market Value Investments shall be deemed to be Quoted Investments for purposes of this definition.</w:t>
      </w:r>
    </w:p>
    <w:p>
      <w:pPr>
        <w:spacing w:after="0" w:line="180" w:lineRule="exact"/>
        <w:rPr>
          <w:sz w:val="20"/>
          <w:szCs w:val="20"/>
          <w:color w:val="auto"/>
        </w:rPr>
      </w:pPr>
    </w:p>
    <w:p>
      <w:pPr>
        <w:ind w:left="1740"/>
        <w:spacing w:after="0"/>
        <w:rPr>
          <w:sz w:val="20"/>
          <w:szCs w:val="20"/>
          <w:color w:val="auto"/>
        </w:rPr>
      </w:pPr>
      <w:r>
        <w:rPr>
          <w:rFonts w:ascii="Arial" w:cs="Arial" w:eastAsia="Arial" w:hAnsi="Arial"/>
          <w:sz w:val="14"/>
          <w:szCs w:val="14"/>
          <w:color w:val="auto"/>
        </w:rPr>
        <w:t>“</w:t>
      </w:r>
      <w:r>
        <w:rPr>
          <w:rFonts w:ascii="Arial" w:cs="Arial" w:eastAsia="Arial" w:hAnsi="Arial"/>
          <w:sz w:val="14"/>
          <w:szCs w:val="14"/>
          <w:u w:val="single" w:color="auto"/>
          <w:color w:val="auto"/>
        </w:rPr>
        <w:t>CAM Exchange</w:t>
      </w:r>
      <w:r>
        <w:rPr>
          <w:rFonts w:ascii="Arial" w:cs="Arial" w:eastAsia="Arial" w:hAnsi="Arial"/>
          <w:sz w:val="14"/>
          <w:szCs w:val="14"/>
          <w:color w:val="auto"/>
        </w:rPr>
        <w:t xml:space="preserve">” means the exchange of the Lenders’ interests provided for in </w:t>
      </w:r>
      <w:r>
        <w:rPr>
          <w:rFonts w:ascii="Arial" w:cs="Arial" w:eastAsia="Arial" w:hAnsi="Arial"/>
          <w:sz w:val="14"/>
          <w:szCs w:val="14"/>
          <w:u w:val="single" w:color="auto"/>
          <w:color w:val="auto"/>
        </w:rPr>
        <w:t>Article VII</w:t>
      </w:r>
      <w:r>
        <w:rPr>
          <w:rFonts w:ascii="Arial" w:cs="Arial" w:eastAsia="Arial" w:hAnsi="Arial"/>
          <w:sz w:val="14"/>
          <w:szCs w:val="14"/>
          <w:color w:val="auto"/>
        </w:rPr>
        <w:t>.</w:t>
      </w:r>
    </w:p>
    <w:p>
      <w:pPr>
        <w:spacing w:after="0" w:line="204" w:lineRule="exact"/>
        <w:rPr>
          <w:sz w:val="20"/>
          <w:szCs w:val="20"/>
          <w:color w:val="auto"/>
        </w:rPr>
      </w:pPr>
    </w:p>
    <w:p>
      <w:pPr>
        <w:jc w:val="both"/>
        <w:ind w:right="20" w:firstLine="1727"/>
        <w:spacing w:after="0" w:line="253" w:lineRule="auto"/>
        <w:rPr>
          <w:sz w:val="20"/>
          <w:szCs w:val="20"/>
          <w:color w:val="auto"/>
        </w:rPr>
      </w:pPr>
      <w:r>
        <w:rPr>
          <w:rFonts w:ascii="Arial" w:cs="Arial" w:eastAsia="Arial" w:hAnsi="Arial"/>
          <w:sz w:val="14"/>
          <w:szCs w:val="14"/>
          <w:color w:val="auto"/>
        </w:rPr>
        <w:t>“</w:t>
      </w:r>
      <w:r>
        <w:rPr>
          <w:rFonts w:ascii="Arial" w:cs="Arial" w:eastAsia="Arial" w:hAnsi="Arial"/>
          <w:sz w:val="14"/>
          <w:szCs w:val="14"/>
          <w:u w:val="single" w:color="auto"/>
          <w:color w:val="auto"/>
        </w:rPr>
        <w:t>CAM Exchange Date</w:t>
      </w:r>
      <w:r>
        <w:rPr>
          <w:rFonts w:ascii="Arial" w:cs="Arial" w:eastAsia="Arial" w:hAnsi="Arial"/>
          <w:sz w:val="14"/>
          <w:szCs w:val="14"/>
          <w:color w:val="auto"/>
        </w:rPr>
        <w:t xml:space="preserve">” means the date on which any Event of Default referred to in </w:t>
      </w:r>
      <w:r>
        <w:rPr>
          <w:rFonts w:ascii="Arial" w:cs="Arial" w:eastAsia="Arial" w:hAnsi="Arial"/>
          <w:sz w:val="14"/>
          <w:szCs w:val="14"/>
          <w:u w:val="single" w:color="auto"/>
          <w:color w:val="auto"/>
        </w:rPr>
        <w:t>clause (j)</w:t>
      </w:r>
      <w:r>
        <w:rPr>
          <w:rFonts w:ascii="Arial" w:cs="Arial" w:eastAsia="Arial" w:hAnsi="Arial"/>
          <w:sz w:val="14"/>
          <w:szCs w:val="14"/>
          <w:color w:val="auto"/>
        </w:rPr>
        <w:t xml:space="preserve"> of </w:t>
      </w:r>
      <w:r>
        <w:rPr>
          <w:rFonts w:ascii="Arial" w:cs="Arial" w:eastAsia="Arial" w:hAnsi="Arial"/>
          <w:sz w:val="14"/>
          <w:szCs w:val="14"/>
          <w:u w:val="single" w:color="auto"/>
          <w:color w:val="auto"/>
        </w:rPr>
        <w:t>Article VII</w:t>
      </w:r>
      <w:r>
        <w:rPr>
          <w:rFonts w:ascii="Arial" w:cs="Arial" w:eastAsia="Arial" w:hAnsi="Arial"/>
          <w:sz w:val="14"/>
          <w:szCs w:val="14"/>
          <w:color w:val="auto"/>
        </w:rPr>
        <w:t xml:space="preserve"> shall occur or the date on which the Borrower receives written notice from the Administrative Agent that any Event of Default referred to in </w:t>
      </w:r>
      <w:r>
        <w:rPr>
          <w:rFonts w:ascii="Arial" w:cs="Arial" w:eastAsia="Arial" w:hAnsi="Arial"/>
          <w:sz w:val="14"/>
          <w:szCs w:val="14"/>
          <w:u w:val="single" w:color="auto"/>
          <w:color w:val="auto"/>
        </w:rPr>
        <w:t>clause (i)</w:t>
      </w:r>
      <w:r>
        <w:rPr>
          <w:rFonts w:ascii="Arial" w:cs="Arial" w:eastAsia="Arial" w:hAnsi="Arial"/>
          <w:sz w:val="14"/>
          <w:szCs w:val="14"/>
          <w:color w:val="auto"/>
        </w:rPr>
        <w:t xml:space="preserve"> of </w:t>
      </w:r>
      <w:r>
        <w:rPr>
          <w:rFonts w:ascii="Arial" w:cs="Arial" w:eastAsia="Arial" w:hAnsi="Arial"/>
          <w:sz w:val="14"/>
          <w:szCs w:val="14"/>
          <w:u w:val="single" w:color="auto"/>
          <w:color w:val="auto"/>
        </w:rPr>
        <w:t>Article VII</w:t>
      </w:r>
      <w:r>
        <w:rPr>
          <w:rFonts w:ascii="Arial" w:cs="Arial" w:eastAsia="Arial" w:hAnsi="Arial"/>
          <w:sz w:val="14"/>
          <w:szCs w:val="14"/>
          <w:color w:val="auto"/>
        </w:rPr>
        <w:t xml:space="preserve"> has occurred.</w:t>
      </w:r>
    </w:p>
    <w:p>
      <w:pPr>
        <w:spacing w:after="0" w:line="174" w:lineRule="exact"/>
        <w:rPr>
          <w:sz w:val="20"/>
          <w:szCs w:val="20"/>
          <w:color w:val="auto"/>
        </w:rPr>
      </w:pPr>
    </w:p>
    <w:p>
      <w:pPr>
        <w:jc w:val="both"/>
        <w:ind w:right="20" w:firstLine="1727"/>
        <w:spacing w:after="0" w:line="264" w:lineRule="auto"/>
        <w:rPr>
          <w:sz w:val="20"/>
          <w:szCs w:val="20"/>
          <w:color w:val="auto"/>
        </w:rPr>
      </w:pPr>
      <w:r>
        <w:rPr>
          <w:rFonts w:ascii="Arial" w:cs="Arial" w:eastAsia="Arial" w:hAnsi="Arial"/>
          <w:sz w:val="13"/>
          <w:szCs w:val="13"/>
          <w:color w:val="auto"/>
        </w:rPr>
        <w:t>“</w:t>
      </w:r>
      <w:r>
        <w:rPr>
          <w:rFonts w:ascii="Arial" w:cs="Arial" w:eastAsia="Arial" w:hAnsi="Arial"/>
          <w:sz w:val="13"/>
          <w:szCs w:val="13"/>
          <w:u w:val="single" w:color="auto"/>
          <w:color w:val="auto"/>
        </w:rPr>
        <w:t>CAM Percentage</w:t>
      </w:r>
      <w:r>
        <w:rPr>
          <w:rFonts w:ascii="Arial" w:cs="Arial" w:eastAsia="Arial" w:hAnsi="Arial"/>
          <w:sz w:val="13"/>
          <w:szCs w:val="13"/>
          <w:color w:val="auto"/>
        </w:rPr>
        <w:t>” means, as to each Lender, a fraction, expressed as a decimal, of which (a) the numerator shall be the aggregate Dollar Equivalent of the Designated Obligations owed to such Lender (whether or not at the time due and payable) immediately prior to the CAM Exchange Date and (b) the denominator shall be the aggregate Dollar Equivalent amount of the Designated Obligations owed to all the Lenders (whether or not at the time due and payable) immediately prior to the CAM Exchange Date.</w:t>
      </w:r>
    </w:p>
    <w:p>
      <w:pPr>
        <w:spacing w:after="0" w:line="168" w:lineRule="exact"/>
        <w:rPr>
          <w:sz w:val="20"/>
          <w:szCs w:val="20"/>
          <w:color w:val="auto"/>
        </w:rPr>
      </w:pPr>
    </w:p>
    <w:p>
      <w:pPr>
        <w:jc w:val="both"/>
        <w:ind w:right="20" w:firstLine="1727"/>
        <w:spacing w:after="0" w:line="238" w:lineRule="auto"/>
        <w:rPr>
          <w:sz w:val="20"/>
          <w:szCs w:val="20"/>
          <w:color w:val="auto"/>
        </w:rPr>
      </w:pPr>
      <w:r>
        <w:rPr>
          <w:rFonts w:ascii="Arial" w:cs="Arial" w:eastAsia="Arial" w:hAnsi="Arial"/>
          <w:sz w:val="14"/>
          <w:szCs w:val="14"/>
          <w:color w:val="auto"/>
        </w:rPr>
        <w:t>“</w:t>
      </w:r>
      <w:r>
        <w:rPr>
          <w:rFonts w:ascii="Arial" w:cs="Arial" w:eastAsia="Arial" w:hAnsi="Arial"/>
          <w:sz w:val="14"/>
          <w:szCs w:val="14"/>
          <w:u w:val="single" w:color="auto"/>
          <w:color w:val="auto"/>
        </w:rPr>
        <w:t>Capital Lease Obligations</w:t>
      </w:r>
      <w:r>
        <w:rPr>
          <w:rFonts w:ascii="Arial" w:cs="Arial" w:eastAsia="Arial" w:hAnsi="Arial"/>
          <w:sz w:val="14"/>
          <w:szCs w:val="14"/>
          <w:color w:val="auto"/>
        </w:rPr>
        <w:t>” of any Person means the obligations of such Person to pay rent or other amounts under any lease of (or other arrangement conveying the right to use) real or personal property, or a combination thereof, which obligations are required to be classified and accounted for as capital leases or finance leases on a balance sheet of such Person under GAAP, and the amount of such obligations shall be the capitalized amount thereof determined in accordance with GAAP.</w:t>
      </w:r>
    </w:p>
    <w:p>
      <w:pPr>
        <w:spacing w:after="0" w:line="183" w:lineRule="exact"/>
        <w:rPr>
          <w:sz w:val="20"/>
          <w:szCs w:val="20"/>
          <w:color w:val="auto"/>
        </w:rPr>
      </w:pPr>
    </w:p>
    <w:p>
      <w:pPr>
        <w:ind w:left="1740"/>
        <w:spacing w:after="0"/>
        <w:rPr>
          <w:sz w:val="20"/>
          <w:szCs w:val="20"/>
          <w:color w:val="auto"/>
        </w:rPr>
      </w:pPr>
      <w:r>
        <w:rPr>
          <w:rFonts w:ascii="Arial" w:cs="Arial" w:eastAsia="Arial" w:hAnsi="Arial"/>
          <w:sz w:val="13"/>
          <w:szCs w:val="13"/>
          <w:color w:val="auto"/>
        </w:rPr>
        <w:t>“</w:t>
      </w:r>
      <w:r>
        <w:rPr>
          <w:rFonts w:ascii="Arial" w:cs="Arial" w:eastAsia="Arial" w:hAnsi="Arial"/>
          <w:sz w:val="13"/>
          <w:szCs w:val="13"/>
          <w:u w:val="single" w:color="auto"/>
          <w:color w:val="auto"/>
        </w:rPr>
        <w:t>Cash</w:t>
      </w:r>
      <w:r>
        <w:rPr>
          <w:rFonts w:ascii="Arial" w:cs="Arial" w:eastAsia="Arial" w:hAnsi="Arial"/>
          <w:sz w:val="13"/>
          <w:szCs w:val="13"/>
          <w:color w:val="auto"/>
        </w:rPr>
        <w:t>” means any immediately available funds in Dollars or in any currency other than Dollars (measured in terms of the Dollar Equivalent thereof) which is a</w:t>
      </w:r>
    </w:p>
    <w:p>
      <w:pPr>
        <w:spacing w:after="0" w:line="11" w:lineRule="exact"/>
        <w:rPr>
          <w:sz w:val="20"/>
          <w:szCs w:val="20"/>
          <w:color w:val="auto"/>
        </w:rPr>
      </w:pPr>
    </w:p>
    <w:p>
      <w:pPr>
        <w:spacing w:after="0"/>
        <w:rPr>
          <w:sz w:val="20"/>
          <w:szCs w:val="20"/>
          <w:color w:val="auto"/>
        </w:rPr>
      </w:pPr>
      <w:r>
        <w:rPr>
          <w:rFonts w:ascii="Arial" w:cs="Arial" w:eastAsia="Arial" w:hAnsi="Arial"/>
          <w:sz w:val="14"/>
          <w:szCs w:val="14"/>
          <w:color w:val="auto"/>
        </w:rPr>
        <w:t>freely convertible currency.</w:t>
      </w:r>
    </w:p>
    <w:p>
      <w:pPr>
        <w:spacing w:after="0" w:line="192" w:lineRule="exact"/>
        <w:rPr>
          <w:sz w:val="20"/>
          <w:szCs w:val="20"/>
          <w:color w:val="auto"/>
        </w:rPr>
      </w:pPr>
    </w:p>
    <w:p>
      <w:pPr>
        <w:jc w:val="both"/>
        <w:ind w:right="20" w:firstLine="1727"/>
        <w:spacing w:after="0" w:line="238" w:lineRule="auto"/>
        <w:rPr>
          <w:sz w:val="20"/>
          <w:szCs w:val="20"/>
          <w:color w:val="auto"/>
        </w:rPr>
      </w:pPr>
      <w:r>
        <w:rPr>
          <w:rFonts w:ascii="Arial" w:cs="Arial" w:eastAsia="Arial" w:hAnsi="Arial"/>
          <w:sz w:val="14"/>
          <w:szCs w:val="14"/>
          <w:color w:val="auto"/>
        </w:rPr>
        <w:t>“</w:t>
      </w:r>
      <w:r>
        <w:rPr>
          <w:rFonts w:ascii="Arial" w:cs="Arial" w:eastAsia="Arial" w:hAnsi="Arial"/>
          <w:sz w:val="14"/>
          <w:szCs w:val="14"/>
          <w:u w:val="single" w:color="auto"/>
          <w:color w:val="auto"/>
        </w:rPr>
        <w:t>Cash Collateralize</w:t>
      </w:r>
      <w:r>
        <w:rPr>
          <w:rFonts w:ascii="Arial" w:cs="Arial" w:eastAsia="Arial" w:hAnsi="Arial"/>
          <w:sz w:val="14"/>
          <w:szCs w:val="14"/>
          <w:color w:val="auto"/>
        </w:rPr>
        <w:t xml:space="preserve">” means, in respect of a Letter of Credit or any obligation hereunder, to provide and pledge cash collateral pursuant to </w:t>
      </w:r>
      <w:r>
        <w:rPr>
          <w:rFonts w:ascii="Arial" w:cs="Arial" w:eastAsia="Arial" w:hAnsi="Arial"/>
          <w:sz w:val="14"/>
          <w:szCs w:val="14"/>
          <w:u w:val="single" w:color="auto"/>
          <w:color w:val="auto"/>
        </w:rPr>
        <w:t>Section 2.05(k)</w:t>
      </w:r>
      <w:r>
        <w:rPr>
          <w:rFonts w:ascii="Arial" w:cs="Arial" w:eastAsia="Arial" w:hAnsi="Arial"/>
          <w:sz w:val="14"/>
          <w:szCs w:val="14"/>
          <w:color w:val="auto"/>
        </w:rPr>
        <w:t>, at a location and pursuant to documentation in form and substance reasonably satisfactory to Administrative Agent and the Issuing Bank. “</w:t>
      </w:r>
      <w:r>
        <w:rPr>
          <w:rFonts w:ascii="Arial" w:cs="Arial" w:eastAsia="Arial" w:hAnsi="Arial"/>
          <w:sz w:val="14"/>
          <w:szCs w:val="14"/>
          <w:u w:val="single" w:color="auto"/>
          <w:color w:val="auto"/>
        </w:rPr>
        <w:t>Cash Collateral</w:t>
      </w:r>
      <w:r>
        <w:rPr>
          <w:rFonts w:ascii="Arial" w:cs="Arial" w:eastAsia="Arial" w:hAnsi="Arial"/>
          <w:sz w:val="14"/>
          <w:szCs w:val="14"/>
          <w:color w:val="auto"/>
        </w:rPr>
        <w:t>” shall have a meaning correlative to the foregoing and shall include the proceeds of such cash collateral and other credit support.</w:t>
      </w:r>
    </w:p>
    <w:p>
      <w:pPr>
        <w:spacing w:after="0" w:line="183" w:lineRule="exact"/>
        <w:rPr>
          <w:sz w:val="20"/>
          <w:szCs w:val="20"/>
          <w:color w:val="auto"/>
        </w:rPr>
      </w:pPr>
    </w:p>
    <w:p>
      <w:pPr>
        <w:ind w:left="1740"/>
        <w:spacing w:after="0"/>
        <w:rPr>
          <w:sz w:val="20"/>
          <w:szCs w:val="20"/>
          <w:color w:val="auto"/>
        </w:rPr>
      </w:pPr>
      <w:r>
        <w:rPr>
          <w:rFonts w:ascii="Arial" w:cs="Arial" w:eastAsia="Arial" w:hAnsi="Arial"/>
          <w:sz w:val="14"/>
          <w:szCs w:val="14"/>
          <w:color w:val="auto"/>
        </w:rPr>
        <w:t>“</w:t>
      </w:r>
      <w:r>
        <w:rPr>
          <w:rFonts w:ascii="Arial" w:cs="Arial" w:eastAsia="Arial" w:hAnsi="Arial"/>
          <w:sz w:val="14"/>
          <w:szCs w:val="14"/>
          <w:u w:val="single" w:color="auto"/>
          <w:color w:val="auto"/>
        </w:rPr>
        <w:t>Cash Equivalents</w:t>
      </w:r>
      <w:r>
        <w:rPr>
          <w:rFonts w:ascii="Arial" w:cs="Arial" w:eastAsia="Arial" w:hAnsi="Arial"/>
          <w:sz w:val="14"/>
          <w:szCs w:val="14"/>
          <w:color w:val="auto"/>
        </w:rPr>
        <w:t>” means investments (other than Cash) that are one or more of the following obligations:</w:t>
      </w:r>
    </w:p>
    <w:p>
      <w:pPr>
        <w:spacing w:after="0" w:line="204" w:lineRule="exact"/>
        <w:rPr>
          <w:sz w:val="20"/>
          <w:szCs w:val="20"/>
          <w:color w:val="auto"/>
        </w:rPr>
      </w:pPr>
    </w:p>
    <w:p>
      <w:pPr>
        <w:ind w:left="2540" w:hanging="805"/>
        <w:spacing w:after="0"/>
        <w:tabs>
          <w:tab w:leader="none" w:pos="2540" w:val="left"/>
        </w:tabs>
        <w:numPr>
          <w:ilvl w:val="0"/>
          <w:numId w:val="30"/>
        </w:numPr>
        <w:rPr>
          <w:rFonts w:ascii="Arial" w:cs="Arial" w:eastAsia="Arial" w:hAnsi="Arial"/>
          <w:sz w:val="14"/>
          <w:szCs w:val="14"/>
          <w:color w:val="auto"/>
        </w:rPr>
      </w:pPr>
      <w:r>
        <w:rPr>
          <w:rFonts w:ascii="Arial" w:cs="Arial" w:eastAsia="Arial" w:hAnsi="Arial"/>
          <w:sz w:val="14"/>
          <w:szCs w:val="14"/>
          <w:color w:val="auto"/>
        </w:rPr>
        <w:t>U.S. Government Securities, in each case maturing within one year from the date of acquisition thereof;</w:t>
      </w:r>
    </w:p>
    <w:p>
      <w:pPr>
        <w:spacing w:after="0" w:line="203" w:lineRule="exact"/>
        <w:rPr>
          <w:rFonts w:ascii="Arial" w:cs="Arial" w:eastAsia="Arial" w:hAnsi="Arial"/>
          <w:sz w:val="14"/>
          <w:szCs w:val="14"/>
          <w:color w:val="auto"/>
        </w:rPr>
      </w:pPr>
    </w:p>
    <w:p>
      <w:pPr>
        <w:jc w:val="both"/>
        <w:ind w:right="20" w:firstLine="1735"/>
        <w:spacing w:after="0" w:line="160" w:lineRule="exact"/>
        <w:tabs>
          <w:tab w:leader="none" w:pos="2543" w:val="left"/>
        </w:tabs>
        <w:numPr>
          <w:ilvl w:val="0"/>
          <w:numId w:val="30"/>
        </w:numPr>
        <w:rPr>
          <w:rFonts w:ascii="Arial" w:cs="Arial" w:eastAsia="Arial" w:hAnsi="Arial"/>
          <w:sz w:val="14"/>
          <w:szCs w:val="14"/>
          <w:color w:val="auto"/>
        </w:rPr>
      </w:pPr>
      <w:r>
        <w:rPr>
          <w:rFonts w:ascii="Arial" w:cs="Arial" w:eastAsia="Arial" w:hAnsi="Arial"/>
          <w:sz w:val="14"/>
          <w:szCs w:val="14"/>
          <w:color w:val="auto"/>
        </w:rPr>
        <w:t>investments in commercial paper maturing within 270 days from the date of acquisition thereof and having, at such date of acquisition, a credit rating of at least A</w:t>
      </w:r>
      <w:r>
        <w:rPr>
          <w:rFonts w:ascii="MS PGothic" w:cs="MS PGothic" w:eastAsia="MS PGothic" w:hAnsi="MS PGothic"/>
          <w:sz w:val="14"/>
          <w:szCs w:val="14"/>
          <w:color w:val="auto"/>
        </w:rPr>
        <w:t>‑</w:t>
      </w:r>
      <w:r>
        <w:rPr>
          <w:rFonts w:ascii="Arial" w:cs="Arial" w:eastAsia="Arial" w:hAnsi="Arial"/>
          <w:sz w:val="14"/>
          <w:szCs w:val="14"/>
          <w:color w:val="auto"/>
        </w:rPr>
        <w:t>1 from S&amp;P and at least P</w:t>
      </w:r>
      <w:r>
        <w:rPr>
          <w:rFonts w:ascii="MS PGothic" w:cs="MS PGothic" w:eastAsia="MS PGothic" w:hAnsi="MS PGothic"/>
          <w:sz w:val="14"/>
          <w:szCs w:val="14"/>
          <w:color w:val="auto"/>
        </w:rPr>
        <w:t>‑</w:t>
      </w:r>
      <w:r>
        <w:rPr>
          <w:rFonts w:ascii="Arial" w:cs="Arial" w:eastAsia="Arial" w:hAnsi="Arial"/>
          <w:sz w:val="14"/>
          <w:szCs w:val="14"/>
          <w:color w:val="auto"/>
        </w:rPr>
        <w:t>1 from Moody’s (or if only one of S&amp;P or Moody’s provides such rating, such investment shall also have an equivalent credit rating from any other rating agency);</w:t>
      </w:r>
    </w:p>
    <w:p>
      <w:pPr>
        <w:spacing w:after="0" w:line="182" w:lineRule="exact"/>
        <w:rPr>
          <w:rFonts w:ascii="Arial" w:cs="Arial" w:eastAsia="Arial" w:hAnsi="Arial"/>
          <w:sz w:val="14"/>
          <w:szCs w:val="14"/>
          <w:color w:val="auto"/>
        </w:rPr>
      </w:pPr>
    </w:p>
    <w:p>
      <w:pPr>
        <w:jc w:val="both"/>
        <w:ind w:right="20" w:firstLine="1735"/>
        <w:spacing w:after="0" w:line="154" w:lineRule="exact"/>
        <w:tabs>
          <w:tab w:leader="none" w:pos="2535" w:val="left"/>
        </w:tabs>
        <w:numPr>
          <w:ilvl w:val="0"/>
          <w:numId w:val="30"/>
        </w:numPr>
        <w:rPr>
          <w:rFonts w:ascii="Arial" w:cs="Arial" w:eastAsia="Arial" w:hAnsi="Arial"/>
          <w:sz w:val="14"/>
          <w:szCs w:val="14"/>
          <w:color w:val="auto"/>
        </w:rPr>
      </w:pPr>
      <w:r>
        <w:rPr>
          <w:rFonts w:ascii="Arial" w:cs="Arial" w:eastAsia="Arial" w:hAnsi="Arial"/>
          <w:sz w:val="14"/>
          <w:szCs w:val="14"/>
          <w:color w:val="auto"/>
        </w:rPr>
        <w:t xml:space="preserve">investments in certificates of deposit, bankers’ acceptances and time deposits maturing within 180 days from the date of acquisition thereof (i) issued or guaranteed by or placed with, and money market deposit accounts issued or offered by, any domestic office of any commercial bank organized under the laws of the United States of America or any State thereof or under the laws of the jurisdiction or any constituent jurisdiction thereof in which the Principal Financial Center in respect of any Agreed Foreign Currency is located; </w:t>
      </w:r>
      <w:r>
        <w:rPr>
          <w:rFonts w:ascii="Arial" w:cs="Arial" w:eastAsia="Arial" w:hAnsi="Arial"/>
          <w:sz w:val="14"/>
          <w:szCs w:val="14"/>
          <w:u w:val="single" w:color="auto"/>
          <w:color w:val="auto"/>
        </w:rPr>
        <w:t>provided</w:t>
      </w:r>
      <w:r>
        <w:rPr>
          <w:rFonts w:ascii="Arial" w:cs="Arial" w:eastAsia="Arial" w:hAnsi="Arial"/>
          <w:sz w:val="14"/>
          <w:szCs w:val="14"/>
          <w:color w:val="auto"/>
        </w:rPr>
        <w:t xml:space="preserve"> that such certificates of deposit, banker’s acceptances and time deposits are held in a securities account (as defined in the Uniform Commercial Code) through which the Collateral Agent can perfect a security interest therein and (ii) having, at such date of acquisition, a credit rating of at least A</w:t>
      </w:r>
      <w:r>
        <w:rPr>
          <w:rFonts w:ascii="MS PGothic" w:cs="MS PGothic" w:eastAsia="MS PGothic" w:hAnsi="MS PGothic"/>
          <w:sz w:val="14"/>
          <w:szCs w:val="14"/>
          <w:color w:val="auto"/>
        </w:rPr>
        <w:t>‑</w:t>
      </w:r>
      <w:r>
        <w:rPr>
          <w:rFonts w:ascii="Arial" w:cs="Arial" w:eastAsia="Arial" w:hAnsi="Arial"/>
          <w:sz w:val="14"/>
          <w:szCs w:val="14"/>
          <w:color w:val="auto"/>
        </w:rPr>
        <w:t>1 from S&amp;P and at least P</w:t>
      </w:r>
      <w:r>
        <w:rPr>
          <w:rFonts w:ascii="MS PGothic" w:cs="MS PGothic" w:eastAsia="MS PGothic" w:hAnsi="MS PGothic"/>
          <w:sz w:val="14"/>
          <w:szCs w:val="14"/>
          <w:color w:val="auto"/>
        </w:rPr>
        <w:t>‑</w:t>
      </w:r>
      <w:r>
        <w:rPr>
          <w:rFonts w:ascii="Arial" w:cs="Arial" w:eastAsia="Arial" w:hAnsi="Arial"/>
          <w:sz w:val="14"/>
          <w:szCs w:val="14"/>
          <w:color w:val="auto"/>
        </w:rPr>
        <w:t>1 from Moody’s (or if only one of S&amp;P or Moody’s provides such rating, such investment shall also have an equivalent credit rating from any other rating agency);</w:t>
      </w:r>
    </w:p>
    <w:p>
      <w:pPr>
        <w:spacing w:after="0" w:line="185" w:lineRule="exact"/>
        <w:rPr>
          <w:rFonts w:ascii="Arial" w:cs="Arial" w:eastAsia="Arial" w:hAnsi="Arial"/>
          <w:sz w:val="14"/>
          <w:szCs w:val="14"/>
          <w:color w:val="auto"/>
        </w:rPr>
      </w:pPr>
    </w:p>
    <w:p>
      <w:pPr>
        <w:jc w:val="both"/>
        <w:ind w:right="20" w:firstLine="1735"/>
        <w:spacing w:after="0" w:line="157" w:lineRule="exact"/>
        <w:tabs>
          <w:tab w:leader="none" w:pos="2543" w:val="left"/>
        </w:tabs>
        <w:numPr>
          <w:ilvl w:val="0"/>
          <w:numId w:val="30"/>
        </w:numPr>
        <w:rPr>
          <w:rFonts w:ascii="Arial" w:cs="Arial" w:eastAsia="Arial" w:hAnsi="Arial"/>
          <w:sz w:val="14"/>
          <w:szCs w:val="14"/>
          <w:color w:val="auto"/>
        </w:rPr>
      </w:pPr>
      <w:r>
        <w:rPr>
          <w:rFonts w:ascii="Arial" w:cs="Arial" w:eastAsia="Arial" w:hAnsi="Arial"/>
          <w:sz w:val="14"/>
          <w:szCs w:val="14"/>
          <w:color w:val="auto"/>
        </w:rPr>
        <w:t xml:space="preserve">fully collateralized repurchase agreements with a term of not more than 15 days from the date of acquisition thereof for U.S. Government Securities and entered into with (i) a financial institution satisfying the criteria described in </w:t>
      </w:r>
      <w:r>
        <w:rPr>
          <w:rFonts w:ascii="Arial" w:cs="Arial" w:eastAsia="Arial" w:hAnsi="Arial"/>
          <w:sz w:val="14"/>
          <w:szCs w:val="14"/>
          <w:u w:val="single" w:color="auto"/>
          <w:color w:val="auto"/>
        </w:rPr>
        <w:t>clause (c)</w:t>
      </w:r>
      <w:r>
        <w:rPr>
          <w:rFonts w:ascii="Arial" w:cs="Arial" w:eastAsia="Arial" w:hAnsi="Arial"/>
          <w:sz w:val="14"/>
          <w:szCs w:val="14"/>
          <w:color w:val="auto"/>
        </w:rPr>
        <w:t xml:space="preserve"> of this definition or (ii) an Approved Dealer having (or being a member of a consolidated group having) at such date of acquisition, a credit rating of at least A</w:t>
      </w:r>
      <w:r>
        <w:rPr>
          <w:rFonts w:ascii="MS PGothic" w:cs="MS PGothic" w:eastAsia="MS PGothic" w:hAnsi="MS PGothic"/>
          <w:sz w:val="14"/>
          <w:szCs w:val="14"/>
          <w:color w:val="auto"/>
        </w:rPr>
        <w:t>‑</w:t>
      </w:r>
      <w:r>
        <w:rPr>
          <w:rFonts w:ascii="Arial" w:cs="Arial" w:eastAsia="Arial" w:hAnsi="Arial"/>
          <w:sz w:val="14"/>
          <w:szCs w:val="14"/>
          <w:color w:val="auto"/>
        </w:rPr>
        <w:t>2 from S&amp;P and at least P</w:t>
      </w:r>
      <w:r>
        <w:rPr>
          <w:rFonts w:ascii="MS PGothic" w:cs="MS PGothic" w:eastAsia="MS PGothic" w:hAnsi="MS PGothic"/>
          <w:sz w:val="14"/>
          <w:szCs w:val="14"/>
          <w:color w:val="auto"/>
        </w:rPr>
        <w:t>‑</w:t>
      </w:r>
      <w:r>
        <w:rPr>
          <w:rFonts w:ascii="Arial" w:cs="Arial" w:eastAsia="Arial" w:hAnsi="Arial"/>
          <w:sz w:val="14"/>
          <w:szCs w:val="14"/>
          <w:color w:val="auto"/>
        </w:rPr>
        <w:t>2 from Moody’s (or if only one of S&amp;P or Moody’s provides such rating, such Approved Dealer shall also have an equivalent credit rating from any other rating agency); and</w:t>
      </w:r>
    </w:p>
    <w:p>
      <w:pPr>
        <w:spacing w:after="0" w:line="184" w:lineRule="exact"/>
        <w:rPr>
          <w:rFonts w:ascii="Arial" w:cs="Arial" w:eastAsia="Arial" w:hAnsi="Arial"/>
          <w:sz w:val="14"/>
          <w:szCs w:val="14"/>
          <w:color w:val="auto"/>
        </w:rPr>
      </w:pPr>
    </w:p>
    <w:p>
      <w:pPr>
        <w:jc w:val="both"/>
        <w:ind w:right="20" w:firstLine="1735"/>
        <w:spacing w:after="0" w:line="238" w:lineRule="auto"/>
        <w:tabs>
          <w:tab w:leader="none" w:pos="2535" w:val="left"/>
        </w:tabs>
        <w:numPr>
          <w:ilvl w:val="0"/>
          <w:numId w:val="30"/>
        </w:numPr>
        <w:rPr>
          <w:rFonts w:ascii="Arial" w:cs="Arial" w:eastAsia="Arial" w:hAnsi="Arial"/>
          <w:sz w:val="14"/>
          <w:szCs w:val="14"/>
          <w:color w:val="auto"/>
        </w:rPr>
      </w:pPr>
      <w:r>
        <w:rPr>
          <w:rFonts w:ascii="Arial" w:cs="Arial" w:eastAsia="Arial" w:hAnsi="Arial"/>
          <w:sz w:val="14"/>
          <w:szCs w:val="14"/>
          <w:color w:val="auto"/>
        </w:rPr>
        <w:t xml:space="preserve">investments in money market funds that invest, and which are restricted by their respective charters to invest, substantially all of their assets in investments of the type described in the immediately preceding </w:t>
      </w:r>
      <w:r>
        <w:rPr>
          <w:rFonts w:ascii="Arial" w:cs="Arial" w:eastAsia="Arial" w:hAnsi="Arial"/>
          <w:sz w:val="14"/>
          <w:szCs w:val="14"/>
          <w:u w:val="single" w:color="auto"/>
          <w:color w:val="auto"/>
        </w:rPr>
        <w:t>clauses (a)</w:t>
      </w:r>
      <w:r>
        <w:rPr>
          <w:rFonts w:ascii="Arial" w:cs="Arial" w:eastAsia="Arial" w:hAnsi="Arial"/>
          <w:sz w:val="14"/>
          <w:szCs w:val="14"/>
          <w:color w:val="auto"/>
        </w:rPr>
        <w:t xml:space="preserve"> through </w:t>
      </w:r>
      <w:r>
        <w:rPr>
          <w:rFonts w:ascii="Arial" w:cs="Arial" w:eastAsia="Arial" w:hAnsi="Arial"/>
          <w:sz w:val="14"/>
          <w:szCs w:val="14"/>
          <w:u w:val="single" w:color="auto"/>
          <w:color w:val="auto"/>
        </w:rPr>
        <w:t>(d)</w:t>
      </w:r>
      <w:r>
        <w:rPr>
          <w:rFonts w:ascii="Arial" w:cs="Arial" w:eastAsia="Arial" w:hAnsi="Arial"/>
          <w:sz w:val="14"/>
          <w:szCs w:val="14"/>
          <w:color w:val="auto"/>
        </w:rPr>
        <w:t xml:space="preserve"> above (including as to credit quality and maturity), in each case rated no lower than the then-current rating of the federal government of the United States.</w:t>
      </w:r>
    </w:p>
    <w:p>
      <w:pPr>
        <w:spacing w:after="0" w:line="200" w:lineRule="exact"/>
        <w:rPr>
          <w:sz w:val="20"/>
          <w:szCs w:val="20"/>
          <w:color w:val="auto"/>
        </w:rPr>
      </w:pPr>
    </w:p>
    <w:p>
      <w:pPr>
        <w:spacing w:after="0" w:line="200" w:lineRule="exact"/>
        <w:rPr>
          <w:sz w:val="20"/>
          <w:szCs w:val="20"/>
          <w:color w:val="auto"/>
        </w:rPr>
      </w:pPr>
    </w:p>
    <w:p>
      <w:pPr>
        <w:spacing w:after="0" w:line="20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7560" w:type="dxa"/>
            <w:vAlign w:val="bottom"/>
          </w:tcPr>
          <w:p>
            <w:pPr>
              <w:jc w:val="right"/>
              <w:ind w:right="1828"/>
              <w:spacing w:after="0"/>
              <w:rPr>
                <w:sz w:val="20"/>
                <w:szCs w:val="20"/>
                <w:color w:val="auto"/>
              </w:rPr>
            </w:pPr>
            <w:r>
              <w:rPr>
                <w:rFonts w:ascii="Arial" w:cs="Arial" w:eastAsia="Arial" w:hAnsi="Arial"/>
                <w:sz w:val="14"/>
                <w:szCs w:val="14"/>
                <w:color w:val="auto"/>
              </w:rPr>
              <w:t>4</w:t>
            </w:r>
          </w:p>
        </w:tc>
        <w:tc>
          <w:tcPr>
            <w:tcW w:w="3700" w:type="dxa"/>
            <w:vAlign w:val="bottom"/>
          </w:tcPr>
          <w:p>
            <w:pPr>
              <w:jc w:val="right"/>
              <w:spacing w:after="0"/>
              <w:rPr>
                <w:sz w:val="20"/>
                <w:szCs w:val="20"/>
                <w:color w:val="auto"/>
              </w:rPr>
            </w:pPr>
            <w:r>
              <w:rPr>
                <w:rFonts w:ascii="Arial" w:cs="Arial" w:eastAsia="Arial" w:hAnsi="Arial"/>
                <w:sz w:val="14"/>
                <w:szCs w:val="14"/>
                <w:i w:val="1"/>
                <w:iCs w:val="1"/>
                <w:color w:val="auto"/>
              </w:rPr>
              <w:t>Second Amended and Restated</w:t>
            </w:r>
          </w:p>
        </w:tc>
      </w:tr>
      <w:tr>
        <w:trPr>
          <w:trHeight w:val="182"/>
        </w:trPr>
        <w:tc>
          <w:tcPr>
            <w:tcW w:w="7560" w:type="dxa"/>
            <w:vAlign w:val="bottom"/>
          </w:tcPr>
          <w:p>
            <w:pPr>
              <w:spacing w:after="0"/>
              <w:rPr>
                <w:sz w:val="15"/>
                <w:szCs w:val="15"/>
                <w:color w:val="auto"/>
              </w:rPr>
            </w:pPr>
          </w:p>
        </w:tc>
        <w:tc>
          <w:tcPr>
            <w:tcW w:w="3700" w:type="dxa"/>
            <w:vAlign w:val="bottom"/>
          </w:tcPr>
          <w:p>
            <w:pPr>
              <w:jc w:val="right"/>
              <w:spacing w:after="0"/>
              <w:rPr>
                <w:sz w:val="20"/>
                <w:szCs w:val="20"/>
                <w:color w:val="auto"/>
              </w:rPr>
            </w:pPr>
            <w:r>
              <w:rPr>
                <w:rFonts w:ascii="Arial" w:cs="Arial" w:eastAsia="Arial" w:hAnsi="Arial"/>
                <w:sz w:val="14"/>
                <w:szCs w:val="14"/>
                <w:i w:val="1"/>
                <w:iCs w:val="1"/>
                <w:color w:val="auto"/>
              </w:rPr>
              <w:t>Revolving Credit Agreement</w:t>
            </w:r>
          </w:p>
        </w:tc>
      </w:tr>
      <w:tr>
        <w:trPr>
          <w:trHeight w:val="316"/>
        </w:trPr>
        <w:tc>
          <w:tcPr>
            <w:tcW w:w="7560" w:type="dxa"/>
            <w:vAlign w:val="bottom"/>
            <w:tcBorders>
              <w:bottom w:val="single" w:sz="8" w:color="9A9A9A"/>
            </w:tcBorders>
          </w:tcPr>
          <w:p>
            <w:pPr>
              <w:spacing w:after="0"/>
              <w:rPr>
                <w:sz w:val="24"/>
                <w:szCs w:val="24"/>
                <w:color w:val="auto"/>
              </w:rPr>
            </w:pPr>
          </w:p>
        </w:tc>
        <w:tc>
          <w:tcPr>
            <w:tcW w:w="370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7145655</wp:posOffset>
            </wp:positionH>
            <wp:positionV relativeFrom="paragraph">
              <wp:posOffset>-8255</wp:posOffset>
            </wp:positionV>
            <wp:extent cx="8255" cy="8890"/>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-16510</wp:posOffset>
            </wp:positionV>
            <wp:extent cx="8890" cy="17145"/>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8890" cy="17145"/>
                    </a:xfrm>
                    <a:prstGeom prst="rect">
                      <a:avLst/>
                    </a:prstGeom>
                    <a:noFill/>
                  </pic:spPr>
                </pic:pic>
              </a:graphicData>
            </a:graphic>
          </wp:anchor>
        </w:drawing>
      </w:r>
    </w:p>
    <w:p>
      <w:pPr>
        <w:sectPr>
          <w:pgSz w:w="11900" w:h="16838" w:orient="portrait"/>
          <w:cols w:equalWidth="0" w:num="1">
            <w:col w:w="11260"/>
          </w:cols>
          <w:pgMar w:left="320" w:top="337" w:right="319" w:bottom="1440" w:gutter="0" w:footer="0" w:header="0"/>
        </w:sectPr>
      </w:pPr>
    </w:p>
    <w:bookmarkStart w:id="67" w:name="page68"/>
    <w:bookmarkEnd w:id="67"/>
    <w:p>
      <w:pPr>
        <w:jc w:val="both"/>
        <w:ind w:right="20"/>
        <w:spacing w:after="0" w:line="248" w:lineRule="auto"/>
        <w:rPr>
          <w:sz w:val="20"/>
          <w:szCs w:val="20"/>
          <w:color w:val="auto"/>
        </w:rPr>
      </w:pPr>
      <w:r>
        <w:rPr>
          <w:rFonts w:ascii="Arial" w:cs="Arial" w:eastAsia="Arial" w:hAnsi="Arial"/>
          <w:sz w:val="13"/>
          <w:szCs w:val="13"/>
          <w:u w:val="single" w:color="auto"/>
          <w:color w:val="auto"/>
        </w:rPr>
        <w:t>provided</w:t>
      </w:r>
      <w:r>
        <w:rPr>
          <w:rFonts w:ascii="Arial" w:cs="Arial" w:eastAsia="Arial" w:hAnsi="Arial"/>
          <w:sz w:val="13"/>
          <w:szCs w:val="13"/>
          <w:color w:val="auto"/>
        </w:rPr>
        <w:t xml:space="preserve"> that (i) in no event shall Cash Equivalents include any obligation that provides for the payment of interest alone (for example, interest-only securities or “IOs”); (ii) if any of Moody’s or S&amp;P changes its rating system, then any ratings included in this definition shall be deemed to be an equivalent rating in a successor rating category of Moody’s or S&amp;P, as the case may be;</w:t>
      </w:r>
    </w:p>
    <w:p>
      <w:pPr>
        <w:jc w:val="both"/>
        <w:ind w:right="20" w:firstLine="8"/>
        <w:spacing w:after="0" w:line="232" w:lineRule="auto"/>
        <w:tabs>
          <w:tab w:leader="none" w:pos="256" w:val="left"/>
        </w:tabs>
        <w:numPr>
          <w:ilvl w:val="0"/>
          <w:numId w:val="31"/>
        </w:numPr>
        <w:rPr>
          <w:rFonts w:ascii="Arial" w:cs="Arial" w:eastAsia="Arial" w:hAnsi="Arial"/>
          <w:sz w:val="14"/>
          <w:szCs w:val="14"/>
          <w:color w:val="auto"/>
        </w:rPr>
      </w:pPr>
      <w:r>
        <w:rPr>
          <w:rFonts w:ascii="Arial" w:cs="Arial" w:eastAsia="Arial" w:hAnsi="Arial"/>
          <w:sz w:val="14"/>
          <w:szCs w:val="14"/>
          <w:color w:val="auto"/>
        </w:rPr>
        <w:t xml:space="preserve">Cash Equivalents (other than U.S. Government Securities, repurchase agreements or the money market funds described in </w:t>
      </w:r>
      <w:r>
        <w:rPr>
          <w:rFonts w:ascii="Arial" w:cs="Arial" w:eastAsia="Arial" w:hAnsi="Arial"/>
          <w:sz w:val="14"/>
          <w:szCs w:val="14"/>
          <w:u w:val="single" w:color="auto"/>
          <w:color w:val="auto"/>
        </w:rPr>
        <w:t>clause (e)</w:t>
      </w:r>
      <w:r>
        <w:rPr>
          <w:rFonts w:ascii="Arial" w:cs="Arial" w:eastAsia="Arial" w:hAnsi="Arial"/>
          <w:sz w:val="14"/>
          <w:szCs w:val="14"/>
          <w:color w:val="auto"/>
        </w:rPr>
        <w:t xml:space="preserve"> of this definition of Cash Equivalents) shall not include any such investment of more than 10% of total assets of the Borrower and its Subsidiaries in any single issuer; and (iv) in no event shall Cash Equivalents include any obligation that is not denominated in Dollars or an Agreed Foreign Currency.</w:t>
      </w:r>
    </w:p>
    <w:p>
      <w:pPr>
        <w:spacing w:after="0" w:line="183" w:lineRule="exact"/>
        <w:rPr>
          <w:sz w:val="20"/>
          <w:szCs w:val="20"/>
          <w:color w:val="auto"/>
        </w:rPr>
      </w:pPr>
    </w:p>
    <w:p>
      <w:pPr>
        <w:jc w:val="both"/>
        <w:ind w:right="20" w:firstLine="1727"/>
        <w:spacing w:after="0" w:line="231" w:lineRule="auto"/>
        <w:rPr>
          <w:sz w:val="20"/>
          <w:szCs w:val="20"/>
          <w:color w:val="auto"/>
        </w:rPr>
      </w:pPr>
      <w:r>
        <w:rPr>
          <w:rFonts w:ascii="Arial" w:cs="Arial" w:eastAsia="Arial" w:hAnsi="Arial"/>
          <w:sz w:val="14"/>
          <w:szCs w:val="14"/>
          <w:color w:val="auto"/>
        </w:rPr>
        <w:t>“</w:t>
      </w:r>
      <w:r>
        <w:rPr>
          <w:rFonts w:ascii="Arial" w:cs="Arial" w:eastAsia="Arial" w:hAnsi="Arial"/>
          <w:sz w:val="14"/>
          <w:szCs w:val="14"/>
          <w:u w:val="single" w:color="auto"/>
          <w:color w:val="auto"/>
        </w:rPr>
        <w:t>CDOR Rate</w:t>
      </w:r>
      <w:r>
        <w:rPr>
          <w:rFonts w:ascii="Arial" w:cs="Arial" w:eastAsia="Arial" w:hAnsi="Arial"/>
          <w:sz w:val="14"/>
          <w:szCs w:val="14"/>
          <w:color w:val="auto"/>
        </w:rPr>
        <w:t>” means the rate per annum equal to the average of the annual yield rates applicable to Canadian Dollar bankers’ acceptances at or about 10:00 a.m. (Toronto, Ontario time) on the first day of such Interest Period (or, if such day is not a Business Day, then on the immediately preceding Business Day) as reported on the “CDOR Page” (or any display substituted therefor) of Reuters Monitor Money Rates Service (or such other page or commercially available source displaying Canadian interbank bid rates for Canadian Dollar bankers’ acceptances as may be designated by the Administrative Agent from time to time) for a term equivalent to such Interest Period (or, if such Interest Period is not equal to a number of months, for a term equivalent to the number of months closest to such Interest Period).</w:t>
      </w:r>
    </w:p>
    <w:p>
      <w:pPr>
        <w:spacing w:after="0" w:line="184" w:lineRule="exact"/>
        <w:rPr>
          <w:sz w:val="20"/>
          <w:szCs w:val="20"/>
          <w:color w:val="auto"/>
        </w:rPr>
      </w:pPr>
    </w:p>
    <w:p>
      <w:pPr>
        <w:jc w:val="both"/>
        <w:ind w:right="20" w:firstLine="1727"/>
        <w:spacing w:after="0" w:line="231" w:lineRule="auto"/>
        <w:rPr>
          <w:sz w:val="20"/>
          <w:szCs w:val="20"/>
          <w:color w:val="auto"/>
        </w:rPr>
      </w:pPr>
      <w:r>
        <w:rPr>
          <w:rFonts w:ascii="Arial" w:cs="Arial" w:eastAsia="Arial" w:hAnsi="Arial"/>
          <w:sz w:val="14"/>
          <w:szCs w:val="14"/>
          <w:color w:val="auto"/>
        </w:rPr>
        <w:t>“</w:t>
      </w:r>
      <w:r>
        <w:rPr>
          <w:rFonts w:ascii="Arial" w:cs="Arial" w:eastAsia="Arial" w:hAnsi="Arial"/>
          <w:sz w:val="14"/>
          <w:szCs w:val="14"/>
          <w:u w:val="single" w:color="auto"/>
          <w:color w:val="auto"/>
        </w:rPr>
        <w:t>Change in Control</w:t>
      </w:r>
      <w:r>
        <w:rPr>
          <w:rFonts w:ascii="Arial" w:cs="Arial" w:eastAsia="Arial" w:hAnsi="Arial"/>
          <w:sz w:val="14"/>
          <w:szCs w:val="14"/>
          <w:color w:val="auto"/>
        </w:rPr>
        <w:t>” means (a) the acquisition of ownership, directly or indirectly, beneficially or of record, by any Person or group (within the meaning of the Securities Exchange Act of 1934 and the rules of the Securities and Exchange Commission thereunder as in effect on the date hereof), of shares representing more than 35% of the aggregate ordinary voting power represented by the issued and outstanding capital stock of the Borrower; (b) occupation of a majority of the seats (other than vacant seats) on the board of directors of the Borrower by Persons who were neither (i) nominated by the requisite members of the board of directors of the Borrower nor (ii) appointed by a majority of the directors so nominated; or (c) the acquisition of direct or indirect Control of the Borrower by any Person or group other than PennantPark Investment Advisers, LLC.</w:t>
      </w:r>
    </w:p>
    <w:p>
      <w:pPr>
        <w:spacing w:after="0" w:line="184" w:lineRule="exact"/>
        <w:rPr>
          <w:sz w:val="20"/>
          <w:szCs w:val="20"/>
          <w:color w:val="auto"/>
        </w:rPr>
      </w:pPr>
    </w:p>
    <w:p>
      <w:pPr>
        <w:jc w:val="both"/>
        <w:ind w:right="20" w:firstLine="1727"/>
        <w:spacing w:after="0" w:line="243" w:lineRule="auto"/>
        <w:rPr>
          <w:sz w:val="20"/>
          <w:szCs w:val="20"/>
          <w:color w:val="auto"/>
        </w:rPr>
      </w:pPr>
      <w:r>
        <w:rPr>
          <w:rFonts w:ascii="Arial" w:cs="Arial" w:eastAsia="Arial" w:hAnsi="Arial"/>
          <w:sz w:val="13"/>
          <w:szCs w:val="13"/>
          <w:color w:val="auto"/>
        </w:rPr>
        <w:t>“</w:t>
      </w:r>
      <w:r>
        <w:rPr>
          <w:rFonts w:ascii="Arial" w:cs="Arial" w:eastAsia="Arial" w:hAnsi="Arial"/>
          <w:sz w:val="13"/>
          <w:szCs w:val="13"/>
          <w:u w:val="single" w:color="auto"/>
          <w:color w:val="auto"/>
        </w:rPr>
        <w:t>Change in Law</w:t>
      </w:r>
      <w:r>
        <w:rPr>
          <w:rFonts w:ascii="Arial" w:cs="Arial" w:eastAsia="Arial" w:hAnsi="Arial"/>
          <w:sz w:val="13"/>
          <w:szCs w:val="13"/>
          <w:color w:val="auto"/>
        </w:rPr>
        <w:t>” means the occurrence, after the date of this Agreement (or with respect to a Person becoming a Lender by assignment or joinder after the date of this Agreement, the effective date thereof), of (a) the adoption of any law, treaty or governmental rule or regulation or any change in any law, treaty or governmental rule or regulation or in the interpretation, administration or application thereof (regardless of whether the underlying law, treaty or governmental rule or regulation was issued or enacted prior to the date hereof), but excluding proposals thereof, or any determination of a court or Governmental Authority, (b) any guideline, request or directive by any Governmental Authority (whether or not having the force of law) or any implementation rules or interpretations of previously issued guidelines, requests or directives, in each case that is issued or made after the date hereof (or with respect to a Person becoming a Lender by assignment or joinder after the date of this Agreement, the effective date thereof) or (c) compliance by any Lender (or its applicable lending office) or any company controlling such Lender with any guideline, request or directive regarding capital adequacy or liquidity (whether or not having the force of law) of any such Governmental Authority, in each case adopted after the date hereof (or with respect to a Person becoming a Lender by assignment or joinder after the date of this Agreement, the effective date thereof). For the avoidance of doubt, all requests, rules, guidelines or directives concerning liquidity and capital adequacy issued (i) by any United States regulatory authority under or in connection with the implementation of the Dodd-Frank Wall Street Reform and Consumer Protection Act and (ii) in connection with the implementation of the recommendations of the Bank for International Settlements or the Basel Committee on Banking Regulations and Supervisory Practices (or any successor or similar authority), in each case pursuant to Basel III, shall in each case be deemed to be a “Change in Law”, regardless of the date adopted, issued, promulgated or implemented.</w:t>
      </w:r>
    </w:p>
    <w:p>
      <w:pPr>
        <w:spacing w:after="0" w:line="182" w:lineRule="exact"/>
        <w:rPr>
          <w:sz w:val="20"/>
          <w:szCs w:val="20"/>
          <w:color w:val="auto"/>
        </w:rPr>
      </w:pPr>
    </w:p>
    <w:p>
      <w:pPr>
        <w:jc w:val="both"/>
        <w:ind w:right="20" w:firstLine="1727"/>
        <w:spacing w:after="0" w:line="233" w:lineRule="auto"/>
        <w:rPr>
          <w:sz w:val="20"/>
          <w:szCs w:val="20"/>
          <w:color w:val="auto"/>
        </w:rPr>
      </w:pPr>
      <w:r>
        <w:rPr>
          <w:rFonts w:ascii="Arial" w:cs="Arial" w:eastAsia="Arial" w:hAnsi="Arial"/>
          <w:sz w:val="14"/>
          <w:szCs w:val="14"/>
          <w:color w:val="auto"/>
        </w:rPr>
        <w:t>“</w:t>
      </w:r>
      <w:r>
        <w:rPr>
          <w:rFonts w:ascii="Arial" w:cs="Arial" w:eastAsia="Arial" w:hAnsi="Arial"/>
          <w:sz w:val="14"/>
          <w:szCs w:val="14"/>
          <w:u w:val="single" w:color="auto"/>
          <w:color w:val="auto"/>
        </w:rPr>
        <w:t>Class</w:t>
      </w:r>
      <w:r>
        <w:rPr>
          <w:rFonts w:ascii="Arial" w:cs="Arial" w:eastAsia="Arial" w:hAnsi="Arial"/>
          <w:sz w:val="14"/>
          <w:szCs w:val="14"/>
          <w:color w:val="auto"/>
        </w:rPr>
        <w:t>”, when used in reference to any Loan or Borrowing, refers to whether such Loan, or the Loans constituting such Borrowing, are Syndicated Dollar Loans, Syndicated Multicurrency Loans or Swingline Loans; when used in reference to any Lender, refers to whether such Lender is a Dollar Lender or a Multicurrency Lender; and, when used in reference to any Commitment, refers to whether such Commitment is a Dollar Commitment or a Multicurrency Commitment. The “</w:t>
      </w:r>
      <w:r>
        <w:rPr>
          <w:rFonts w:ascii="Arial" w:cs="Arial" w:eastAsia="Arial" w:hAnsi="Arial"/>
          <w:sz w:val="14"/>
          <w:szCs w:val="14"/>
          <w:u w:val="single" w:color="auto"/>
          <w:color w:val="auto"/>
        </w:rPr>
        <w:t>Class</w:t>
      </w:r>
      <w:r>
        <w:rPr>
          <w:rFonts w:ascii="Arial" w:cs="Arial" w:eastAsia="Arial" w:hAnsi="Arial"/>
          <w:sz w:val="14"/>
          <w:szCs w:val="14"/>
          <w:color w:val="auto"/>
        </w:rPr>
        <w:t>” of a Letter of Credit refers to whether such Letter of Credit is a Dollar Letter of Credit or a Multicurrency Letter of Credit.</w:t>
      </w:r>
    </w:p>
    <w:p>
      <w:pPr>
        <w:spacing w:after="0" w:line="185" w:lineRule="exact"/>
        <w:rPr>
          <w:sz w:val="20"/>
          <w:szCs w:val="20"/>
          <w:color w:val="auto"/>
        </w:rPr>
      </w:pPr>
    </w:p>
    <w:p>
      <w:pPr>
        <w:ind w:left="1740"/>
        <w:spacing w:after="0"/>
        <w:rPr>
          <w:sz w:val="20"/>
          <w:szCs w:val="20"/>
          <w:color w:val="auto"/>
        </w:rPr>
      </w:pPr>
      <w:r>
        <w:rPr>
          <w:rFonts w:ascii="Arial" w:cs="Arial" w:eastAsia="Arial" w:hAnsi="Arial"/>
          <w:sz w:val="14"/>
          <w:szCs w:val="14"/>
          <w:color w:val="auto"/>
        </w:rPr>
        <w:t>“</w:t>
      </w:r>
      <w:r>
        <w:rPr>
          <w:rFonts w:ascii="Arial" w:cs="Arial" w:eastAsia="Arial" w:hAnsi="Arial"/>
          <w:sz w:val="14"/>
          <w:szCs w:val="14"/>
          <w:u w:val="single" w:color="auto"/>
          <w:color w:val="auto"/>
        </w:rPr>
        <w:t>Code</w:t>
      </w:r>
      <w:r>
        <w:rPr>
          <w:rFonts w:ascii="Arial" w:cs="Arial" w:eastAsia="Arial" w:hAnsi="Arial"/>
          <w:sz w:val="14"/>
          <w:szCs w:val="14"/>
          <w:color w:val="auto"/>
        </w:rPr>
        <w:t>” means the Internal Revenue Code of 1986, as amended from time to time.</w:t>
      </w:r>
    </w:p>
    <w:p>
      <w:pPr>
        <w:spacing w:after="0" w:line="204" w:lineRule="exact"/>
        <w:rPr>
          <w:sz w:val="20"/>
          <w:szCs w:val="20"/>
          <w:color w:val="auto"/>
        </w:rPr>
      </w:pPr>
    </w:p>
    <w:p>
      <w:pPr>
        <w:ind w:left="1740"/>
        <w:spacing w:after="0"/>
        <w:rPr>
          <w:sz w:val="20"/>
          <w:szCs w:val="20"/>
          <w:color w:val="auto"/>
        </w:rPr>
      </w:pPr>
      <w:r>
        <w:rPr>
          <w:rFonts w:ascii="Arial" w:cs="Arial" w:eastAsia="Arial" w:hAnsi="Arial"/>
          <w:sz w:val="14"/>
          <w:szCs w:val="14"/>
          <w:color w:val="auto"/>
        </w:rPr>
        <w:t>“</w:t>
      </w:r>
      <w:r>
        <w:rPr>
          <w:rFonts w:ascii="Arial" w:cs="Arial" w:eastAsia="Arial" w:hAnsi="Arial"/>
          <w:sz w:val="14"/>
          <w:szCs w:val="14"/>
          <w:u w:val="single" w:color="auto"/>
          <w:color w:val="auto"/>
        </w:rPr>
        <w:t>Collateral</w:t>
      </w:r>
      <w:r>
        <w:rPr>
          <w:rFonts w:ascii="Arial" w:cs="Arial" w:eastAsia="Arial" w:hAnsi="Arial"/>
          <w:sz w:val="14"/>
          <w:szCs w:val="14"/>
          <w:color w:val="auto"/>
        </w:rPr>
        <w:t>” has the meaning assigned to such term in the Guarantee and Security Agreement.</w:t>
      </w:r>
    </w:p>
    <w:p>
      <w:pPr>
        <w:spacing w:after="0" w:line="204" w:lineRule="exact"/>
        <w:rPr>
          <w:sz w:val="20"/>
          <w:szCs w:val="20"/>
          <w:color w:val="auto"/>
        </w:rPr>
      </w:pPr>
    </w:p>
    <w:p>
      <w:pPr>
        <w:ind w:left="1740"/>
        <w:spacing w:after="0"/>
        <w:rPr>
          <w:sz w:val="20"/>
          <w:szCs w:val="20"/>
          <w:color w:val="auto"/>
        </w:rPr>
      </w:pPr>
      <w:r>
        <w:rPr>
          <w:rFonts w:ascii="Arial" w:cs="Arial" w:eastAsia="Arial" w:hAnsi="Arial"/>
          <w:sz w:val="13"/>
          <w:szCs w:val="13"/>
          <w:color w:val="auto"/>
        </w:rPr>
        <w:t>“</w:t>
      </w:r>
      <w:r>
        <w:rPr>
          <w:rFonts w:ascii="Arial" w:cs="Arial" w:eastAsia="Arial" w:hAnsi="Arial"/>
          <w:sz w:val="13"/>
          <w:szCs w:val="13"/>
          <w:u w:val="single" w:color="auto"/>
          <w:color w:val="auto"/>
        </w:rPr>
        <w:t>Collateral Agent</w:t>
      </w:r>
      <w:r>
        <w:rPr>
          <w:rFonts w:ascii="Arial" w:cs="Arial" w:eastAsia="Arial" w:hAnsi="Arial"/>
          <w:sz w:val="13"/>
          <w:szCs w:val="13"/>
          <w:color w:val="auto"/>
        </w:rPr>
        <w:t>” means SunTrust in its capacity as Collateral Agent under the Guarantee and Security Agreement, and includes any successor Collateral Agent</w:t>
      </w:r>
    </w:p>
    <w:p>
      <w:pPr>
        <w:spacing w:after="0" w:line="11" w:lineRule="exact"/>
        <w:rPr>
          <w:sz w:val="20"/>
          <w:szCs w:val="20"/>
          <w:color w:val="auto"/>
        </w:rPr>
      </w:pPr>
    </w:p>
    <w:p>
      <w:pPr>
        <w:spacing w:after="0"/>
        <w:rPr>
          <w:sz w:val="20"/>
          <w:szCs w:val="20"/>
          <w:color w:val="auto"/>
        </w:rPr>
      </w:pPr>
      <w:r>
        <w:rPr>
          <w:rFonts w:ascii="Arial" w:cs="Arial" w:eastAsia="Arial" w:hAnsi="Arial"/>
          <w:sz w:val="14"/>
          <w:szCs w:val="14"/>
          <w:color w:val="auto"/>
        </w:rPr>
        <w:t>thereunder.</w:t>
      </w:r>
    </w:p>
    <w:p>
      <w:pPr>
        <w:spacing w:after="0" w:line="192" w:lineRule="exact"/>
        <w:rPr>
          <w:sz w:val="20"/>
          <w:szCs w:val="20"/>
          <w:color w:val="auto"/>
        </w:rPr>
      </w:pPr>
    </w:p>
    <w:p>
      <w:pPr>
        <w:jc w:val="both"/>
        <w:ind w:right="20" w:firstLine="1727"/>
        <w:spacing w:after="0" w:line="238" w:lineRule="auto"/>
        <w:rPr>
          <w:sz w:val="20"/>
          <w:szCs w:val="20"/>
          <w:color w:val="auto"/>
        </w:rPr>
      </w:pPr>
      <w:r>
        <w:rPr>
          <w:rFonts w:ascii="Arial" w:cs="Arial" w:eastAsia="Arial" w:hAnsi="Arial"/>
          <w:sz w:val="14"/>
          <w:szCs w:val="14"/>
          <w:color w:val="auto"/>
        </w:rPr>
        <w:t>“</w:t>
      </w:r>
      <w:r>
        <w:rPr>
          <w:rFonts w:ascii="Arial" w:cs="Arial" w:eastAsia="Arial" w:hAnsi="Arial"/>
          <w:sz w:val="14"/>
          <w:szCs w:val="14"/>
          <w:u w:val="single" w:color="auto"/>
          <w:color w:val="auto"/>
        </w:rPr>
        <w:t>Combined Debt Amount</w:t>
      </w:r>
      <w:r>
        <w:rPr>
          <w:rFonts w:ascii="Arial" w:cs="Arial" w:eastAsia="Arial" w:hAnsi="Arial"/>
          <w:sz w:val="14"/>
          <w:szCs w:val="14"/>
          <w:color w:val="auto"/>
        </w:rPr>
        <w:t>” means, as of any date, (i) the aggregate Commitments as of such date (or, if greater, the Revolving Credit Exposures of all Lenders as of such date) plus (ii) the aggregate amount of outstanding Designated Indebtedness (as such term is defined in the Guarantee and Security Agreement) and, without duplication, the aggregate amount of unused commitments under any Designated Indebtedness (as such term is defined in the Guarantee and Security Agreement).</w:t>
      </w:r>
    </w:p>
    <w:p>
      <w:pPr>
        <w:spacing w:after="0" w:line="183" w:lineRule="exact"/>
        <w:rPr>
          <w:sz w:val="20"/>
          <w:szCs w:val="20"/>
          <w:color w:val="auto"/>
        </w:rPr>
      </w:pPr>
    </w:p>
    <w:p>
      <w:pPr>
        <w:ind w:left="1740"/>
        <w:spacing w:after="0"/>
        <w:rPr>
          <w:sz w:val="20"/>
          <w:szCs w:val="20"/>
          <w:color w:val="auto"/>
        </w:rPr>
      </w:pPr>
      <w:r>
        <w:rPr>
          <w:rFonts w:ascii="Arial" w:cs="Arial" w:eastAsia="Arial" w:hAnsi="Arial"/>
          <w:sz w:val="14"/>
          <w:szCs w:val="14"/>
          <w:color w:val="auto"/>
        </w:rPr>
        <w:t>“</w:t>
      </w:r>
      <w:r>
        <w:rPr>
          <w:rFonts w:ascii="Arial" w:cs="Arial" w:eastAsia="Arial" w:hAnsi="Arial"/>
          <w:sz w:val="14"/>
          <w:szCs w:val="14"/>
          <w:u w:val="single" w:color="auto"/>
          <w:color w:val="auto"/>
        </w:rPr>
        <w:t>Commitments</w:t>
      </w:r>
      <w:r>
        <w:rPr>
          <w:rFonts w:ascii="Arial" w:cs="Arial" w:eastAsia="Arial" w:hAnsi="Arial"/>
          <w:sz w:val="14"/>
          <w:szCs w:val="14"/>
          <w:color w:val="auto"/>
        </w:rPr>
        <w:t>” means, collectively, the Dollar Commitments and the Multicurrency Commitments.</w:t>
      </w:r>
    </w:p>
    <w:p>
      <w:pPr>
        <w:spacing w:after="0" w:line="204" w:lineRule="exact"/>
        <w:rPr>
          <w:sz w:val="20"/>
          <w:szCs w:val="20"/>
          <w:color w:val="auto"/>
        </w:rPr>
      </w:pPr>
    </w:p>
    <w:p>
      <w:pPr>
        <w:ind w:left="1740"/>
        <w:spacing w:after="0"/>
        <w:rPr>
          <w:sz w:val="20"/>
          <w:szCs w:val="20"/>
          <w:color w:val="auto"/>
        </w:rPr>
      </w:pPr>
      <w:r>
        <w:rPr>
          <w:rFonts w:ascii="Arial" w:cs="Arial" w:eastAsia="Arial" w:hAnsi="Arial"/>
          <w:sz w:val="14"/>
          <w:szCs w:val="14"/>
          <w:color w:val="auto"/>
        </w:rPr>
        <w:t>“</w:t>
      </w:r>
      <w:r>
        <w:rPr>
          <w:rFonts w:ascii="Arial" w:cs="Arial" w:eastAsia="Arial" w:hAnsi="Arial"/>
          <w:sz w:val="14"/>
          <w:szCs w:val="14"/>
          <w:u w:val="single" w:color="auto"/>
          <w:color w:val="auto"/>
        </w:rPr>
        <w:t>Commitment Increase</w:t>
      </w:r>
      <w:r>
        <w:rPr>
          <w:rFonts w:ascii="Arial" w:cs="Arial" w:eastAsia="Arial" w:hAnsi="Arial"/>
          <w:sz w:val="14"/>
          <w:szCs w:val="14"/>
          <w:color w:val="auto"/>
        </w:rPr>
        <w:t xml:space="preserve">” has the meaning assigned to such term in </w:t>
      </w:r>
      <w:r>
        <w:rPr>
          <w:rFonts w:ascii="Arial" w:cs="Arial" w:eastAsia="Arial" w:hAnsi="Arial"/>
          <w:sz w:val="14"/>
          <w:szCs w:val="14"/>
          <w:u w:val="single" w:color="auto"/>
          <w:color w:val="auto"/>
        </w:rPr>
        <w:t>Section 2.08(e)</w:t>
      </w:r>
      <w:r>
        <w:rPr>
          <w:rFonts w:ascii="Arial" w:cs="Arial" w:eastAsia="Arial" w:hAnsi="Arial"/>
          <w:sz w:val="14"/>
          <w:szCs w:val="14"/>
          <w:color w:val="auto"/>
        </w:rPr>
        <w:t>.</w:t>
      </w:r>
    </w:p>
    <w:p>
      <w:pPr>
        <w:spacing w:after="0" w:line="204" w:lineRule="exact"/>
        <w:rPr>
          <w:sz w:val="20"/>
          <w:szCs w:val="20"/>
          <w:color w:val="auto"/>
        </w:rPr>
      </w:pPr>
    </w:p>
    <w:p>
      <w:pPr>
        <w:ind w:left="1740"/>
        <w:spacing w:after="0"/>
        <w:rPr>
          <w:sz w:val="20"/>
          <w:szCs w:val="20"/>
          <w:color w:val="auto"/>
        </w:rPr>
      </w:pPr>
      <w:r>
        <w:rPr>
          <w:rFonts w:ascii="Arial" w:cs="Arial" w:eastAsia="Arial" w:hAnsi="Arial"/>
          <w:sz w:val="14"/>
          <w:szCs w:val="14"/>
          <w:color w:val="auto"/>
        </w:rPr>
        <w:t>“</w:t>
      </w:r>
      <w:r>
        <w:rPr>
          <w:rFonts w:ascii="Arial" w:cs="Arial" w:eastAsia="Arial" w:hAnsi="Arial"/>
          <w:sz w:val="14"/>
          <w:szCs w:val="14"/>
          <w:u w:val="single" w:color="auto"/>
          <w:color w:val="auto"/>
        </w:rPr>
        <w:t>Commitment Increase Date</w:t>
      </w:r>
      <w:r>
        <w:rPr>
          <w:rFonts w:ascii="Arial" w:cs="Arial" w:eastAsia="Arial" w:hAnsi="Arial"/>
          <w:sz w:val="14"/>
          <w:szCs w:val="14"/>
          <w:color w:val="auto"/>
        </w:rPr>
        <w:t xml:space="preserve">” has the meaning assigned to such term in </w:t>
      </w:r>
      <w:r>
        <w:rPr>
          <w:rFonts w:ascii="Arial" w:cs="Arial" w:eastAsia="Arial" w:hAnsi="Arial"/>
          <w:sz w:val="14"/>
          <w:szCs w:val="14"/>
          <w:u w:val="single" w:color="auto"/>
          <w:color w:val="auto"/>
        </w:rPr>
        <w:t>Section 2.08(e)</w:t>
      </w:r>
      <w:r>
        <w:rPr>
          <w:rFonts w:ascii="Arial" w:cs="Arial" w:eastAsia="Arial" w:hAnsi="Arial"/>
          <w:sz w:val="14"/>
          <w:szCs w:val="14"/>
          <w:color w:val="auto"/>
        </w:rPr>
        <w:t>.</w:t>
      </w:r>
    </w:p>
    <w:p>
      <w:pPr>
        <w:spacing w:after="0" w:line="204" w:lineRule="exact"/>
        <w:rPr>
          <w:sz w:val="20"/>
          <w:szCs w:val="20"/>
          <w:color w:val="auto"/>
        </w:rPr>
      </w:pPr>
    </w:p>
    <w:p>
      <w:pPr>
        <w:ind w:left="1740"/>
        <w:spacing w:after="0"/>
        <w:rPr>
          <w:sz w:val="20"/>
          <w:szCs w:val="20"/>
          <w:color w:val="auto"/>
        </w:rPr>
      </w:pPr>
      <w:r>
        <w:rPr>
          <w:rFonts w:ascii="Arial" w:cs="Arial" w:eastAsia="Arial" w:hAnsi="Arial"/>
          <w:sz w:val="14"/>
          <w:szCs w:val="14"/>
          <w:color w:val="auto"/>
        </w:rPr>
        <w:t>“</w:t>
      </w:r>
      <w:r>
        <w:rPr>
          <w:rFonts w:ascii="Arial" w:cs="Arial" w:eastAsia="Arial" w:hAnsi="Arial"/>
          <w:sz w:val="14"/>
          <w:szCs w:val="14"/>
          <w:u w:val="single" w:color="auto"/>
          <w:color w:val="auto"/>
        </w:rPr>
        <w:t>Commitment Termination Date</w:t>
      </w:r>
      <w:r>
        <w:rPr>
          <w:rFonts w:ascii="Arial" w:cs="Arial" w:eastAsia="Arial" w:hAnsi="Arial"/>
          <w:sz w:val="14"/>
          <w:szCs w:val="14"/>
          <w:color w:val="auto"/>
        </w:rPr>
        <w:t>” means May 25, 2021.</w:t>
      </w:r>
    </w:p>
    <w:p>
      <w:pPr>
        <w:spacing w:after="0" w:line="200" w:lineRule="exact"/>
        <w:rPr>
          <w:sz w:val="20"/>
          <w:szCs w:val="20"/>
          <w:color w:val="auto"/>
        </w:rPr>
      </w:pPr>
    </w:p>
    <w:p>
      <w:pPr>
        <w:spacing w:after="0" w:line="200" w:lineRule="exact"/>
        <w:rPr>
          <w:sz w:val="20"/>
          <w:szCs w:val="20"/>
          <w:color w:val="auto"/>
        </w:rPr>
      </w:pPr>
    </w:p>
    <w:p>
      <w:pPr>
        <w:spacing w:after="0" w:line="22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7560" w:type="dxa"/>
            <w:vAlign w:val="bottom"/>
          </w:tcPr>
          <w:p>
            <w:pPr>
              <w:jc w:val="right"/>
              <w:ind w:right="1828"/>
              <w:spacing w:after="0"/>
              <w:rPr>
                <w:sz w:val="20"/>
                <w:szCs w:val="20"/>
                <w:color w:val="auto"/>
              </w:rPr>
            </w:pPr>
            <w:r>
              <w:rPr>
                <w:rFonts w:ascii="Arial" w:cs="Arial" w:eastAsia="Arial" w:hAnsi="Arial"/>
                <w:sz w:val="14"/>
                <w:szCs w:val="14"/>
                <w:color w:val="auto"/>
              </w:rPr>
              <w:t>5</w:t>
            </w:r>
          </w:p>
        </w:tc>
        <w:tc>
          <w:tcPr>
            <w:tcW w:w="3700" w:type="dxa"/>
            <w:vAlign w:val="bottom"/>
          </w:tcPr>
          <w:p>
            <w:pPr>
              <w:jc w:val="right"/>
              <w:spacing w:after="0"/>
              <w:rPr>
                <w:sz w:val="20"/>
                <w:szCs w:val="20"/>
                <w:color w:val="auto"/>
              </w:rPr>
            </w:pPr>
            <w:r>
              <w:rPr>
                <w:rFonts w:ascii="Arial" w:cs="Arial" w:eastAsia="Arial" w:hAnsi="Arial"/>
                <w:sz w:val="14"/>
                <w:szCs w:val="14"/>
                <w:i w:val="1"/>
                <w:iCs w:val="1"/>
                <w:color w:val="auto"/>
              </w:rPr>
              <w:t>Second Amended and Restated</w:t>
            </w:r>
          </w:p>
        </w:tc>
      </w:tr>
      <w:tr>
        <w:trPr>
          <w:trHeight w:val="182"/>
        </w:trPr>
        <w:tc>
          <w:tcPr>
            <w:tcW w:w="7560" w:type="dxa"/>
            <w:vAlign w:val="bottom"/>
          </w:tcPr>
          <w:p>
            <w:pPr>
              <w:spacing w:after="0"/>
              <w:rPr>
                <w:sz w:val="15"/>
                <w:szCs w:val="15"/>
                <w:color w:val="auto"/>
              </w:rPr>
            </w:pPr>
          </w:p>
        </w:tc>
        <w:tc>
          <w:tcPr>
            <w:tcW w:w="3700" w:type="dxa"/>
            <w:vAlign w:val="bottom"/>
          </w:tcPr>
          <w:p>
            <w:pPr>
              <w:jc w:val="right"/>
              <w:spacing w:after="0"/>
              <w:rPr>
                <w:sz w:val="20"/>
                <w:szCs w:val="20"/>
                <w:color w:val="auto"/>
              </w:rPr>
            </w:pPr>
            <w:r>
              <w:rPr>
                <w:rFonts w:ascii="Arial" w:cs="Arial" w:eastAsia="Arial" w:hAnsi="Arial"/>
                <w:sz w:val="14"/>
                <w:szCs w:val="14"/>
                <w:i w:val="1"/>
                <w:iCs w:val="1"/>
                <w:color w:val="auto"/>
              </w:rPr>
              <w:t>Revolving Credit Agreement</w:t>
            </w:r>
          </w:p>
        </w:tc>
      </w:tr>
      <w:tr>
        <w:trPr>
          <w:trHeight w:val="316"/>
        </w:trPr>
        <w:tc>
          <w:tcPr>
            <w:tcW w:w="7560" w:type="dxa"/>
            <w:vAlign w:val="bottom"/>
            <w:tcBorders>
              <w:bottom w:val="single" w:sz="8" w:color="9A9A9A"/>
            </w:tcBorders>
          </w:tcPr>
          <w:p>
            <w:pPr>
              <w:spacing w:after="0"/>
              <w:rPr>
                <w:sz w:val="24"/>
                <w:szCs w:val="24"/>
                <w:color w:val="auto"/>
              </w:rPr>
            </w:pPr>
          </w:p>
        </w:tc>
        <w:tc>
          <w:tcPr>
            <w:tcW w:w="370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7145655</wp:posOffset>
            </wp:positionH>
            <wp:positionV relativeFrom="paragraph">
              <wp:posOffset>-8255</wp:posOffset>
            </wp:positionV>
            <wp:extent cx="8255" cy="8890"/>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-16510</wp:posOffset>
            </wp:positionV>
            <wp:extent cx="8890" cy="17145"/>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8890" cy="17145"/>
                    </a:xfrm>
                    <a:prstGeom prst="rect">
                      <a:avLst/>
                    </a:prstGeom>
                    <a:noFill/>
                  </pic:spPr>
                </pic:pic>
              </a:graphicData>
            </a:graphic>
          </wp:anchor>
        </w:drawing>
      </w:r>
    </w:p>
    <w:p>
      <w:pPr>
        <w:sectPr>
          <w:pgSz w:w="11900" w:h="16838" w:orient="portrait"/>
          <w:cols w:equalWidth="0" w:num="1">
            <w:col w:w="11260"/>
          </w:cols>
          <w:pgMar w:left="320" w:top="337" w:right="319" w:bottom="1440" w:gutter="0" w:footer="0" w:header="0"/>
        </w:sectPr>
      </w:pPr>
    </w:p>
    <w:bookmarkStart w:id="68" w:name="page69"/>
    <w:bookmarkEnd w:id="68"/>
    <w:p>
      <w:pPr>
        <w:ind w:left="1740"/>
        <w:spacing w:after="0"/>
        <w:rPr>
          <w:sz w:val="20"/>
          <w:szCs w:val="20"/>
          <w:color w:val="auto"/>
        </w:rPr>
      </w:pPr>
      <w:r>
        <w:rPr>
          <w:rFonts w:ascii="Arial" w:cs="Arial" w:eastAsia="Arial" w:hAnsi="Arial"/>
          <w:sz w:val="14"/>
          <w:szCs w:val="14"/>
          <w:color w:val="auto"/>
        </w:rPr>
        <w:t>“</w:t>
      </w:r>
      <w:r>
        <w:rPr>
          <w:rFonts w:ascii="Arial" w:cs="Arial" w:eastAsia="Arial" w:hAnsi="Arial"/>
          <w:sz w:val="14"/>
          <w:szCs w:val="14"/>
          <w:u w:val="single" w:color="auto"/>
          <w:color w:val="auto"/>
        </w:rPr>
        <w:t>Consolidated Group</w:t>
      </w:r>
      <w:r>
        <w:rPr>
          <w:rFonts w:ascii="Arial" w:cs="Arial" w:eastAsia="Arial" w:hAnsi="Arial"/>
          <w:sz w:val="14"/>
          <w:szCs w:val="14"/>
          <w:color w:val="auto"/>
        </w:rPr>
        <w:t xml:space="preserve">” has the meaning assigned to such term in </w:t>
      </w:r>
      <w:r>
        <w:rPr>
          <w:rFonts w:ascii="Arial" w:cs="Arial" w:eastAsia="Arial" w:hAnsi="Arial"/>
          <w:sz w:val="14"/>
          <w:szCs w:val="14"/>
          <w:u w:val="single" w:color="auto"/>
          <w:color w:val="auto"/>
        </w:rPr>
        <w:t>Section 5.13(a)</w:t>
      </w:r>
      <w:r>
        <w:rPr>
          <w:rFonts w:ascii="Arial" w:cs="Arial" w:eastAsia="Arial" w:hAnsi="Arial"/>
          <w:sz w:val="14"/>
          <w:szCs w:val="14"/>
          <w:color w:val="auto"/>
        </w:rPr>
        <w:t>.</w:t>
      </w:r>
    </w:p>
    <w:p>
      <w:pPr>
        <w:spacing w:after="0" w:line="204" w:lineRule="exact"/>
        <w:rPr>
          <w:sz w:val="20"/>
          <w:szCs w:val="20"/>
          <w:color w:val="auto"/>
        </w:rPr>
      </w:pPr>
    </w:p>
    <w:p>
      <w:pPr>
        <w:jc w:val="both"/>
        <w:ind w:right="20" w:firstLine="1727"/>
        <w:spacing w:after="0" w:line="238" w:lineRule="auto"/>
        <w:rPr>
          <w:sz w:val="20"/>
          <w:szCs w:val="20"/>
          <w:color w:val="auto"/>
        </w:rPr>
      </w:pPr>
      <w:r>
        <w:rPr>
          <w:rFonts w:ascii="Arial" w:cs="Arial" w:eastAsia="Arial" w:hAnsi="Arial"/>
          <w:sz w:val="14"/>
          <w:szCs w:val="14"/>
          <w:color w:val="auto"/>
        </w:rPr>
        <w:t>“</w:t>
      </w:r>
      <w:r>
        <w:rPr>
          <w:rFonts w:ascii="Arial" w:cs="Arial" w:eastAsia="Arial" w:hAnsi="Arial"/>
          <w:sz w:val="14"/>
          <w:szCs w:val="14"/>
          <w:u w:val="single" w:color="auto"/>
          <w:color w:val="auto"/>
        </w:rPr>
        <w:t>Control</w:t>
      </w:r>
      <w:r>
        <w:rPr>
          <w:rFonts w:ascii="Arial" w:cs="Arial" w:eastAsia="Arial" w:hAnsi="Arial"/>
          <w:sz w:val="14"/>
          <w:szCs w:val="14"/>
          <w:color w:val="auto"/>
        </w:rPr>
        <w:t>” means the possession, directly or indirectly, of the power to direct or cause the direction of the management or policies of a Person, whether through the ability to exercise voting power, by contract or otherwise. “</w:t>
      </w:r>
      <w:r>
        <w:rPr>
          <w:rFonts w:ascii="Arial" w:cs="Arial" w:eastAsia="Arial" w:hAnsi="Arial"/>
          <w:sz w:val="14"/>
          <w:szCs w:val="14"/>
          <w:u w:val="single" w:color="auto"/>
          <w:color w:val="auto"/>
        </w:rPr>
        <w:t>Controlling</w:t>
      </w:r>
      <w:r>
        <w:rPr>
          <w:rFonts w:ascii="Arial" w:cs="Arial" w:eastAsia="Arial" w:hAnsi="Arial"/>
          <w:sz w:val="14"/>
          <w:szCs w:val="14"/>
          <w:color w:val="auto"/>
        </w:rPr>
        <w:t>” and “</w:t>
      </w:r>
      <w:r>
        <w:rPr>
          <w:rFonts w:ascii="Arial" w:cs="Arial" w:eastAsia="Arial" w:hAnsi="Arial"/>
          <w:sz w:val="14"/>
          <w:szCs w:val="14"/>
          <w:u w:val="single" w:color="auto"/>
          <w:color w:val="auto"/>
        </w:rPr>
        <w:t>Controlled</w:t>
      </w:r>
      <w:r>
        <w:rPr>
          <w:rFonts w:ascii="Arial" w:cs="Arial" w:eastAsia="Arial" w:hAnsi="Arial"/>
          <w:sz w:val="14"/>
          <w:szCs w:val="14"/>
          <w:color w:val="auto"/>
        </w:rPr>
        <w:t>” have meanings correlative thereto; provided, however, “Control” shall not include “negative” control or “blocking” rights whereby action cannot be taken without the vote or consent of any Person.</w:t>
      </w:r>
    </w:p>
    <w:p>
      <w:pPr>
        <w:spacing w:after="0" w:line="183" w:lineRule="exact"/>
        <w:rPr>
          <w:sz w:val="20"/>
          <w:szCs w:val="20"/>
          <w:color w:val="auto"/>
        </w:rPr>
      </w:pPr>
    </w:p>
    <w:p>
      <w:pPr>
        <w:jc w:val="both"/>
        <w:ind w:right="20" w:firstLine="1727"/>
        <w:spacing w:after="0" w:line="225" w:lineRule="auto"/>
        <w:rPr>
          <w:sz w:val="20"/>
          <w:szCs w:val="20"/>
          <w:color w:val="auto"/>
        </w:rPr>
      </w:pPr>
      <w:r>
        <w:rPr>
          <w:rFonts w:ascii="Arial" w:cs="Arial" w:eastAsia="Arial" w:hAnsi="Arial"/>
          <w:sz w:val="14"/>
          <w:szCs w:val="14"/>
          <w:color w:val="auto"/>
        </w:rPr>
        <w:t>“</w:t>
      </w:r>
      <w:r>
        <w:rPr>
          <w:rFonts w:ascii="Arial" w:cs="Arial" w:eastAsia="Arial" w:hAnsi="Arial"/>
          <w:sz w:val="14"/>
          <w:szCs w:val="14"/>
          <w:u w:val="single" w:color="auto"/>
          <w:color w:val="auto"/>
        </w:rPr>
        <w:t>Covered Debt Amount</w:t>
      </w:r>
      <w:r>
        <w:rPr>
          <w:rFonts w:ascii="Arial" w:cs="Arial" w:eastAsia="Arial" w:hAnsi="Arial"/>
          <w:sz w:val="14"/>
          <w:szCs w:val="14"/>
          <w:color w:val="auto"/>
        </w:rPr>
        <w:t xml:space="preserve">” means, on any date, the sum of (x) all of the Revolving Credit Exposures of all Lenders on such date </w:t>
      </w:r>
      <w:r>
        <w:rPr>
          <w:rFonts w:ascii="Arial" w:cs="Arial" w:eastAsia="Arial" w:hAnsi="Arial"/>
          <w:sz w:val="14"/>
          <w:szCs w:val="14"/>
          <w:u w:val="single" w:color="auto"/>
          <w:color w:val="auto"/>
        </w:rPr>
        <w:t>plus</w:t>
      </w:r>
      <w:r>
        <w:rPr>
          <w:rFonts w:ascii="Arial" w:cs="Arial" w:eastAsia="Arial" w:hAnsi="Arial"/>
          <w:sz w:val="14"/>
          <w:szCs w:val="14"/>
          <w:color w:val="auto"/>
        </w:rPr>
        <w:t xml:space="preserve"> (y) the aggregate amount of Other Covered Indebtedness (including Permitted Convertible Indebtedness and Special Permitted Indebtedness constituting Unsecured Shorter-Term Indebtedness) on such date </w:t>
      </w:r>
      <w:r>
        <w:rPr>
          <w:rFonts w:ascii="Arial" w:cs="Arial" w:eastAsia="Arial" w:hAnsi="Arial"/>
          <w:sz w:val="14"/>
          <w:szCs w:val="14"/>
          <w:u w:val="single" w:color="auto"/>
          <w:color w:val="auto"/>
        </w:rPr>
        <w:t>minus</w:t>
      </w:r>
      <w:r>
        <w:rPr>
          <w:rFonts w:ascii="Arial" w:cs="Arial" w:eastAsia="Arial" w:hAnsi="Arial"/>
          <w:sz w:val="14"/>
          <w:szCs w:val="14"/>
          <w:color w:val="auto"/>
        </w:rPr>
        <w:t xml:space="preserve"> (z) the LC Exposures fully Cash Collateralized on such date pursuant to </w:t>
      </w:r>
      <w:r>
        <w:rPr>
          <w:rFonts w:ascii="Arial" w:cs="Arial" w:eastAsia="Arial" w:hAnsi="Arial"/>
          <w:sz w:val="14"/>
          <w:szCs w:val="14"/>
          <w:u w:val="single" w:color="auto"/>
          <w:color w:val="auto"/>
        </w:rPr>
        <w:t>Section 2.05(k)</w:t>
      </w:r>
      <w:r>
        <w:rPr>
          <w:rFonts w:ascii="Arial" w:cs="Arial" w:eastAsia="Arial" w:hAnsi="Arial"/>
          <w:sz w:val="14"/>
          <w:szCs w:val="14"/>
          <w:color w:val="auto"/>
        </w:rPr>
        <w:t xml:space="preserve"> and the last paragraph of </w:t>
      </w:r>
      <w:r>
        <w:rPr>
          <w:rFonts w:ascii="Arial" w:cs="Arial" w:eastAsia="Arial" w:hAnsi="Arial"/>
          <w:sz w:val="14"/>
          <w:szCs w:val="14"/>
          <w:u w:val="single" w:color="auto"/>
          <w:color w:val="auto"/>
        </w:rPr>
        <w:t>Section 2.09(a)</w:t>
      </w:r>
      <w:r>
        <w:rPr>
          <w:rFonts w:ascii="Arial" w:cs="Arial" w:eastAsia="Arial" w:hAnsi="Arial"/>
          <w:sz w:val="14"/>
          <w:szCs w:val="14"/>
          <w:color w:val="auto"/>
        </w:rPr>
        <w:t xml:space="preserve">; </w:t>
      </w:r>
      <w:r>
        <w:rPr>
          <w:rFonts w:ascii="Arial" w:cs="Arial" w:eastAsia="Arial" w:hAnsi="Arial"/>
          <w:sz w:val="14"/>
          <w:szCs w:val="14"/>
          <w:u w:val="single" w:color="auto"/>
          <w:color w:val="auto"/>
        </w:rPr>
        <w:t>provided</w:t>
      </w:r>
      <w:r>
        <w:rPr>
          <w:rFonts w:ascii="Arial" w:cs="Arial" w:eastAsia="Arial" w:hAnsi="Arial"/>
          <w:sz w:val="14"/>
          <w:szCs w:val="14"/>
          <w:color w:val="auto"/>
        </w:rPr>
        <w:t xml:space="preserve"> that the 2019 Notes, Permitted Convertible Indebtedness and Special Permitted Indebtedness constituting Unsecured Shorter-Term Indebtedness shall be excluded from the calculation of the Covered Debt Amount until the date that is nine (9) months prior to the scheduled maturity date of such Indebtedness (provided that (A) to the extent, but only to the extent, any portion of any such Indebtedness is subject to a contractually scheduled amortization payment, other principal payment or redemption (other than any conversion into Permitted Equity Interests) earlier than the scheduled maturity date of such Indebtedness, such portion of such Indebtedness shall be included in the calculation of the Covered Debt Amount beginning upon the date that is the later of (i) 9 months prior to such scheduled amortization payment, other principal payment or redemption and (ii) the date the Borrower becomes aware that such Indebtedness is required to be paid or redeemed and (B) to the extent then outstanding, the 2019 Notes, any Permitted Convertible Indebtedness and Special Permitted Indebtedness constituting Unsecured Shorter-Term Indebtedness shall be included in the Covered Debt Amount at all times after the Commitment Termination Date). For the avoidance of doubt, for purposes of calculating the Covered Debt Amount, the 2019 Notes any Permitted Convertible Indebtedness and Special Permitted Indebtedness that constitutes Unsecured Shorter-Term Indebtedness that is required to be part of the Covered Debt Amount will be included at the then outstanding principal balance thereof.</w:t>
      </w:r>
    </w:p>
    <w:p>
      <w:pPr>
        <w:spacing w:after="0" w:line="187" w:lineRule="exact"/>
        <w:rPr>
          <w:sz w:val="20"/>
          <w:szCs w:val="20"/>
          <w:color w:val="auto"/>
        </w:rPr>
      </w:pPr>
    </w:p>
    <w:p>
      <w:pPr>
        <w:ind w:left="1740"/>
        <w:spacing w:after="0"/>
        <w:rPr>
          <w:sz w:val="20"/>
          <w:szCs w:val="20"/>
          <w:color w:val="auto"/>
        </w:rPr>
      </w:pPr>
      <w:r>
        <w:rPr>
          <w:rFonts w:ascii="Arial" w:cs="Arial" w:eastAsia="Arial" w:hAnsi="Arial"/>
          <w:sz w:val="14"/>
          <w:szCs w:val="14"/>
          <w:color w:val="auto"/>
        </w:rPr>
        <w:t>“</w:t>
      </w:r>
      <w:r>
        <w:rPr>
          <w:rFonts w:ascii="Arial" w:cs="Arial" w:eastAsia="Arial" w:hAnsi="Arial"/>
          <w:sz w:val="14"/>
          <w:szCs w:val="14"/>
          <w:u w:val="single" w:color="auto"/>
          <w:color w:val="auto"/>
        </w:rPr>
        <w:t>Currency</w:t>
      </w:r>
      <w:r>
        <w:rPr>
          <w:rFonts w:ascii="Arial" w:cs="Arial" w:eastAsia="Arial" w:hAnsi="Arial"/>
          <w:sz w:val="14"/>
          <w:szCs w:val="14"/>
          <w:color w:val="auto"/>
        </w:rPr>
        <w:t>” means Dollars or any Foreign Currency.</w:t>
      </w:r>
    </w:p>
    <w:p>
      <w:pPr>
        <w:spacing w:after="0" w:line="204" w:lineRule="exact"/>
        <w:rPr>
          <w:sz w:val="20"/>
          <w:szCs w:val="20"/>
          <w:color w:val="auto"/>
        </w:rPr>
      </w:pPr>
    </w:p>
    <w:p>
      <w:pPr>
        <w:ind w:left="1740"/>
        <w:spacing w:after="0"/>
        <w:rPr>
          <w:sz w:val="20"/>
          <w:szCs w:val="20"/>
          <w:color w:val="auto"/>
        </w:rPr>
      </w:pPr>
      <w:r>
        <w:rPr>
          <w:rFonts w:ascii="Arial" w:cs="Arial" w:eastAsia="Arial" w:hAnsi="Arial"/>
          <w:sz w:val="13"/>
          <w:szCs w:val="13"/>
          <w:color w:val="auto"/>
        </w:rPr>
        <w:t>“</w:t>
      </w:r>
      <w:r>
        <w:rPr>
          <w:rFonts w:ascii="Arial" w:cs="Arial" w:eastAsia="Arial" w:hAnsi="Arial"/>
          <w:sz w:val="13"/>
          <w:szCs w:val="13"/>
          <w:u w:val="single" w:color="auto"/>
          <w:color w:val="auto"/>
        </w:rPr>
        <w:t>Default</w:t>
      </w:r>
      <w:r>
        <w:rPr>
          <w:rFonts w:ascii="Arial" w:cs="Arial" w:eastAsia="Arial" w:hAnsi="Arial"/>
          <w:sz w:val="13"/>
          <w:szCs w:val="13"/>
          <w:color w:val="auto"/>
        </w:rPr>
        <w:t>” means any event or condition which constitutes an Event of Default or which upon notice, lapse of time or both would, unless cured or waived, become an</w:t>
      </w:r>
    </w:p>
    <w:p>
      <w:pPr>
        <w:spacing w:after="0" w:line="11" w:lineRule="exact"/>
        <w:rPr>
          <w:sz w:val="20"/>
          <w:szCs w:val="20"/>
          <w:color w:val="auto"/>
        </w:rPr>
      </w:pPr>
    </w:p>
    <w:p>
      <w:pPr>
        <w:spacing w:after="0"/>
        <w:rPr>
          <w:sz w:val="20"/>
          <w:szCs w:val="20"/>
          <w:color w:val="auto"/>
        </w:rPr>
      </w:pPr>
      <w:r>
        <w:rPr>
          <w:rFonts w:ascii="Arial" w:cs="Arial" w:eastAsia="Arial" w:hAnsi="Arial"/>
          <w:sz w:val="14"/>
          <w:szCs w:val="14"/>
          <w:color w:val="auto"/>
        </w:rPr>
        <w:t>Event of Default.</w:t>
      </w:r>
    </w:p>
    <w:p>
      <w:pPr>
        <w:spacing w:after="0" w:line="192" w:lineRule="exact"/>
        <w:rPr>
          <w:sz w:val="20"/>
          <w:szCs w:val="20"/>
          <w:color w:val="auto"/>
        </w:rPr>
      </w:pPr>
    </w:p>
    <w:p>
      <w:pPr>
        <w:jc w:val="both"/>
        <w:ind w:right="20" w:firstLine="1727"/>
        <w:spacing w:after="0" w:line="241" w:lineRule="auto"/>
        <w:rPr>
          <w:sz w:val="20"/>
          <w:szCs w:val="20"/>
          <w:color w:val="auto"/>
        </w:rPr>
      </w:pPr>
      <w:r>
        <w:rPr>
          <w:rFonts w:ascii="Arial" w:cs="Arial" w:eastAsia="Arial" w:hAnsi="Arial"/>
          <w:sz w:val="13"/>
          <w:szCs w:val="13"/>
          <w:color w:val="auto"/>
        </w:rPr>
        <w:t>“</w:t>
      </w:r>
      <w:r>
        <w:rPr>
          <w:rFonts w:ascii="Arial" w:cs="Arial" w:eastAsia="Arial" w:hAnsi="Arial"/>
          <w:sz w:val="13"/>
          <w:szCs w:val="13"/>
          <w:u w:val="single" w:color="auto"/>
          <w:color w:val="auto"/>
        </w:rPr>
        <w:t>Defaulting Lender</w:t>
      </w:r>
      <w:r>
        <w:rPr>
          <w:rFonts w:ascii="Arial" w:cs="Arial" w:eastAsia="Arial" w:hAnsi="Arial"/>
          <w:sz w:val="13"/>
          <w:szCs w:val="13"/>
          <w:color w:val="auto"/>
        </w:rPr>
        <w:t xml:space="preserve">” means, subject to </w:t>
      </w:r>
      <w:r>
        <w:rPr>
          <w:rFonts w:ascii="Arial" w:cs="Arial" w:eastAsia="Arial" w:hAnsi="Arial"/>
          <w:sz w:val="13"/>
          <w:szCs w:val="13"/>
          <w:u w:val="single" w:color="auto"/>
          <w:color w:val="auto"/>
        </w:rPr>
        <w:t>Section 2.19(b)</w:t>
      </w:r>
      <w:r>
        <w:rPr>
          <w:rFonts w:ascii="Arial" w:cs="Arial" w:eastAsia="Arial" w:hAnsi="Arial"/>
          <w:sz w:val="13"/>
          <w:szCs w:val="13"/>
          <w:color w:val="auto"/>
        </w:rPr>
        <w:t xml:space="preserve">, any Lender that (a) has failed to (i) fund all or any portion of its Loans or participations in Letters of Credit within two Business Days of the date such Loans were required to be funded hereunder unless such Lender notifies the Administrative Agent and the Borrower in writing that such failure is the result of such Lender’s reasonable determination that one or more conditions precedent to funding (each of which conditions precedent, together with the applicable default, if any, shall be specifically identified in detail in such writing) has not been satisfied, or (ii) pay to the Administrative Agent, Issuing Bank, Swingline Lender or any Lender any other amount required to be paid by it hereunder (including in respect of its participation in Letters of Credit or Swingline Loans) within two Business Days of the date when due, (b) has notified the Borrower, the Administrative Agent, Issuing Bank or Swingline Lender in writing that it does not intend to comply with its funding obligations hereunder, or has made a public statement to that effect (unless such writing or public statement relates to such Lender’s obligation to fund a Loan hereunder and states that such position is based on such Lender’s reasonable determination that a condition precedent to funding (which condition precedent, together with the applicable default, if any, shall be specifically identified in detail in such writing or public statement) cannot be satisfied), (c) has failed, within three Business Days after written request by the Administrative Agent or the Borrower, to confirm in writing to the Administrative Agent and the Borrower that it will comply with its prospective funding obligations hereunder (provided that such Lender shall cease to be a Defaulting Lender pursuant to this </w:t>
      </w:r>
      <w:r>
        <w:rPr>
          <w:rFonts w:ascii="Arial" w:cs="Arial" w:eastAsia="Arial" w:hAnsi="Arial"/>
          <w:sz w:val="13"/>
          <w:szCs w:val="13"/>
          <w:u w:val="single" w:color="auto"/>
          <w:color w:val="auto"/>
        </w:rPr>
        <w:t>clause (c)</w:t>
      </w:r>
      <w:r>
        <w:rPr>
          <w:rFonts w:ascii="Arial" w:cs="Arial" w:eastAsia="Arial" w:hAnsi="Arial"/>
          <w:sz w:val="13"/>
          <w:szCs w:val="13"/>
          <w:color w:val="auto"/>
        </w:rPr>
        <w:t xml:space="preserve"> upon receipt of such written confirmation by Administrative Agent and Borrower), or (d) Administrative Agent has received notification that such Lender has become, or has a direct or indirect parent company that is, (i) insolvent, or is generally unable to pay its debts as they become due, or admits in writing its inability to pay its debts as they become due, or makes a general assignment for the benefit of its creditors, (ii) other than via an Undisclosed Administration, the subject of a bankruptcy, insolvency, reorganization, liquidation or similar proceeding, or a receiver, trustee, conservator, intervenor or sequestrator or the like has been appointed for such Lender or its direct or indirect parent company, or such Lender or its direct or indirect parent company has taken any action in furtherance of or indicating its consent to or acquiescence in any such proceeding or appointment or (iii) the subject of a Bail-In Action; </w:t>
      </w:r>
      <w:r>
        <w:rPr>
          <w:rFonts w:ascii="Arial" w:cs="Arial" w:eastAsia="Arial" w:hAnsi="Arial"/>
          <w:sz w:val="13"/>
          <w:szCs w:val="13"/>
          <w:u w:val="single" w:color="auto"/>
          <w:color w:val="auto"/>
        </w:rPr>
        <w:t>provided</w:t>
      </w:r>
      <w:r>
        <w:rPr>
          <w:rFonts w:ascii="Arial" w:cs="Arial" w:eastAsia="Arial" w:hAnsi="Arial"/>
          <w:sz w:val="13"/>
          <w:szCs w:val="13"/>
          <w:color w:val="auto"/>
        </w:rPr>
        <w:t xml:space="preserve"> that a Lender shall not be a Defaulting Lender solely by virtue of the ownership or acquisition of any Equity Interest in that Lender or any direct or indirect parent company thereof by a Governmental Authority or instrumentality so long as such ownership interest does not result in or provide such Lender with immunity from the jurisdiction of courts within the United States or from the enforcement of judgments or writs of attachment on its assets or permit such Lender (or such Governmental Authority or instrumentality) to reject, repudiate, disavow or disaffirm any contracts or agreements made with such Lender. Any determination by the Administrative Agent that a Lender is a Defaulting Lender under any one or more of </w:t>
      </w:r>
      <w:r>
        <w:rPr>
          <w:rFonts w:ascii="Arial" w:cs="Arial" w:eastAsia="Arial" w:hAnsi="Arial"/>
          <w:sz w:val="13"/>
          <w:szCs w:val="13"/>
          <w:u w:val="single" w:color="auto"/>
          <w:color w:val="auto"/>
        </w:rPr>
        <w:t>clauses (a)</w:t>
      </w:r>
      <w:r>
        <w:rPr>
          <w:rFonts w:ascii="Arial" w:cs="Arial" w:eastAsia="Arial" w:hAnsi="Arial"/>
          <w:sz w:val="13"/>
          <w:szCs w:val="13"/>
          <w:color w:val="auto"/>
        </w:rPr>
        <w:t xml:space="preserve"> through </w:t>
      </w:r>
      <w:r>
        <w:rPr>
          <w:rFonts w:ascii="Arial" w:cs="Arial" w:eastAsia="Arial" w:hAnsi="Arial"/>
          <w:sz w:val="13"/>
          <w:szCs w:val="13"/>
          <w:u w:val="single" w:color="auto"/>
          <w:color w:val="auto"/>
        </w:rPr>
        <w:t>(d)</w:t>
      </w:r>
      <w:r>
        <w:rPr>
          <w:rFonts w:ascii="Arial" w:cs="Arial" w:eastAsia="Arial" w:hAnsi="Arial"/>
          <w:sz w:val="13"/>
          <w:szCs w:val="13"/>
          <w:color w:val="auto"/>
        </w:rPr>
        <w:t xml:space="preserve"> above shall be conclusive and binding absent manifest error, and such Lender shall be deemed to be a Defaulting Lender (subject to </w:t>
      </w:r>
      <w:r>
        <w:rPr>
          <w:rFonts w:ascii="Arial" w:cs="Arial" w:eastAsia="Arial" w:hAnsi="Arial"/>
          <w:sz w:val="13"/>
          <w:szCs w:val="13"/>
          <w:u w:val="single" w:color="auto"/>
          <w:color w:val="auto"/>
        </w:rPr>
        <w:t>Section 2.19(b)</w:t>
      </w:r>
      <w:r>
        <w:rPr>
          <w:rFonts w:ascii="Arial" w:cs="Arial" w:eastAsia="Arial" w:hAnsi="Arial"/>
          <w:sz w:val="13"/>
          <w:szCs w:val="13"/>
          <w:color w:val="auto"/>
        </w:rPr>
        <w:t>) upon such determination (and the Administrative Agent shall deliver written notice of such determination to the Borrower, the Issuing Bank and each Lender and the Swingline Lender).</w:t>
      </w:r>
    </w:p>
    <w:p>
      <w:pPr>
        <w:spacing w:after="0" w:line="332" w:lineRule="exact"/>
        <w:rPr>
          <w:sz w:val="20"/>
          <w:szCs w:val="20"/>
          <w:color w:val="auto"/>
        </w:rPr>
      </w:pPr>
    </w:p>
    <w:p>
      <w:pPr>
        <w:ind w:left="1740"/>
        <w:spacing w:after="0"/>
        <w:rPr>
          <w:sz w:val="20"/>
          <w:szCs w:val="20"/>
          <w:color w:val="auto"/>
        </w:rPr>
      </w:pPr>
      <w:r>
        <w:rPr>
          <w:rFonts w:ascii="Arial" w:cs="Arial" w:eastAsia="Arial" w:hAnsi="Arial"/>
          <w:sz w:val="13"/>
          <w:szCs w:val="13"/>
          <w:color w:val="auto"/>
        </w:rPr>
        <w:t>“</w:t>
      </w:r>
      <w:r>
        <w:rPr>
          <w:rFonts w:ascii="Arial" w:cs="Arial" w:eastAsia="Arial" w:hAnsi="Arial"/>
          <w:sz w:val="13"/>
          <w:szCs w:val="13"/>
          <w:u w:val="single" w:color="auto"/>
          <w:color w:val="auto"/>
        </w:rPr>
        <w:t>Designated Obligations</w:t>
      </w:r>
      <w:r>
        <w:rPr>
          <w:rFonts w:ascii="Arial" w:cs="Arial" w:eastAsia="Arial" w:hAnsi="Arial"/>
          <w:sz w:val="13"/>
          <w:szCs w:val="13"/>
          <w:color w:val="auto"/>
        </w:rPr>
        <w:t>” means all obligations of the Borrower with respect to (a) principal of and interest on the Loans and (b) accrued and unpaid fees under the</w:t>
      </w:r>
    </w:p>
    <w:p>
      <w:pPr>
        <w:spacing w:after="0" w:line="11" w:lineRule="exact"/>
        <w:rPr>
          <w:sz w:val="20"/>
          <w:szCs w:val="20"/>
          <w:color w:val="auto"/>
        </w:rPr>
      </w:pPr>
    </w:p>
    <w:p>
      <w:pPr>
        <w:spacing w:after="0"/>
        <w:rPr>
          <w:sz w:val="20"/>
          <w:szCs w:val="20"/>
          <w:color w:val="auto"/>
        </w:rPr>
      </w:pPr>
      <w:r>
        <w:rPr>
          <w:rFonts w:ascii="Arial" w:cs="Arial" w:eastAsia="Arial" w:hAnsi="Arial"/>
          <w:sz w:val="14"/>
          <w:szCs w:val="14"/>
          <w:color w:val="auto"/>
        </w:rPr>
        <w:t>Loan Documents.</w:t>
      </w:r>
    </w:p>
    <w:p>
      <w:pPr>
        <w:spacing w:after="0" w:line="192" w:lineRule="exact"/>
        <w:rPr>
          <w:sz w:val="20"/>
          <w:szCs w:val="20"/>
          <w:color w:val="auto"/>
        </w:rPr>
      </w:pPr>
    </w:p>
    <w:p>
      <w:pPr>
        <w:jc w:val="both"/>
        <w:ind w:right="20" w:firstLine="1727"/>
        <w:spacing w:after="0" w:line="233" w:lineRule="auto"/>
        <w:rPr>
          <w:sz w:val="20"/>
          <w:szCs w:val="20"/>
          <w:color w:val="auto"/>
        </w:rPr>
      </w:pPr>
      <w:r>
        <w:rPr>
          <w:rFonts w:ascii="Arial" w:cs="Arial" w:eastAsia="Arial" w:hAnsi="Arial"/>
          <w:sz w:val="14"/>
          <w:szCs w:val="14"/>
          <w:color w:val="auto"/>
        </w:rPr>
        <w:t>“</w:t>
      </w:r>
      <w:r>
        <w:rPr>
          <w:rFonts w:ascii="Arial" w:cs="Arial" w:eastAsia="Arial" w:hAnsi="Arial"/>
          <w:sz w:val="14"/>
          <w:szCs w:val="14"/>
          <w:u w:val="single" w:color="auto"/>
          <w:color w:val="auto"/>
        </w:rPr>
        <w:t>Disposition</w:t>
      </w:r>
      <w:r>
        <w:rPr>
          <w:rFonts w:ascii="Arial" w:cs="Arial" w:eastAsia="Arial" w:hAnsi="Arial"/>
          <w:sz w:val="14"/>
          <w:szCs w:val="14"/>
          <w:color w:val="auto"/>
        </w:rPr>
        <w:t>” or “</w:t>
      </w:r>
      <w:r>
        <w:rPr>
          <w:rFonts w:ascii="Arial" w:cs="Arial" w:eastAsia="Arial" w:hAnsi="Arial"/>
          <w:sz w:val="14"/>
          <w:szCs w:val="14"/>
          <w:u w:val="single" w:color="auto"/>
          <w:color w:val="auto"/>
        </w:rPr>
        <w:t>Dispose</w:t>
      </w:r>
      <w:r>
        <w:rPr>
          <w:rFonts w:ascii="Arial" w:cs="Arial" w:eastAsia="Arial" w:hAnsi="Arial"/>
          <w:sz w:val="14"/>
          <w:szCs w:val="14"/>
          <w:color w:val="auto"/>
        </w:rPr>
        <w:t xml:space="preserve">” means the sale, transfer, license, lease or other disposition (including any sale and leaseback transaction) of any property by any Person (or the granting of any option or other right to do any of the foregoing), including any sale, assignment, transfer or other disposal, with or without recourse, of any notes or accounts receivable or any rights and claims associated therewith; </w:t>
      </w:r>
      <w:r>
        <w:rPr>
          <w:rFonts w:ascii="Arial" w:cs="Arial" w:eastAsia="Arial" w:hAnsi="Arial"/>
          <w:sz w:val="14"/>
          <w:szCs w:val="14"/>
          <w:u w:val="single" w:color="auto"/>
          <w:color w:val="auto"/>
        </w:rPr>
        <w:t>provided</w:t>
      </w:r>
      <w:r>
        <w:rPr>
          <w:rFonts w:ascii="Arial" w:cs="Arial" w:eastAsia="Arial" w:hAnsi="Arial"/>
          <w:sz w:val="14"/>
          <w:szCs w:val="14"/>
          <w:color w:val="auto"/>
        </w:rPr>
        <w:t xml:space="preserve"> that the term “Disposition” or “Dispose” shall not include the disposition of Portfolio Investments originated by the Borrower and immediately transferred to a Financing Subsidiary pursuant to a transaction not prohibited hereunder.</w:t>
      </w:r>
    </w:p>
    <w:p>
      <w:pPr>
        <w:spacing w:after="0" w:line="200" w:lineRule="exact"/>
        <w:rPr>
          <w:sz w:val="20"/>
          <w:szCs w:val="20"/>
          <w:color w:val="auto"/>
        </w:rPr>
      </w:pPr>
    </w:p>
    <w:p>
      <w:pPr>
        <w:spacing w:after="0" w:line="200" w:lineRule="exact"/>
        <w:rPr>
          <w:sz w:val="20"/>
          <w:szCs w:val="20"/>
          <w:color w:val="auto"/>
        </w:rPr>
      </w:pPr>
    </w:p>
    <w:p>
      <w:pPr>
        <w:spacing w:after="0" w:line="20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7560" w:type="dxa"/>
            <w:vAlign w:val="bottom"/>
          </w:tcPr>
          <w:p>
            <w:pPr>
              <w:jc w:val="right"/>
              <w:ind w:right="1828"/>
              <w:spacing w:after="0"/>
              <w:rPr>
                <w:sz w:val="20"/>
                <w:szCs w:val="20"/>
                <w:color w:val="auto"/>
              </w:rPr>
            </w:pPr>
            <w:r>
              <w:rPr>
                <w:rFonts w:ascii="Arial" w:cs="Arial" w:eastAsia="Arial" w:hAnsi="Arial"/>
                <w:sz w:val="14"/>
                <w:szCs w:val="14"/>
                <w:color w:val="auto"/>
              </w:rPr>
              <w:t>6</w:t>
            </w:r>
          </w:p>
        </w:tc>
        <w:tc>
          <w:tcPr>
            <w:tcW w:w="3700" w:type="dxa"/>
            <w:vAlign w:val="bottom"/>
          </w:tcPr>
          <w:p>
            <w:pPr>
              <w:jc w:val="right"/>
              <w:spacing w:after="0"/>
              <w:rPr>
                <w:sz w:val="20"/>
                <w:szCs w:val="20"/>
                <w:color w:val="auto"/>
              </w:rPr>
            </w:pPr>
            <w:r>
              <w:rPr>
                <w:rFonts w:ascii="Arial" w:cs="Arial" w:eastAsia="Arial" w:hAnsi="Arial"/>
                <w:sz w:val="14"/>
                <w:szCs w:val="14"/>
                <w:i w:val="1"/>
                <w:iCs w:val="1"/>
                <w:color w:val="auto"/>
              </w:rPr>
              <w:t>Second Amended and Restated</w:t>
            </w:r>
          </w:p>
        </w:tc>
      </w:tr>
      <w:tr>
        <w:trPr>
          <w:trHeight w:val="182"/>
        </w:trPr>
        <w:tc>
          <w:tcPr>
            <w:tcW w:w="7560" w:type="dxa"/>
            <w:vAlign w:val="bottom"/>
          </w:tcPr>
          <w:p>
            <w:pPr>
              <w:spacing w:after="0"/>
              <w:rPr>
                <w:sz w:val="15"/>
                <w:szCs w:val="15"/>
                <w:color w:val="auto"/>
              </w:rPr>
            </w:pPr>
          </w:p>
        </w:tc>
        <w:tc>
          <w:tcPr>
            <w:tcW w:w="3700" w:type="dxa"/>
            <w:vAlign w:val="bottom"/>
          </w:tcPr>
          <w:p>
            <w:pPr>
              <w:jc w:val="right"/>
              <w:spacing w:after="0"/>
              <w:rPr>
                <w:sz w:val="20"/>
                <w:szCs w:val="20"/>
                <w:color w:val="auto"/>
              </w:rPr>
            </w:pPr>
            <w:r>
              <w:rPr>
                <w:rFonts w:ascii="Arial" w:cs="Arial" w:eastAsia="Arial" w:hAnsi="Arial"/>
                <w:sz w:val="14"/>
                <w:szCs w:val="14"/>
                <w:i w:val="1"/>
                <w:iCs w:val="1"/>
                <w:color w:val="auto"/>
              </w:rPr>
              <w:t>Revolving Credit Agreement</w:t>
            </w:r>
          </w:p>
        </w:tc>
      </w:tr>
      <w:tr>
        <w:trPr>
          <w:trHeight w:val="316"/>
        </w:trPr>
        <w:tc>
          <w:tcPr>
            <w:tcW w:w="7560" w:type="dxa"/>
            <w:vAlign w:val="bottom"/>
            <w:tcBorders>
              <w:bottom w:val="single" w:sz="8" w:color="9A9A9A"/>
            </w:tcBorders>
          </w:tcPr>
          <w:p>
            <w:pPr>
              <w:spacing w:after="0"/>
              <w:rPr>
                <w:sz w:val="24"/>
                <w:szCs w:val="24"/>
                <w:color w:val="auto"/>
              </w:rPr>
            </w:pPr>
          </w:p>
        </w:tc>
        <w:tc>
          <w:tcPr>
            <w:tcW w:w="370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7145655</wp:posOffset>
            </wp:positionH>
            <wp:positionV relativeFrom="paragraph">
              <wp:posOffset>-7620</wp:posOffset>
            </wp:positionV>
            <wp:extent cx="8255" cy="8255"/>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-16510</wp:posOffset>
            </wp:positionV>
            <wp:extent cx="8890" cy="17145"/>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8890" cy="17145"/>
                    </a:xfrm>
                    <a:prstGeom prst="rect">
                      <a:avLst/>
                    </a:prstGeom>
                    <a:noFill/>
                  </pic:spPr>
                </pic:pic>
              </a:graphicData>
            </a:graphic>
          </wp:anchor>
        </w:drawing>
      </w:r>
    </w:p>
    <w:p>
      <w:pPr>
        <w:sectPr>
          <w:pgSz w:w="11900" w:h="16838" w:orient="portrait"/>
          <w:cols w:equalWidth="0" w:num="1">
            <w:col w:w="11260"/>
          </w:cols>
          <w:pgMar w:left="320" w:top="337" w:right="319" w:bottom="1440" w:gutter="0" w:footer="0" w:header="0"/>
        </w:sectPr>
      </w:pPr>
    </w:p>
    <w:bookmarkStart w:id="69" w:name="page70"/>
    <w:bookmarkEnd w:id="69"/>
    <w:p>
      <w:pPr>
        <w:jc w:val="both"/>
        <w:ind w:right="20" w:firstLine="1727"/>
        <w:spacing w:after="0" w:line="251" w:lineRule="auto"/>
        <w:rPr>
          <w:sz w:val="20"/>
          <w:szCs w:val="20"/>
          <w:color w:val="auto"/>
        </w:rPr>
      </w:pPr>
      <w:r>
        <w:rPr>
          <w:rFonts w:ascii="Arial" w:cs="Arial" w:eastAsia="Arial" w:hAnsi="Arial"/>
          <w:sz w:val="13"/>
          <w:szCs w:val="13"/>
          <w:color w:val="auto"/>
        </w:rPr>
        <w:t>“</w:t>
      </w:r>
      <w:r>
        <w:rPr>
          <w:rFonts w:ascii="Arial" w:cs="Arial" w:eastAsia="Arial" w:hAnsi="Arial"/>
          <w:sz w:val="13"/>
          <w:szCs w:val="13"/>
          <w:u w:val="single" w:color="auto"/>
          <w:color w:val="auto"/>
        </w:rPr>
        <w:t>Dollar Commitment</w:t>
      </w:r>
      <w:r>
        <w:rPr>
          <w:rFonts w:ascii="Arial" w:cs="Arial" w:eastAsia="Arial" w:hAnsi="Arial"/>
          <w:sz w:val="13"/>
          <w:szCs w:val="13"/>
          <w:color w:val="auto"/>
        </w:rPr>
        <w:t xml:space="preserve">” means, with respect to each Dollar Lender, the commitment of such Dollar Lender to make Syndicated Loans, and to acquire participations in Letters of Credit and Swingline Loans, denominated in Dollars hereunder, expressed as an amount representing the maximum aggregate amount of such Lender’s Revolving Dollar Credit Exposure hereunder, as such commitment may be (a) reduced or increased from time to time pursuant to </w:t>
      </w:r>
      <w:r>
        <w:rPr>
          <w:rFonts w:ascii="Arial" w:cs="Arial" w:eastAsia="Arial" w:hAnsi="Arial"/>
          <w:sz w:val="13"/>
          <w:szCs w:val="13"/>
          <w:u w:val="single" w:color="auto"/>
          <w:color w:val="auto"/>
        </w:rPr>
        <w:t>Section 2.08</w:t>
      </w:r>
      <w:r>
        <w:rPr>
          <w:rFonts w:ascii="Arial" w:cs="Arial" w:eastAsia="Arial" w:hAnsi="Arial"/>
          <w:sz w:val="13"/>
          <w:szCs w:val="13"/>
          <w:color w:val="auto"/>
        </w:rPr>
        <w:t xml:space="preserve"> and (b) reduced or increased from time to time pursuant to assignments by or to such Lender pursuant to </w:t>
      </w:r>
      <w:r>
        <w:rPr>
          <w:rFonts w:ascii="Arial" w:cs="Arial" w:eastAsia="Arial" w:hAnsi="Arial"/>
          <w:sz w:val="13"/>
          <w:szCs w:val="13"/>
          <w:u w:val="single" w:color="auto"/>
          <w:color w:val="auto"/>
        </w:rPr>
        <w:t>Section 9.04</w:t>
      </w:r>
      <w:r>
        <w:rPr>
          <w:rFonts w:ascii="Arial" w:cs="Arial" w:eastAsia="Arial" w:hAnsi="Arial"/>
          <w:sz w:val="13"/>
          <w:szCs w:val="13"/>
          <w:color w:val="auto"/>
        </w:rPr>
        <w:t xml:space="preserve">. The initial amount of each Lender’s Dollar Commitment is set forth on </w:t>
      </w:r>
      <w:r>
        <w:rPr>
          <w:rFonts w:ascii="Arial" w:cs="Arial" w:eastAsia="Arial" w:hAnsi="Arial"/>
          <w:sz w:val="13"/>
          <w:szCs w:val="13"/>
          <w:u w:val="single" w:color="auto"/>
          <w:color w:val="auto"/>
        </w:rPr>
        <w:t>Schedule 1.01(b)</w:t>
      </w:r>
      <w:r>
        <w:rPr>
          <w:rFonts w:ascii="Arial" w:cs="Arial" w:eastAsia="Arial" w:hAnsi="Arial"/>
          <w:sz w:val="13"/>
          <w:szCs w:val="13"/>
          <w:color w:val="auto"/>
        </w:rPr>
        <w:t>, or in the Assignment and Assumption pursuant to which such Lender shall have assumed its Dollar Commitment, as applicable. The aggregate amount of the Lenders’ Dollar Commitments as of the First Amendment Effective Date is $115,000,000.</w:t>
      </w:r>
    </w:p>
    <w:p>
      <w:pPr>
        <w:spacing w:after="0" w:line="177" w:lineRule="exact"/>
        <w:rPr>
          <w:sz w:val="20"/>
          <w:szCs w:val="20"/>
          <w:color w:val="auto"/>
        </w:rPr>
      </w:pPr>
    </w:p>
    <w:p>
      <w:pPr>
        <w:jc w:val="both"/>
        <w:ind w:right="20" w:firstLine="1727"/>
        <w:spacing w:after="0" w:line="238" w:lineRule="auto"/>
        <w:rPr>
          <w:sz w:val="20"/>
          <w:szCs w:val="20"/>
          <w:color w:val="auto"/>
        </w:rPr>
      </w:pPr>
      <w:r>
        <w:rPr>
          <w:rFonts w:ascii="Arial" w:cs="Arial" w:eastAsia="Arial" w:hAnsi="Arial"/>
          <w:sz w:val="14"/>
          <w:szCs w:val="14"/>
          <w:color w:val="auto"/>
        </w:rPr>
        <w:t>“</w:t>
      </w:r>
      <w:r>
        <w:rPr>
          <w:rFonts w:ascii="Arial" w:cs="Arial" w:eastAsia="Arial" w:hAnsi="Arial"/>
          <w:sz w:val="14"/>
          <w:szCs w:val="14"/>
          <w:u w:val="single" w:color="auto"/>
          <w:color w:val="auto"/>
        </w:rPr>
        <w:t>Dollar Equivalent</w:t>
      </w:r>
      <w:r>
        <w:rPr>
          <w:rFonts w:ascii="Arial" w:cs="Arial" w:eastAsia="Arial" w:hAnsi="Arial"/>
          <w:sz w:val="14"/>
          <w:szCs w:val="14"/>
          <w:color w:val="auto"/>
        </w:rPr>
        <w:t>” means, on any date of determination, with respect to an amount denominated in any Foreign Currency, the amount of Dollars that would be required to purchase such amount of such Foreign Currency on the date two Business Days prior to such date, based upon the spot selling rate at which the Administrative Agent offers to sell such Foreign Currency for Dollars in the London foreign exchange market at approximately 11:00 a.m., London time, for delivery two Business Days later.</w:t>
      </w:r>
    </w:p>
    <w:p>
      <w:pPr>
        <w:spacing w:after="0" w:line="183" w:lineRule="exact"/>
        <w:rPr>
          <w:sz w:val="20"/>
          <w:szCs w:val="20"/>
          <w:color w:val="auto"/>
        </w:rPr>
      </w:pPr>
    </w:p>
    <w:p>
      <w:pPr>
        <w:jc w:val="both"/>
        <w:ind w:right="20" w:firstLine="1727"/>
        <w:spacing w:after="0" w:line="238" w:lineRule="auto"/>
        <w:rPr>
          <w:sz w:val="20"/>
          <w:szCs w:val="20"/>
          <w:color w:val="auto"/>
        </w:rPr>
      </w:pPr>
      <w:r>
        <w:rPr>
          <w:rFonts w:ascii="Arial" w:cs="Arial" w:eastAsia="Arial" w:hAnsi="Arial"/>
          <w:sz w:val="14"/>
          <w:szCs w:val="14"/>
          <w:color w:val="auto"/>
        </w:rPr>
        <w:t>“</w:t>
      </w:r>
      <w:r>
        <w:rPr>
          <w:rFonts w:ascii="Arial" w:cs="Arial" w:eastAsia="Arial" w:hAnsi="Arial"/>
          <w:sz w:val="14"/>
          <w:szCs w:val="14"/>
          <w:u w:val="single" w:color="auto"/>
          <w:color w:val="auto"/>
        </w:rPr>
        <w:t>Dollar LC Exposure</w:t>
      </w:r>
      <w:r>
        <w:rPr>
          <w:rFonts w:ascii="Arial" w:cs="Arial" w:eastAsia="Arial" w:hAnsi="Arial"/>
          <w:sz w:val="14"/>
          <w:szCs w:val="14"/>
          <w:color w:val="auto"/>
        </w:rPr>
        <w:t xml:space="preserve">” means, at any time, the sum of (a) the aggregate undrawn amount of all outstanding Dollar Letters of Credit at such time </w:t>
      </w:r>
      <w:r>
        <w:rPr>
          <w:rFonts w:ascii="Arial" w:cs="Arial" w:eastAsia="Arial" w:hAnsi="Arial"/>
          <w:sz w:val="14"/>
          <w:szCs w:val="14"/>
          <w:u w:val="single" w:color="auto"/>
          <w:color w:val="auto"/>
        </w:rPr>
        <w:t>plus</w:t>
      </w:r>
      <w:r>
        <w:rPr>
          <w:rFonts w:ascii="Arial" w:cs="Arial" w:eastAsia="Arial" w:hAnsi="Arial"/>
          <w:sz w:val="14"/>
          <w:szCs w:val="14"/>
          <w:color w:val="auto"/>
        </w:rPr>
        <w:t xml:space="preserve"> (b) the aggregate amount of all LC Disbursements in respect of such Letters of Credit that have not yet been reimbursed by or on behalf of the Borrower at such time. The Dollar LC Exposure of any Lender at any time shall be its Applicable Dollar Percentage of the total Dollar LC Exposure at such time.</w:t>
      </w:r>
    </w:p>
    <w:p>
      <w:pPr>
        <w:spacing w:after="0" w:line="183" w:lineRule="exact"/>
        <w:rPr>
          <w:sz w:val="20"/>
          <w:szCs w:val="20"/>
          <w:color w:val="auto"/>
        </w:rPr>
      </w:pPr>
    </w:p>
    <w:p>
      <w:pPr>
        <w:jc w:val="both"/>
        <w:ind w:right="20" w:firstLine="1727"/>
        <w:spacing w:after="0" w:line="238" w:lineRule="auto"/>
        <w:rPr>
          <w:sz w:val="20"/>
          <w:szCs w:val="20"/>
          <w:color w:val="auto"/>
        </w:rPr>
      </w:pPr>
      <w:r>
        <w:rPr>
          <w:rFonts w:ascii="Arial" w:cs="Arial" w:eastAsia="Arial" w:hAnsi="Arial"/>
          <w:sz w:val="14"/>
          <w:szCs w:val="14"/>
          <w:color w:val="auto"/>
        </w:rPr>
        <w:t>“</w:t>
      </w:r>
      <w:r>
        <w:rPr>
          <w:rFonts w:ascii="Arial" w:cs="Arial" w:eastAsia="Arial" w:hAnsi="Arial"/>
          <w:sz w:val="14"/>
          <w:szCs w:val="14"/>
          <w:u w:val="single" w:color="auto"/>
          <w:color w:val="auto"/>
        </w:rPr>
        <w:t>Dollar Lender</w:t>
      </w:r>
      <w:r>
        <w:rPr>
          <w:rFonts w:ascii="Arial" w:cs="Arial" w:eastAsia="Arial" w:hAnsi="Arial"/>
          <w:sz w:val="14"/>
          <w:szCs w:val="14"/>
          <w:color w:val="auto"/>
        </w:rPr>
        <w:t xml:space="preserve">” means the Persons listed on </w:t>
      </w:r>
      <w:r>
        <w:rPr>
          <w:rFonts w:ascii="Arial" w:cs="Arial" w:eastAsia="Arial" w:hAnsi="Arial"/>
          <w:sz w:val="14"/>
          <w:szCs w:val="14"/>
          <w:u w:val="single" w:color="auto"/>
          <w:color w:val="auto"/>
        </w:rPr>
        <w:t>Schedule 1.01(b)</w:t>
      </w:r>
      <w:r>
        <w:rPr>
          <w:rFonts w:ascii="Arial" w:cs="Arial" w:eastAsia="Arial" w:hAnsi="Arial"/>
          <w:sz w:val="14"/>
          <w:szCs w:val="14"/>
          <w:color w:val="auto"/>
        </w:rPr>
        <w:t xml:space="preserve"> as having Dollar Commitments and any other Person that shall have become a party hereto pursuant to an Assignment and Assumption that provides for it to assume a Dollar Commitment or to acquire Revolving Dollar Credit Exposure, other than any such Person that ceases to be a party hereto pursuant to an Assignment and Assumption.</w:t>
      </w:r>
    </w:p>
    <w:p>
      <w:pPr>
        <w:spacing w:after="0" w:line="183" w:lineRule="exact"/>
        <w:rPr>
          <w:sz w:val="20"/>
          <w:szCs w:val="20"/>
          <w:color w:val="auto"/>
        </w:rPr>
      </w:pPr>
    </w:p>
    <w:p>
      <w:pPr>
        <w:ind w:left="1740"/>
        <w:spacing w:after="0"/>
        <w:rPr>
          <w:sz w:val="20"/>
          <w:szCs w:val="20"/>
          <w:color w:val="auto"/>
        </w:rPr>
      </w:pPr>
      <w:r>
        <w:rPr>
          <w:rFonts w:ascii="Arial" w:cs="Arial" w:eastAsia="Arial" w:hAnsi="Arial"/>
          <w:sz w:val="14"/>
          <w:szCs w:val="14"/>
          <w:color w:val="auto"/>
        </w:rPr>
        <w:t>“</w:t>
      </w:r>
      <w:r>
        <w:rPr>
          <w:rFonts w:ascii="Arial" w:cs="Arial" w:eastAsia="Arial" w:hAnsi="Arial"/>
          <w:sz w:val="14"/>
          <w:szCs w:val="14"/>
          <w:u w:val="single" w:color="auto"/>
          <w:color w:val="auto"/>
        </w:rPr>
        <w:t>Dollar Letters of Credit</w:t>
      </w:r>
      <w:r>
        <w:rPr>
          <w:rFonts w:ascii="Arial" w:cs="Arial" w:eastAsia="Arial" w:hAnsi="Arial"/>
          <w:sz w:val="14"/>
          <w:szCs w:val="14"/>
          <w:color w:val="auto"/>
        </w:rPr>
        <w:t>” means Letters of Credit that utilize the Dollar Commitments.</w:t>
      </w:r>
    </w:p>
    <w:p>
      <w:pPr>
        <w:spacing w:after="0" w:line="204" w:lineRule="exact"/>
        <w:rPr>
          <w:sz w:val="20"/>
          <w:szCs w:val="20"/>
          <w:color w:val="auto"/>
        </w:rPr>
      </w:pPr>
    </w:p>
    <w:p>
      <w:pPr>
        <w:ind w:left="1740"/>
        <w:spacing w:after="0"/>
        <w:rPr>
          <w:sz w:val="20"/>
          <w:szCs w:val="20"/>
          <w:color w:val="auto"/>
        </w:rPr>
      </w:pPr>
      <w:r>
        <w:rPr>
          <w:rFonts w:ascii="Arial" w:cs="Arial" w:eastAsia="Arial" w:hAnsi="Arial"/>
          <w:sz w:val="14"/>
          <w:szCs w:val="14"/>
          <w:color w:val="auto"/>
        </w:rPr>
        <w:t>“</w:t>
      </w:r>
      <w:r>
        <w:rPr>
          <w:rFonts w:ascii="Arial" w:cs="Arial" w:eastAsia="Arial" w:hAnsi="Arial"/>
          <w:sz w:val="14"/>
          <w:szCs w:val="14"/>
          <w:u w:val="single" w:color="auto"/>
          <w:color w:val="auto"/>
        </w:rPr>
        <w:t>Dollar Loan</w:t>
      </w:r>
      <w:r>
        <w:rPr>
          <w:rFonts w:ascii="Arial" w:cs="Arial" w:eastAsia="Arial" w:hAnsi="Arial"/>
          <w:sz w:val="14"/>
          <w:szCs w:val="14"/>
          <w:color w:val="auto"/>
        </w:rPr>
        <w:t>” means a Loan denominated in Dollars.</w:t>
      </w:r>
    </w:p>
    <w:p>
      <w:pPr>
        <w:spacing w:after="0" w:line="204" w:lineRule="exact"/>
        <w:rPr>
          <w:sz w:val="20"/>
          <w:szCs w:val="20"/>
          <w:color w:val="auto"/>
        </w:rPr>
      </w:pPr>
    </w:p>
    <w:p>
      <w:pPr>
        <w:ind w:left="1740"/>
        <w:spacing w:after="0"/>
        <w:rPr>
          <w:sz w:val="20"/>
          <w:szCs w:val="20"/>
          <w:color w:val="auto"/>
        </w:rPr>
      </w:pPr>
      <w:r>
        <w:rPr>
          <w:rFonts w:ascii="Arial" w:cs="Arial" w:eastAsia="Arial" w:hAnsi="Arial"/>
          <w:sz w:val="14"/>
          <w:szCs w:val="14"/>
          <w:color w:val="auto"/>
        </w:rPr>
        <w:t>“</w:t>
      </w:r>
      <w:r>
        <w:rPr>
          <w:rFonts w:ascii="Arial" w:cs="Arial" w:eastAsia="Arial" w:hAnsi="Arial"/>
          <w:sz w:val="14"/>
          <w:szCs w:val="14"/>
          <w:u w:val="single" w:color="auto"/>
          <w:color w:val="auto"/>
        </w:rPr>
        <w:t>Dollars</w:t>
      </w:r>
      <w:r>
        <w:rPr>
          <w:rFonts w:ascii="Arial" w:cs="Arial" w:eastAsia="Arial" w:hAnsi="Arial"/>
          <w:sz w:val="14"/>
          <w:szCs w:val="14"/>
          <w:color w:val="auto"/>
        </w:rPr>
        <w:t>” or “</w:t>
      </w:r>
      <w:r>
        <w:rPr>
          <w:rFonts w:ascii="Arial" w:cs="Arial" w:eastAsia="Arial" w:hAnsi="Arial"/>
          <w:sz w:val="14"/>
          <w:szCs w:val="14"/>
          <w:u w:val="single" w:color="auto"/>
          <w:color w:val="auto"/>
        </w:rPr>
        <w:t>$</w:t>
      </w:r>
      <w:r>
        <w:rPr>
          <w:rFonts w:ascii="Arial" w:cs="Arial" w:eastAsia="Arial" w:hAnsi="Arial"/>
          <w:sz w:val="14"/>
          <w:szCs w:val="14"/>
          <w:color w:val="auto"/>
        </w:rPr>
        <w:t>” refers to lawful money of the United States of America.</w:t>
      </w:r>
    </w:p>
    <w:p>
      <w:pPr>
        <w:spacing w:after="0" w:line="204" w:lineRule="exact"/>
        <w:rPr>
          <w:sz w:val="20"/>
          <w:szCs w:val="20"/>
          <w:color w:val="auto"/>
        </w:rPr>
      </w:pPr>
    </w:p>
    <w:p>
      <w:pPr>
        <w:jc w:val="both"/>
        <w:ind w:right="20" w:firstLine="1727"/>
        <w:spacing w:after="0" w:line="264" w:lineRule="auto"/>
        <w:rPr>
          <w:sz w:val="20"/>
          <w:szCs w:val="20"/>
          <w:color w:val="auto"/>
        </w:rPr>
      </w:pPr>
      <w:r>
        <w:rPr>
          <w:rFonts w:ascii="Arial" w:cs="Arial" w:eastAsia="Arial" w:hAnsi="Arial"/>
          <w:sz w:val="13"/>
          <w:szCs w:val="13"/>
          <w:color w:val="auto"/>
        </w:rPr>
        <w:t>“</w:t>
      </w:r>
      <w:r>
        <w:rPr>
          <w:rFonts w:ascii="Arial" w:cs="Arial" w:eastAsia="Arial" w:hAnsi="Arial"/>
          <w:sz w:val="13"/>
          <w:szCs w:val="13"/>
          <w:u w:val="single" w:color="auto"/>
          <w:color w:val="auto"/>
        </w:rPr>
        <w:t>EEA Financial Institution</w:t>
      </w:r>
      <w:r>
        <w:rPr>
          <w:rFonts w:ascii="Arial" w:cs="Arial" w:eastAsia="Arial" w:hAnsi="Arial"/>
          <w:sz w:val="13"/>
          <w:szCs w:val="13"/>
          <w:color w:val="auto"/>
        </w:rPr>
        <w:t>” means (a) any credit institution or investment firm established in any EEA Member Country which is subject to the supervision of an EEA Resolution Authority, (b) any entity established in an EEA Member Country which is a parent of an institution described in clause (a) of this definition, or (c) any financial institution established in an EEA Member Country which is a subsidiary of an institution described in clauses (a) or (b) of this definition and is subject to consolidated supervision with its parent.</w:t>
      </w:r>
    </w:p>
    <w:p>
      <w:pPr>
        <w:spacing w:after="0" w:line="168" w:lineRule="exact"/>
        <w:rPr>
          <w:sz w:val="20"/>
          <w:szCs w:val="20"/>
          <w:color w:val="auto"/>
        </w:rPr>
      </w:pPr>
    </w:p>
    <w:p>
      <w:pPr>
        <w:ind w:left="1740"/>
        <w:spacing w:after="0"/>
        <w:rPr>
          <w:sz w:val="20"/>
          <w:szCs w:val="20"/>
          <w:color w:val="auto"/>
        </w:rPr>
      </w:pPr>
      <w:r>
        <w:rPr>
          <w:rFonts w:ascii="Arial" w:cs="Arial" w:eastAsia="Arial" w:hAnsi="Arial"/>
          <w:sz w:val="14"/>
          <w:szCs w:val="14"/>
          <w:color w:val="auto"/>
        </w:rPr>
        <w:t>“</w:t>
      </w:r>
      <w:r>
        <w:rPr>
          <w:rFonts w:ascii="Arial" w:cs="Arial" w:eastAsia="Arial" w:hAnsi="Arial"/>
          <w:sz w:val="14"/>
          <w:szCs w:val="14"/>
          <w:u w:val="single" w:color="auto"/>
          <w:color w:val="auto"/>
        </w:rPr>
        <w:t>EEA Member Country</w:t>
      </w:r>
      <w:r>
        <w:rPr>
          <w:rFonts w:ascii="Arial" w:cs="Arial" w:eastAsia="Arial" w:hAnsi="Arial"/>
          <w:sz w:val="14"/>
          <w:szCs w:val="14"/>
          <w:color w:val="auto"/>
        </w:rPr>
        <w:t>” means any of the member states of the European Union, Iceland, Liechtenstein and Norway.</w:t>
      </w:r>
    </w:p>
    <w:p>
      <w:pPr>
        <w:spacing w:after="0" w:line="204" w:lineRule="exact"/>
        <w:rPr>
          <w:sz w:val="20"/>
          <w:szCs w:val="20"/>
          <w:color w:val="auto"/>
        </w:rPr>
      </w:pPr>
    </w:p>
    <w:p>
      <w:pPr>
        <w:jc w:val="both"/>
        <w:ind w:right="20" w:firstLine="1727"/>
        <w:spacing w:after="0" w:line="253" w:lineRule="auto"/>
        <w:rPr>
          <w:sz w:val="20"/>
          <w:szCs w:val="20"/>
          <w:color w:val="auto"/>
        </w:rPr>
      </w:pPr>
      <w:r>
        <w:rPr>
          <w:rFonts w:ascii="Arial" w:cs="Arial" w:eastAsia="Arial" w:hAnsi="Arial"/>
          <w:sz w:val="14"/>
          <w:szCs w:val="14"/>
          <w:color w:val="auto"/>
        </w:rPr>
        <w:t>“</w:t>
      </w:r>
      <w:r>
        <w:rPr>
          <w:rFonts w:ascii="Arial" w:cs="Arial" w:eastAsia="Arial" w:hAnsi="Arial"/>
          <w:sz w:val="14"/>
          <w:szCs w:val="14"/>
          <w:u w:val="single" w:color="auto"/>
          <w:color w:val="auto"/>
        </w:rPr>
        <w:t>EEA Resolution Authority</w:t>
      </w:r>
      <w:r>
        <w:rPr>
          <w:rFonts w:ascii="Arial" w:cs="Arial" w:eastAsia="Arial" w:hAnsi="Arial"/>
          <w:sz w:val="14"/>
          <w:szCs w:val="14"/>
          <w:color w:val="auto"/>
        </w:rPr>
        <w:t>” means any public administrative authority or any person entrusted with public administrative authority of any EEA Member Country (including any delegee) having responsibility for the resolution of any EEA Financial Institution.</w:t>
      </w:r>
    </w:p>
    <w:p>
      <w:pPr>
        <w:spacing w:after="0" w:line="174" w:lineRule="exact"/>
        <w:rPr>
          <w:sz w:val="20"/>
          <w:szCs w:val="20"/>
          <w:color w:val="auto"/>
        </w:rPr>
      </w:pPr>
    </w:p>
    <w:p>
      <w:pPr>
        <w:ind w:left="1740"/>
        <w:spacing w:after="0"/>
        <w:rPr>
          <w:sz w:val="20"/>
          <w:szCs w:val="20"/>
          <w:color w:val="auto"/>
        </w:rPr>
      </w:pPr>
      <w:r>
        <w:rPr>
          <w:rFonts w:ascii="Arial" w:cs="Arial" w:eastAsia="Arial" w:hAnsi="Arial"/>
          <w:sz w:val="13"/>
          <w:szCs w:val="13"/>
          <w:color w:val="auto"/>
        </w:rPr>
        <w:t>“</w:t>
      </w:r>
      <w:r>
        <w:rPr>
          <w:rFonts w:ascii="Arial" w:cs="Arial" w:eastAsia="Arial" w:hAnsi="Arial"/>
          <w:sz w:val="13"/>
          <w:szCs w:val="13"/>
          <w:u w:val="single" w:color="auto"/>
          <w:color w:val="auto"/>
        </w:rPr>
        <w:t>Effective Date</w:t>
      </w:r>
      <w:r>
        <w:rPr>
          <w:rFonts w:ascii="Arial" w:cs="Arial" w:eastAsia="Arial" w:hAnsi="Arial"/>
          <w:sz w:val="13"/>
          <w:szCs w:val="13"/>
          <w:color w:val="auto"/>
        </w:rPr>
        <w:t xml:space="preserve">” means the date on which the conditions specified in </w:t>
      </w:r>
      <w:r>
        <w:rPr>
          <w:rFonts w:ascii="Arial" w:cs="Arial" w:eastAsia="Arial" w:hAnsi="Arial"/>
          <w:sz w:val="13"/>
          <w:szCs w:val="13"/>
          <w:u w:val="single" w:color="auto"/>
          <w:color w:val="auto"/>
        </w:rPr>
        <w:t>Section 4.01</w:t>
      </w:r>
      <w:r>
        <w:rPr>
          <w:rFonts w:ascii="Arial" w:cs="Arial" w:eastAsia="Arial" w:hAnsi="Arial"/>
          <w:sz w:val="13"/>
          <w:szCs w:val="13"/>
          <w:color w:val="auto"/>
        </w:rPr>
        <w:t xml:space="preserve"> are satisfied (or waived in accordance with </w:t>
      </w:r>
      <w:r>
        <w:rPr>
          <w:rFonts w:ascii="Arial" w:cs="Arial" w:eastAsia="Arial" w:hAnsi="Arial"/>
          <w:sz w:val="13"/>
          <w:szCs w:val="13"/>
          <w:u w:val="single" w:color="auto"/>
          <w:color w:val="auto"/>
        </w:rPr>
        <w:t>Section 9.02</w:t>
      </w:r>
      <w:r>
        <w:rPr>
          <w:rFonts w:ascii="Arial" w:cs="Arial" w:eastAsia="Arial" w:hAnsi="Arial"/>
          <w:sz w:val="13"/>
          <w:szCs w:val="13"/>
          <w:color w:val="auto"/>
        </w:rPr>
        <w:t>), which date is June 25,</w:t>
      </w:r>
    </w:p>
    <w:p>
      <w:pPr>
        <w:spacing w:after="0" w:line="11" w:lineRule="exact"/>
        <w:rPr>
          <w:sz w:val="20"/>
          <w:szCs w:val="20"/>
          <w:color w:val="auto"/>
        </w:rPr>
      </w:pPr>
    </w:p>
    <w:p>
      <w:pPr>
        <w:spacing w:after="0"/>
        <w:rPr>
          <w:sz w:val="20"/>
          <w:szCs w:val="20"/>
          <w:color w:val="auto"/>
        </w:rPr>
      </w:pPr>
      <w:r>
        <w:rPr>
          <w:rFonts w:ascii="Arial" w:cs="Arial" w:eastAsia="Arial" w:hAnsi="Arial"/>
          <w:sz w:val="14"/>
          <w:szCs w:val="14"/>
          <w:color w:val="auto"/>
        </w:rPr>
        <w:t>2014.</w:t>
      </w:r>
    </w:p>
    <w:p>
      <w:pPr>
        <w:spacing w:after="0" w:line="192" w:lineRule="exact"/>
        <w:rPr>
          <w:sz w:val="20"/>
          <w:szCs w:val="20"/>
          <w:color w:val="auto"/>
        </w:rPr>
      </w:pPr>
    </w:p>
    <w:p>
      <w:pPr>
        <w:jc w:val="both"/>
        <w:ind w:right="20" w:firstLine="1727"/>
        <w:spacing w:after="0" w:line="238" w:lineRule="auto"/>
        <w:rPr>
          <w:sz w:val="20"/>
          <w:szCs w:val="20"/>
          <w:color w:val="auto"/>
        </w:rPr>
      </w:pPr>
      <w:r>
        <w:rPr>
          <w:rFonts w:ascii="Arial" w:cs="Arial" w:eastAsia="Arial" w:hAnsi="Arial"/>
          <w:sz w:val="14"/>
          <w:szCs w:val="14"/>
          <w:color w:val="auto"/>
        </w:rPr>
        <w:t>“</w:t>
      </w:r>
      <w:r>
        <w:rPr>
          <w:rFonts w:ascii="Arial" w:cs="Arial" w:eastAsia="Arial" w:hAnsi="Arial"/>
          <w:sz w:val="14"/>
          <w:szCs w:val="14"/>
          <w:u w:val="single" w:color="auto"/>
          <w:color w:val="auto"/>
        </w:rPr>
        <w:t>Equity Interests</w:t>
      </w:r>
      <w:r>
        <w:rPr>
          <w:rFonts w:ascii="Arial" w:cs="Arial" w:eastAsia="Arial" w:hAnsi="Arial"/>
          <w:sz w:val="14"/>
          <w:szCs w:val="14"/>
          <w:color w:val="auto"/>
        </w:rPr>
        <w:t>” means shares of capital stock, partnership interests, membership interests in a limited liability company, beneficial interests in a trust or other equity ownership interests in a Person, and any warrants, options or other rights entitling the holder thereof to purchase or acquire any such equity interest. As used in this Agreement, “Equity Interests” shall not include convertible debt unless and until such debt has been converted to capital stock.</w:t>
      </w:r>
    </w:p>
    <w:p>
      <w:pPr>
        <w:spacing w:after="0" w:line="183" w:lineRule="exact"/>
        <w:rPr>
          <w:sz w:val="20"/>
          <w:szCs w:val="20"/>
          <w:color w:val="auto"/>
        </w:rPr>
      </w:pPr>
    </w:p>
    <w:p>
      <w:pPr>
        <w:ind w:left="1740"/>
        <w:spacing w:after="0"/>
        <w:rPr>
          <w:sz w:val="20"/>
          <w:szCs w:val="20"/>
          <w:color w:val="auto"/>
        </w:rPr>
      </w:pPr>
      <w:r>
        <w:rPr>
          <w:rFonts w:ascii="Arial" w:cs="Arial" w:eastAsia="Arial" w:hAnsi="Arial"/>
          <w:sz w:val="14"/>
          <w:szCs w:val="14"/>
          <w:color w:val="auto"/>
        </w:rPr>
        <w:t>“</w:t>
      </w:r>
      <w:r>
        <w:rPr>
          <w:rFonts w:ascii="Arial" w:cs="Arial" w:eastAsia="Arial" w:hAnsi="Arial"/>
          <w:sz w:val="14"/>
          <w:szCs w:val="14"/>
          <w:u w:val="single" w:color="auto"/>
          <w:color w:val="auto"/>
        </w:rPr>
        <w:t>ERISA</w:t>
      </w:r>
      <w:r>
        <w:rPr>
          <w:rFonts w:ascii="Arial" w:cs="Arial" w:eastAsia="Arial" w:hAnsi="Arial"/>
          <w:sz w:val="14"/>
          <w:szCs w:val="14"/>
          <w:color w:val="auto"/>
        </w:rPr>
        <w:t>” means the Employee Retirement Income Security Act of 1974, as amended from time to time.</w:t>
      </w:r>
    </w:p>
    <w:p>
      <w:pPr>
        <w:spacing w:after="0" w:line="204" w:lineRule="exact"/>
        <w:rPr>
          <w:sz w:val="20"/>
          <w:szCs w:val="20"/>
          <w:color w:val="auto"/>
        </w:rPr>
      </w:pPr>
    </w:p>
    <w:p>
      <w:pPr>
        <w:jc w:val="both"/>
        <w:ind w:right="20" w:firstLine="1727"/>
        <w:spacing w:after="0" w:line="253" w:lineRule="auto"/>
        <w:rPr>
          <w:sz w:val="20"/>
          <w:szCs w:val="20"/>
          <w:color w:val="auto"/>
        </w:rPr>
      </w:pPr>
      <w:r>
        <w:rPr>
          <w:rFonts w:ascii="Arial" w:cs="Arial" w:eastAsia="Arial" w:hAnsi="Arial"/>
          <w:sz w:val="14"/>
          <w:szCs w:val="14"/>
          <w:color w:val="auto"/>
        </w:rPr>
        <w:t>“</w:t>
      </w:r>
      <w:r>
        <w:rPr>
          <w:rFonts w:ascii="Arial" w:cs="Arial" w:eastAsia="Arial" w:hAnsi="Arial"/>
          <w:sz w:val="14"/>
          <w:szCs w:val="14"/>
          <w:u w:val="single" w:color="auto"/>
          <w:color w:val="auto"/>
        </w:rPr>
        <w:t>ERISA Affiliate</w:t>
      </w:r>
      <w:r>
        <w:rPr>
          <w:rFonts w:ascii="Arial" w:cs="Arial" w:eastAsia="Arial" w:hAnsi="Arial"/>
          <w:sz w:val="14"/>
          <w:szCs w:val="14"/>
          <w:color w:val="auto"/>
        </w:rPr>
        <w:t>” means any trade or business (whether or not incorporated) that, together with the Borrower, is treated as a single employer under Section 414(b) or (c) of the Code, or, solely for purposes of Section 302 of ERISA and Section 412 of the Code, is treated as a single employer under Section 414 of the Code.</w:t>
      </w:r>
    </w:p>
    <w:p>
      <w:pPr>
        <w:spacing w:after="0" w:line="174" w:lineRule="exact"/>
        <w:rPr>
          <w:sz w:val="20"/>
          <w:szCs w:val="20"/>
          <w:color w:val="auto"/>
        </w:rPr>
      </w:pPr>
    </w:p>
    <w:p>
      <w:pPr>
        <w:jc w:val="both"/>
        <w:ind w:right="20" w:firstLine="1727"/>
        <w:spacing w:after="0" w:line="245" w:lineRule="auto"/>
        <w:rPr>
          <w:sz w:val="20"/>
          <w:szCs w:val="20"/>
          <w:color w:val="auto"/>
        </w:rPr>
      </w:pPr>
      <w:r>
        <w:rPr>
          <w:rFonts w:ascii="Arial" w:cs="Arial" w:eastAsia="Arial" w:hAnsi="Arial"/>
          <w:sz w:val="13"/>
          <w:szCs w:val="13"/>
          <w:color w:val="auto"/>
        </w:rPr>
        <w:t>“</w:t>
      </w:r>
      <w:r>
        <w:rPr>
          <w:rFonts w:ascii="Arial" w:cs="Arial" w:eastAsia="Arial" w:hAnsi="Arial"/>
          <w:sz w:val="13"/>
          <w:szCs w:val="13"/>
          <w:u w:val="single" w:color="auto"/>
          <w:color w:val="auto"/>
        </w:rPr>
        <w:t>ERISA Event</w:t>
      </w:r>
      <w:r>
        <w:rPr>
          <w:rFonts w:ascii="Arial" w:cs="Arial" w:eastAsia="Arial" w:hAnsi="Arial"/>
          <w:sz w:val="13"/>
          <w:szCs w:val="13"/>
          <w:color w:val="auto"/>
        </w:rPr>
        <w:t>” means (a) any “reportable event”, as defined in Section 4043 of ERISA or the regulations issued thereunder with respect to a Plan (other than an event for which the 30-day notice period is waived); (b) any failure by any Plan to satisfy the minimum funding standard (within the meaning of Section 412 of the Code or Section 302 of ERISA) applicable to such Plan; (c) the filing pursuant to Section 412(c) of the Code or Section 302(c) of ERISA of an application for a waiver of the minimum funding standard with respect to any Plan; (d) the incurrence by the Borrower or any of its ERISA Affiliates of any liability under Title IV of ERISA with respect to the termination of any Plan; (e) the receipt by the Borrower or any ERISA Affiliate from the PBGC or a plan administrator of any notice relating to an intention to terminate any Plan or Plans or to appoint a trustee to administer any Plan; (f) the incurrence by the Borrower or any of its ERISA Affiliates of any liability with respect to the withdrawal or partial withdrawal from any Plan or Multiemployer Plan; or (g) the receipt by the Borrower or any ERISA Affiliate of any notice, or the receipt by any Multiemployer Plan from the Borrower or any ERISA Affiliate of any notice, concerning the imposition of Withdrawal Liability or a determination that a Multiemployer Plan is, or is expected to be, insolvent or in reorganization, within the meaning of Title IV of ERISA.</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7560" w:type="dxa"/>
            <w:vAlign w:val="bottom"/>
          </w:tcPr>
          <w:p>
            <w:pPr>
              <w:jc w:val="right"/>
              <w:ind w:right="1828"/>
              <w:spacing w:after="0"/>
              <w:rPr>
                <w:sz w:val="20"/>
                <w:szCs w:val="20"/>
                <w:color w:val="auto"/>
              </w:rPr>
            </w:pPr>
            <w:r>
              <w:rPr>
                <w:rFonts w:ascii="Arial" w:cs="Arial" w:eastAsia="Arial" w:hAnsi="Arial"/>
                <w:sz w:val="14"/>
                <w:szCs w:val="14"/>
                <w:color w:val="auto"/>
              </w:rPr>
              <w:t>7</w:t>
            </w:r>
          </w:p>
        </w:tc>
        <w:tc>
          <w:tcPr>
            <w:tcW w:w="3700" w:type="dxa"/>
            <w:vAlign w:val="bottom"/>
          </w:tcPr>
          <w:p>
            <w:pPr>
              <w:jc w:val="right"/>
              <w:spacing w:after="0"/>
              <w:rPr>
                <w:sz w:val="20"/>
                <w:szCs w:val="20"/>
                <w:color w:val="auto"/>
              </w:rPr>
            </w:pPr>
            <w:r>
              <w:rPr>
                <w:rFonts w:ascii="Arial" w:cs="Arial" w:eastAsia="Arial" w:hAnsi="Arial"/>
                <w:sz w:val="14"/>
                <w:szCs w:val="14"/>
                <w:i w:val="1"/>
                <w:iCs w:val="1"/>
                <w:color w:val="auto"/>
              </w:rPr>
              <w:t>Second Amended and Restated</w:t>
            </w:r>
          </w:p>
        </w:tc>
      </w:tr>
      <w:tr>
        <w:trPr>
          <w:trHeight w:val="182"/>
        </w:trPr>
        <w:tc>
          <w:tcPr>
            <w:tcW w:w="7560" w:type="dxa"/>
            <w:vAlign w:val="bottom"/>
          </w:tcPr>
          <w:p>
            <w:pPr>
              <w:spacing w:after="0"/>
              <w:rPr>
                <w:sz w:val="15"/>
                <w:szCs w:val="15"/>
                <w:color w:val="auto"/>
              </w:rPr>
            </w:pPr>
          </w:p>
        </w:tc>
        <w:tc>
          <w:tcPr>
            <w:tcW w:w="3700" w:type="dxa"/>
            <w:vAlign w:val="bottom"/>
          </w:tcPr>
          <w:p>
            <w:pPr>
              <w:jc w:val="right"/>
              <w:spacing w:after="0"/>
              <w:rPr>
                <w:sz w:val="20"/>
                <w:szCs w:val="20"/>
                <w:color w:val="auto"/>
              </w:rPr>
            </w:pPr>
            <w:r>
              <w:rPr>
                <w:rFonts w:ascii="Arial" w:cs="Arial" w:eastAsia="Arial" w:hAnsi="Arial"/>
                <w:sz w:val="14"/>
                <w:szCs w:val="14"/>
                <w:i w:val="1"/>
                <w:iCs w:val="1"/>
                <w:color w:val="auto"/>
              </w:rPr>
              <w:t>Revolving Credit Agreement</w:t>
            </w:r>
          </w:p>
        </w:tc>
      </w:tr>
      <w:tr>
        <w:trPr>
          <w:trHeight w:val="316"/>
        </w:trPr>
        <w:tc>
          <w:tcPr>
            <w:tcW w:w="7560" w:type="dxa"/>
            <w:vAlign w:val="bottom"/>
            <w:tcBorders>
              <w:bottom w:val="single" w:sz="8" w:color="9A9A9A"/>
            </w:tcBorders>
          </w:tcPr>
          <w:p>
            <w:pPr>
              <w:spacing w:after="0"/>
              <w:rPr>
                <w:sz w:val="24"/>
                <w:szCs w:val="24"/>
                <w:color w:val="auto"/>
              </w:rPr>
            </w:pPr>
          </w:p>
        </w:tc>
        <w:tc>
          <w:tcPr>
            <w:tcW w:w="370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7145655</wp:posOffset>
            </wp:positionH>
            <wp:positionV relativeFrom="paragraph">
              <wp:posOffset>-7620</wp:posOffset>
            </wp:positionV>
            <wp:extent cx="8255" cy="8255"/>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-16510</wp:posOffset>
            </wp:positionV>
            <wp:extent cx="8890" cy="17145"/>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8890" cy="17145"/>
                    </a:xfrm>
                    <a:prstGeom prst="rect">
                      <a:avLst/>
                    </a:prstGeom>
                    <a:noFill/>
                  </pic:spPr>
                </pic:pic>
              </a:graphicData>
            </a:graphic>
          </wp:anchor>
        </w:drawing>
      </w:r>
    </w:p>
    <w:p>
      <w:pPr>
        <w:sectPr>
          <w:pgSz w:w="11900" w:h="16838" w:orient="portrait"/>
          <w:cols w:equalWidth="0" w:num="1">
            <w:col w:w="11260"/>
          </w:cols>
          <w:pgMar w:left="320" w:top="337" w:right="319" w:bottom="1440" w:gutter="0" w:footer="0" w:header="0"/>
        </w:sectPr>
      </w:pPr>
    </w:p>
    <w:bookmarkStart w:id="70" w:name="page71"/>
    <w:bookmarkEnd w:id="70"/>
    <w:p>
      <w:pPr>
        <w:ind w:left="1740"/>
        <w:spacing w:after="0"/>
        <w:rPr>
          <w:sz w:val="20"/>
          <w:szCs w:val="20"/>
          <w:color w:val="auto"/>
        </w:rPr>
      </w:pPr>
      <w:r>
        <w:rPr>
          <w:rFonts w:ascii="Arial" w:cs="Arial" w:eastAsia="Arial" w:hAnsi="Arial"/>
          <w:sz w:val="13"/>
          <w:szCs w:val="13"/>
          <w:color w:val="auto"/>
        </w:rPr>
        <w:t>“</w:t>
      </w:r>
      <w:r>
        <w:rPr>
          <w:rFonts w:ascii="Arial" w:cs="Arial" w:eastAsia="Arial" w:hAnsi="Arial"/>
          <w:sz w:val="13"/>
          <w:szCs w:val="13"/>
          <w:u w:val="single" w:color="auto"/>
          <w:color w:val="auto"/>
        </w:rPr>
        <w:t>EU Bail-In Legislation Schedule</w:t>
      </w:r>
      <w:r>
        <w:rPr>
          <w:rFonts w:ascii="Arial" w:cs="Arial" w:eastAsia="Arial" w:hAnsi="Arial"/>
          <w:sz w:val="13"/>
          <w:szCs w:val="13"/>
          <w:color w:val="auto"/>
        </w:rPr>
        <w:t>” means the EU Bail-In Legislation Schedule published by the Loan Market Association (or any successor person), as in effect</w:t>
      </w:r>
    </w:p>
    <w:p>
      <w:pPr>
        <w:spacing w:after="0" w:line="11" w:lineRule="exact"/>
        <w:rPr>
          <w:sz w:val="20"/>
          <w:szCs w:val="20"/>
          <w:color w:val="auto"/>
        </w:rPr>
      </w:pPr>
    </w:p>
    <w:p>
      <w:pPr>
        <w:spacing w:after="0"/>
        <w:rPr>
          <w:sz w:val="20"/>
          <w:szCs w:val="20"/>
          <w:color w:val="auto"/>
        </w:rPr>
      </w:pPr>
      <w:r>
        <w:rPr>
          <w:rFonts w:ascii="Arial" w:cs="Arial" w:eastAsia="Arial" w:hAnsi="Arial"/>
          <w:sz w:val="14"/>
          <w:szCs w:val="14"/>
          <w:color w:val="auto"/>
        </w:rPr>
        <w:t>from time to time.</w:t>
      </w:r>
    </w:p>
    <w:p>
      <w:pPr>
        <w:spacing w:after="0" w:line="192" w:lineRule="exact"/>
        <w:rPr>
          <w:sz w:val="20"/>
          <w:szCs w:val="20"/>
          <w:color w:val="auto"/>
        </w:rPr>
      </w:pPr>
    </w:p>
    <w:p>
      <w:pPr>
        <w:ind w:left="1740"/>
        <w:spacing w:after="0"/>
        <w:rPr>
          <w:sz w:val="20"/>
          <w:szCs w:val="20"/>
          <w:color w:val="auto"/>
        </w:rPr>
      </w:pPr>
      <w:r>
        <w:rPr>
          <w:rFonts w:ascii="Arial" w:cs="Arial" w:eastAsia="Arial" w:hAnsi="Arial"/>
          <w:sz w:val="14"/>
          <w:szCs w:val="14"/>
          <w:color w:val="auto"/>
        </w:rPr>
        <w:t>“</w:t>
      </w:r>
      <w:r>
        <w:rPr>
          <w:rFonts w:ascii="Arial" w:cs="Arial" w:eastAsia="Arial" w:hAnsi="Arial"/>
          <w:sz w:val="14"/>
          <w:szCs w:val="14"/>
          <w:u w:val="single" w:color="auto"/>
          <w:color w:val="auto"/>
        </w:rPr>
        <w:t>Euro</w:t>
      </w:r>
      <w:r>
        <w:rPr>
          <w:rFonts w:ascii="Arial" w:cs="Arial" w:eastAsia="Arial" w:hAnsi="Arial"/>
          <w:sz w:val="14"/>
          <w:szCs w:val="14"/>
          <w:color w:val="auto"/>
        </w:rPr>
        <w:t>” means a single currency of the Participating Member States.</w:t>
      </w:r>
    </w:p>
    <w:p>
      <w:pPr>
        <w:spacing w:after="0" w:line="204" w:lineRule="exact"/>
        <w:rPr>
          <w:sz w:val="20"/>
          <w:szCs w:val="20"/>
          <w:color w:val="auto"/>
        </w:rPr>
      </w:pPr>
    </w:p>
    <w:p>
      <w:pPr>
        <w:jc w:val="both"/>
        <w:ind w:right="20" w:firstLine="1727"/>
        <w:spacing w:after="0" w:line="253" w:lineRule="auto"/>
        <w:rPr>
          <w:sz w:val="20"/>
          <w:szCs w:val="20"/>
          <w:color w:val="auto"/>
        </w:rPr>
      </w:pPr>
      <w:r>
        <w:rPr>
          <w:rFonts w:ascii="Arial" w:cs="Arial" w:eastAsia="Arial" w:hAnsi="Arial"/>
          <w:sz w:val="14"/>
          <w:szCs w:val="14"/>
          <w:color w:val="auto"/>
        </w:rPr>
        <w:t>“</w:t>
      </w:r>
      <w:r>
        <w:rPr>
          <w:rFonts w:ascii="Arial" w:cs="Arial" w:eastAsia="Arial" w:hAnsi="Arial"/>
          <w:sz w:val="14"/>
          <w:szCs w:val="14"/>
          <w:u w:val="single" w:color="auto"/>
          <w:color w:val="auto"/>
        </w:rPr>
        <w:t>Eurocurrency</w:t>
      </w:r>
      <w:r>
        <w:rPr>
          <w:rFonts w:ascii="Arial" w:cs="Arial" w:eastAsia="Arial" w:hAnsi="Arial"/>
          <w:sz w:val="14"/>
          <w:szCs w:val="14"/>
          <w:color w:val="auto"/>
        </w:rPr>
        <w:t>”, when used in reference to any Loan or Borrowing, refers to whether such Loan, or the Loans constituting such Borrowing, are bearing interest at a rate determined by reference to the Adjusted LIBO Rate.</w:t>
      </w:r>
    </w:p>
    <w:p>
      <w:pPr>
        <w:spacing w:after="0" w:line="174" w:lineRule="exact"/>
        <w:rPr>
          <w:sz w:val="20"/>
          <w:szCs w:val="20"/>
          <w:color w:val="auto"/>
        </w:rPr>
      </w:pPr>
    </w:p>
    <w:p>
      <w:pPr>
        <w:ind w:left="1740"/>
        <w:spacing w:after="0"/>
        <w:rPr>
          <w:sz w:val="20"/>
          <w:szCs w:val="20"/>
          <w:color w:val="auto"/>
        </w:rPr>
      </w:pPr>
      <w:r>
        <w:rPr>
          <w:rFonts w:ascii="Arial" w:cs="Arial" w:eastAsia="Arial" w:hAnsi="Arial"/>
          <w:sz w:val="14"/>
          <w:szCs w:val="14"/>
          <w:color w:val="auto"/>
        </w:rPr>
        <w:t>“</w:t>
      </w:r>
      <w:r>
        <w:rPr>
          <w:rFonts w:ascii="Arial" w:cs="Arial" w:eastAsia="Arial" w:hAnsi="Arial"/>
          <w:sz w:val="14"/>
          <w:szCs w:val="14"/>
          <w:u w:val="single" w:color="auto"/>
          <w:color w:val="auto"/>
        </w:rPr>
        <w:t>Event of Default</w:t>
      </w:r>
      <w:r>
        <w:rPr>
          <w:rFonts w:ascii="Arial" w:cs="Arial" w:eastAsia="Arial" w:hAnsi="Arial"/>
          <w:sz w:val="14"/>
          <w:szCs w:val="14"/>
          <w:color w:val="auto"/>
        </w:rPr>
        <w:t xml:space="preserve">” has the meaning assigned to such term in </w:t>
      </w:r>
      <w:r>
        <w:rPr>
          <w:rFonts w:ascii="Arial" w:cs="Arial" w:eastAsia="Arial" w:hAnsi="Arial"/>
          <w:sz w:val="14"/>
          <w:szCs w:val="14"/>
          <w:u w:val="single" w:color="auto"/>
          <w:color w:val="auto"/>
        </w:rPr>
        <w:t>Article VII</w:t>
      </w:r>
      <w:r>
        <w:rPr>
          <w:rFonts w:ascii="Arial" w:cs="Arial" w:eastAsia="Arial" w:hAnsi="Arial"/>
          <w:sz w:val="14"/>
          <w:szCs w:val="14"/>
          <w:color w:val="auto"/>
        </w:rPr>
        <w:t>.</w:t>
      </w:r>
    </w:p>
    <w:p>
      <w:pPr>
        <w:spacing w:after="0" w:line="204" w:lineRule="exact"/>
        <w:rPr>
          <w:sz w:val="20"/>
          <w:szCs w:val="20"/>
          <w:color w:val="auto"/>
        </w:rPr>
      </w:pPr>
    </w:p>
    <w:p>
      <w:pPr>
        <w:jc w:val="both"/>
        <w:ind w:right="20" w:firstLine="1727"/>
        <w:spacing w:after="0" w:line="244" w:lineRule="auto"/>
        <w:rPr>
          <w:sz w:val="20"/>
          <w:szCs w:val="20"/>
          <w:color w:val="auto"/>
        </w:rPr>
      </w:pPr>
      <w:r>
        <w:rPr>
          <w:rFonts w:ascii="Arial" w:cs="Arial" w:eastAsia="Arial" w:hAnsi="Arial"/>
          <w:sz w:val="13"/>
          <w:szCs w:val="13"/>
          <w:color w:val="auto"/>
        </w:rPr>
        <w:t>“</w:t>
      </w:r>
      <w:r>
        <w:rPr>
          <w:rFonts w:ascii="Arial" w:cs="Arial" w:eastAsia="Arial" w:hAnsi="Arial"/>
          <w:sz w:val="13"/>
          <w:szCs w:val="13"/>
          <w:u w:val="single" w:color="auto"/>
          <w:color w:val="auto"/>
        </w:rPr>
        <w:t>Excluded Taxes</w:t>
      </w:r>
      <w:r>
        <w:rPr>
          <w:rFonts w:ascii="Arial" w:cs="Arial" w:eastAsia="Arial" w:hAnsi="Arial"/>
          <w:sz w:val="13"/>
          <w:szCs w:val="13"/>
          <w:color w:val="auto"/>
        </w:rPr>
        <w:t xml:space="preserve">” means, with respect to the Administrative Agent, any Lender, the Issuing Bank or any other recipient of any payment to be made by or on account of any obligation of the Borrower hereunder, (a) income, corporate, franchise or other similar Taxes imposed on (or measured by) its net income by the United States of America (or any state or political subdivision thereof), or by the jurisdiction (or any political subdivision thereof) under the laws of which such recipient is organized or in which its principal office is located or, in the case of any Lender, in which its applicable lending office is located, (b) any branch profits Taxes imposed by the United States of America or any similar Tax imposed by any other jurisdiction in which the Borrower is located, (c) in the case of a Lender, any U.S. federal withholding Tax imposed on amounts payable to such Lender (i) at the time such Lender (other than an assignee pursuant to a request by the Borrower under </w:t>
      </w:r>
      <w:r>
        <w:rPr>
          <w:rFonts w:ascii="Arial" w:cs="Arial" w:eastAsia="Arial" w:hAnsi="Arial"/>
          <w:sz w:val="13"/>
          <w:szCs w:val="13"/>
          <w:u w:val="single" w:color="auto"/>
          <w:color w:val="auto"/>
        </w:rPr>
        <w:t>Section 2.18(b)</w:t>
      </w:r>
      <w:r>
        <w:rPr>
          <w:rFonts w:ascii="Arial" w:cs="Arial" w:eastAsia="Arial" w:hAnsi="Arial"/>
          <w:sz w:val="13"/>
          <w:szCs w:val="13"/>
          <w:color w:val="auto"/>
        </w:rPr>
        <w:t xml:space="preserve">) becomes a party to this Agreement or designates a new lending office, except to the extent that such Lender’s assignor or such Lender was entitled to receive additional amounts from the Borrower with respect to such withholding Tax pursuant to </w:t>
      </w:r>
      <w:r>
        <w:rPr>
          <w:rFonts w:ascii="Arial" w:cs="Arial" w:eastAsia="Arial" w:hAnsi="Arial"/>
          <w:sz w:val="13"/>
          <w:szCs w:val="13"/>
          <w:u w:val="single" w:color="auto"/>
          <w:color w:val="auto"/>
        </w:rPr>
        <w:t>Section 2.16</w:t>
      </w:r>
      <w:r>
        <w:rPr>
          <w:rFonts w:ascii="Arial" w:cs="Arial" w:eastAsia="Arial" w:hAnsi="Arial"/>
          <w:sz w:val="13"/>
          <w:szCs w:val="13"/>
          <w:color w:val="auto"/>
        </w:rPr>
        <w:t xml:space="preserve">, at the time of such assignment or designation (other than to the extent such withholding is as a result of a CAM Exchange), or (ii) that is attributable to such Lender’s failure or inability (other than as a result of a Change in Law occurring after the date such Lender becomes a party to this Agreement) to comply with </w:t>
      </w:r>
      <w:r>
        <w:rPr>
          <w:rFonts w:ascii="Arial" w:cs="Arial" w:eastAsia="Arial" w:hAnsi="Arial"/>
          <w:sz w:val="13"/>
          <w:szCs w:val="13"/>
          <w:u w:val="single" w:color="auto"/>
          <w:color w:val="auto"/>
        </w:rPr>
        <w:t>Section 2.16(f)</w:t>
      </w:r>
      <w:r>
        <w:rPr>
          <w:rFonts w:ascii="Arial" w:cs="Arial" w:eastAsia="Arial" w:hAnsi="Arial"/>
          <w:sz w:val="13"/>
          <w:szCs w:val="13"/>
          <w:color w:val="auto"/>
        </w:rPr>
        <w:t>, (d) any U.S. federal, state or local backup withholding Taxes imposed on payments made under any Loan Document, and (e) any U.S. federal withholding Tax that is imposed pursuant to FATCA.</w:t>
      </w:r>
    </w:p>
    <w:p>
      <w:pPr>
        <w:spacing w:after="0" w:line="181" w:lineRule="exact"/>
        <w:rPr>
          <w:sz w:val="20"/>
          <w:szCs w:val="20"/>
          <w:color w:val="auto"/>
        </w:rPr>
      </w:pPr>
    </w:p>
    <w:p>
      <w:pPr>
        <w:ind w:left="1740"/>
        <w:spacing w:after="0"/>
        <w:rPr>
          <w:sz w:val="20"/>
          <w:szCs w:val="20"/>
          <w:color w:val="auto"/>
        </w:rPr>
      </w:pPr>
      <w:r>
        <w:rPr>
          <w:rFonts w:ascii="Arial" w:cs="Arial" w:eastAsia="Arial" w:hAnsi="Arial"/>
          <w:sz w:val="14"/>
          <w:szCs w:val="14"/>
          <w:color w:val="auto"/>
        </w:rPr>
        <w:t>“</w:t>
      </w:r>
      <w:r>
        <w:rPr>
          <w:rFonts w:ascii="Arial" w:cs="Arial" w:eastAsia="Arial" w:hAnsi="Arial"/>
          <w:sz w:val="14"/>
          <w:szCs w:val="14"/>
          <w:u w:val="single" w:color="auto"/>
          <w:color w:val="auto"/>
        </w:rPr>
        <w:t>Existing Credit Agreement</w:t>
      </w:r>
      <w:r>
        <w:rPr>
          <w:rFonts w:ascii="Arial" w:cs="Arial" w:eastAsia="Arial" w:hAnsi="Arial"/>
          <w:sz w:val="14"/>
          <w:szCs w:val="14"/>
          <w:color w:val="auto"/>
        </w:rPr>
        <w:t xml:space="preserve">” has the meaning assigned to such term in the </w:t>
      </w:r>
      <w:r>
        <w:rPr>
          <w:rFonts w:ascii="Arial" w:cs="Arial" w:eastAsia="Arial" w:hAnsi="Arial"/>
          <w:sz w:val="14"/>
          <w:szCs w:val="14"/>
          <w:u w:val="single" w:color="auto"/>
          <w:color w:val="auto"/>
        </w:rPr>
        <w:t>preamble</w:t>
      </w:r>
      <w:r>
        <w:rPr>
          <w:rFonts w:ascii="Arial" w:cs="Arial" w:eastAsia="Arial" w:hAnsi="Arial"/>
          <w:sz w:val="14"/>
          <w:szCs w:val="14"/>
          <w:color w:val="auto"/>
        </w:rPr>
        <w:t xml:space="preserve"> to this Agreement.</w:t>
      </w:r>
    </w:p>
    <w:p>
      <w:pPr>
        <w:spacing w:after="0" w:line="204" w:lineRule="exact"/>
        <w:rPr>
          <w:sz w:val="20"/>
          <w:szCs w:val="20"/>
          <w:color w:val="auto"/>
        </w:rPr>
      </w:pPr>
    </w:p>
    <w:p>
      <w:pPr>
        <w:ind w:left="1740"/>
        <w:spacing w:after="0"/>
        <w:rPr>
          <w:sz w:val="20"/>
          <w:szCs w:val="20"/>
          <w:color w:val="auto"/>
        </w:rPr>
      </w:pPr>
      <w:r>
        <w:rPr>
          <w:rFonts w:ascii="Arial" w:cs="Arial" w:eastAsia="Arial" w:hAnsi="Arial"/>
          <w:sz w:val="14"/>
          <w:szCs w:val="14"/>
          <w:color w:val="auto"/>
        </w:rPr>
        <w:t>“</w:t>
      </w:r>
      <w:r>
        <w:rPr>
          <w:rFonts w:ascii="Arial" w:cs="Arial" w:eastAsia="Arial" w:hAnsi="Arial"/>
          <w:sz w:val="14"/>
          <w:szCs w:val="14"/>
          <w:u w:val="single" w:color="auto"/>
          <w:color w:val="auto"/>
        </w:rPr>
        <w:t>Existing Lenders</w:t>
      </w:r>
      <w:r>
        <w:rPr>
          <w:rFonts w:ascii="Arial" w:cs="Arial" w:eastAsia="Arial" w:hAnsi="Arial"/>
          <w:sz w:val="14"/>
          <w:szCs w:val="14"/>
          <w:color w:val="auto"/>
        </w:rPr>
        <w:t xml:space="preserve">” has the meaning assigned to such term in the </w:t>
      </w:r>
      <w:r>
        <w:rPr>
          <w:rFonts w:ascii="Arial" w:cs="Arial" w:eastAsia="Arial" w:hAnsi="Arial"/>
          <w:sz w:val="14"/>
          <w:szCs w:val="14"/>
          <w:u w:val="single" w:color="auto"/>
          <w:color w:val="auto"/>
        </w:rPr>
        <w:t>preamble</w:t>
      </w:r>
      <w:r>
        <w:rPr>
          <w:rFonts w:ascii="Arial" w:cs="Arial" w:eastAsia="Arial" w:hAnsi="Arial"/>
          <w:sz w:val="14"/>
          <w:szCs w:val="14"/>
          <w:color w:val="auto"/>
        </w:rPr>
        <w:t xml:space="preserve"> to this Agreement.</w:t>
      </w:r>
    </w:p>
    <w:p>
      <w:pPr>
        <w:spacing w:after="0" w:line="204" w:lineRule="exact"/>
        <w:rPr>
          <w:sz w:val="20"/>
          <w:szCs w:val="20"/>
          <w:color w:val="auto"/>
        </w:rPr>
      </w:pPr>
    </w:p>
    <w:p>
      <w:pPr>
        <w:ind w:left="1740"/>
        <w:spacing w:after="0"/>
        <w:rPr>
          <w:sz w:val="20"/>
          <w:szCs w:val="20"/>
          <w:color w:val="auto"/>
        </w:rPr>
      </w:pPr>
      <w:r>
        <w:rPr>
          <w:rFonts w:ascii="Arial" w:cs="Arial" w:eastAsia="Arial" w:hAnsi="Arial"/>
          <w:sz w:val="14"/>
          <w:szCs w:val="14"/>
          <w:color w:val="auto"/>
        </w:rPr>
        <w:t>“</w:t>
      </w:r>
      <w:r>
        <w:rPr>
          <w:rFonts w:ascii="Arial" w:cs="Arial" w:eastAsia="Arial" w:hAnsi="Arial"/>
          <w:sz w:val="14"/>
          <w:szCs w:val="14"/>
          <w:u w:val="single" w:color="auto"/>
          <w:color w:val="auto"/>
        </w:rPr>
        <w:t>Existing Loans</w:t>
      </w:r>
      <w:r>
        <w:rPr>
          <w:rFonts w:ascii="Arial" w:cs="Arial" w:eastAsia="Arial" w:hAnsi="Arial"/>
          <w:sz w:val="14"/>
          <w:szCs w:val="14"/>
          <w:color w:val="auto"/>
        </w:rPr>
        <w:t xml:space="preserve">” has the meaning assigned to such term in the </w:t>
      </w:r>
      <w:r>
        <w:rPr>
          <w:rFonts w:ascii="Arial" w:cs="Arial" w:eastAsia="Arial" w:hAnsi="Arial"/>
          <w:sz w:val="14"/>
          <w:szCs w:val="14"/>
          <w:u w:val="single" w:color="auto"/>
          <w:color w:val="auto"/>
        </w:rPr>
        <w:t>preamble</w:t>
      </w:r>
      <w:r>
        <w:rPr>
          <w:rFonts w:ascii="Arial" w:cs="Arial" w:eastAsia="Arial" w:hAnsi="Arial"/>
          <w:sz w:val="14"/>
          <w:szCs w:val="14"/>
          <w:color w:val="auto"/>
        </w:rPr>
        <w:t xml:space="preserve"> to this Agreement.</w:t>
      </w:r>
    </w:p>
    <w:p>
      <w:pPr>
        <w:spacing w:after="0" w:line="204" w:lineRule="exact"/>
        <w:rPr>
          <w:sz w:val="20"/>
          <w:szCs w:val="20"/>
          <w:color w:val="auto"/>
        </w:rPr>
      </w:pPr>
    </w:p>
    <w:p>
      <w:pPr>
        <w:jc w:val="both"/>
        <w:ind w:right="20" w:firstLine="1727"/>
        <w:spacing w:after="0" w:line="245" w:lineRule="auto"/>
        <w:rPr>
          <w:sz w:val="20"/>
          <w:szCs w:val="20"/>
          <w:color w:val="auto"/>
        </w:rPr>
      </w:pPr>
      <w:r>
        <w:rPr>
          <w:rFonts w:ascii="Arial" w:cs="Arial" w:eastAsia="Arial" w:hAnsi="Arial"/>
          <w:sz w:val="13"/>
          <w:szCs w:val="13"/>
          <w:color w:val="auto"/>
        </w:rPr>
        <w:t>“</w:t>
      </w:r>
      <w:r>
        <w:rPr>
          <w:rFonts w:ascii="Arial" w:cs="Arial" w:eastAsia="Arial" w:hAnsi="Arial"/>
          <w:sz w:val="13"/>
          <w:szCs w:val="13"/>
          <w:u w:val="single" w:color="auto"/>
          <w:color w:val="auto"/>
        </w:rPr>
        <w:t>Extraordinary Receipts</w:t>
      </w:r>
      <w:r>
        <w:rPr>
          <w:rFonts w:ascii="Arial" w:cs="Arial" w:eastAsia="Arial" w:hAnsi="Arial"/>
          <w:sz w:val="13"/>
          <w:szCs w:val="13"/>
          <w:color w:val="auto"/>
        </w:rPr>
        <w:t xml:space="preserve">” means any cash received by or paid to any Obligor on account of any foreign, United States, state or local tax refunds, pension plan reversions, judgments, proceeds of settlements or other consideration of any kind in connection with any cause of action, condemnation awards (and payments in lieu thereof), indemnity payments received not in the ordinary course of business and any purchase price adjustment received not in the ordinary course of business in connection with any purchase agreement and proceeds of insurance (excluding, however, for the avoidance of doubt, proceeds of any issuance of Equity Interests and issuances of Indebtedness by any Obligor); </w:t>
      </w:r>
      <w:r>
        <w:rPr>
          <w:rFonts w:ascii="Arial" w:cs="Arial" w:eastAsia="Arial" w:hAnsi="Arial"/>
          <w:sz w:val="13"/>
          <w:szCs w:val="13"/>
          <w:u w:val="single" w:color="auto"/>
          <w:color w:val="auto"/>
        </w:rPr>
        <w:t>provided</w:t>
      </w:r>
      <w:r>
        <w:rPr>
          <w:rFonts w:ascii="Arial" w:cs="Arial" w:eastAsia="Arial" w:hAnsi="Arial"/>
          <w:sz w:val="13"/>
          <w:szCs w:val="13"/>
          <w:color w:val="auto"/>
        </w:rPr>
        <w:t xml:space="preserve"> that Extraordinary Receipts shall not include any (x) amounts that the Borrower receives from the Administrative Agent or any Lender pursuant to </w:t>
      </w:r>
      <w:r>
        <w:rPr>
          <w:rFonts w:ascii="Arial" w:cs="Arial" w:eastAsia="Arial" w:hAnsi="Arial"/>
          <w:sz w:val="13"/>
          <w:szCs w:val="13"/>
          <w:u w:val="single" w:color="auto"/>
          <w:color w:val="auto"/>
        </w:rPr>
        <w:t>Section 2.16(f)</w:t>
      </w:r>
      <w:r>
        <w:rPr>
          <w:rFonts w:ascii="Arial" w:cs="Arial" w:eastAsia="Arial" w:hAnsi="Arial"/>
          <w:sz w:val="13"/>
          <w:szCs w:val="13"/>
          <w:color w:val="auto"/>
        </w:rPr>
        <w:t>, or (y) cash receipts to the extent received from proceeds of insurance, condemnation awards (or payments in lieu thereof), indemnity payments or payments in respect of judgments or settlements of claims, litigation or proceedings to the extent that such proceeds, awards or payments are received by any Person in respect of any unaffiliated third party claim against or loss by such Person and promptly applied to pay (or to reimburse such Person for its prior payment of) such claim or loss and the costs and expenses of such Person with respect thereto.</w:t>
      </w:r>
    </w:p>
    <w:p>
      <w:pPr>
        <w:spacing w:after="0" w:line="183" w:lineRule="exact"/>
        <w:rPr>
          <w:sz w:val="20"/>
          <w:szCs w:val="20"/>
          <w:color w:val="auto"/>
        </w:rPr>
      </w:pPr>
    </w:p>
    <w:p>
      <w:pPr>
        <w:jc w:val="both"/>
        <w:ind w:right="20" w:firstLine="1727"/>
        <w:spacing w:after="0" w:line="264" w:lineRule="auto"/>
        <w:rPr>
          <w:sz w:val="20"/>
          <w:szCs w:val="20"/>
          <w:color w:val="auto"/>
        </w:rPr>
      </w:pPr>
      <w:r>
        <w:rPr>
          <w:rFonts w:ascii="Arial" w:cs="Arial" w:eastAsia="Arial" w:hAnsi="Arial"/>
          <w:sz w:val="13"/>
          <w:szCs w:val="13"/>
          <w:color w:val="auto"/>
        </w:rPr>
        <w:t>“</w:t>
      </w:r>
      <w:r>
        <w:rPr>
          <w:rFonts w:ascii="Arial" w:cs="Arial" w:eastAsia="Arial" w:hAnsi="Arial"/>
          <w:sz w:val="13"/>
          <w:szCs w:val="13"/>
          <w:u w:val="single" w:color="auto"/>
          <w:color w:val="auto"/>
        </w:rPr>
        <w:t>FATCA</w:t>
      </w:r>
      <w:r>
        <w:rPr>
          <w:rFonts w:ascii="Arial" w:cs="Arial" w:eastAsia="Arial" w:hAnsi="Arial"/>
          <w:sz w:val="13"/>
          <w:szCs w:val="13"/>
          <w:color w:val="auto"/>
        </w:rPr>
        <w:t>” means Section 1471 through 1474 of the Code, as of the date of this Agreement (or any amended or successor version that is substantively comparable and not materially more onerous to comply with), any current or future regulations or official interpretations thereof and any agreements entered into pursuant to Section 1471(b)(1) of the Code, any intergovernmental agreement entered into in connection with the foregoing, and any legislation or regulations adopted or promulgated pursuant to any such intergovernmental agreement.</w:t>
      </w:r>
    </w:p>
    <w:p>
      <w:pPr>
        <w:spacing w:after="0" w:line="168" w:lineRule="exact"/>
        <w:rPr>
          <w:sz w:val="20"/>
          <w:szCs w:val="20"/>
          <w:color w:val="auto"/>
        </w:rPr>
      </w:pPr>
    </w:p>
    <w:p>
      <w:pPr>
        <w:jc w:val="both"/>
        <w:ind w:right="20" w:firstLine="1727"/>
        <w:spacing w:after="0" w:line="233" w:lineRule="auto"/>
        <w:rPr>
          <w:sz w:val="20"/>
          <w:szCs w:val="20"/>
          <w:color w:val="auto"/>
        </w:rPr>
      </w:pPr>
      <w:r>
        <w:rPr>
          <w:rFonts w:ascii="Arial" w:cs="Arial" w:eastAsia="Arial" w:hAnsi="Arial"/>
          <w:sz w:val="14"/>
          <w:szCs w:val="14"/>
          <w:color w:val="auto"/>
        </w:rPr>
        <w:t>“</w:t>
      </w:r>
      <w:r>
        <w:rPr>
          <w:rFonts w:ascii="Arial" w:cs="Arial" w:eastAsia="Arial" w:hAnsi="Arial"/>
          <w:sz w:val="14"/>
          <w:szCs w:val="14"/>
          <w:u w:val="single" w:color="auto"/>
          <w:color w:val="auto"/>
        </w:rPr>
        <w:t>Federal Funds Effective Rate</w:t>
      </w:r>
      <w:r>
        <w:rPr>
          <w:rFonts w:ascii="Arial" w:cs="Arial" w:eastAsia="Arial" w:hAnsi="Arial"/>
          <w:sz w:val="14"/>
          <w:szCs w:val="14"/>
          <w:color w:val="auto"/>
        </w:rPr>
        <w:t>” means, for any day, the greater of (a) zero and (b) weighted average (rounded upwards, if necessary, to the next 1/100 of 1%) of the rates on overnight Federal funds transactions, as published on the next succeeding Business Day by the Federal Reserve Bank of New York, or, if such rate is not so published for any day that is a Business Day, the average (rounded upwards, if necessary, to the next 1/100 of 1%) of the quotations for such day for such transactions received by the Administrative Agent from three Federal funds brokers of recognized standing selected by it.</w:t>
      </w:r>
    </w:p>
    <w:p>
      <w:pPr>
        <w:spacing w:after="0" w:line="185" w:lineRule="exact"/>
        <w:rPr>
          <w:sz w:val="20"/>
          <w:szCs w:val="20"/>
          <w:color w:val="auto"/>
        </w:rPr>
      </w:pPr>
    </w:p>
    <w:p>
      <w:pPr>
        <w:ind w:left="1740"/>
        <w:spacing w:after="0"/>
        <w:rPr>
          <w:sz w:val="20"/>
          <w:szCs w:val="20"/>
          <w:color w:val="auto"/>
        </w:rPr>
      </w:pPr>
      <w:r>
        <w:rPr>
          <w:rFonts w:ascii="Arial" w:cs="Arial" w:eastAsia="Arial" w:hAnsi="Arial"/>
          <w:sz w:val="14"/>
          <w:szCs w:val="14"/>
          <w:color w:val="auto"/>
        </w:rPr>
        <w:t>“</w:t>
      </w:r>
      <w:r>
        <w:rPr>
          <w:rFonts w:ascii="Arial" w:cs="Arial" w:eastAsia="Arial" w:hAnsi="Arial"/>
          <w:sz w:val="14"/>
          <w:szCs w:val="14"/>
          <w:u w:val="single" w:color="auto"/>
          <w:color w:val="auto"/>
        </w:rPr>
        <w:t>Final Maturity Date</w:t>
      </w:r>
      <w:r>
        <w:rPr>
          <w:rFonts w:ascii="Arial" w:cs="Arial" w:eastAsia="Arial" w:hAnsi="Arial"/>
          <w:sz w:val="14"/>
          <w:szCs w:val="14"/>
          <w:color w:val="auto"/>
        </w:rPr>
        <w:t>” means May 25, 2022.</w:t>
      </w:r>
    </w:p>
    <w:p>
      <w:pPr>
        <w:spacing w:after="0" w:line="204" w:lineRule="exact"/>
        <w:rPr>
          <w:sz w:val="20"/>
          <w:szCs w:val="20"/>
          <w:color w:val="auto"/>
        </w:rPr>
      </w:pPr>
    </w:p>
    <w:p>
      <w:pPr>
        <w:ind w:left="1740"/>
        <w:spacing w:after="0"/>
        <w:rPr>
          <w:sz w:val="20"/>
          <w:szCs w:val="20"/>
          <w:color w:val="auto"/>
        </w:rPr>
      </w:pPr>
      <w:r>
        <w:rPr>
          <w:rFonts w:ascii="Arial" w:cs="Arial" w:eastAsia="Arial" w:hAnsi="Arial"/>
          <w:sz w:val="14"/>
          <w:szCs w:val="14"/>
          <w:color w:val="auto"/>
        </w:rPr>
        <w:t>“</w:t>
      </w:r>
      <w:r>
        <w:rPr>
          <w:rFonts w:ascii="Arial" w:cs="Arial" w:eastAsia="Arial" w:hAnsi="Arial"/>
          <w:sz w:val="14"/>
          <w:szCs w:val="14"/>
          <w:u w:val="single" w:color="auto"/>
          <w:color w:val="auto"/>
        </w:rPr>
        <w:t>Financial Officer</w:t>
      </w:r>
      <w:r>
        <w:rPr>
          <w:rFonts w:ascii="Arial" w:cs="Arial" w:eastAsia="Arial" w:hAnsi="Arial"/>
          <w:sz w:val="14"/>
          <w:szCs w:val="14"/>
          <w:color w:val="auto"/>
        </w:rPr>
        <w:t>” means the chief financial officer, principal accounting officer, treasurer or controller of the Borrower.</w:t>
      </w:r>
    </w:p>
    <w:p>
      <w:pPr>
        <w:spacing w:after="0" w:line="204" w:lineRule="exact"/>
        <w:rPr>
          <w:sz w:val="20"/>
          <w:szCs w:val="20"/>
          <w:color w:val="auto"/>
        </w:rPr>
      </w:pPr>
    </w:p>
    <w:p>
      <w:pPr>
        <w:ind w:left="1740"/>
        <w:spacing w:after="0"/>
        <w:rPr>
          <w:sz w:val="20"/>
          <w:szCs w:val="20"/>
          <w:color w:val="auto"/>
        </w:rPr>
      </w:pPr>
      <w:r>
        <w:rPr>
          <w:rFonts w:ascii="Arial" w:cs="Arial" w:eastAsia="Arial" w:hAnsi="Arial"/>
          <w:sz w:val="14"/>
          <w:szCs w:val="14"/>
          <w:color w:val="auto"/>
        </w:rPr>
        <w:t>“</w:t>
      </w:r>
      <w:r>
        <w:rPr>
          <w:rFonts w:ascii="Arial" w:cs="Arial" w:eastAsia="Arial" w:hAnsi="Arial"/>
          <w:sz w:val="14"/>
          <w:szCs w:val="14"/>
          <w:u w:val="single" w:color="auto"/>
          <w:color w:val="auto"/>
        </w:rPr>
        <w:t>Financing Subsidiary</w:t>
      </w:r>
      <w:r>
        <w:rPr>
          <w:rFonts w:ascii="Arial" w:cs="Arial" w:eastAsia="Arial" w:hAnsi="Arial"/>
          <w:sz w:val="14"/>
          <w:szCs w:val="14"/>
          <w:color w:val="auto"/>
        </w:rPr>
        <w:t>” means an SPE Subsidiary or an SBIC Subsidiary.</w:t>
      </w:r>
    </w:p>
    <w:p>
      <w:pPr>
        <w:spacing w:after="0" w:line="204" w:lineRule="exact"/>
        <w:rPr>
          <w:sz w:val="20"/>
          <w:szCs w:val="20"/>
          <w:color w:val="auto"/>
        </w:rPr>
      </w:pPr>
    </w:p>
    <w:p>
      <w:pPr>
        <w:ind w:left="1740"/>
        <w:spacing w:after="0"/>
        <w:rPr>
          <w:sz w:val="20"/>
          <w:szCs w:val="20"/>
          <w:color w:val="auto"/>
        </w:rPr>
      </w:pPr>
      <w:r>
        <w:rPr>
          <w:rFonts w:ascii="Arial" w:cs="Arial" w:eastAsia="Arial" w:hAnsi="Arial"/>
          <w:sz w:val="14"/>
          <w:szCs w:val="14"/>
          <w:color w:val="auto"/>
        </w:rPr>
        <w:t>“</w:t>
      </w:r>
      <w:r>
        <w:rPr>
          <w:rFonts w:ascii="Arial" w:cs="Arial" w:eastAsia="Arial" w:hAnsi="Arial"/>
          <w:sz w:val="14"/>
          <w:szCs w:val="14"/>
          <w:u w:val="single" w:color="auto"/>
          <w:color w:val="auto"/>
        </w:rPr>
        <w:t>First Amendment Effective Date</w:t>
      </w:r>
      <w:r>
        <w:rPr>
          <w:rFonts w:ascii="Arial" w:cs="Arial" w:eastAsia="Arial" w:hAnsi="Arial"/>
          <w:sz w:val="14"/>
          <w:szCs w:val="14"/>
          <w:color w:val="auto"/>
        </w:rPr>
        <w:t>” means May 25, 2017.</w:t>
      </w:r>
    </w:p>
    <w:p>
      <w:pPr>
        <w:spacing w:after="0" w:line="204" w:lineRule="exact"/>
        <w:rPr>
          <w:sz w:val="20"/>
          <w:szCs w:val="20"/>
          <w:color w:val="auto"/>
        </w:rPr>
      </w:pPr>
    </w:p>
    <w:p>
      <w:pPr>
        <w:ind w:left="1740"/>
        <w:spacing w:after="0"/>
        <w:rPr>
          <w:sz w:val="20"/>
          <w:szCs w:val="20"/>
          <w:color w:val="auto"/>
        </w:rPr>
      </w:pPr>
      <w:r>
        <w:rPr>
          <w:rFonts w:ascii="Arial" w:cs="Arial" w:eastAsia="Arial" w:hAnsi="Arial"/>
          <w:sz w:val="14"/>
          <w:szCs w:val="14"/>
          <w:color w:val="auto"/>
        </w:rPr>
        <w:t>“</w:t>
      </w:r>
      <w:r>
        <w:rPr>
          <w:rFonts w:ascii="Arial" w:cs="Arial" w:eastAsia="Arial" w:hAnsi="Arial"/>
          <w:sz w:val="14"/>
          <w:szCs w:val="14"/>
          <w:u w:val="single" w:color="auto"/>
          <w:color w:val="auto"/>
        </w:rPr>
        <w:t>Foreign Currency</w:t>
      </w:r>
      <w:r>
        <w:rPr>
          <w:rFonts w:ascii="Arial" w:cs="Arial" w:eastAsia="Arial" w:hAnsi="Arial"/>
          <w:sz w:val="14"/>
          <w:szCs w:val="14"/>
          <w:color w:val="auto"/>
        </w:rPr>
        <w:t>” means at any time any Currency other than Dollars.</w:t>
      </w:r>
    </w:p>
    <w:p>
      <w:pPr>
        <w:spacing w:after="0" w:line="204" w:lineRule="exact"/>
        <w:rPr>
          <w:sz w:val="20"/>
          <w:szCs w:val="20"/>
          <w:color w:val="auto"/>
        </w:rPr>
      </w:pPr>
    </w:p>
    <w:p>
      <w:pPr>
        <w:jc w:val="both"/>
        <w:ind w:right="20" w:firstLine="1727"/>
        <w:spacing w:after="0" w:line="253" w:lineRule="auto"/>
        <w:rPr>
          <w:sz w:val="20"/>
          <w:szCs w:val="20"/>
          <w:color w:val="auto"/>
        </w:rPr>
      </w:pPr>
      <w:r>
        <w:rPr>
          <w:rFonts w:ascii="Arial" w:cs="Arial" w:eastAsia="Arial" w:hAnsi="Arial"/>
          <w:sz w:val="14"/>
          <w:szCs w:val="14"/>
          <w:color w:val="auto"/>
        </w:rPr>
        <w:t>“</w:t>
      </w:r>
      <w:r>
        <w:rPr>
          <w:rFonts w:ascii="Arial" w:cs="Arial" w:eastAsia="Arial" w:hAnsi="Arial"/>
          <w:sz w:val="14"/>
          <w:szCs w:val="14"/>
          <w:u w:val="single" w:color="auto"/>
          <w:color w:val="auto"/>
        </w:rPr>
        <w:t>Foreign Currency Equivalent</w:t>
      </w:r>
      <w:r>
        <w:rPr>
          <w:rFonts w:ascii="Arial" w:cs="Arial" w:eastAsia="Arial" w:hAnsi="Arial"/>
          <w:sz w:val="14"/>
          <w:szCs w:val="14"/>
          <w:color w:val="auto"/>
        </w:rPr>
        <w:t>” means, with respect to any amount in Dollars, the amount of any Foreign Currency that could be purchased with such amount of Dollars using the reciprocal of the foreign exchange rate(s) specified in the definition of the term “Dollar Equivalent”, as determined by the Administrative Agent.</w:t>
      </w:r>
    </w:p>
    <w:p>
      <w:pPr>
        <w:spacing w:after="0" w:line="200" w:lineRule="exact"/>
        <w:rPr>
          <w:sz w:val="20"/>
          <w:szCs w:val="20"/>
          <w:color w:val="auto"/>
        </w:rPr>
      </w:pPr>
    </w:p>
    <w:p>
      <w:pPr>
        <w:spacing w:after="0" w:line="39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7560" w:type="dxa"/>
            <w:vAlign w:val="bottom"/>
          </w:tcPr>
          <w:p>
            <w:pPr>
              <w:jc w:val="right"/>
              <w:ind w:right="1828"/>
              <w:spacing w:after="0"/>
              <w:rPr>
                <w:sz w:val="20"/>
                <w:szCs w:val="20"/>
                <w:color w:val="auto"/>
              </w:rPr>
            </w:pPr>
            <w:r>
              <w:rPr>
                <w:rFonts w:ascii="Arial" w:cs="Arial" w:eastAsia="Arial" w:hAnsi="Arial"/>
                <w:sz w:val="14"/>
                <w:szCs w:val="14"/>
                <w:color w:val="auto"/>
              </w:rPr>
              <w:t>8</w:t>
            </w:r>
          </w:p>
        </w:tc>
        <w:tc>
          <w:tcPr>
            <w:tcW w:w="3700" w:type="dxa"/>
            <w:vAlign w:val="bottom"/>
          </w:tcPr>
          <w:p>
            <w:pPr>
              <w:jc w:val="right"/>
              <w:spacing w:after="0"/>
              <w:rPr>
                <w:sz w:val="20"/>
                <w:szCs w:val="20"/>
                <w:color w:val="auto"/>
              </w:rPr>
            </w:pPr>
            <w:r>
              <w:rPr>
                <w:rFonts w:ascii="Arial" w:cs="Arial" w:eastAsia="Arial" w:hAnsi="Arial"/>
                <w:sz w:val="14"/>
                <w:szCs w:val="14"/>
                <w:i w:val="1"/>
                <w:iCs w:val="1"/>
                <w:color w:val="auto"/>
              </w:rPr>
              <w:t>Second Amended and Restated</w:t>
            </w:r>
          </w:p>
        </w:tc>
      </w:tr>
      <w:tr>
        <w:trPr>
          <w:trHeight w:val="182"/>
        </w:trPr>
        <w:tc>
          <w:tcPr>
            <w:tcW w:w="7560" w:type="dxa"/>
            <w:vAlign w:val="bottom"/>
          </w:tcPr>
          <w:p>
            <w:pPr>
              <w:spacing w:after="0"/>
              <w:rPr>
                <w:sz w:val="15"/>
                <w:szCs w:val="15"/>
                <w:color w:val="auto"/>
              </w:rPr>
            </w:pPr>
          </w:p>
        </w:tc>
        <w:tc>
          <w:tcPr>
            <w:tcW w:w="3700" w:type="dxa"/>
            <w:vAlign w:val="bottom"/>
          </w:tcPr>
          <w:p>
            <w:pPr>
              <w:jc w:val="right"/>
              <w:spacing w:after="0"/>
              <w:rPr>
                <w:sz w:val="20"/>
                <w:szCs w:val="20"/>
                <w:color w:val="auto"/>
              </w:rPr>
            </w:pPr>
            <w:r>
              <w:rPr>
                <w:rFonts w:ascii="Arial" w:cs="Arial" w:eastAsia="Arial" w:hAnsi="Arial"/>
                <w:sz w:val="14"/>
                <w:szCs w:val="14"/>
                <w:i w:val="1"/>
                <w:iCs w:val="1"/>
                <w:color w:val="auto"/>
              </w:rPr>
              <w:t>Revolving Credit Agreement</w:t>
            </w:r>
          </w:p>
        </w:tc>
      </w:tr>
      <w:tr>
        <w:trPr>
          <w:trHeight w:val="316"/>
        </w:trPr>
        <w:tc>
          <w:tcPr>
            <w:tcW w:w="7560" w:type="dxa"/>
            <w:vAlign w:val="bottom"/>
            <w:tcBorders>
              <w:bottom w:val="single" w:sz="8" w:color="9A9A9A"/>
            </w:tcBorders>
          </w:tcPr>
          <w:p>
            <w:pPr>
              <w:spacing w:after="0"/>
              <w:rPr>
                <w:sz w:val="24"/>
                <w:szCs w:val="24"/>
                <w:color w:val="auto"/>
              </w:rPr>
            </w:pPr>
          </w:p>
        </w:tc>
        <w:tc>
          <w:tcPr>
            <w:tcW w:w="370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7145655</wp:posOffset>
            </wp:positionH>
            <wp:positionV relativeFrom="paragraph">
              <wp:posOffset>-7620</wp:posOffset>
            </wp:positionV>
            <wp:extent cx="8255" cy="8255"/>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-16510</wp:posOffset>
            </wp:positionV>
            <wp:extent cx="8890" cy="17145"/>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8">
                      <a:extLst>
                        <a:ext uri="{28A0092B-C50C-407E-A947-70E740481C1C}"/>
                      </a:extLst>
                    </a:blip>
                    <a:srcRect/>
                    <a:stretch>
                      <a:fillRect/>
                    </a:stretch>
                  </pic:blipFill>
                  <pic:spPr bwMode="auto">
                    <a:xfrm>
                      <a:off x="0" y="0"/>
                      <a:ext cx="8890" cy="17145"/>
                    </a:xfrm>
                    <a:prstGeom prst="rect">
                      <a:avLst/>
                    </a:prstGeom>
                    <a:noFill/>
                  </pic:spPr>
                </pic:pic>
              </a:graphicData>
            </a:graphic>
          </wp:anchor>
        </w:drawing>
      </w:r>
    </w:p>
    <w:p>
      <w:pPr>
        <w:sectPr>
          <w:pgSz w:w="11900" w:h="16838" w:orient="portrait"/>
          <w:cols w:equalWidth="0" w:num="1">
            <w:col w:w="11260"/>
          </w:cols>
          <w:pgMar w:left="320" w:top="337" w:right="319" w:bottom="1440" w:gutter="0" w:footer="0" w:header="0"/>
        </w:sectPr>
      </w:pPr>
    </w:p>
    <w:bookmarkStart w:id="71" w:name="page72"/>
    <w:bookmarkEnd w:id="71"/>
    <w:p>
      <w:pPr>
        <w:ind w:left="1740"/>
        <w:spacing w:after="0"/>
        <w:rPr>
          <w:sz w:val="20"/>
          <w:szCs w:val="20"/>
          <w:color w:val="auto"/>
        </w:rPr>
      </w:pPr>
      <w:r>
        <w:rPr>
          <w:rFonts w:ascii="Arial" w:cs="Arial" w:eastAsia="Arial" w:hAnsi="Arial"/>
          <w:sz w:val="14"/>
          <w:szCs w:val="14"/>
          <w:color w:val="auto"/>
        </w:rPr>
        <w:t>“</w:t>
      </w:r>
      <w:r>
        <w:rPr>
          <w:rFonts w:ascii="Arial" w:cs="Arial" w:eastAsia="Arial" w:hAnsi="Arial"/>
          <w:sz w:val="14"/>
          <w:szCs w:val="14"/>
          <w:u w:val="single" w:color="auto"/>
          <w:color w:val="auto"/>
        </w:rPr>
        <w:t>Foreign Lender</w:t>
      </w:r>
      <w:r>
        <w:rPr>
          <w:rFonts w:ascii="Arial" w:cs="Arial" w:eastAsia="Arial" w:hAnsi="Arial"/>
          <w:sz w:val="14"/>
          <w:szCs w:val="14"/>
          <w:color w:val="auto"/>
        </w:rPr>
        <w:t>” means any Lender that is not a “United States person” as defined under Section 7701(a)(30) of the Code.</w:t>
      </w:r>
    </w:p>
    <w:p>
      <w:pPr>
        <w:spacing w:after="0" w:line="204" w:lineRule="exact"/>
        <w:rPr>
          <w:sz w:val="20"/>
          <w:szCs w:val="20"/>
          <w:color w:val="auto"/>
        </w:rPr>
      </w:pPr>
    </w:p>
    <w:p>
      <w:pPr>
        <w:jc w:val="both"/>
        <w:ind w:right="20" w:firstLine="1727"/>
        <w:spacing w:after="0" w:line="233" w:lineRule="auto"/>
        <w:rPr>
          <w:sz w:val="20"/>
          <w:szCs w:val="20"/>
          <w:color w:val="auto"/>
        </w:rPr>
      </w:pPr>
      <w:r>
        <w:rPr>
          <w:rFonts w:ascii="Arial" w:cs="Arial" w:eastAsia="Arial" w:hAnsi="Arial"/>
          <w:sz w:val="14"/>
          <w:szCs w:val="14"/>
          <w:color w:val="auto"/>
        </w:rPr>
        <w:t>“</w:t>
      </w:r>
      <w:r>
        <w:rPr>
          <w:rFonts w:ascii="Arial" w:cs="Arial" w:eastAsia="Arial" w:hAnsi="Arial"/>
          <w:sz w:val="14"/>
          <w:szCs w:val="14"/>
          <w:u w:val="single" w:color="auto"/>
          <w:color w:val="auto"/>
        </w:rPr>
        <w:t>Foreign Subsidiary</w:t>
      </w:r>
      <w:r>
        <w:rPr>
          <w:rFonts w:ascii="Arial" w:cs="Arial" w:eastAsia="Arial" w:hAnsi="Arial"/>
          <w:sz w:val="14"/>
          <w:szCs w:val="14"/>
          <w:color w:val="auto"/>
        </w:rPr>
        <w:t>” means any (a) direct or indirect Subsidiary of the Borrower that is resident or organized under the laws of any jurisdiction other than the United States or its states, territories or possessions and that is treated as a corporation for United States federal income tax purposes, (b) direct or indirect Subsidiary of the Borrower which is a “controlled foreign corporation” within the meaning of the Code or (c) direct or indirect Subsidiary that is disregarded as an entity that is separate from its owner for United States federal income tax purposes and substantially all of its assets consist of the Capital Stock of one or more direct or indirect Foreign Subsidiaries.</w:t>
      </w:r>
    </w:p>
    <w:p>
      <w:pPr>
        <w:spacing w:after="0" w:line="185" w:lineRule="exact"/>
        <w:rPr>
          <w:sz w:val="20"/>
          <w:szCs w:val="20"/>
          <w:color w:val="auto"/>
        </w:rPr>
      </w:pPr>
    </w:p>
    <w:p>
      <w:pPr>
        <w:jc w:val="both"/>
        <w:ind w:right="20" w:firstLine="1727"/>
        <w:spacing w:after="0" w:line="233" w:lineRule="auto"/>
        <w:rPr>
          <w:sz w:val="20"/>
          <w:szCs w:val="20"/>
          <w:color w:val="auto"/>
        </w:rPr>
      </w:pPr>
      <w:r>
        <w:rPr>
          <w:rFonts w:ascii="Arial" w:cs="Arial" w:eastAsia="Arial" w:hAnsi="Arial"/>
          <w:sz w:val="14"/>
          <w:szCs w:val="14"/>
          <w:color w:val="auto"/>
        </w:rPr>
        <w:t>“</w:t>
      </w:r>
      <w:r>
        <w:rPr>
          <w:rFonts w:ascii="Arial" w:cs="Arial" w:eastAsia="Arial" w:hAnsi="Arial"/>
          <w:sz w:val="14"/>
          <w:szCs w:val="14"/>
          <w:u w:val="single" w:color="auto"/>
          <w:color w:val="auto"/>
        </w:rPr>
        <w:t>Fronting Exposure</w:t>
      </w:r>
      <w:r>
        <w:rPr>
          <w:rFonts w:ascii="Arial" w:cs="Arial" w:eastAsia="Arial" w:hAnsi="Arial"/>
          <w:sz w:val="14"/>
          <w:szCs w:val="14"/>
          <w:color w:val="auto"/>
        </w:rPr>
        <w:t>” means, at any time there is a Defaulting Lender, with respect to the Issuing Bank, such Defaulting Lender’s (a) Applicable Dollar Percentage of the outstanding Dollar LC Exposure and (b) Applicable Multicurrency Percentage of the outstanding Multicurrency LC Exposure, in each case with respect to Letters of Credit issued by the Issuing Bank other than Dollar LC Exposure or Multicurrency LC Exposure, as the case may be, as to which such Defaulting Lender’s participation obligation has been reallocated to other Lenders or Cash Collateralized in accordance with the terms hereof.</w:t>
      </w:r>
    </w:p>
    <w:p>
      <w:pPr>
        <w:spacing w:after="0" w:line="185" w:lineRule="exact"/>
        <w:rPr>
          <w:sz w:val="20"/>
          <w:szCs w:val="20"/>
          <w:color w:val="auto"/>
        </w:rPr>
      </w:pPr>
    </w:p>
    <w:p>
      <w:pPr>
        <w:ind w:left="1740"/>
        <w:spacing w:after="0"/>
        <w:rPr>
          <w:sz w:val="20"/>
          <w:szCs w:val="20"/>
          <w:color w:val="auto"/>
        </w:rPr>
      </w:pPr>
      <w:r>
        <w:rPr>
          <w:rFonts w:ascii="Arial" w:cs="Arial" w:eastAsia="Arial" w:hAnsi="Arial"/>
          <w:sz w:val="14"/>
          <w:szCs w:val="14"/>
          <w:color w:val="auto"/>
        </w:rPr>
        <w:t>“</w:t>
      </w:r>
      <w:r>
        <w:rPr>
          <w:rFonts w:ascii="Arial" w:cs="Arial" w:eastAsia="Arial" w:hAnsi="Arial"/>
          <w:sz w:val="14"/>
          <w:szCs w:val="14"/>
          <w:u w:val="single" w:color="auto"/>
          <w:color w:val="auto"/>
        </w:rPr>
        <w:t>GAAP</w:t>
      </w:r>
      <w:r>
        <w:rPr>
          <w:rFonts w:ascii="Arial" w:cs="Arial" w:eastAsia="Arial" w:hAnsi="Arial"/>
          <w:sz w:val="14"/>
          <w:szCs w:val="14"/>
          <w:color w:val="auto"/>
        </w:rPr>
        <w:t>” means generally accepted accounting principles in the United States of America.</w:t>
      </w:r>
    </w:p>
    <w:p>
      <w:pPr>
        <w:spacing w:after="0" w:line="204" w:lineRule="exact"/>
        <w:rPr>
          <w:sz w:val="20"/>
          <w:szCs w:val="20"/>
          <w:color w:val="auto"/>
        </w:rPr>
      </w:pPr>
    </w:p>
    <w:p>
      <w:pPr>
        <w:jc w:val="both"/>
        <w:ind w:right="20" w:firstLine="1727"/>
        <w:spacing w:after="0" w:line="264" w:lineRule="auto"/>
        <w:rPr>
          <w:sz w:val="20"/>
          <w:szCs w:val="20"/>
          <w:color w:val="auto"/>
        </w:rPr>
      </w:pPr>
      <w:r>
        <w:rPr>
          <w:rFonts w:ascii="Arial" w:cs="Arial" w:eastAsia="Arial" w:hAnsi="Arial"/>
          <w:sz w:val="13"/>
          <w:szCs w:val="13"/>
          <w:color w:val="auto"/>
        </w:rPr>
        <w:t>“</w:t>
      </w:r>
      <w:r>
        <w:rPr>
          <w:rFonts w:ascii="Arial" w:cs="Arial" w:eastAsia="Arial" w:hAnsi="Arial"/>
          <w:sz w:val="13"/>
          <w:szCs w:val="13"/>
          <w:u w:val="single" w:color="auto"/>
          <w:color w:val="auto"/>
        </w:rPr>
        <w:t>Governmental Authority</w:t>
      </w:r>
      <w:r>
        <w:rPr>
          <w:rFonts w:ascii="Arial" w:cs="Arial" w:eastAsia="Arial" w:hAnsi="Arial"/>
          <w:sz w:val="13"/>
          <w:szCs w:val="13"/>
          <w:color w:val="auto"/>
        </w:rPr>
        <w:t>” means the government of the United States of America, or of any other nation, or any political subdivision thereof, whether state or local, and any agency, authority, instrumentality, regulatory body, court, central bank or other entity exercising executive, legislative, judicial, taxing, regulatory or administrative powers or functions of or pertaining to government (including any supra-national body exercising such powers or functions, such as the European Union or the European Central Bank).</w:t>
      </w:r>
    </w:p>
    <w:p>
      <w:pPr>
        <w:spacing w:after="0" w:line="168" w:lineRule="exact"/>
        <w:rPr>
          <w:sz w:val="20"/>
          <w:szCs w:val="20"/>
          <w:color w:val="auto"/>
        </w:rPr>
      </w:pPr>
    </w:p>
    <w:p>
      <w:pPr>
        <w:jc w:val="both"/>
        <w:ind w:right="20" w:firstLine="1727"/>
        <w:spacing w:after="0" w:line="226" w:lineRule="auto"/>
        <w:rPr>
          <w:sz w:val="20"/>
          <w:szCs w:val="20"/>
          <w:color w:val="auto"/>
        </w:rPr>
      </w:pPr>
      <w:r>
        <w:rPr>
          <w:rFonts w:ascii="Arial" w:cs="Arial" w:eastAsia="Arial" w:hAnsi="Arial"/>
          <w:sz w:val="14"/>
          <w:szCs w:val="14"/>
          <w:color w:val="auto"/>
        </w:rPr>
        <w:t>“</w:t>
      </w:r>
      <w:r>
        <w:rPr>
          <w:rFonts w:ascii="Arial" w:cs="Arial" w:eastAsia="Arial" w:hAnsi="Arial"/>
          <w:sz w:val="14"/>
          <w:szCs w:val="14"/>
          <w:u w:val="single" w:color="auto"/>
          <w:color w:val="auto"/>
        </w:rPr>
        <w:t>Guarantee</w:t>
      </w:r>
      <w:r>
        <w:rPr>
          <w:rFonts w:ascii="Arial" w:cs="Arial" w:eastAsia="Arial" w:hAnsi="Arial"/>
          <w:sz w:val="14"/>
          <w:szCs w:val="14"/>
          <w:color w:val="auto"/>
        </w:rPr>
        <w:t>” of or by any Person (the “</w:t>
      </w:r>
      <w:r>
        <w:rPr>
          <w:rFonts w:ascii="Arial" w:cs="Arial" w:eastAsia="Arial" w:hAnsi="Arial"/>
          <w:sz w:val="14"/>
          <w:szCs w:val="14"/>
          <w:u w:val="single" w:color="auto"/>
          <w:color w:val="auto"/>
        </w:rPr>
        <w:t>guarantor</w:t>
      </w:r>
      <w:r>
        <w:rPr>
          <w:rFonts w:ascii="Arial" w:cs="Arial" w:eastAsia="Arial" w:hAnsi="Arial"/>
          <w:sz w:val="14"/>
          <w:szCs w:val="14"/>
          <w:color w:val="auto"/>
        </w:rPr>
        <w:t>”) means any obligation, contingent or otherwise, of the guarantor guaranteeing or having the economic effect of guaranteeing any Indebtedness or other obligation of any other Person (the “</w:t>
      </w:r>
      <w:r>
        <w:rPr>
          <w:rFonts w:ascii="Arial" w:cs="Arial" w:eastAsia="Arial" w:hAnsi="Arial"/>
          <w:sz w:val="14"/>
          <w:szCs w:val="14"/>
          <w:u w:val="single" w:color="auto"/>
          <w:color w:val="auto"/>
        </w:rPr>
        <w:t>primary obligor</w:t>
      </w:r>
      <w:r>
        <w:rPr>
          <w:rFonts w:ascii="Arial" w:cs="Arial" w:eastAsia="Arial" w:hAnsi="Arial"/>
          <w:sz w:val="14"/>
          <w:szCs w:val="14"/>
          <w:color w:val="auto"/>
        </w:rPr>
        <w:t xml:space="preserve">”) in any manner, whether directly or indirectly, and including any obligation of the guarantor, direct or indirect, (a) to purchase or pay (or advance or supply funds for the purchase or payment of) such Indebtedness or other obligation or to purchase (or to advance or supply funds for the purchase of) any security for the payment thereof, (b) to purchase or lease property securities or services for the purpose of assuring the owner of such Indebtedness or other obligation of the payment thereof, (c) to maintain working capital, equity capital or any other financial statement condition or liquidity of the primary obligor so as to enable the primary obligor to pay such Indebtedness or other obligation or (d) as an account party in respect of any letter of credit or letter of guaranty issued to support such Indebtedness or obligation; </w:t>
      </w:r>
      <w:r>
        <w:rPr>
          <w:rFonts w:ascii="Arial" w:cs="Arial" w:eastAsia="Arial" w:hAnsi="Arial"/>
          <w:sz w:val="14"/>
          <w:szCs w:val="14"/>
          <w:u w:val="single" w:color="auto"/>
          <w:color w:val="auto"/>
        </w:rPr>
        <w:t>provided</w:t>
      </w:r>
      <w:r>
        <w:rPr>
          <w:rFonts w:ascii="Arial" w:cs="Arial" w:eastAsia="Arial" w:hAnsi="Arial"/>
          <w:sz w:val="14"/>
          <w:szCs w:val="14"/>
          <w:color w:val="auto"/>
        </w:rPr>
        <w:t xml:space="preserve"> that the term Guarantee shall not include (i) endorsements for collection or deposit in the ordinary course of business or (ii) customary indemnification agreements entered into in the ordinary course of business, provided that such indemnification obligations are unsecured, such Person has determined that any liability thereunder is remote and such indemnification obligations are not the functional equivalent of the guaranty of a payment obligation of the primary obligor.</w:t>
      </w:r>
    </w:p>
    <w:p>
      <w:pPr>
        <w:spacing w:after="0" w:line="188" w:lineRule="exact"/>
        <w:rPr>
          <w:sz w:val="20"/>
          <w:szCs w:val="20"/>
          <w:color w:val="auto"/>
        </w:rPr>
      </w:pPr>
    </w:p>
    <w:p>
      <w:pPr>
        <w:jc w:val="both"/>
        <w:ind w:right="20" w:firstLine="1727"/>
        <w:spacing w:after="0" w:line="264" w:lineRule="auto"/>
        <w:rPr>
          <w:sz w:val="20"/>
          <w:szCs w:val="20"/>
          <w:color w:val="auto"/>
        </w:rPr>
      </w:pPr>
      <w:r>
        <w:rPr>
          <w:rFonts w:ascii="Arial" w:cs="Arial" w:eastAsia="Arial" w:hAnsi="Arial"/>
          <w:sz w:val="13"/>
          <w:szCs w:val="13"/>
          <w:color w:val="auto"/>
        </w:rPr>
        <w:t>“</w:t>
      </w:r>
      <w:r>
        <w:rPr>
          <w:rFonts w:ascii="Arial" w:cs="Arial" w:eastAsia="Arial" w:hAnsi="Arial"/>
          <w:sz w:val="13"/>
          <w:szCs w:val="13"/>
          <w:u w:val="single" w:color="auto"/>
          <w:color w:val="auto"/>
        </w:rPr>
        <w:t>Guarantee and Security Agreement</w:t>
      </w:r>
      <w:r>
        <w:rPr>
          <w:rFonts w:ascii="Arial" w:cs="Arial" w:eastAsia="Arial" w:hAnsi="Arial"/>
          <w:sz w:val="13"/>
          <w:szCs w:val="13"/>
          <w:color w:val="auto"/>
        </w:rPr>
        <w:t>” means that certain Second Amended and Restated Guarantee and Security Agreement dated as of the date hereof among the Borrower, the Administrative Agent, each Subsidiary of the Borrower from time to time party thereto, each holder (or a representative or trustee therefor) from time to time of any Secured Longer-Term Indebtedness or Secured Shorter-Term Indebtedness, and the Collateral Agent, as the same shall be amended, modified, restated and supplemented and in effect from time to time.</w:t>
      </w:r>
    </w:p>
    <w:p>
      <w:pPr>
        <w:spacing w:after="0" w:line="168" w:lineRule="exact"/>
        <w:rPr>
          <w:sz w:val="20"/>
          <w:szCs w:val="20"/>
          <w:color w:val="auto"/>
        </w:rPr>
      </w:pPr>
    </w:p>
    <w:p>
      <w:pPr>
        <w:jc w:val="both"/>
        <w:ind w:right="20" w:firstLine="1727"/>
        <w:spacing w:after="0" w:line="238" w:lineRule="auto"/>
        <w:rPr>
          <w:sz w:val="20"/>
          <w:szCs w:val="20"/>
          <w:color w:val="auto"/>
        </w:rPr>
      </w:pPr>
      <w:r>
        <w:rPr>
          <w:rFonts w:ascii="Arial" w:cs="Arial" w:eastAsia="Arial" w:hAnsi="Arial"/>
          <w:sz w:val="14"/>
          <w:szCs w:val="14"/>
          <w:color w:val="auto"/>
        </w:rPr>
        <w:t>“</w:t>
      </w:r>
      <w:r>
        <w:rPr>
          <w:rFonts w:ascii="Arial" w:cs="Arial" w:eastAsia="Arial" w:hAnsi="Arial"/>
          <w:sz w:val="14"/>
          <w:szCs w:val="14"/>
          <w:u w:val="single" w:color="auto"/>
          <w:color w:val="auto"/>
        </w:rPr>
        <w:t>Guarantee Assumption Agreement</w:t>
      </w:r>
      <w:r>
        <w:rPr>
          <w:rFonts w:ascii="Arial" w:cs="Arial" w:eastAsia="Arial" w:hAnsi="Arial"/>
          <w:sz w:val="14"/>
          <w:szCs w:val="14"/>
          <w:color w:val="auto"/>
        </w:rPr>
        <w:t xml:space="preserve">” means a Guarantee Assumption Agreement substantially in the form of Exhibit B to the Guarantee and Security Agreement between the Collateral Agent and an entity that pursuant to </w:t>
      </w:r>
      <w:r>
        <w:rPr>
          <w:rFonts w:ascii="Arial" w:cs="Arial" w:eastAsia="Arial" w:hAnsi="Arial"/>
          <w:sz w:val="14"/>
          <w:szCs w:val="14"/>
          <w:u w:val="single" w:color="auto"/>
          <w:color w:val="auto"/>
        </w:rPr>
        <w:t>Section 5.08</w:t>
      </w:r>
      <w:r>
        <w:rPr>
          <w:rFonts w:ascii="Arial" w:cs="Arial" w:eastAsia="Arial" w:hAnsi="Arial"/>
          <w:sz w:val="14"/>
          <w:szCs w:val="14"/>
          <w:color w:val="auto"/>
        </w:rPr>
        <w:t xml:space="preserve"> is required to become a “Subsidiary Guarantor” under the Guarantee and Security Agreement (with such changes as the Administrative Agent shall request consistent with the requirements of </w:t>
      </w:r>
      <w:r>
        <w:rPr>
          <w:rFonts w:ascii="Arial" w:cs="Arial" w:eastAsia="Arial" w:hAnsi="Arial"/>
          <w:sz w:val="14"/>
          <w:szCs w:val="14"/>
          <w:u w:val="single" w:color="auto"/>
          <w:color w:val="auto"/>
        </w:rPr>
        <w:t>Section 5.08</w:t>
      </w:r>
      <w:r>
        <w:rPr>
          <w:rFonts w:ascii="Arial" w:cs="Arial" w:eastAsia="Arial" w:hAnsi="Arial"/>
          <w:sz w:val="14"/>
          <w:szCs w:val="14"/>
          <w:color w:val="auto"/>
        </w:rPr>
        <w:t>).</w:t>
      </w:r>
    </w:p>
    <w:p>
      <w:pPr>
        <w:spacing w:after="0" w:line="183" w:lineRule="exact"/>
        <w:rPr>
          <w:sz w:val="20"/>
          <w:szCs w:val="20"/>
          <w:color w:val="auto"/>
        </w:rPr>
      </w:pPr>
    </w:p>
    <w:p>
      <w:pPr>
        <w:jc w:val="both"/>
        <w:ind w:right="20" w:firstLine="1727"/>
        <w:spacing w:after="0" w:line="253" w:lineRule="auto"/>
        <w:rPr>
          <w:sz w:val="20"/>
          <w:szCs w:val="20"/>
          <w:color w:val="auto"/>
        </w:rPr>
      </w:pPr>
      <w:r>
        <w:rPr>
          <w:rFonts w:ascii="Arial" w:cs="Arial" w:eastAsia="Arial" w:hAnsi="Arial"/>
          <w:sz w:val="14"/>
          <w:szCs w:val="14"/>
          <w:color w:val="auto"/>
        </w:rPr>
        <w:t>“</w:t>
      </w:r>
      <w:r>
        <w:rPr>
          <w:rFonts w:ascii="Arial" w:cs="Arial" w:eastAsia="Arial" w:hAnsi="Arial"/>
          <w:sz w:val="14"/>
          <w:szCs w:val="14"/>
          <w:u w:val="single" w:color="auto"/>
          <w:color w:val="auto"/>
        </w:rPr>
        <w:t>Hedging Agreement</w:t>
      </w:r>
      <w:r>
        <w:rPr>
          <w:rFonts w:ascii="Arial" w:cs="Arial" w:eastAsia="Arial" w:hAnsi="Arial"/>
          <w:sz w:val="14"/>
          <w:szCs w:val="14"/>
          <w:color w:val="auto"/>
        </w:rPr>
        <w:t>” means any interest rate protection agreement, foreign currency exchange protection agreement, commodity price protection agreement or other interest or currency exchange rate or commodity price hedging arrangement.</w:t>
      </w:r>
    </w:p>
    <w:p>
      <w:pPr>
        <w:spacing w:after="0" w:line="174" w:lineRule="exact"/>
        <w:rPr>
          <w:sz w:val="20"/>
          <w:szCs w:val="20"/>
          <w:color w:val="auto"/>
        </w:rPr>
      </w:pPr>
    </w:p>
    <w:p>
      <w:pPr>
        <w:jc w:val="both"/>
        <w:ind w:right="20" w:firstLine="1727"/>
        <w:spacing w:after="0" w:line="251" w:lineRule="auto"/>
        <w:rPr>
          <w:sz w:val="20"/>
          <w:szCs w:val="20"/>
          <w:color w:val="auto"/>
        </w:rPr>
      </w:pPr>
      <w:r>
        <w:rPr>
          <w:rFonts w:ascii="Arial" w:cs="Arial" w:eastAsia="Arial" w:hAnsi="Arial"/>
          <w:sz w:val="13"/>
          <w:szCs w:val="13"/>
          <w:color w:val="auto"/>
        </w:rPr>
        <w:t>“</w:t>
      </w:r>
      <w:r>
        <w:rPr>
          <w:rFonts w:ascii="Arial" w:cs="Arial" w:eastAsia="Arial" w:hAnsi="Arial"/>
          <w:sz w:val="13"/>
          <w:szCs w:val="13"/>
          <w:u w:val="single" w:color="auto"/>
          <w:color w:val="auto"/>
        </w:rPr>
        <w:t>Immaterial Subsidiaries</w:t>
      </w:r>
      <w:r>
        <w:rPr>
          <w:rFonts w:ascii="Arial" w:cs="Arial" w:eastAsia="Arial" w:hAnsi="Arial"/>
          <w:sz w:val="13"/>
          <w:szCs w:val="13"/>
          <w:color w:val="auto"/>
        </w:rPr>
        <w:t xml:space="preserve">” means those Subsidiaries of the Borrower that are “designated” as Immaterial Subsidiaries by the Borrower from time to time (it being understood that the Borrower may at any time change any such designation); </w:t>
      </w:r>
      <w:r>
        <w:rPr>
          <w:rFonts w:ascii="Arial" w:cs="Arial" w:eastAsia="Arial" w:hAnsi="Arial"/>
          <w:sz w:val="13"/>
          <w:szCs w:val="13"/>
          <w:u w:val="single" w:color="auto"/>
          <w:color w:val="auto"/>
        </w:rPr>
        <w:t>provided</w:t>
      </w:r>
      <w:r>
        <w:rPr>
          <w:rFonts w:ascii="Arial" w:cs="Arial" w:eastAsia="Arial" w:hAnsi="Arial"/>
          <w:sz w:val="13"/>
          <w:szCs w:val="13"/>
          <w:color w:val="auto"/>
        </w:rPr>
        <w:t xml:space="preserve"> that such designated Immaterial Subsidiaries shall collectively meet all of the following criteria as of the date of the most recent balance sheet required to be delivered pursuant to </w:t>
      </w:r>
      <w:r>
        <w:rPr>
          <w:rFonts w:ascii="Arial" w:cs="Arial" w:eastAsia="Arial" w:hAnsi="Arial"/>
          <w:sz w:val="13"/>
          <w:szCs w:val="13"/>
          <w:u w:val="single" w:color="auto"/>
          <w:color w:val="auto"/>
        </w:rPr>
        <w:t>Section 5.01</w:t>
      </w:r>
      <w:r>
        <w:rPr>
          <w:rFonts w:ascii="Arial" w:cs="Arial" w:eastAsia="Arial" w:hAnsi="Arial"/>
          <w:sz w:val="13"/>
          <w:szCs w:val="13"/>
          <w:color w:val="auto"/>
        </w:rPr>
        <w:t>: (a) the aggregate assets of such Subsidiaries and their Subsidiaries (on a consolidated basis) as of such date do not exceed an amount equal to 3% of the consolidated assets of the Borrower and its Subsidiaries as of such date; and (b) the aggregate revenues of such Subsidiaries and their Subsidiaries (on a consolidated basis) for the fiscal quarter ending on such date do not exceed an amount equal to 3% of the consolidated revenues of the Borrower and its Subsidiaries for such period.</w:t>
      </w:r>
    </w:p>
    <w:p>
      <w:pPr>
        <w:spacing w:after="0" w:line="177" w:lineRule="exact"/>
        <w:rPr>
          <w:sz w:val="20"/>
          <w:szCs w:val="20"/>
          <w:color w:val="auto"/>
        </w:rPr>
      </w:pPr>
    </w:p>
    <w:p>
      <w:pPr>
        <w:ind w:left="1740"/>
        <w:spacing w:after="0"/>
        <w:rPr>
          <w:sz w:val="20"/>
          <w:szCs w:val="20"/>
          <w:color w:val="auto"/>
        </w:rPr>
      </w:pPr>
      <w:r>
        <w:rPr>
          <w:rFonts w:ascii="Arial" w:cs="Arial" w:eastAsia="Arial" w:hAnsi="Arial"/>
          <w:sz w:val="14"/>
          <w:szCs w:val="14"/>
          <w:color w:val="auto"/>
        </w:rPr>
        <w:t>“</w:t>
      </w:r>
      <w:r>
        <w:rPr>
          <w:rFonts w:ascii="Arial" w:cs="Arial" w:eastAsia="Arial" w:hAnsi="Arial"/>
          <w:sz w:val="14"/>
          <w:szCs w:val="14"/>
          <w:u w:val="single" w:color="auto"/>
          <w:color w:val="auto"/>
        </w:rPr>
        <w:t>Increasing Lender</w:t>
      </w:r>
      <w:r>
        <w:rPr>
          <w:rFonts w:ascii="Arial" w:cs="Arial" w:eastAsia="Arial" w:hAnsi="Arial"/>
          <w:sz w:val="14"/>
          <w:szCs w:val="14"/>
          <w:color w:val="auto"/>
        </w:rPr>
        <w:t xml:space="preserve">” has the meaning assigned to such term in </w:t>
      </w:r>
      <w:r>
        <w:rPr>
          <w:rFonts w:ascii="Arial" w:cs="Arial" w:eastAsia="Arial" w:hAnsi="Arial"/>
          <w:sz w:val="14"/>
          <w:szCs w:val="14"/>
          <w:u w:val="single" w:color="auto"/>
          <w:color w:val="auto"/>
        </w:rPr>
        <w:t>Section 2.08(e)</w:t>
      </w:r>
      <w:r>
        <w:rPr>
          <w:rFonts w:ascii="Arial" w:cs="Arial" w:eastAsia="Arial" w:hAnsi="Arial"/>
          <w:sz w:val="14"/>
          <w:szCs w:val="14"/>
          <w:color w:val="auto"/>
        </w:rPr>
        <w:t>.</w:t>
      </w:r>
    </w:p>
    <w:p>
      <w:pPr>
        <w:spacing w:after="0" w:line="204" w:lineRule="exact"/>
        <w:rPr>
          <w:sz w:val="20"/>
          <w:szCs w:val="20"/>
          <w:color w:val="auto"/>
        </w:rPr>
      </w:pPr>
    </w:p>
    <w:p>
      <w:pPr>
        <w:ind w:left="1740"/>
        <w:spacing w:after="0"/>
        <w:rPr>
          <w:sz w:val="20"/>
          <w:szCs w:val="20"/>
          <w:color w:val="auto"/>
        </w:rPr>
      </w:pPr>
      <w:r>
        <w:rPr>
          <w:rFonts w:ascii="Arial" w:cs="Arial" w:eastAsia="Arial" w:hAnsi="Arial"/>
          <w:sz w:val="13"/>
          <w:szCs w:val="13"/>
          <w:color w:val="auto"/>
        </w:rPr>
        <w:t>“</w:t>
      </w:r>
      <w:r>
        <w:rPr>
          <w:rFonts w:ascii="Arial" w:cs="Arial" w:eastAsia="Arial" w:hAnsi="Arial"/>
          <w:sz w:val="13"/>
          <w:szCs w:val="13"/>
          <w:u w:val="single" w:color="auto"/>
          <w:color w:val="auto"/>
        </w:rPr>
        <w:t>Indebtedness</w:t>
      </w:r>
      <w:r>
        <w:rPr>
          <w:rFonts w:ascii="Arial" w:cs="Arial" w:eastAsia="Arial" w:hAnsi="Arial"/>
          <w:sz w:val="13"/>
          <w:szCs w:val="13"/>
          <w:color w:val="auto"/>
        </w:rPr>
        <w:t>” of any Person means, without duplication, (a) all obligations of such Person for borrowed money or with respect to deposits or advances of any kind,</w:t>
      </w:r>
    </w:p>
    <w:p>
      <w:pPr>
        <w:spacing w:after="0" w:line="11" w:lineRule="exact"/>
        <w:rPr>
          <w:sz w:val="20"/>
          <w:szCs w:val="20"/>
          <w:color w:val="auto"/>
        </w:rPr>
      </w:pPr>
    </w:p>
    <w:p>
      <w:pPr>
        <w:jc w:val="both"/>
        <w:ind w:right="20" w:firstLine="8"/>
        <w:spacing w:after="0" w:line="245" w:lineRule="auto"/>
        <w:tabs>
          <w:tab w:leader="none" w:pos="205" w:val="left"/>
        </w:tabs>
        <w:numPr>
          <w:ilvl w:val="0"/>
          <w:numId w:val="32"/>
        </w:numPr>
        <w:rPr>
          <w:rFonts w:ascii="Arial" w:cs="Arial" w:eastAsia="Arial" w:hAnsi="Arial"/>
          <w:sz w:val="13"/>
          <w:szCs w:val="13"/>
          <w:color w:val="auto"/>
        </w:rPr>
      </w:pPr>
      <w:r>
        <w:rPr>
          <w:rFonts w:ascii="Arial" w:cs="Arial" w:eastAsia="Arial" w:hAnsi="Arial"/>
          <w:sz w:val="13"/>
          <w:szCs w:val="13"/>
          <w:color w:val="auto"/>
        </w:rPr>
        <w:t>all obligations of such Person evidenced by bonds, debentures, notes or similar instruments, (c) all obligations of such Person under conditional sale or other title retention agreements relating to property acquired by such Person, (d) all obligations of such Person in respect of the deferred purchase price of property or services (excluding accounts payable and accrued expenses incurred in the ordinary course of business), (e) all Indebtedness of others secured by any Lien on property owned or acquired by such Person, whether or not the Indebtedness secured thereby has been assumed (with the value of such debt being the lower of the outstanding amount of such debt and the fair market value of the property subject to such Lien), (f) all Guarantees by such Person of Indebtedness of others, (g) all Capital Lease Obligations of such Person, (h) all obligations, contingent or otherwise, of such Person as an account party in respect of letters of credit and letters of guaranty and (i) all obligations, contingent or otherwise, of such Person in respect of bankers’ acceptances. The Indebtedness of any</w:t>
      </w:r>
    </w:p>
    <w:p>
      <w:pPr>
        <w:spacing w:after="0" w:line="200" w:lineRule="exact"/>
        <w:rPr>
          <w:sz w:val="20"/>
          <w:szCs w:val="20"/>
          <w:color w:val="auto"/>
        </w:rPr>
      </w:pPr>
    </w:p>
    <w:p>
      <w:pPr>
        <w:spacing w:after="0" w:line="39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7560" w:type="dxa"/>
            <w:vAlign w:val="bottom"/>
          </w:tcPr>
          <w:p>
            <w:pPr>
              <w:jc w:val="right"/>
              <w:ind w:right="1828"/>
              <w:spacing w:after="0"/>
              <w:rPr>
                <w:sz w:val="20"/>
                <w:szCs w:val="20"/>
                <w:color w:val="auto"/>
              </w:rPr>
            </w:pPr>
            <w:r>
              <w:rPr>
                <w:rFonts w:ascii="Arial" w:cs="Arial" w:eastAsia="Arial" w:hAnsi="Arial"/>
                <w:sz w:val="14"/>
                <w:szCs w:val="14"/>
                <w:color w:val="auto"/>
              </w:rPr>
              <w:t>9</w:t>
            </w:r>
          </w:p>
        </w:tc>
        <w:tc>
          <w:tcPr>
            <w:tcW w:w="3700" w:type="dxa"/>
            <w:vAlign w:val="bottom"/>
          </w:tcPr>
          <w:p>
            <w:pPr>
              <w:jc w:val="right"/>
              <w:spacing w:after="0"/>
              <w:rPr>
                <w:sz w:val="20"/>
                <w:szCs w:val="20"/>
                <w:color w:val="auto"/>
              </w:rPr>
            </w:pPr>
            <w:r>
              <w:rPr>
                <w:rFonts w:ascii="Arial" w:cs="Arial" w:eastAsia="Arial" w:hAnsi="Arial"/>
                <w:sz w:val="14"/>
                <w:szCs w:val="14"/>
                <w:i w:val="1"/>
                <w:iCs w:val="1"/>
                <w:color w:val="auto"/>
              </w:rPr>
              <w:t>Second Amended and Restated</w:t>
            </w:r>
          </w:p>
        </w:tc>
      </w:tr>
      <w:tr>
        <w:trPr>
          <w:trHeight w:val="182"/>
        </w:trPr>
        <w:tc>
          <w:tcPr>
            <w:tcW w:w="7560" w:type="dxa"/>
            <w:vAlign w:val="bottom"/>
          </w:tcPr>
          <w:p>
            <w:pPr>
              <w:spacing w:after="0"/>
              <w:rPr>
                <w:sz w:val="15"/>
                <w:szCs w:val="15"/>
                <w:color w:val="auto"/>
              </w:rPr>
            </w:pPr>
          </w:p>
        </w:tc>
        <w:tc>
          <w:tcPr>
            <w:tcW w:w="3700" w:type="dxa"/>
            <w:vAlign w:val="bottom"/>
          </w:tcPr>
          <w:p>
            <w:pPr>
              <w:jc w:val="right"/>
              <w:spacing w:after="0"/>
              <w:rPr>
                <w:sz w:val="20"/>
                <w:szCs w:val="20"/>
                <w:color w:val="auto"/>
              </w:rPr>
            </w:pPr>
            <w:r>
              <w:rPr>
                <w:rFonts w:ascii="Arial" w:cs="Arial" w:eastAsia="Arial" w:hAnsi="Arial"/>
                <w:sz w:val="14"/>
                <w:szCs w:val="14"/>
                <w:i w:val="1"/>
                <w:iCs w:val="1"/>
                <w:color w:val="auto"/>
              </w:rPr>
              <w:t>Revolving Credit Agreement</w:t>
            </w:r>
          </w:p>
        </w:tc>
      </w:tr>
      <w:tr>
        <w:trPr>
          <w:trHeight w:val="316"/>
        </w:trPr>
        <w:tc>
          <w:tcPr>
            <w:tcW w:w="7560" w:type="dxa"/>
            <w:vAlign w:val="bottom"/>
            <w:tcBorders>
              <w:bottom w:val="single" w:sz="8" w:color="9A9A9A"/>
            </w:tcBorders>
          </w:tcPr>
          <w:p>
            <w:pPr>
              <w:spacing w:after="0"/>
              <w:rPr>
                <w:sz w:val="24"/>
                <w:szCs w:val="24"/>
                <w:color w:val="auto"/>
              </w:rPr>
            </w:pPr>
          </w:p>
        </w:tc>
        <w:tc>
          <w:tcPr>
            <w:tcW w:w="370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7145655</wp:posOffset>
            </wp:positionH>
            <wp:positionV relativeFrom="paragraph">
              <wp:posOffset>-7620</wp:posOffset>
            </wp:positionV>
            <wp:extent cx="8255" cy="8255"/>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29">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-16510</wp:posOffset>
            </wp:positionV>
            <wp:extent cx="8890" cy="17145"/>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0">
                      <a:extLst>
                        <a:ext uri="{28A0092B-C50C-407E-A947-70E740481C1C}"/>
                      </a:extLst>
                    </a:blip>
                    <a:srcRect/>
                    <a:stretch>
                      <a:fillRect/>
                    </a:stretch>
                  </pic:blipFill>
                  <pic:spPr bwMode="auto">
                    <a:xfrm>
                      <a:off x="0" y="0"/>
                      <a:ext cx="8890" cy="17145"/>
                    </a:xfrm>
                    <a:prstGeom prst="rect">
                      <a:avLst/>
                    </a:prstGeom>
                    <a:noFill/>
                  </pic:spPr>
                </pic:pic>
              </a:graphicData>
            </a:graphic>
          </wp:anchor>
        </w:drawing>
      </w:r>
    </w:p>
    <w:p>
      <w:pPr>
        <w:sectPr>
          <w:pgSz w:w="11900" w:h="16838" w:orient="portrait"/>
          <w:cols w:equalWidth="0" w:num="1">
            <w:col w:w="11260"/>
          </w:cols>
          <w:pgMar w:left="320" w:top="337" w:right="319" w:bottom="1440" w:gutter="0" w:footer="0" w:header="0"/>
        </w:sectPr>
      </w:pPr>
    </w:p>
    <w:bookmarkStart w:id="72" w:name="page73"/>
    <w:bookmarkEnd w:id="72"/>
    <w:p>
      <w:pPr>
        <w:jc w:val="both"/>
        <w:ind w:right="20"/>
        <w:spacing w:after="0" w:line="231" w:lineRule="auto"/>
        <w:rPr>
          <w:sz w:val="20"/>
          <w:szCs w:val="20"/>
          <w:color w:val="auto"/>
        </w:rPr>
      </w:pPr>
      <w:r>
        <w:rPr>
          <w:rFonts w:ascii="Arial" w:cs="Arial" w:eastAsia="Arial" w:hAnsi="Arial"/>
          <w:sz w:val="14"/>
          <w:szCs w:val="14"/>
          <w:color w:val="auto"/>
        </w:rPr>
        <w:t>Person shall include the Indebtedness of any other entity (including any partnership in which such Person is a general partner) to the extent such Person is liable therefor as a result of such Person’s ownership interest in or other relationship with such entity, except to the extent the terms of such Indebtedness provide that such Person is not liable therefor. Notwithstanding the foregoing, “Indebtedness” shall not include (x) purchase price holdbacks arising in the ordinary course of business in respect of a portion of the purchase price of an asset or Investment to satisfy unperformed obligations of the seller of such asset or Investment or (y) a commitment arising in the ordinary course of business to make a future Portfolio Investment, but shall include any SBIC Equity Commitment.</w:t>
      </w:r>
    </w:p>
    <w:p>
      <w:pPr>
        <w:spacing w:after="0" w:line="184" w:lineRule="exact"/>
        <w:rPr>
          <w:sz w:val="20"/>
          <w:szCs w:val="20"/>
          <w:color w:val="auto"/>
        </w:rPr>
      </w:pPr>
    </w:p>
    <w:p>
      <w:pPr>
        <w:jc w:val="both"/>
        <w:ind w:right="20" w:firstLine="1727"/>
        <w:spacing w:after="0" w:line="253" w:lineRule="auto"/>
        <w:rPr>
          <w:sz w:val="20"/>
          <w:szCs w:val="20"/>
          <w:color w:val="auto"/>
        </w:rPr>
      </w:pPr>
      <w:r>
        <w:rPr>
          <w:rFonts w:ascii="Arial" w:cs="Arial" w:eastAsia="Arial" w:hAnsi="Arial"/>
          <w:sz w:val="14"/>
          <w:szCs w:val="14"/>
          <w:color w:val="auto"/>
        </w:rPr>
        <w:t>“</w:t>
      </w:r>
      <w:r>
        <w:rPr>
          <w:rFonts w:ascii="Arial" w:cs="Arial" w:eastAsia="Arial" w:hAnsi="Arial"/>
          <w:sz w:val="14"/>
          <w:szCs w:val="14"/>
          <w:u w:val="single" w:color="auto"/>
          <w:color w:val="auto"/>
        </w:rPr>
        <w:t>Indemnified Taxes</w:t>
      </w:r>
      <w:r>
        <w:rPr>
          <w:rFonts w:ascii="Arial" w:cs="Arial" w:eastAsia="Arial" w:hAnsi="Arial"/>
          <w:sz w:val="14"/>
          <w:szCs w:val="14"/>
          <w:color w:val="auto"/>
        </w:rPr>
        <w:t xml:space="preserve">” means (a) Taxes, other than Excluded Taxes, imposed on or with respect to any payment made by or on account of any obligation of the Borrower or any Obligor under any Loan Document and (b) to the extent not otherwise described in </w:t>
      </w:r>
      <w:r>
        <w:rPr>
          <w:rFonts w:ascii="Arial" w:cs="Arial" w:eastAsia="Arial" w:hAnsi="Arial"/>
          <w:sz w:val="14"/>
          <w:szCs w:val="14"/>
          <w:u w:val="single" w:color="auto"/>
          <w:color w:val="auto"/>
        </w:rPr>
        <w:t>clause (a)</w:t>
      </w:r>
      <w:r>
        <w:rPr>
          <w:rFonts w:ascii="Arial" w:cs="Arial" w:eastAsia="Arial" w:hAnsi="Arial"/>
          <w:sz w:val="14"/>
          <w:szCs w:val="14"/>
          <w:color w:val="auto"/>
        </w:rPr>
        <w:t>, Other Taxes.</w:t>
      </w:r>
    </w:p>
    <w:p>
      <w:pPr>
        <w:spacing w:after="0" w:line="174" w:lineRule="exact"/>
        <w:rPr>
          <w:sz w:val="20"/>
          <w:szCs w:val="20"/>
          <w:color w:val="auto"/>
        </w:rPr>
      </w:pPr>
    </w:p>
    <w:p>
      <w:pPr>
        <w:jc w:val="both"/>
        <w:ind w:right="20" w:firstLine="1727"/>
        <w:spacing w:after="0" w:line="264" w:lineRule="auto"/>
        <w:rPr>
          <w:sz w:val="20"/>
          <w:szCs w:val="20"/>
          <w:color w:val="auto"/>
        </w:rPr>
      </w:pPr>
      <w:r>
        <w:rPr>
          <w:rFonts w:ascii="Arial" w:cs="Arial" w:eastAsia="Arial" w:hAnsi="Arial"/>
          <w:sz w:val="13"/>
          <w:szCs w:val="13"/>
          <w:color w:val="auto"/>
        </w:rPr>
        <w:t>“</w:t>
      </w:r>
      <w:r>
        <w:rPr>
          <w:rFonts w:ascii="Arial" w:cs="Arial" w:eastAsia="Arial" w:hAnsi="Arial"/>
          <w:sz w:val="13"/>
          <w:szCs w:val="13"/>
          <w:u w:val="single" w:color="auto"/>
          <w:color w:val="auto"/>
        </w:rPr>
        <w:t>Independent</w:t>
      </w:r>
      <w:r>
        <w:rPr>
          <w:rFonts w:ascii="Arial" w:cs="Arial" w:eastAsia="Arial" w:hAnsi="Arial"/>
          <w:sz w:val="13"/>
          <w:szCs w:val="13"/>
          <w:color w:val="auto"/>
        </w:rPr>
        <w:t>” when used with respect to any specified Person means that such Person (a) does not have any direct financial interest or any material indirect financial interest in the Borrower or any of its Subsidiaries or Affiliates (including its investment advisor or any Affiliate thereof) and (b) is not connected with the Borrower or of its Subsidiaries or Affiliates (including its investment advisor or any Affiliate thereof) as an officer, employee, promoter, underwriter, trustee, partner, director or Person performing similar functions.</w:t>
      </w:r>
    </w:p>
    <w:p>
      <w:pPr>
        <w:spacing w:after="0" w:line="168" w:lineRule="exact"/>
        <w:rPr>
          <w:sz w:val="20"/>
          <w:szCs w:val="20"/>
          <w:color w:val="auto"/>
        </w:rPr>
      </w:pPr>
    </w:p>
    <w:p>
      <w:pPr>
        <w:jc w:val="both"/>
        <w:ind w:right="20" w:firstLine="1727"/>
        <w:spacing w:after="0" w:line="238" w:lineRule="auto"/>
        <w:rPr>
          <w:sz w:val="20"/>
          <w:szCs w:val="20"/>
          <w:color w:val="auto"/>
        </w:rPr>
      </w:pPr>
      <w:r>
        <w:rPr>
          <w:rFonts w:ascii="Arial" w:cs="Arial" w:eastAsia="Arial" w:hAnsi="Arial"/>
          <w:sz w:val="14"/>
          <w:szCs w:val="14"/>
          <w:color w:val="auto"/>
        </w:rPr>
        <w:t>“</w:t>
      </w:r>
      <w:r>
        <w:rPr>
          <w:rFonts w:ascii="Arial" w:cs="Arial" w:eastAsia="Arial" w:hAnsi="Arial"/>
          <w:sz w:val="14"/>
          <w:szCs w:val="14"/>
          <w:u w:val="single" w:color="auto"/>
          <w:color w:val="auto"/>
        </w:rPr>
        <w:t>Industry Classification Group</w:t>
      </w:r>
      <w:r>
        <w:rPr>
          <w:rFonts w:ascii="Arial" w:cs="Arial" w:eastAsia="Arial" w:hAnsi="Arial"/>
          <w:sz w:val="14"/>
          <w:szCs w:val="14"/>
          <w:color w:val="auto"/>
        </w:rPr>
        <w:t xml:space="preserve">” means (a) any of the classification groups set forth in </w:t>
      </w:r>
      <w:r>
        <w:rPr>
          <w:rFonts w:ascii="Arial" w:cs="Arial" w:eastAsia="Arial" w:hAnsi="Arial"/>
          <w:sz w:val="14"/>
          <w:szCs w:val="14"/>
          <w:u w:val="single" w:color="auto"/>
          <w:color w:val="auto"/>
        </w:rPr>
        <w:t>Schedule 1.01(c)</w:t>
      </w:r>
      <w:r>
        <w:rPr>
          <w:rFonts w:ascii="Arial" w:cs="Arial" w:eastAsia="Arial" w:hAnsi="Arial"/>
          <w:sz w:val="14"/>
          <w:szCs w:val="14"/>
          <w:color w:val="auto"/>
        </w:rPr>
        <w:t xml:space="preserve"> hereto, together with any such classification groups that may be subsequently established by Moody’s and provided by the Borrower to the Lenders, and (b) up to three additional industry group classifications established by the Borrower pursuant to </w:t>
      </w:r>
      <w:r>
        <w:rPr>
          <w:rFonts w:ascii="Arial" w:cs="Arial" w:eastAsia="Arial" w:hAnsi="Arial"/>
          <w:sz w:val="14"/>
          <w:szCs w:val="14"/>
          <w:u w:val="single" w:color="auto"/>
          <w:color w:val="auto"/>
        </w:rPr>
        <w:t>Section 5.12</w:t>
      </w:r>
      <w:r>
        <w:rPr>
          <w:rFonts w:ascii="Arial" w:cs="Arial" w:eastAsia="Arial" w:hAnsi="Arial"/>
          <w:sz w:val="14"/>
          <w:szCs w:val="14"/>
          <w:color w:val="auto"/>
        </w:rPr>
        <w:t>.</w:t>
      </w:r>
    </w:p>
    <w:p>
      <w:pPr>
        <w:spacing w:after="0" w:line="183" w:lineRule="exact"/>
        <w:rPr>
          <w:sz w:val="20"/>
          <w:szCs w:val="20"/>
          <w:color w:val="auto"/>
        </w:rPr>
      </w:pPr>
    </w:p>
    <w:p>
      <w:pPr>
        <w:ind w:left="1740"/>
        <w:spacing w:after="0"/>
        <w:rPr>
          <w:sz w:val="20"/>
          <w:szCs w:val="20"/>
          <w:color w:val="auto"/>
        </w:rPr>
      </w:pPr>
      <w:r>
        <w:rPr>
          <w:rFonts w:ascii="Arial" w:cs="Arial" w:eastAsia="Arial" w:hAnsi="Arial"/>
          <w:sz w:val="14"/>
          <w:szCs w:val="14"/>
          <w:color w:val="auto"/>
        </w:rPr>
        <w:t>“</w:t>
      </w:r>
      <w:r>
        <w:rPr>
          <w:rFonts w:ascii="Arial" w:cs="Arial" w:eastAsia="Arial" w:hAnsi="Arial"/>
          <w:sz w:val="14"/>
          <w:szCs w:val="14"/>
          <w:u w:val="single" w:color="auto"/>
          <w:color w:val="auto"/>
        </w:rPr>
        <w:t>Interest Election Request</w:t>
      </w:r>
      <w:r>
        <w:rPr>
          <w:rFonts w:ascii="Arial" w:cs="Arial" w:eastAsia="Arial" w:hAnsi="Arial"/>
          <w:sz w:val="14"/>
          <w:szCs w:val="14"/>
          <w:color w:val="auto"/>
        </w:rPr>
        <w:t xml:space="preserve">” means a request by the Borrower to convert or continue a Syndicated Borrowing in accordance with </w:t>
      </w:r>
      <w:r>
        <w:rPr>
          <w:rFonts w:ascii="Arial" w:cs="Arial" w:eastAsia="Arial" w:hAnsi="Arial"/>
          <w:sz w:val="14"/>
          <w:szCs w:val="14"/>
          <w:u w:val="single" w:color="auto"/>
          <w:color w:val="auto"/>
        </w:rPr>
        <w:t>Section 2.07</w:t>
      </w:r>
      <w:r>
        <w:rPr>
          <w:rFonts w:ascii="Arial" w:cs="Arial" w:eastAsia="Arial" w:hAnsi="Arial"/>
          <w:sz w:val="14"/>
          <w:szCs w:val="14"/>
          <w:color w:val="auto"/>
        </w:rPr>
        <w:t>.</w:t>
      </w:r>
    </w:p>
    <w:p>
      <w:pPr>
        <w:spacing w:after="0" w:line="204" w:lineRule="exact"/>
        <w:rPr>
          <w:sz w:val="20"/>
          <w:szCs w:val="20"/>
          <w:color w:val="auto"/>
        </w:rPr>
      </w:pPr>
    </w:p>
    <w:p>
      <w:pPr>
        <w:jc w:val="both"/>
        <w:ind w:right="20" w:firstLine="1727"/>
        <w:spacing w:after="0" w:line="238" w:lineRule="auto"/>
        <w:rPr>
          <w:sz w:val="20"/>
          <w:szCs w:val="20"/>
          <w:color w:val="auto"/>
        </w:rPr>
      </w:pPr>
      <w:r>
        <w:rPr>
          <w:rFonts w:ascii="Arial" w:cs="Arial" w:eastAsia="Arial" w:hAnsi="Arial"/>
          <w:sz w:val="14"/>
          <w:szCs w:val="14"/>
          <w:color w:val="auto"/>
        </w:rPr>
        <w:t>“</w:t>
      </w:r>
      <w:r>
        <w:rPr>
          <w:rFonts w:ascii="Arial" w:cs="Arial" w:eastAsia="Arial" w:hAnsi="Arial"/>
          <w:sz w:val="14"/>
          <w:szCs w:val="14"/>
          <w:u w:val="single" w:color="auto"/>
          <w:color w:val="auto"/>
        </w:rPr>
        <w:t>Interest Payment Date</w:t>
      </w:r>
      <w:r>
        <w:rPr>
          <w:rFonts w:ascii="Arial" w:cs="Arial" w:eastAsia="Arial" w:hAnsi="Arial"/>
          <w:sz w:val="14"/>
          <w:szCs w:val="14"/>
          <w:color w:val="auto"/>
        </w:rPr>
        <w:t>” means (a) with respect to any Syndicated ABR Loan, each Quarterly Date, (b) with respect to any Eurocurrency Loan, the last day of each Interest Period therefor and, in the case of any Interest Period of more than three months’ duration, each day prior to the last day of such Interest Period that occurs at three-month intervals after the first day of such Interest Period and (c) with respect to any Swingline Loan, the day that such Loan is required to be repaid.</w:t>
      </w:r>
    </w:p>
    <w:p>
      <w:pPr>
        <w:spacing w:after="0" w:line="183" w:lineRule="exact"/>
        <w:rPr>
          <w:sz w:val="20"/>
          <w:szCs w:val="20"/>
          <w:color w:val="auto"/>
        </w:rPr>
      </w:pPr>
    </w:p>
    <w:p>
      <w:pPr>
        <w:jc w:val="both"/>
        <w:ind w:right="20" w:firstLine="1727"/>
        <w:spacing w:after="0" w:line="225" w:lineRule="auto"/>
        <w:rPr>
          <w:sz w:val="20"/>
          <w:szCs w:val="20"/>
          <w:color w:val="auto"/>
        </w:rPr>
      </w:pPr>
      <w:r>
        <w:rPr>
          <w:rFonts w:ascii="Arial" w:cs="Arial" w:eastAsia="Arial" w:hAnsi="Arial"/>
          <w:sz w:val="14"/>
          <w:szCs w:val="14"/>
          <w:color w:val="auto"/>
        </w:rPr>
        <w:t>“</w:t>
      </w:r>
      <w:r>
        <w:rPr>
          <w:rFonts w:ascii="Arial" w:cs="Arial" w:eastAsia="Arial" w:hAnsi="Arial"/>
          <w:sz w:val="14"/>
          <w:szCs w:val="14"/>
          <w:u w:val="single" w:color="auto"/>
          <w:color w:val="auto"/>
        </w:rPr>
        <w:t>Interest Period</w:t>
      </w:r>
      <w:r>
        <w:rPr>
          <w:rFonts w:ascii="Arial" w:cs="Arial" w:eastAsia="Arial" w:hAnsi="Arial"/>
          <w:sz w:val="14"/>
          <w:szCs w:val="14"/>
          <w:color w:val="auto"/>
        </w:rPr>
        <w:t xml:space="preserve">” means, for any Eurocurrency Loan or Borrowing, the period commencing on the date of such Loan or Borrowing and ending on the numerically corresponding day in the calendar month that is one, two or three months thereafter or, subject to availability to all the Lenders, six or twelve months thereafter, or, with respect to such portion of any Eurocurrency Loan or Borrowing denominated in a Foreign Currency that is scheduled to be repaid on the Final Maturity Date, a period of less than one month’s duration commencing on the date of such Loan or Borrowing and ending on the Final Maturity Date, as specified in the applicable Borrowing Request or Interest Election Request; </w:t>
      </w:r>
      <w:r>
        <w:rPr>
          <w:rFonts w:ascii="Arial" w:cs="Arial" w:eastAsia="Arial" w:hAnsi="Arial"/>
          <w:sz w:val="14"/>
          <w:szCs w:val="14"/>
          <w:u w:val="single" w:color="auto"/>
          <w:color w:val="auto"/>
        </w:rPr>
        <w:t>provided</w:t>
      </w:r>
      <w:r>
        <w:rPr>
          <w:rFonts w:ascii="Arial" w:cs="Arial" w:eastAsia="Arial" w:hAnsi="Arial"/>
          <w:sz w:val="14"/>
          <w:szCs w:val="14"/>
          <w:color w:val="auto"/>
        </w:rPr>
        <w:t xml:space="preserve"> that (i) if any Interest Period would end on a day other than a Business Day, such Interest Period shall be extended to the next succeeding Business Day unless such next succeeding Business Day would fall in the next calendar month, in which case such Interest Period shall end on the next preceding Business Day, and (ii) any Interest Period (other than an Interest Period pertaining to a Eurocurrency Borrowing denominated in a Foreign Currency that ends on the Final Maturity Date that is permitted to be of less than one month’s duration as provided in this definition) that commences on the last Business Day of a calendar month (or on a day for which there is no numerically corresponding day in the last calendar month of such Interest Period) shall end on the last Business Day of the last calendar month of such Interest Period. For purposes hereof, the date of a Loan initially shall be the date on which such Loan is made and thereafter shall be the effective date of the most recent conversion or continuation of such Loan, and the date of a Syndicated Borrowing comprising Loans that have been converted or continued shall be the effective date of the most recent conversion or continuation of such Loans.</w:t>
      </w:r>
    </w:p>
    <w:p>
      <w:pPr>
        <w:spacing w:after="0" w:line="189" w:lineRule="exact"/>
        <w:rPr>
          <w:sz w:val="20"/>
          <w:szCs w:val="20"/>
          <w:color w:val="auto"/>
        </w:rPr>
      </w:pPr>
    </w:p>
    <w:p>
      <w:pPr>
        <w:jc w:val="both"/>
        <w:ind w:right="20" w:firstLine="1727"/>
        <w:spacing w:after="0" w:line="233" w:lineRule="auto"/>
        <w:rPr>
          <w:sz w:val="20"/>
          <w:szCs w:val="20"/>
          <w:color w:val="auto"/>
        </w:rPr>
      </w:pPr>
      <w:r>
        <w:rPr>
          <w:rFonts w:ascii="Arial" w:cs="Arial" w:eastAsia="Arial" w:hAnsi="Arial"/>
          <w:sz w:val="14"/>
          <w:szCs w:val="14"/>
          <w:color w:val="auto"/>
        </w:rPr>
        <w:t>“</w:t>
      </w:r>
      <w:r>
        <w:rPr>
          <w:rFonts w:ascii="Arial" w:cs="Arial" w:eastAsia="Arial" w:hAnsi="Arial"/>
          <w:sz w:val="14"/>
          <w:szCs w:val="14"/>
          <w:u w:val="single" w:color="auto"/>
          <w:color w:val="auto"/>
        </w:rPr>
        <w:t>Investment</w:t>
      </w:r>
      <w:r>
        <w:rPr>
          <w:rFonts w:ascii="Arial" w:cs="Arial" w:eastAsia="Arial" w:hAnsi="Arial"/>
          <w:sz w:val="14"/>
          <w:szCs w:val="14"/>
          <w:color w:val="auto"/>
        </w:rPr>
        <w:t>” means, for any Person: (a) Equity Interests, bonds, notes, debentures or other securities of any other Person or any agreement to acquire any Equity Interests, bonds, notes, debentures or other securities of any other Person (including any “short sale” or any sale of any securities at a time when such securities are not owned by the Person entering into such sale); (b) deposits, advances, loans or other extensions of credit made to any other Person (including purchases of property from another Person subject to an understanding or agreement, contingent or otherwise, to resell such property to such Person); or (c) Hedging Agreements.</w:t>
      </w:r>
    </w:p>
    <w:p>
      <w:pPr>
        <w:spacing w:after="0" w:line="185" w:lineRule="exact"/>
        <w:rPr>
          <w:sz w:val="20"/>
          <w:szCs w:val="20"/>
          <w:color w:val="auto"/>
        </w:rPr>
      </w:pPr>
    </w:p>
    <w:p>
      <w:pPr>
        <w:ind w:left="1740"/>
        <w:spacing w:after="0"/>
        <w:rPr>
          <w:sz w:val="20"/>
          <w:szCs w:val="20"/>
          <w:color w:val="auto"/>
        </w:rPr>
      </w:pPr>
      <w:r>
        <w:rPr>
          <w:rFonts w:ascii="Arial" w:cs="Arial" w:eastAsia="Arial" w:hAnsi="Arial"/>
          <w:sz w:val="14"/>
          <w:szCs w:val="14"/>
          <w:color w:val="auto"/>
        </w:rPr>
        <w:t>“</w:t>
      </w:r>
      <w:r>
        <w:rPr>
          <w:rFonts w:ascii="Arial" w:cs="Arial" w:eastAsia="Arial" w:hAnsi="Arial"/>
          <w:sz w:val="14"/>
          <w:szCs w:val="14"/>
          <w:u w:val="single" w:color="auto"/>
          <w:color w:val="auto"/>
        </w:rPr>
        <w:t>Investment Company Act</w:t>
      </w:r>
      <w:r>
        <w:rPr>
          <w:rFonts w:ascii="Arial" w:cs="Arial" w:eastAsia="Arial" w:hAnsi="Arial"/>
          <w:sz w:val="14"/>
          <w:szCs w:val="14"/>
          <w:color w:val="auto"/>
        </w:rPr>
        <w:t>” means the Investment Company Act of 1940, as amended from time to time.</w:t>
      </w:r>
    </w:p>
    <w:p>
      <w:pPr>
        <w:spacing w:after="0" w:line="204" w:lineRule="exact"/>
        <w:rPr>
          <w:sz w:val="20"/>
          <w:szCs w:val="20"/>
          <w:color w:val="auto"/>
        </w:rPr>
      </w:pPr>
    </w:p>
    <w:p>
      <w:pPr>
        <w:jc w:val="both"/>
        <w:ind w:right="20" w:firstLine="1727"/>
        <w:spacing w:after="0" w:line="253" w:lineRule="auto"/>
        <w:rPr>
          <w:sz w:val="20"/>
          <w:szCs w:val="20"/>
          <w:color w:val="auto"/>
        </w:rPr>
      </w:pPr>
      <w:r>
        <w:rPr>
          <w:rFonts w:ascii="Arial" w:cs="Arial" w:eastAsia="Arial" w:hAnsi="Arial"/>
          <w:sz w:val="14"/>
          <w:szCs w:val="14"/>
          <w:color w:val="auto"/>
        </w:rPr>
        <w:t>“</w:t>
      </w:r>
      <w:r>
        <w:rPr>
          <w:rFonts w:ascii="Arial" w:cs="Arial" w:eastAsia="Arial" w:hAnsi="Arial"/>
          <w:sz w:val="14"/>
          <w:szCs w:val="14"/>
          <w:u w:val="single" w:color="auto"/>
          <w:color w:val="auto"/>
        </w:rPr>
        <w:t>Investment Policies</w:t>
      </w:r>
      <w:r>
        <w:rPr>
          <w:rFonts w:ascii="Arial" w:cs="Arial" w:eastAsia="Arial" w:hAnsi="Arial"/>
          <w:sz w:val="14"/>
          <w:szCs w:val="14"/>
          <w:color w:val="auto"/>
        </w:rPr>
        <w:t>” means the investment objectives, policies, restrictions and limitations set forth in the “BUSINESS” section of its Registration Statement, and as the same may be changed, altered, expanded, amended, modified, terminated or restated from time to time.</w:t>
      </w:r>
    </w:p>
    <w:p>
      <w:pPr>
        <w:spacing w:after="0" w:line="174" w:lineRule="exact"/>
        <w:rPr>
          <w:sz w:val="20"/>
          <w:szCs w:val="20"/>
          <w:color w:val="auto"/>
        </w:rPr>
      </w:pPr>
    </w:p>
    <w:p>
      <w:pPr>
        <w:ind w:left="1740"/>
        <w:spacing w:after="0"/>
        <w:rPr>
          <w:sz w:val="20"/>
          <w:szCs w:val="20"/>
          <w:color w:val="auto"/>
        </w:rPr>
      </w:pPr>
      <w:r>
        <w:rPr>
          <w:rFonts w:ascii="Arial" w:cs="Arial" w:eastAsia="Arial" w:hAnsi="Arial"/>
          <w:sz w:val="14"/>
          <w:szCs w:val="14"/>
          <w:color w:val="auto"/>
        </w:rPr>
        <w:t>“</w:t>
      </w:r>
      <w:r>
        <w:rPr>
          <w:rFonts w:ascii="Arial" w:cs="Arial" w:eastAsia="Arial" w:hAnsi="Arial"/>
          <w:sz w:val="14"/>
          <w:szCs w:val="14"/>
          <w:u w:val="single" w:color="auto"/>
          <w:color w:val="auto"/>
        </w:rPr>
        <w:t>IRS</w:t>
      </w:r>
      <w:r>
        <w:rPr>
          <w:rFonts w:ascii="Arial" w:cs="Arial" w:eastAsia="Arial" w:hAnsi="Arial"/>
          <w:sz w:val="14"/>
          <w:szCs w:val="14"/>
          <w:color w:val="auto"/>
        </w:rPr>
        <w:t>” means the United States Internal Revenue Service.</w:t>
      </w:r>
    </w:p>
    <w:p>
      <w:pPr>
        <w:spacing w:after="0" w:line="204" w:lineRule="exact"/>
        <w:rPr>
          <w:sz w:val="20"/>
          <w:szCs w:val="20"/>
          <w:color w:val="auto"/>
        </w:rPr>
      </w:pPr>
    </w:p>
    <w:p>
      <w:pPr>
        <w:jc w:val="both"/>
        <w:ind w:right="20" w:firstLine="1727"/>
        <w:spacing w:after="0" w:line="290" w:lineRule="auto"/>
        <w:rPr>
          <w:sz w:val="20"/>
          <w:szCs w:val="20"/>
          <w:color w:val="auto"/>
        </w:rPr>
      </w:pPr>
      <w:r>
        <w:rPr>
          <w:rFonts w:ascii="Arial" w:cs="Arial" w:eastAsia="Arial" w:hAnsi="Arial"/>
          <w:sz w:val="13"/>
          <w:szCs w:val="13"/>
          <w:color w:val="auto"/>
        </w:rPr>
        <w:t>“</w:t>
      </w:r>
      <w:r>
        <w:rPr>
          <w:rFonts w:ascii="Arial" w:cs="Arial" w:eastAsia="Arial" w:hAnsi="Arial"/>
          <w:sz w:val="13"/>
          <w:szCs w:val="13"/>
          <w:u w:val="single" w:color="auto"/>
          <w:color w:val="auto"/>
        </w:rPr>
        <w:t>Issuing Bank</w:t>
      </w:r>
      <w:r>
        <w:rPr>
          <w:rFonts w:ascii="Arial" w:cs="Arial" w:eastAsia="Arial" w:hAnsi="Arial"/>
          <w:sz w:val="13"/>
          <w:szCs w:val="13"/>
          <w:color w:val="auto"/>
        </w:rPr>
        <w:t xml:space="preserve">” means SunTrust, in its capacity as the issuer of Letters of Credit hereunder, and its successors in such capacity as provided in </w:t>
      </w:r>
      <w:r>
        <w:rPr>
          <w:rFonts w:ascii="Arial" w:cs="Arial" w:eastAsia="Arial" w:hAnsi="Arial"/>
          <w:sz w:val="13"/>
          <w:szCs w:val="13"/>
          <w:u w:val="single" w:color="auto"/>
          <w:color w:val="auto"/>
        </w:rPr>
        <w:t>Section 2.05(j)</w:t>
      </w:r>
      <w:r>
        <w:rPr>
          <w:rFonts w:ascii="Arial" w:cs="Arial" w:eastAsia="Arial" w:hAnsi="Arial"/>
          <w:sz w:val="13"/>
          <w:szCs w:val="13"/>
          <w:color w:val="auto"/>
        </w:rPr>
        <w:t>. In the case of any Letter of Credit to be issued in an Agreed Foreign Currency, SunTrust may designate any of its affiliates as the “Issuing Bank” for purposes of such Letter of Credit.</w:t>
      </w:r>
    </w:p>
    <w:p>
      <w:pPr>
        <w:spacing w:after="0" w:line="152" w:lineRule="exact"/>
        <w:rPr>
          <w:sz w:val="20"/>
          <w:szCs w:val="20"/>
          <w:color w:val="auto"/>
        </w:rPr>
      </w:pPr>
    </w:p>
    <w:p>
      <w:pPr>
        <w:ind w:left="1740"/>
        <w:spacing w:after="0"/>
        <w:rPr>
          <w:sz w:val="20"/>
          <w:szCs w:val="20"/>
          <w:color w:val="auto"/>
        </w:rPr>
      </w:pPr>
      <w:r>
        <w:rPr>
          <w:rFonts w:ascii="Arial" w:cs="Arial" w:eastAsia="Arial" w:hAnsi="Arial"/>
          <w:sz w:val="14"/>
          <w:szCs w:val="14"/>
          <w:color w:val="auto"/>
        </w:rPr>
        <w:t>“</w:t>
      </w:r>
      <w:r>
        <w:rPr>
          <w:rFonts w:ascii="Arial" w:cs="Arial" w:eastAsia="Arial" w:hAnsi="Arial"/>
          <w:sz w:val="14"/>
          <w:szCs w:val="14"/>
          <w:u w:val="single" w:color="auto"/>
          <w:color w:val="auto"/>
        </w:rPr>
        <w:t>LC Disbursement</w:t>
      </w:r>
      <w:r>
        <w:rPr>
          <w:rFonts w:ascii="Arial" w:cs="Arial" w:eastAsia="Arial" w:hAnsi="Arial"/>
          <w:sz w:val="14"/>
          <w:szCs w:val="14"/>
          <w:color w:val="auto"/>
        </w:rPr>
        <w:t>” means a payment made by the Issuing Bank pursuant to a Letter of Credit.</w:t>
      </w:r>
    </w:p>
    <w:p>
      <w:pPr>
        <w:spacing w:after="0" w:line="204" w:lineRule="exact"/>
        <w:rPr>
          <w:sz w:val="20"/>
          <w:szCs w:val="20"/>
          <w:color w:val="auto"/>
        </w:rPr>
      </w:pPr>
    </w:p>
    <w:p>
      <w:pPr>
        <w:ind w:left="1740"/>
        <w:spacing w:after="0"/>
        <w:rPr>
          <w:sz w:val="20"/>
          <w:szCs w:val="20"/>
          <w:color w:val="auto"/>
        </w:rPr>
      </w:pPr>
      <w:r>
        <w:rPr>
          <w:rFonts w:ascii="Arial" w:cs="Arial" w:eastAsia="Arial" w:hAnsi="Arial"/>
          <w:sz w:val="14"/>
          <w:szCs w:val="14"/>
          <w:color w:val="auto"/>
        </w:rPr>
        <w:t>“</w:t>
      </w:r>
      <w:r>
        <w:rPr>
          <w:rFonts w:ascii="Arial" w:cs="Arial" w:eastAsia="Arial" w:hAnsi="Arial"/>
          <w:sz w:val="14"/>
          <w:szCs w:val="14"/>
          <w:u w:val="single" w:color="auto"/>
          <w:color w:val="auto"/>
        </w:rPr>
        <w:t>LC Exposure</w:t>
      </w:r>
      <w:r>
        <w:rPr>
          <w:rFonts w:ascii="Arial" w:cs="Arial" w:eastAsia="Arial" w:hAnsi="Arial"/>
          <w:sz w:val="14"/>
          <w:szCs w:val="14"/>
          <w:color w:val="auto"/>
        </w:rPr>
        <w:t>” means, at any time, the sum of the Dollar LC Exposure and the Multicurrency LC Exposure.</w:t>
      </w:r>
    </w:p>
    <w:p>
      <w:pPr>
        <w:spacing w:after="0" w:line="200" w:lineRule="exact"/>
        <w:rPr>
          <w:sz w:val="20"/>
          <w:szCs w:val="20"/>
          <w:color w:val="auto"/>
        </w:rPr>
      </w:pPr>
    </w:p>
    <w:p>
      <w:pPr>
        <w:spacing w:after="0" w:line="200" w:lineRule="exact"/>
        <w:rPr>
          <w:sz w:val="20"/>
          <w:szCs w:val="20"/>
          <w:color w:val="auto"/>
        </w:rPr>
      </w:pPr>
    </w:p>
    <w:p>
      <w:pPr>
        <w:spacing w:after="0" w:line="22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7580" w:type="dxa"/>
            <w:vAlign w:val="bottom"/>
          </w:tcPr>
          <w:p>
            <w:pPr>
              <w:jc w:val="right"/>
              <w:ind w:right="1808"/>
              <w:spacing w:after="0"/>
              <w:rPr>
                <w:sz w:val="20"/>
                <w:szCs w:val="20"/>
                <w:color w:val="auto"/>
              </w:rPr>
            </w:pPr>
            <w:r>
              <w:rPr>
                <w:rFonts w:ascii="Arial" w:cs="Arial" w:eastAsia="Arial" w:hAnsi="Arial"/>
                <w:sz w:val="14"/>
                <w:szCs w:val="14"/>
                <w:color w:val="auto"/>
              </w:rPr>
              <w:t>10</w:t>
            </w:r>
          </w:p>
        </w:tc>
        <w:tc>
          <w:tcPr>
            <w:tcW w:w="3680" w:type="dxa"/>
            <w:vAlign w:val="bottom"/>
          </w:tcPr>
          <w:p>
            <w:pPr>
              <w:jc w:val="right"/>
              <w:spacing w:after="0"/>
              <w:rPr>
                <w:sz w:val="20"/>
                <w:szCs w:val="20"/>
                <w:color w:val="auto"/>
              </w:rPr>
            </w:pPr>
            <w:r>
              <w:rPr>
                <w:rFonts w:ascii="Arial" w:cs="Arial" w:eastAsia="Arial" w:hAnsi="Arial"/>
                <w:sz w:val="14"/>
                <w:szCs w:val="14"/>
                <w:i w:val="1"/>
                <w:iCs w:val="1"/>
                <w:color w:val="auto"/>
              </w:rPr>
              <w:t>Second Amended and Restated</w:t>
            </w:r>
          </w:p>
        </w:tc>
      </w:tr>
      <w:tr>
        <w:trPr>
          <w:trHeight w:val="182"/>
        </w:trPr>
        <w:tc>
          <w:tcPr>
            <w:tcW w:w="7580" w:type="dxa"/>
            <w:vAlign w:val="bottom"/>
          </w:tcPr>
          <w:p>
            <w:pPr>
              <w:spacing w:after="0"/>
              <w:rPr>
                <w:sz w:val="15"/>
                <w:szCs w:val="15"/>
                <w:color w:val="auto"/>
              </w:rPr>
            </w:pPr>
          </w:p>
        </w:tc>
        <w:tc>
          <w:tcPr>
            <w:tcW w:w="3680" w:type="dxa"/>
            <w:vAlign w:val="bottom"/>
          </w:tcPr>
          <w:p>
            <w:pPr>
              <w:jc w:val="right"/>
              <w:spacing w:after="0"/>
              <w:rPr>
                <w:sz w:val="20"/>
                <w:szCs w:val="20"/>
                <w:color w:val="auto"/>
              </w:rPr>
            </w:pPr>
            <w:r>
              <w:rPr>
                <w:rFonts w:ascii="Arial" w:cs="Arial" w:eastAsia="Arial" w:hAnsi="Arial"/>
                <w:sz w:val="14"/>
                <w:szCs w:val="14"/>
                <w:i w:val="1"/>
                <w:iCs w:val="1"/>
                <w:color w:val="auto"/>
              </w:rPr>
              <w:t>Revolving Credit Agreement</w:t>
            </w:r>
          </w:p>
        </w:tc>
      </w:tr>
      <w:tr>
        <w:trPr>
          <w:trHeight w:val="316"/>
        </w:trPr>
        <w:tc>
          <w:tcPr>
            <w:tcW w:w="7580" w:type="dxa"/>
            <w:vAlign w:val="bottom"/>
            <w:tcBorders>
              <w:bottom w:val="single" w:sz="8" w:color="9A9A9A"/>
            </w:tcBorders>
          </w:tcPr>
          <w:p>
            <w:pPr>
              <w:spacing w:after="0"/>
              <w:rPr>
                <w:sz w:val="24"/>
                <w:szCs w:val="24"/>
                <w:color w:val="auto"/>
              </w:rPr>
            </w:pPr>
          </w:p>
        </w:tc>
        <w:tc>
          <w:tcPr>
            <w:tcW w:w="368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7145655</wp:posOffset>
            </wp:positionH>
            <wp:positionV relativeFrom="paragraph">
              <wp:posOffset>-8255</wp:posOffset>
            </wp:positionV>
            <wp:extent cx="8255" cy="8890"/>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1">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-16510</wp:posOffset>
            </wp:positionV>
            <wp:extent cx="8890" cy="17145"/>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2">
                      <a:extLst>
                        <a:ext uri="{28A0092B-C50C-407E-A947-70E740481C1C}"/>
                      </a:extLst>
                    </a:blip>
                    <a:srcRect/>
                    <a:stretch>
                      <a:fillRect/>
                    </a:stretch>
                  </pic:blipFill>
                  <pic:spPr bwMode="auto">
                    <a:xfrm>
                      <a:off x="0" y="0"/>
                      <a:ext cx="8890" cy="17145"/>
                    </a:xfrm>
                    <a:prstGeom prst="rect">
                      <a:avLst/>
                    </a:prstGeom>
                    <a:noFill/>
                  </pic:spPr>
                </pic:pic>
              </a:graphicData>
            </a:graphic>
          </wp:anchor>
        </w:drawing>
      </w:r>
    </w:p>
    <w:p>
      <w:pPr>
        <w:sectPr>
          <w:pgSz w:w="11900" w:h="16838" w:orient="portrait"/>
          <w:cols w:equalWidth="0" w:num="1">
            <w:col w:w="11260"/>
          </w:cols>
          <w:pgMar w:left="320" w:top="337" w:right="319" w:bottom="1440" w:gutter="0" w:footer="0" w:header="0"/>
        </w:sectPr>
      </w:pPr>
    </w:p>
    <w:bookmarkStart w:id="73" w:name="page74"/>
    <w:bookmarkEnd w:id="73"/>
    <w:p>
      <w:pPr>
        <w:jc w:val="right"/>
        <w:ind w:right="20"/>
        <w:spacing w:after="0"/>
        <w:rPr>
          <w:sz w:val="20"/>
          <w:szCs w:val="20"/>
          <w:color w:val="auto"/>
        </w:rPr>
      </w:pPr>
      <w:r>
        <w:rPr>
          <w:rFonts w:ascii="Arial" w:cs="Arial" w:eastAsia="Arial" w:hAnsi="Arial"/>
          <w:sz w:val="14"/>
          <w:szCs w:val="14"/>
          <w:color w:val="auto"/>
        </w:rPr>
        <w:t>“</w:t>
      </w:r>
      <w:r>
        <w:rPr>
          <w:rFonts w:ascii="Arial" w:cs="Arial" w:eastAsia="Arial" w:hAnsi="Arial"/>
          <w:sz w:val="14"/>
          <w:szCs w:val="14"/>
          <w:u w:val="single" w:color="auto"/>
          <w:color w:val="auto"/>
        </w:rPr>
        <w:t>Lenders</w:t>
      </w:r>
      <w:r>
        <w:rPr>
          <w:rFonts w:ascii="Arial" w:cs="Arial" w:eastAsia="Arial" w:hAnsi="Arial"/>
          <w:sz w:val="14"/>
          <w:szCs w:val="14"/>
          <w:color w:val="auto"/>
        </w:rPr>
        <w:t>” means, collectively, the Dollar Lenders and the Multicurrency Lenders. Unless the context otherwise requires, the term “Lenders” includes the Swingline</w:t>
      </w:r>
    </w:p>
    <w:p>
      <w:pPr>
        <w:spacing w:after="0"/>
        <w:rPr>
          <w:sz w:val="20"/>
          <w:szCs w:val="20"/>
          <w:color w:val="auto"/>
        </w:rPr>
      </w:pPr>
      <w:r>
        <w:rPr>
          <w:rFonts w:ascii="Arial" w:cs="Arial" w:eastAsia="Arial" w:hAnsi="Arial"/>
          <w:sz w:val="14"/>
          <w:szCs w:val="14"/>
          <w:color w:val="auto"/>
        </w:rPr>
        <w:t>Lender.</w:t>
      </w:r>
    </w:p>
    <w:p>
      <w:pPr>
        <w:spacing w:after="0" w:line="192" w:lineRule="exact"/>
        <w:rPr>
          <w:sz w:val="20"/>
          <w:szCs w:val="20"/>
          <w:color w:val="auto"/>
        </w:rPr>
      </w:pPr>
    </w:p>
    <w:p>
      <w:pPr>
        <w:ind w:left="1740"/>
        <w:spacing w:after="0"/>
        <w:rPr>
          <w:sz w:val="20"/>
          <w:szCs w:val="20"/>
          <w:color w:val="auto"/>
        </w:rPr>
      </w:pPr>
      <w:r>
        <w:rPr>
          <w:rFonts w:ascii="Arial" w:cs="Arial" w:eastAsia="Arial" w:hAnsi="Arial"/>
          <w:sz w:val="14"/>
          <w:szCs w:val="14"/>
          <w:color w:val="auto"/>
        </w:rPr>
        <w:t>“</w:t>
      </w:r>
      <w:r>
        <w:rPr>
          <w:rFonts w:ascii="Arial" w:cs="Arial" w:eastAsia="Arial" w:hAnsi="Arial"/>
          <w:sz w:val="14"/>
          <w:szCs w:val="14"/>
          <w:u w:val="single" w:color="auto"/>
          <w:color w:val="auto"/>
        </w:rPr>
        <w:t>Letter of Credit</w:t>
      </w:r>
      <w:r>
        <w:rPr>
          <w:rFonts w:ascii="Arial" w:cs="Arial" w:eastAsia="Arial" w:hAnsi="Arial"/>
          <w:sz w:val="14"/>
          <w:szCs w:val="14"/>
          <w:color w:val="auto"/>
        </w:rPr>
        <w:t>” means any letter of credit issued pursuant to this Agreement.</w:t>
      </w:r>
    </w:p>
    <w:p>
      <w:pPr>
        <w:spacing w:after="0" w:line="204" w:lineRule="exact"/>
        <w:rPr>
          <w:sz w:val="20"/>
          <w:szCs w:val="20"/>
          <w:color w:val="auto"/>
        </w:rPr>
      </w:pPr>
    </w:p>
    <w:p>
      <w:pPr>
        <w:ind w:left="1740"/>
        <w:spacing w:after="0"/>
        <w:rPr>
          <w:sz w:val="20"/>
          <w:szCs w:val="20"/>
          <w:color w:val="auto"/>
        </w:rPr>
      </w:pPr>
      <w:r>
        <w:rPr>
          <w:rFonts w:ascii="Arial" w:cs="Arial" w:eastAsia="Arial" w:hAnsi="Arial"/>
          <w:sz w:val="14"/>
          <w:szCs w:val="14"/>
          <w:color w:val="auto"/>
        </w:rPr>
        <w:t>“</w:t>
      </w:r>
      <w:r>
        <w:rPr>
          <w:rFonts w:ascii="Arial" w:cs="Arial" w:eastAsia="Arial" w:hAnsi="Arial"/>
          <w:sz w:val="14"/>
          <w:szCs w:val="14"/>
          <w:u w:val="single" w:color="auto"/>
          <w:color w:val="auto"/>
        </w:rPr>
        <w:t>Letter of Credit Collateral Account</w:t>
      </w:r>
      <w:r>
        <w:rPr>
          <w:rFonts w:ascii="Arial" w:cs="Arial" w:eastAsia="Arial" w:hAnsi="Arial"/>
          <w:sz w:val="14"/>
          <w:szCs w:val="14"/>
          <w:color w:val="auto"/>
        </w:rPr>
        <w:t xml:space="preserve">” has the meaning assigned to such term in </w:t>
      </w:r>
      <w:r>
        <w:rPr>
          <w:rFonts w:ascii="Arial" w:cs="Arial" w:eastAsia="Arial" w:hAnsi="Arial"/>
          <w:sz w:val="14"/>
          <w:szCs w:val="14"/>
          <w:u w:val="single" w:color="auto"/>
          <w:color w:val="auto"/>
        </w:rPr>
        <w:t>Section 2.05(k)</w:t>
      </w:r>
      <w:r>
        <w:rPr>
          <w:rFonts w:ascii="Arial" w:cs="Arial" w:eastAsia="Arial" w:hAnsi="Arial"/>
          <w:sz w:val="14"/>
          <w:szCs w:val="14"/>
          <w:color w:val="auto"/>
        </w:rPr>
        <w:t>.</w:t>
      </w:r>
    </w:p>
    <w:p>
      <w:pPr>
        <w:spacing w:after="0" w:line="204" w:lineRule="exact"/>
        <w:rPr>
          <w:sz w:val="20"/>
          <w:szCs w:val="20"/>
          <w:color w:val="auto"/>
        </w:rPr>
      </w:pPr>
    </w:p>
    <w:p>
      <w:pPr>
        <w:jc w:val="both"/>
        <w:ind w:right="20" w:firstLine="1727"/>
        <w:spacing w:after="0" w:line="264" w:lineRule="auto"/>
        <w:rPr>
          <w:sz w:val="20"/>
          <w:szCs w:val="20"/>
          <w:color w:val="auto"/>
        </w:rPr>
      </w:pPr>
      <w:r>
        <w:rPr>
          <w:rFonts w:ascii="Arial" w:cs="Arial" w:eastAsia="Arial" w:hAnsi="Arial"/>
          <w:sz w:val="13"/>
          <w:szCs w:val="13"/>
          <w:color w:val="auto"/>
        </w:rPr>
        <w:t>“</w:t>
      </w:r>
      <w:r>
        <w:rPr>
          <w:rFonts w:ascii="Arial" w:cs="Arial" w:eastAsia="Arial" w:hAnsi="Arial"/>
          <w:sz w:val="13"/>
          <w:szCs w:val="13"/>
          <w:u w:val="single" w:color="auto"/>
          <w:color w:val="auto"/>
        </w:rPr>
        <w:t>Letter of Credit Documents</w:t>
      </w:r>
      <w:r>
        <w:rPr>
          <w:rFonts w:ascii="Arial" w:cs="Arial" w:eastAsia="Arial" w:hAnsi="Arial"/>
          <w:sz w:val="13"/>
          <w:szCs w:val="13"/>
          <w:color w:val="auto"/>
        </w:rPr>
        <w:t>” means, with respect to any Letter of Credit, collectively, any application therefor and any other agreements, instruments, guarantees or other documents (whether general in application or applicable only to such Letter of Credit) governing or providing for (a) the rights and obligations of the parties concerned or at risk with respect to such Letter of Credit or (b) any collateral security for any of such obligations, each as the same may be modified and supplemented and in effect from time to time.</w:t>
      </w:r>
    </w:p>
    <w:p>
      <w:pPr>
        <w:spacing w:after="0" w:line="168" w:lineRule="exact"/>
        <w:rPr>
          <w:sz w:val="20"/>
          <w:szCs w:val="20"/>
          <w:color w:val="auto"/>
        </w:rPr>
      </w:pPr>
    </w:p>
    <w:p>
      <w:pPr>
        <w:jc w:val="both"/>
        <w:ind w:right="20" w:firstLine="1727"/>
        <w:spacing w:after="0" w:line="253" w:lineRule="auto"/>
        <w:rPr>
          <w:sz w:val="20"/>
          <w:szCs w:val="20"/>
          <w:color w:val="auto"/>
        </w:rPr>
      </w:pPr>
      <w:r>
        <w:rPr>
          <w:rFonts w:ascii="Arial" w:cs="Arial" w:eastAsia="Arial" w:hAnsi="Arial"/>
          <w:sz w:val="14"/>
          <w:szCs w:val="14"/>
          <w:color w:val="auto"/>
        </w:rPr>
        <w:t>“</w:t>
      </w:r>
      <w:r>
        <w:rPr>
          <w:rFonts w:ascii="Arial" w:cs="Arial" w:eastAsia="Arial" w:hAnsi="Arial"/>
          <w:sz w:val="14"/>
          <w:szCs w:val="14"/>
          <w:u w:val="single" w:color="auto"/>
          <w:color w:val="auto"/>
        </w:rPr>
        <w:t>LIBO Quoted Currency</w:t>
      </w:r>
      <w:r>
        <w:rPr>
          <w:rFonts w:ascii="Arial" w:cs="Arial" w:eastAsia="Arial" w:hAnsi="Arial"/>
          <w:sz w:val="14"/>
          <w:szCs w:val="14"/>
          <w:color w:val="auto"/>
        </w:rPr>
        <w:t>” means each of the following currencies: Dollars; Euro; English Pounds Sterling; Japanese Yen; and Swiss Franc; in each case as long as there is a published LIBO rate with respect thereto.</w:t>
      </w:r>
    </w:p>
    <w:p>
      <w:pPr>
        <w:spacing w:after="0" w:line="174" w:lineRule="exact"/>
        <w:rPr>
          <w:sz w:val="20"/>
          <w:szCs w:val="20"/>
          <w:color w:val="auto"/>
        </w:rPr>
      </w:pPr>
    </w:p>
    <w:p>
      <w:pPr>
        <w:ind w:left="1740"/>
        <w:spacing w:after="0"/>
        <w:rPr>
          <w:sz w:val="20"/>
          <w:szCs w:val="20"/>
          <w:color w:val="auto"/>
        </w:rPr>
      </w:pPr>
      <w:r>
        <w:rPr>
          <w:rFonts w:ascii="Arial" w:cs="Arial" w:eastAsia="Arial" w:hAnsi="Arial"/>
          <w:sz w:val="14"/>
          <w:szCs w:val="14"/>
          <w:color w:val="auto"/>
        </w:rPr>
        <w:t>“</w:t>
      </w:r>
      <w:r>
        <w:rPr>
          <w:rFonts w:ascii="Arial" w:cs="Arial" w:eastAsia="Arial" w:hAnsi="Arial"/>
          <w:sz w:val="14"/>
          <w:szCs w:val="14"/>
          <w:u w:val="single" w:color="auto"/>
          <w:color w:val="auto"/>
        </w:rPr>
        <w:t>LIBO Rate</w:t>
      </w:r>
      <w:r>
        <w:rPr>
          <w:rFonts w:ascii="Arial" w:cs="Arial" w:eastAsia="Arial" w:hAnsi="Arial"/>
          <w:sz w:val="14"/>
          <w:szCs w:val="14"/>
          <w:color w:val="auto"/>
        </w:rPr>
        <w:t>” means, for any Interest Period, the greater of (i) zero percent (0%) and (ii):</w:t>
      </w:r>
    </w:p>
    <w:p>
      <w:pPr>
        <w:spacing w:after="0" w:line="204" w:lineRule="exact"/>
        <w:rPr>
          <w:sz w:val="20"/>
          <w:szCs w:val="20"/>
          <w:color w:val="auto"/>
        </w:rPr>
      </w:pPr>
    </w:p>
    <w:p>
      <w:pPr>
        <w:ind w:right="20" w:firstLine="1735"/>
        <w:spacing w:after="0" w:line="226" w:lineRule="auto"/>
        <w:tabs>
          <w:tab w:leader="none" w:pos="2535" w:val="left"/>
        </w:tabs>
        <w:numPr>
          <w:ilvl w:val="0"/>
          <w:numId w:val="33"/>
        </w:numPr>
        <w:rPr>
          <w:rFonts w:ascii="Arial" w:cs="Arial" w:eastAsia="Arial" w:hAnsi="Arial"/>
          <w:sz w:val="14"/>
          <w:szCs w:val="14"/>
          <w:color w:val="auto"/>
        </w:rPr>
      </w:pPr>
      <w:r>
        <w:rPr>
          <w:rFonts w:ascii="Arial" w:cs="Arial" w:eastAsia="Arial" w:hAnsi="Arial"/>
          <w:sz w:val="14"/>
          <w:szCs w:val="14"/>
          <w:color w:val="auto"/>
        </w:rPr>
        <w:t>in the case of Eurocurrency Borrowings denominated in a LIBO Quoted Currency, the ICE Benchmark Administration Limited London interbank offered rate per annum for deposits in the relevant Currency for a period equal to the Interest Period as displayed in the Bloomberg Financial Markets System (or such other page on that service or such other service designated by the ICE Benchmark Administration Limited for the display of such Administration’s London interbank offered rate for deposits in the relevant Currency) as of 11:00 a.m., London time on the day that is two Business Days prior to the first day of the Interest Period (or, solely with respect to Eurocurrency Borrowings in Pounds Sterling, on the first day of the Interest Period); provided that if the Administrative Agent determines that the relevant foregoing sources are unavailable for the relevant Interest Period, LIBO Rate shall mean, for any LIBO Quoted Currency, the rate of interest determined by the Administrative Agent to be the average (rounded upward, if necessary, to the nearest 1/100th of 1%) of the rate per annum at which the Administrative Agent could borrow funds if it were to do so by asking for and then accepting interbank offers two (2) business days’ preceding the first day of such Interest Period (or, solely with respect to Eurocurrency Borrowings denominated in Pounds Sterling, on the first day of such Interest Period) in the London interbank market for the relevant Currency as of 11:00 a.m. for delivery on the first day of such Interest Period, for the number of days comprised therein and in an amount comparable to the amount of the Administrative Agent’s portion of the relevant Eurocurrency Borrowing;</w:t>
      </w:r>
      <w:r>
        <w:rPr>
          <w:rFonts w:ascii="Arial" w:cs="Arial" w:eastAsia="Arial" w:hAnsi="Arial"/>
          <w:sz w:val="12"/>
          <w:szCs w:val="12"/>
          <w:color w:val="auto"/>
        </w:rPr>
        <w:t>1</w:t>
      </w:r>
    </w:p>
    <w:p>
      <w:pPr>
        <w:spacing w:after="0" w:line="184" w:lineRule="exact"/>
        <w:rPr>
          <w:rFonts w:ascii="Arial" w:cs="Arial" w:eastAsia="Arial" w:hAnsi="Arial"/>
          <w:sz w:val="14"/>
          <w:szCs w:val="14"/>
          <w:color w:val="auto"/>
        </w:rPr>
      </w:pPr>
    </w:p>
    <w:p>
      <w:pPr>
        <w:ind w:left="2560" w:hanging="825"/>
        <w:spacing w:after="0"/>
        <w:tabs>
          <w:tab w:leader="none" w:pos="2560" w:val="left"/>
        </w:tabs>
        <w:numPr>
          <w:ilvl w:val="0"/>
          <w:numId w:val="33"/>
        </w:numPr>
        <w:rPr>
          <w:rFonts w:ascii="Arial" w:cs="Arial" w:eastAsia="Arial" w:hAnsi="Arial"/>
          <w:sz w:val="14"/>
          <w:szCs w:val="14"/>
          <w:color w:val="auto"/>
        </w:rPr>
      </w:pPr>
      <w:r>
        <w:rPr>
          <w:rFonts w:ascii="Arial" w:cs="Arial" w:eastAsia="Arial" w:hAnsi="Arial"/>
          <w:sz w:val="14"/>
          <w:szCs w:val="14"/>
          <w:color w:val="auto"/>
        </w:rPr>
        <w:t>in the case of Eurocurrency Borrowings denominated in Canadian Dollars, the CDOR Rate per annum;</w:t>
      </w:r>
    </w:p>
    <w:p>
      <w:pPr>
        <w:spacing w:after="0" w:line="203" w:lineRule="exact"/>
        <w:rPr>
          <w:rFonts w:ascii="Arial" w:cs="Arial" w:eastAsia="Arial" w:hAnsi="Arial"/>
          <w:sz w:val="14"/>
          <w:szCs w:val="14"/>
          <w:color w:val="auto"/>
        </w:rPr>
      </w:pPr>
    </w:p>
    <w:p>
      <w:pPr>
        <w:ind w:right="120" w:firstLine="1735"/>
        <w:spacing w:after="0" w:line="233" w:lineRule="auto"/>
        <w:tabs>
          <w:tab w:leader="none" w:pos="2535" w:val="left"/>
        </w:tabs>
        <w:numPr>
          <w:ilvl w:val="0"/>
          <w:numId w:val="33"/>
        </w:numPr>
        <w:rPr>
          <w:rFonts w:ascii="Arial" w:cs="Arial" w:eastAsia="Arial" w:hAnsi="Arial"/>
          <w:sz w:val="14"/>
          <w:szCs w:val="14"/>
          <w:color w:val="auto"/>
        </w:rPr>
      </w:pPr>
      <w:r>
        <w:rPr>
          <w:rFonts w:ascii="Arial" w:cs="Arial" w:eastAsia="Arial" w:hAnsi="Arial"/>
          <w:sz w:val="14"/>
          <w:szCs w:val="14"/>
          <w:color w:val="auto"/>
        </w:rPr>
        <w:t>in the case of Eurocurrency Borrowings denominated in Australian Dollars, the rate per annum equal to the Bank Bill Swap Reference Bid rate or a successor thereto approved by the Administrative Agent (“BBSY”) as published by Reuters (or such other page or commercially available source providing BBSY (Bid) quotations as may be designated by the Administrative Agent from time to time) at or about 10:30 a.m. (Melbourne, Australia time) on the day that is two Business Days prior to the first day of the Interest Period (or if such day is not a Business Day, then on the immediately preceding Business Day) with a term equivalent to such Interest Period;</w:t>
      </w:r>
    </w:p>
    <w:p>
      <w:pPr>
        <w:spacing w:after="0" w:line="184" w:lineRule="exact"/>
        <w:rPr>
          <w:rFonts w:ascii="Arial" w:cs="Arial" w:eastAsia="Arial" w:hAnsi="Arial"/>
          <w:sz w:val="14"/>
          <w:szCs w:val="14"/>
          <w:color w:val="auto"/>
        </w:rPr>
      </w:pPr>
    </w:p>
    <w:p>
      <w:pPr>
        <w:ind w:right="160" w:firstLine="1735"/>
        <w:spacing w:after="0" w:line="233" w:lineRule="auto"/>
        <w:tabs>
          <w:tab w:leader="none" w:pos="2543" w:val="left"/>
        </w:tabs>
        <w:numPr>
          <w:ilvl w:val="0"/>
          <w:numId w:val="33"/>
        </w:numPr>
        <w:rPr>
          <w:rFonts w:ascii="Arial" w:cs="Arial" w:eastAsia="Arial" w:hAnsi="Arial"/>
          <w:sz w:val="14"/>
          <w:szCs w:val="14"/>
          <w:color w:val="auto"/>
        </w:rPr>
      </w:pPr>
      <w:r>
        <w:rPr>
          <w:rFonts w:ascii="Arial" w:cs="Arial" w:eastAsia="Arial" w:hAnsi="Arial"/>
          <w:sz w:val="14"/>
          <w:szCs w:val="14"/>
          <w:color w:val="auto"/>
        </w:rPr>
        <w:t>in the case of Eurocurrency Borrowings denominated in New Zealand Dollars, the rate per annum equal to the Bank Bill Reference Bid Rate or a successor thereto approved by the Administrative Agent (“BKBM”) as published by Reuters (or such other page or commercially available source providing BKBM (Bid) quotations as may be designated by the Administrative Agent from time to time) at or about 10:45 a.m. (Auckland, New Zealand time) on the day that is two Business Days prior to the first day of the Interest Period (or if such day is not a Business Day, then on the immediately preceding Business Day) with a term equivalent to such Interest Period;</w:t>
      </w:r>
    </w:p>
    <w:p>
      <w:pPr>
        <w:spacing w:after="0" w:line="184" w:lineRule="exact"/>
        <w:rPr>
          <w:rFonts w:ascii="Arial" w:cs="Arial" w:eastAsia="Arial" w:hAnsi="Arial"/>
          <w:sz w:val="14"/>
          <w:szCs w:val="14"/>
          <w:color w:val="auto"/>
        </w:rPr>
      </w:pPr>
    </w:p>
    <w:p>
      <w:pPr>
        <w:ind w:right="80" w:firstLine="1735"/>
        <w:spacing w:after="0" w:line="233" w:lineRule="auto"/>
        <w:tabs>
          <w:tab w:leader="none" w:pos="2535" w:val="left"/>
        </w:tabs>
        <w:numPr>
          <w:ilvl w:val="0"/>
          <w:numId w:val="33"/>
        </w:numPr>
        <w:rPr>
          <w:rFonts w:ascii="Arial" w:cs="Arial" w:eastAsia="Arial" w:hAnsi="Arial"/>
          <w:sz w:val="14"/>
          <w:szCs w:val="14"/>
          <w:color w:val="auto"/>
        </w:rPr>
      </w:pPr>
      <w:r>
        <w:rPr>
          <w:rFonts w:ascii="Arial" w:cs="Arial" w:eastAsia="Arial" w:hAnsi="Arial"/>
          <w:sz w:val="14"/>
          <w:szCs w:val="14"/>
          <w:color w:val="auto"/>
        </w:rPr>
        <w:t>in the case of Eurocurrency Borrowings denominated in Swedish Krona, the rate per annum equal to the Stockholm Interbank Offered Rate or a successor thereto approved by the Administrative Agent (“STIBOR”) as published by Reuters (or such other page or commercially available source providing STIBOR quotations as may be designated by the Administrative Agent from time to time) at or about 11:00 a.m. (Stockholm, Sweden time) on the day that is two Business Days prior to the first day of the Interest Period (or if such day is not a Business Day, then on the immediately preceding Business Day) with a term equivalent to such Interest Period; or</w:t>
      </w:r>
    </w:p>
    <w:p>
      <w:pPr>
        <w:spacing w:after="0" w:line="184" w:lineRule="exact"/>
        <w:rPr>
          <w:rFonts w:ascii="Arial" w:cs="Arial" w:eastAsia="Arial" w:hAnsi="Arial"/>
          <w:sz w:val="14"/>
          <w:szCs w:val="14"/>
          <w:color w:val="auto"/>
        </w:rPr>
      </w:pPr>
    </w:p>
    <w:p>
      <w:pPr>
        <w:ind w:right="60" w:firstLine="1735"/>
        <w:spacing w:after="0" w:line="253" w:lineRule="auto"/>
        <w:tabs>
          <w:tab w:leader="none" w:pos="2519" w:val="left"/>
        </w:tabs>
        <w:numPr>
          <w:ilvl w:val="0"/>
          <w:numId w:val="33"/>
        </w:numPr>
        <w:rPr>
          <w:rFonts w:ascii="Arial" w:cs="Arial" w:eastAsia="Arial" w:hAnsi="Arial"/>
          <w:sz w:val="14"/>
          <w:szCs w:val="14"/>
          <w:color w:val="auto"/>
        </w:rPr>
      </w:pPr>
      <w:r>
        <w:rPr>
          <w:rFonts w:ascii="Arial" w:cs="Arial" w:eastAsia="Arial" w:hAnsi="Arial"/>
          <w:sz w:val="14"/>
          <w:szCs w:val="14"/>
          <w:color w:val="auto"/>
        </w:rPr>
        <w:t>for all Non-LIBO Quoted Currencies (other than Canadian Dollars, Australian Dollars, New Zealand Dollars or Swedish Krona), the calculation of the applicable reference rate shall be determined in accordance with market practice.</w:t>
      </w:r>
    </w:p>
    <w:p>
      <w:pPr>
        <w:spacing w:after="0" w:line="174" w:lineRule="exact"/>
        <w:rPr>
          <w:sz w:val="20"/>
          <w:szCs w:val="20"/>
          <w:color w:val="auto"/>
        </w:rPr>
      </w:pPr>
    </w:p>
    <w:p>
      <w:pPr>
        <w:ind w:left="1740"/>
        <w:spacing w:after="0"/>
        <w:rPr>
          <w:sz w:val="20"/>
          <w:szCs w:val="20"/>
          <w:color w:val="auto"/>
        </w:rPr>
      </w:pPr>
      <w:r>
        <w:rPr>
          <w:rFonts w:ascii="Arial" w:cs="Arial" w:eastAsia="Arial" w:hAnsi="Arial"/>
          <w:sz w:val="13"/>
          <w:szCs w:val="13"/>
          <w:color w:val="auto"/>
        </w:rPr>
        <w:t>“</w:t>
      </w:r>
      <w:r>
        <w:rPr>
          <w:rFonts w:ascii="Arial" w:cs="Arial" w:eastAsia="Arial" w:hAnsi="Arial"/>
          <w:sz w:val="13"/>
          <w:szCs w:val="13"/>
          <w:u w:val="single" w:color="auto"/>
          <w:color w:val="auto"/>
        </w:rPr>
        <w:t>Lien</w:t>
      </w:r>
      <w:r>
        <w:rPr>
          <w:rFonts w:ascii="Arial" w:cs="Arial" w:eastAsia="Arial" w:hAnsi="Arial"/>
          <w:sz w:val="13"/>
          <w:szCs w:val="13"/>
          <w:color w:val="auto"/>
        </w:rPr>
        <w:t>” means, with respect to any asset, (a) any mortgage, deed of trust, lien, pledge, hypothecation, encumbrance, charge or security interest in, on or of such asset,</w:t>
      </w:r>
    </w:p>
    <w:p>
      <w:pPr>
        <w:spacing w:after="0" w:line="11" w:lineRule="exact"/>
        <w:rPr>
          <w:sz w:val="20"/>
          <w:szCs w:val="20"/>
          <w:color w:val="auto"/>
        </w:rPr>
      </w:pPr>
    </w:p>
    <w:p>
      <w:pPr>
        <w:jc w:val="both"/>
        <w:ind w:right="20" w:firstLine="8"/>
        <w:spacing w:after="0" w:line="229" w:lineRule="auto"/>
        <w:tabs>
          <w:tab w:leader="none" w:pos="206" w:val="left"/>
        </w:tabs>
        <w:numPr>
          <w:ilvl w:val="0"/>
          <w:numId w:val="34"/>
        </w:numPr>
        <w:rPr>
          <w:rFonts w:ascii="Arial" w:cs="Arial" w:eastAsia="Arial" w:hAnsi="Arial"/>
          <w:sz w:val="14"/>
          <w:szCs w:val="14"/>
          <w:color w:val="auto"/>
        </w:rPr>
      </w:pPr>
      <w:r>
        <w:rPr>
          <w:rFonts w:ascii="Arial" w:cs="Arial" w:eastAsia="Arial" w:hAnsi="Arial"/>
          <w:sz w:val="14"/>
          <w:szCs w:val="14"/>
          <w:color w:val="auto"/>
        </w:rPr>
        <w:t>the interest of a vendor or a lessor under any conditional sale agreement, capital lease or title retention agreement (or any financing lease having substantially the same economic effect as any of the foregoing) relating to such asset and (c) in the case of securities, any purchase option, call or similar right of a third party with respect to such securities, except in favor of the issuer thereof (and, for the avoidance of doubt, in the case of Portfolio Investments that are loans or other debt obligations, customary restrictions on assignments or transfers thereof pursuant to the underlying documentation for such Portfolio Investment shall not be deemed to be a “Lien” and</w:t>
      </w:r>
    </w:p>
    <w:p>
      <w:pPr>
        <w:spacing w:after="0" w:line="346" w:lineRule="exact"/>
        <w:rPr>
          <w:sz w:val="20"/>
          <w:szCs w:val="20"/>
          <w:color w:val="auto"/>
        </w:rPr>
      </w:pPr>
    </w:p>
    <w:p>
      <w:pPr>
        <w:ind w:left="120" w:right="180" w:hanging="112"/>
        <w:spacing w:after="0" w:line="238" w:lineRule="auto"/>
        <w:tabs>
          <w:tab w:leader="none" w:pos="192" w:val="left"/>
        </w:tabs>
        <w:numPr>
          <w:ilvl w:val="0"/>
          <w:numId w:val="35"/>
        </w:numPr>
        <w:rPr>
          <w:rFonts w:ascii="Arial" w:cs="Arial" w:eastAsia="Arial" w:hAnsi="Arial"/>
          <w:sz w:val="12"/>
          <w:szCs w:val="12"/>
          <w:color w:val="auto"/>
        </w:rPr>
      </w:pPr>
      <w:r>
        <w:rPr>
          <w:rFonts w:ascii="Arial" w:cs="Arial" w:eastAsia="Arial" w:hAnsi="Arial"/>
          <w:sz w:val="14"/>
          <w:szCs w:val="14"/>
          <w:color w:val="auto"/>
        </w:rPr>
        <w:t>ICE Benchmark Administration Limited makes no warranty, express of implied, either as to the results to be obtained from the use of ICE LIBOR and/or the figure at which ICE LIBOR stands at any particular time on any particular day or otherwise. ICE Benchmark Administration Limited makes no express or implied warranties of merchantability or fitness for a particular purpose in respect of any use of ICE LIBOR.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-300355</wp:posOffset>
            </wp:positionV>
            <wp:extent cx="1423035" cy="8255"/>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3">
                      <a:extLst>
                        <a:ext uri="{28A0092B-C50C-407E-A947-70E740481C1C}"/>
                      </a:extLst>
                    </a:blip>
                    <a:srcRect/>
                    <a:stretch>
                      <a:fillRect/>
                    </a:stretch>
                  </pic:blipFill>
                  <pic:spPr bwMode="auto">
                    <a:xfrm>
                      <a:off x="0" y="0"/>
                      <a:ext cx="1423035" cy="8255"/>
                    </a:xfrm>
                    <a:prstGeom prst="rect">
                      <a:avLst/>
                    </a:prstGeom>
                    <a:noFill/>
                  </pic:spPr>
                </pic:pic>
              </a:graphicData>
            </a:graphic>
          </wp:anchor>
        </w:drawing>
      </w:r>
    </w:p>
    <w:p>
      <w:pPr>
        <w:spacing w:after="0" w:line="200" w:lineRule="exact"/>
        <w:rPr>
          <w:sz w:val="20"/>
          <w:szCs w:val="20"/>
          <w:color w:val="auto"/>
        </w:rPr>
      </w:pPr>
    </w:p>
    <w:p>
      <w:pPr>
        <w:spacing w:after="0" w:line="38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7580" w:type="dxa"/>
            <w:vAlign w:val="bottom"/>
          </w:tcPr>
          <w:p>
            <w:pPr>
              <w:jc w:val="right"/>
              <w:ind w:right="1808"/>
              <w:spacing w:after="0"/>
              <w:rPr>
                <w:sz w:val="20"/>
                <w:szCs w:val="20"/>
                <w:color w:val="auto"/>
              </w:rPr>
            </w:pPr>
            <w:r>
              <w:rPr>
                <w:rFonts w:ascii="Arial" w:cs="Arial" w:eastAsia="Arial" w:hAnsi="Arial"/>
                <w:sz w:val="14"/>
                <w:szCs w:val="14"/>
                <w:color w:val="auto"/>
              </w:rPr>
              <w:t>11</w:t>
            </w:r>
          </w:p>
        </w:tc>
        <w:tc>
          <w:tcPr>
            <w:tcW w:w="3680" w:type="dxa"/>
            <w:vAlign w:val="bottom"/>
          </w:tcPr>
          <w:p>
            <w:pPr>
              <w:jc w:val="right"/>
              <w:spacing w:after="0"/>
              <w:rPr>
                <w:sz w:val="20"/>
                <w:szCs w:val="20"/>
                <w:color w:val="auto"/>
              </w:rPr>
            </w:pPr>
            <w:r>
              <w:rPr>
                <w:rFonts w:ascii="Arial" w:cs="Arial" w:eastAsia="Arial" w:hAnsi="Arial"/>
                <w:sz w:val="14"/>
                <w:szCs w:val="14"/>
                <w:i w:val="1"/>
                <w:iCs w:val="1"/>
                <w:color w:val="auto"/>
              </w:rPr>
              <w:t>Second Amended and Restated</w:t>
            </w:r>
          </w:p>
        </w:tc>
      </w:tr>
      <w:tr>
        <w:trPr>
          <w:trHeight w:val="182"/>
        </w:trPr>
        <w:tc>
          <w:tcPr>
            <w:tcW w:w="7580" w:type="dxa"/>
            <w:vAlign w:val="bottom"/>
          </w:tcPr>
          <w:p>
            <w:pPr>
              <w:spacing w:after="0"/>
              <w:rPr>
                <w:sz w:val="15"/>
                <w:szCs w:val="15"/>
                <w:color w:val="auto"/>
              </w:rPr>
            </w:pPr>
          </w:p>
        </w:tc>
        <w:tc>
          <w:tcPr>
            <w:tcW w:w="3680" w:type="dxa"/>
            <w:vAlign w:val="bottom"/>
          </w:tcPr>
          <w:p>
            <w:pPr>
              <w:jc w:val="right"/>
              <w:spacing w:after="0"/>
              <w:rPr>
                <w:sz w:val="20"/>
                <w:szCs w:val="20"/>
                <w:color w:val="auto"/>
              </w:rPr>
            </w:pPr>
            <w:r>
              <w:rPr>
                <w:rFonts w:ascii="Arial" w:cs="Arial" w:eastAsia="Arial" w:hAnsi="Arial"/>
                <w:sz w:val="14"/>
                <w:szCs w:val="14"/>
                <w:i w:val="1"/>
                <w:iCs w:val="1"/>
                <w:color w:val="auto"/>
              </w:rPr>
              <w:t>Revolving Credit Agreement</w:t>
            </w:r>
          </w:p>
        </w:tc>
      </w:tr>
      <w:tr>
        <w:trPr>
          <w:trHeight w:val="316"/>
        </w:trPr>
        <w:tc>
          <w:tcPr>
            <w:tcW w:w="7580" w:type="dxa"/>
            <w:vAlign w:val="bottom"/>
            <w:tcBorders>
              <w:bottom w:val="single" w:sz="8" w:color="9A9A9A"/>
            </w:tcBorders>
          </w:tcPr>
          <w:p>
            <w:pPr>
              <w:spacing w:after="0"/>
              <w:rPr>
                <w:sz w:val="24"/>
                <w:szCs w:val="24"/>
                <w:color w:val="auto"/>
              </w:rPr>
            </w:pPr>
          </w:p>
        </w:tc>
        <w:tc>
          <w:tcPr>
            <w:tcW w:w="368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7145655</wp:posOffset>
            </wp:positionH>
            <wp:positionV relativeFrom="paragraph">
              <wp:posOffset>-8255</wp:posOffset>
            </wp:positionV>
            <wp:extent cx="8255" cy="8890"/>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4">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-16510</wp:posOffset>
            </wp:positionV>
            <wp:extent cx="8890" cy="17145"/>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35">
                      <a:extLst>
                        <a:ext uri="{28A0092B-C50C-407E-A947-70E740481C1C}"/>
                      </a:extLst>
                    </a:blip>
                    <a:srcRect/>
                    <a:stretch>
                      <a:fillRect/>
                    </a:stretch>
                  </pic:blipFill>
                  <pic:spPr bwMode="auto">
                    <a:xfrm>
                      <a:off x="0" y="0"/>
                      <a:ext cx="8890" cy="17145"/>
                    </a:xfrm>
                    <a:prstGeom prst="rect">
                      <a:avLst/>
                    </a:prstGeom>
                    <a:noFill/>
                  </pic:spPr>
                </pic:pic>
              </a:graphicData>
            </a:graphic>
          </wp:anchor>
        </w:drawing>
      </w:r>
    </w:p>
    <w:p>
      <w:pPr>
        <w:sectPr>
          <w:pgSz w:w="11900" w:h="16838" w:orient="portrait"/>
          <w:cols w:equalWidth="0" w:num="1">
            <w:col w:w="11260"/>
          </w:cols>
          <w:pgMar w:left="320" w:top="336" w:right="319" w:bottom="1440" w:gutter="0" w:footer="0" w:header="0"/>
        </w:sectPr>
      </w:pPr>
    </w:p>
    <w:bookmarkStart w:id="74" w:name="page75"/>
    <w:bookmarkEnd w:id="74"/>
    <w:p>
      <w:pPr>
        <w:jc w:val="both"/>
        <w:ind w:right="20"/>
        <w:spacing w:after="0" w:line="253" w:lineRule="auto"/>
        <w:rPr>
          <w:sz w:val="20"/>
          <w:szCs w:val="20"/>
          <w:color w:val="auto"/>
        </w:rPr>
      </w:pPr>
      <w:r>
        <w:rPr>
          <w:rFonts w:ascii="Arial" w:cs="Arial" w:eastAsia="Arial" w:hAnsi="Arial"/>
          <w:sz w:val="14"/>
          <w:szCs w:val="14"/>
          <w:color w:val="auto"/>
        </w:rPr>
        <w:t>in the case of Investments that are securities, excluding customary drag-along, tag-along, right of first refusal, restrictions on assignments or transfers (so long as such restrictions do not preclude the granting to the Collateral Agent of a Lien on such securities) and other similar rights in favor of the equity holders of the same issuer).</w:t>
      </w:r>
    </w:p>
    <w:p>
      <w:pPr>
        <w:spacing w:after="0" w:line="174" w:lineRule="exact"/>
        <w:rPr>
          <w:sz w:val="20"/>
          <w:szCs w:val="20"/>
          <w:color w:val="auto"/>
        </w:rPr>
      </w:pPr>
    </w:p>
    <w:p>
      <w:pPr>
        <w:ind w:left="1740"/>
        <w:spacing w:after="0"/>
        <w:rPr>
          <w:sz w:val="20"/>
          <w:szCs w:val="20"/>
          <w:color w:val="auto"/>
        </w:rPr>
      </w:pPr>
      <w:r>
        <w:rPr>
          <w:rFonts w:ascii="Arial" w:cs="Arial" w:eastAsia="Arial" w:hAnsi="Arial"/>
          <w:sz w:val="14"/>
          <w:szCs w:val="14"/>
          <w:color w:val="auto"/>
        </w:rPr>
        <w:t>“</w:t>
      </w:r>
      <w:r>
        <w:rPr>
          <w:rFonts w:ascii="Arial" w:cs="Arial" w:eastAsia="Arial" w:hAnsi="Arial"/>
          <w:sz w:val="14"/>
          <w:szCs w:val="14"/>
          <w:u w:val="single" w:color="auto"/>
          <w:color w:val="auto"/>
        </w:rPr>
        <w:t>Loan Documents</w:t>
      </w:r>
      <w:r>
        <w:rPr>
          <w:rFonts w:ascii="Arial" w:cs="Arial" w:eastAsia="Arial" w:hAnsi="Arial"/>
          <w:sz w:val="14"/>
          <w:szCs w:val="14"/>
          <w:color w:val="auto"/>
        </w:rPr>
        <w:t>” means, collectively, this Agreement, the Letter of Credit Documents and the Security Documents.</w:t>
      </w:r>
    </w:p>
    <w:p>
      <w:pPr>
        <w:spacing w:after="0" w:line="204" w:lineRule="exact"/>
        <w:rPr>
          <w:sz w:val="20"/>
          <w:szCs w:val="20"/>
          <w:color w:val="auto"/>
        </w:rPr>
      </w:pPr>
    </w:p>
    <w:p>
      <w:pPr>
        <w:ind w:left="1740"/>
        <w:spacing w:after="0"/>
        <w:rPr>
          <w:sz w:val="20"/>
          <w:szCs w:val="20"/>
          <w:color w:val="auto"/>
        </w:rPr>
      </w:pPr>
      <w:r>
        <w:rPr>
          <w:rFonts w:ascii="Arial" w:cs="Arial" w:eastAsia="Arial" w:hAnsi="Arial"/>
          <w:sz w:val="14"/>
          <w:szCs w:val="14"/>
          <w:color w:val="auto"/>
        </w:rPr>
        <w:t>“</w:t>
      </w:r>
      <w:r>
        <w:rPr>
          <w:rFonts w:ascii="Arial" w:cs="Arial" w:eastAsia="Arial" w:hAnsi="Arial"/>
          <w:sz w:val="14"/>
          <w:szCs w:val="14"/>
          <w:u w:val="single" w:color="auto"/>
          <w:color w:val="auto"/>
        </w:rPr>
        <w:t>Loans</w:t>
      </w:r>
      <w:r>
        <w:rPr>
          <w:rFonts w:ascii="Arial" w:cs="Arial" w:eastAsia="Arial" w:hAnsi="Arial"/>
          <w:sz w:val="14"/>
          <w:szCs w:val="14"/>
          <w:color w:val="auto"/>
        </w:rPr>
        <w:t>” means the loans made by the Lenders to the Borrower pursuant to this Agreement.</w:t>
      </w:r>
    </w:p>
    <w:p>
      <w:pPr>
        <w:spacing w:after="0" w:line="204" w:lineRule="exact"/>
        <w:rPr>
          <w:sz w:val="20"/>
          <w:szCs w:val="20"/>
          <w:color w:val="auto"/>
        </w:rPr>
      </w:pPr>
    </w:p>
    <w:p>
      <w:pPr>
        <w:ind w:left="1740"/>
        <w:spacing w:after="0"/>
        <w:rPr>
          <w:sz w:val="20"/>
          <w:szCs w:val="20"/>
          <w:color w:val="auto"/>
        </w:rPr>
      </w:pPr>
      <w:r>
        <w:rPr>
          <w:rFonts w:ascii="Arial" w:cs="Arial" w:eastAsia="Arial" w:hAnsi="Arial"/>
          <w:sz w:val="14"/>
          <w:szCs w:val="14"/>
          <w:color w:val="auto"/>
        </w:rPr>
        <w:t>“</w:t>
      </w:r>
      <w:r>
        <w:rPr>
          <w:rFonts w:ascii="Arial" w:cs="Arial" w:eastAsia="Arial" w:hAnsi="Arial"/>
          <w:sz w:val="14"/>
          <w:szCs w:val="14"/>
          <w:u w:val="single" w:color="auto"/>
          <w:color w:val="auto"/>
        </w:rPr>
        <w:t>Losses</w:t>
      </w:r>
      <w:r>
        <w:rPr>
          <w:rFonts w:ascii="Arial" w:cs="Arial" w:eastAsia="Arial" w:hAnsi="Arial"/>
          <w:sz w:val="14"/>
          <w:szCs w:val="14"/>
          <w:color w:val="auto"/>
        </w:rPr>
        <w:t xml:space="preserve">” has the meaning assigned to such term in </w:t>
      </w:r>
      <w:r>
        <w:rPr>
          <w:rFonts w:ascii="Arial" w:cs="Arial" w:eastAsia="Arial" w:hAnsi="Arial"/>
          <w:sz w:val="14"/>
          <w:szCs w:val="14"/>
          <w:u w:val="single" w:color="auto"/>
          <w:color w:val="auto"/>
        </w:rPr>
        <w:t>Section 9.03(b)</w:t>
      </w:r>
      <w:r>
        <w:rPr>
          <w:rFonts w:ascii="Arial" w:cs="Arial" w:eastAsia="Arial" w:hAnsi="Arial"/>
          <w:sz w:val="14"/>
          <w:szCs w:val="14"/>
          <w:color w:val="auto"/>
        </w:rPr>
        <w:t>.</w:t>
      </w:r>
    </w:p>
    <w:p>
      <w:pPr>
        <w:spacing w:after="0" w:line="204" w:lineRule="exact"/>
        <w:rPr>
          <w:sz w:val="20"/>
          <w:szCs w:val="20"/>
          <w:color w:val="auto"/>
        </w:rPr>
      </w:pPr>
    </w:p>
    <w:p>
      <w:pPr>
        <w:ind w:left="1740"/>
        <w:spacing w:after="0"/>
        <w:rPr>
          <w:sz w:val="20"/>
          <w:szCs w:val="20"/>
          <w:color w:val="auto"/>
        </w:rPr>
      </w:pPr>
      <w:r>
        <w:rPr>
          <w:rFonts w:ascii="Arial" w:cs="Arial" w:eastAsia="Arial" w:hAnsi="Arial"/>
          <w:sz w:val="14"/>
          <w:szCs w:val="14"/>
          <w:color w:val="auto"/>
        </w:rPr>
        <w:t>“</w:t>
      </w:r>
      <w:r>
        <w:rPr>
          <w:rFonts w:ascii="Arial" w:cs="Arial" w:eastAsia="Arial" w:hAnsi="Arial"/>
          <w:sz w:val="14"/>
          <w:szCs w:val="14"/>
          <w:u w:val="single" w:color="auto"/>
          <w:color w:val="auto"/>
        </w:rPr>
        <w:t>Margin Stock</w:t>
      </w:r>
      <w:r>
        <w:rPr>
          <w:rFonts w:ascii="Arial" w:cs="Arial" w:eastAsia="Arial" w:hAnsi="Arial"/>
          <w:sz w:val="14"/>
          <w:szCs w:val="14"/>
          <w:color w:val="auto"/>
        </w:rPr>
        <w:t>” means “margin stock” within the meaning of Regulations T, U and X.</w:t>
      </w:r>
    </w:p>
    <w:p>
      <w:pPr>
        <w:spacing w:after="0" w:line="204" w:lineRule="exact"/>
        <w:rPr>
          <w:sz w:val="20"/>
          <w:szCs w:val="20"/>
          <w:color w:val="auto"/>
        </w:rPr>
      </w:pPr>
    </w:p>
    <w:p>
      <w:pPr>
        <w:ind w:left="1740"/>
        <w:spacing w:after="0"/>
        <w:rPr>
          <w:sz w:val="20"/>
          <w:szCs w:val="20"/>
          <w:color w:val="auto"/>
        </w:rPr>
      </w:pPr>
      <w:r>
        <w:rPr>
          <w:rFonts w:ascii="Arial" w:cs="Arial" w:eastAsia="Arial" w:hAnsi="Arial"/>
          <w:sz w:val="14"/>
          <w:szCs w:val="14"/>
          <w:color w:val="auto"/>
        </w:rPr>
        <w:t>“</w:t>
      </w:r>
      <w:r>
        <w:rPr>
          <w:rFonts w:ascii="Arial" w:cs="Arial" w:eastAsia="Arial" w:hAnsi="Arial"/>
          <w:sz w:val="14"/>
          <w:szCs w:val="14"/>
          <w:u w:val="single" w:color="auto"/>
          <w:color w:val="auto"/>
        </w:rPr>
        <w:t>Market Value Investments</w:t>
      </w:r>
      <w:r>
        <w:rPr>
          <w:rFonts w:ascii="Arial" w:cs="Arial" w:eastAsia="Arial" w:hAnsi="Arial"/>
          <w:sz w:val="14"/>
          <w:szCs w:val="14"/>
          <w:color w:val="auto"/>
        </w:rPr>
        <w:t xml:space="preserve">” has the meaning assigned to such term in </w:t>
      </w:r>
      <w:r>
        <w:rPr>
          <w:rFonts w:ascii="Arial" w:cs="Arial" w:eastAsia="Arial" w:hAnsi="Arial"/>
          <w:sz w:val="14"/>
          <w:szCs w:val="14"/>
          <w:u w:val="single" w:color="auto"/>
          <w:color w:val="auto"/>
        </w:rPr>
        <w:t>Section 5.12(b)(ii)(B)(z)</w:t>
      </w:r>
      <w:r>
        <w:rPr>
          <w:rFonts w:ascii="Arial" w:cs="Arial" w:eastAsia="Arial" w:hAnsi="Arial"/>
          <w:sz w:val="14"/>
          <w:szCs w:val="14"/>
          <w:color w:val="auto"/>
        </w:rPr>
        <w:t>.</w:t>
      </w:r>
    </w:p>
    <w:p>
      <w:pPr>
        <w:spacing w:after="0" w:line="204" w:lineRule="exact"/>
        <w:rPr>
          <w:sz w:val="20"/>
          <w:szCs w:val="20"/>
          <w:color w:val="auto"/>
        </w:rPr>
      </w:pPr>
    </w:p>
    <w:p>
      <w:pPr>
        <w:ind w:left="1740"/>
        <w:spacing w:after="0"/>
        <w:rPr>
          <w:sz w:val="20"/>
          <w:szCs w:val="20"/>
          <w:color w:val="auto"/>
        </w:rPr>
      </w:pPr>
      <w:r>
        <w:rPr>
          <w:rFonts w:ascii="Arial" w:cs="Arial" w:eastAsia="Arial" w:hAnsi="Arial"/>
          <w:sz w:val="14"/>
          <w:szCs w:val="14"/>
          <w:color w:val="auto"/>
        </w:rPr>
        <w:t>“</w:t>
      </w:r>
      <w:r>
        <w:rPr>
          <w:rFonts w:ascii="Arial" w:cs="Arial" w:eastAsia="Arial" w:hAnsi="Arial"/>
          <w:sz w:val="14"/>
          <w:szCs w:val="14"/>
          <w:u w:val="single" w:color="auto"/>
          <w:color w:val="auto"/>
        </w:rPr>
        <w:t>Material Adverse Change</w:t>
      </w:r>
      <w:r>
        <w:rPr>
          <w:rFonts w:ascii="Arial" w:cs="Arial" w:eastAsia="Arial" w:hAnsi="Arial"/>
          <w:sz w:val="14"/>
          <w:szCs w:val="14"/>
          <w:color w:val="auto"/>
        </w:rPr>
        <w:t xml:space="preserve">” has the meaning assigned to such term in </w:t>
      </w:r>
      <w:r>
        <w:rPr>
          <w:rFonts w:ascii="Arial" w:cs="Arial" w:eastAsia="Arial" w:hAnsi="Arial"/>
          <w:sz w:val="14"/>
          <w:szCs w:val="14"/>
          <w:u w:val="single" w:color="auto"/>
          <w:color w:val="auto"/>
        </w:rPr>
        <w:t>Section 3.04(b)</w:t>
      </w:r>
      <w:r>
        <w:rPr>
          <w:rFonts w:ascii="Arial" w:cs="Arial" w:eastAsia="Arial" w:hAnsi="Arial"/>
          <w:sz w:val="14"/>
          <w:szCs w:val="14"/>
          <w:color w:val="auto"/>
        </w:rPr>
        <w:t>.</w:t>
      </w:r>
    </w:p>
    <w:p>
      <w:pPr>
        <w:spacing w:after="0" w:line="204" w:lineRule="exact"/>
        <w:rPr>
          <w:sz w:val="20"/>
          <w:szCs w:val="20"/>
          <w:color w:val="auto"/>
        </w:rPr>
      </w:pPr>
    </w:p>
    <w:p>
      <w:pPr>
        <w:jc w:val="both"/>
        <w:ind w:right="20" w:firstLine="1727"/>
        <w:spacing w:after="0" w:line="233" w:lineRule="auto"/>
        <w:rPr>
          <w:sz w:val="20"/>
          <w:szCs w:val="20"/>
          <w:color w:val="auto"/>
        </w:rPr>
      </w:pPr>
      <w:r>
        <w:rPr>
          <w:rFonts w:ascii="Arial" w:cs="Arial" w:eastAsia="Arial" w:hAnsi="Arial"/>
          <w:sz w:val="14"/>
          <w:szCs w:val="14"/>
          <w:color w:val="auto"/>
        </w:rPr>
        <w:t>“</w:t>
      </w:r>
      <w:r>
        <w:rPr>
          <w:rFonts w:ascii="Arial" w:cs="Arial" w:eastAsia="Arial" w:hAnsi="Arial"/>
          <w:sz w:val="14"/>
          <w:szCs w:val="14"/>
          <w:u w:val="single" w:color="auto"/>
          <w:color w:val="auto"/>
        </w:rPr>
        <w:t>Material Adverse Effect</w:t>
      </w:r>
      <w:r>
        <w:rPr>
          <w:rFonts w:ascii="Arial" w:cs="Arial" w:eastAsia="Arial" w:hAnsi="Arial"/>
          <w:sz w:val="14"/>
          <w:szCs w:val="14"/>
          <w:color w:val="auto"/>
        </w:rPr>
        <w:t>” means a material adverse effect on (a) the business, Portfolio Investments and other assets, liabilities and financial condition of the Borrower or the Borrower and its Subsidiaries (other than Financing Subsidiaries) taken as a whole (excluding in any case a decline in the net asset value of the Borrower or a change in general market conditions or values of the Portfolio Investments), or (b) the validity or enforceability of any of the Loan Documents or the rights or remedies of the Administrative Agent and the Lenders thereunder.</w:t>
      </w:r>
    </w:p>
    <w:p>
      <w:pPr>
        <w:spacing w:after="0" w:line="185" w:lineRule="exact"/>
        <w:rPr>
          <w:sz w:val="20"/>
          <w:szCs w:val="20"/>
          <w:color w:val="auto"/>
        </w:rPr>
      </w:pPr>
    </w:p>
    <w:p>
      <w:pPr>
        <w:jc w:val="both"/>
        <w:ind w:right="20" w:firstLine="1727"/>
        <w:spacing w:after="0" w:line="264" w:lineRule="auto"/>
        <w:rPr>
          <w:sz w:val="20"/>
          <w:szCs w:val="20"/>
          <w:color w:val="auto"/>
        </w:rPr>
      </w:pPr>
      <w:r>
        <w:rPr>
          <w:rFonts w:ascii="Arial" w:cs="Arial" w:eastAsia="Arial" w:hAnsi="Arial"/>
          <w:sz w:val="13"/>
          <w:szCs w:val="13"/>
          <w:color w:val="auto"/>
        </w:rPr>
        <w:t>“</w:t>
      </w:r>
      <w:r>
        <w:rPr>
          <w:rFonts w:ascii="Arial" w:cs="Arial" w:eastAsia="Arial" w:hAnsi="Arial"/>
          <w:sz w:val="13"/>
          <w:szCs w:val="13"/>
          <w:u w:val="single" w:color="auto"/>
          <w:color w:val="auto"/>
        </w:rPr>
        <w:t>Material Indebtedness</w:t>
      </w:r>
      <w:r>
        <w:rPr>
          <w:rFonts w:ascii="Arial" w:cs="Arial" w:eastAsia="Arial" w:hAnsi="Arial"/>
          <w:sz w:val="13"/>
          <w:szCs w:val="13"/>
          <w:color w:val="auto"/>
        </w:rPr>
        <w:t>” means (a) Indebtedness (other than the Loans, Letters of Credit and Hedging Agreements), of any one or more of the Borrower and its Subsidiaries in an aggregate principal amount exceeding $15,000,000 and (b) obligations in respect of one or more Hedging Agreements under which the maximum aggregate amount (giving effect to any netting agreements) that the Borrower and its Subsidiaries would be required to pay if such Hedging Agreement(s) were terminated at such time would exceed $15,000,000.</w:t>
      </w:r>
    </w:p>
    <w:p>
      <w:pPr>
        <w:spacing w:after="0" w:line="168" w:lineRule="exact"/>
        <w:rPr>
          <w:sz w:val="20"/>
          <w:szCs w:val="20"/>
          <w:color w:val="auto"/>
        </w:rPr>
      </w:pPr>
    </w:p>
    <w:p>
      <w:pPr>
        <w:jc w:val="both"/>
        <w:ind w:right="20" w:firstLine="1727"/>
        <w:spacing w:after="0" w:line="253" w:lineRule="auto"/>
        <w:rPr>
          <w:sz w:val="20"/>
          <w:szCs w:val="20"/>
          <w:color w:val="auto"/>
        </w:rPr>
      </w:pPr>
      <w:r>
        <w:rPr>
          <w:rFonts w:ascii="Arial" w:cs="Arial" w:eastAsia="Arial" w:hAnsi="Arial"/>
          <w:sz w:val="14"/>
          <w:szCs w:val="14"/>
          <w:color w:val="auto"/>
        </w:rPr>
        <w:t>“</w:t>
      </w:r>
      <w:r>
        <w:rPr>
          <w:rFonts w:ascii="Arial" w:cs="Arial" w:eastAsia="Arial" w:hAnsi="Arial"/>
          <w:sz w:val="14"/>
          <w:szCs w:val="14"/>
          <w:u w:val="single" w:color="auto"/>
          <w:color w:val="auto"/>
        </w:rPr>
        <w:t>Minimum Collateral Amount</w:t>
      </w:r>
      <w:r>
        <w:rPr>
          <w:rFonts w:ascii="Arial" w:cs="Arial" w:eastAsia="Arial" w:hAnsi="Arial"/>
          <w:sz w:val="14"/>
          <w:szCs w:val="14"/>
          <w:color w:val="auto"/>
        </w:rPr>
        <w:t>” means, at any time, with respect to Cash Collateral consisting of Cash or deposit account balances, an amount equal to 100% of the Fronting Exposure of Issuing Bank with respect to Letters of Credit issued and outstanding at such time.</w:t>
      </w:r>
    </w:p>
    <w:p>
      <w:pPr>
        <w:spacing w:after="0" w:line="174" w:lineRule="exact"/>
        <w:rPr>
          <w:sz w:val="20"/>
          <w:szCs w:val="20"/>
          <w:color w:val="auto"/>
        </w:rPr>
      </w:pPr>
    </w:p>
    <w:p>
      <w:pPr>
        <w:ind w:left="1740"/>
        <w:spacing w:after="0"/>
        <w:rPr>
          <w:sz w:val="20"/>
          <w:szCs w:val="20"/>
          <w:color w:val="auto"/>
        </w:rPr>
      </w:pPr>
      <w:r>
        <w:rPr>
          <w:rFonts w:ascii="Arial" w:cs="Arial" w:eastAsia="Arial" w:hAnsi="Arial"/>
          <w:sz w:val="14"/>
          <w:szCs w:val="14"/>
          <w:color w:val="auto"/>
        </w:rPr>
        <w:t>“</w:t>
      </w:r>
      <w:r>
        <w:rPr>
          <w:rFonts w:ascii="Arial" w:cs="Arial" w:eastAsia="Arial" w:hAnsi="Arial"/>
          <w:sz w:val="14"/>
          <w:szCs w:val="14"/>
          <w:u w:val="single" w:color="auto"/>
          <w:color w:val="auto"/>
        </w:rPr>
        <w:t>Moody’s</w:t>
      </w:r>
      <w:r>
        <w:rPr>
          <w:rFonts w:ascii="Arial" w:cs="Arial" w:eastAsia="Arial" w:hAnsi="Arial"/>
          <w:sz w:val="14"/>
          <w:szCs w:val="14"/>
          <w:color w:val="auto"/>
        </w:rPr>
        <w:t>” means Moody’s Investors Service, Inc. or any successor thereto.</w:t>
      </w:r>
    </w:p>
    <w:p>
      <w:pPr>
        <w:spacing w:after="0" w:line="204" w:lineRule="exact"/>
        <w:rPr>
          <w:sz w:val="20"/>
          <w:szCs w:val="20"/>
          <w:color w:val="auto"/>
        </w:rPr>
      </w:pPr>
    </w:p>
    <w:p>
      <w:pPr>
        <w:jc w:val="both"/>
        <w:ind w:right="20" w:firstLine="1727"/>
        <w:spacing w:after="0" w:line="244" w:lineRule="auto"/>
        <w:rPr>
          <w:sz w:val="20"/>
          <w:szCs w:val="20"/>
          <w:color w:val="auto"/>
        </w:rPr>
      </w:pPr>
      <w:r>
        <w:rPr>
          <w:rFonts w:ascii="Arial" w:cs="Arial" w:eastAsia="Arial" w:hAnsi="Arial"/>
          <w:sz w:val="13"/>
          <w:szCs w:val="13"/>
          <w:color w:val="auto"/>
        </w:rPr>
        <w:t>“</w:t>
      </w:r>
      <w:r>
        <w:rPr>
          <w:rFonts w:ascii="Arial" w:cs="Arial" w:eastAsia="Arial" w:hAnsi="Arial"/>
          <w:sz w:val="13"/>
          <w:szCs w:val="13"/>
          <w:u w:val="single" w:color="auto"/>
          <w:color w:val="auto"/>
        </w:rPr>
        <w:t>Multicurrency Commitment</w:t>
      </w:r>
      <w:r>
        <w:rPr>
          <w:rFonts w:ascii="Arial" w:cs="Arial" w:eastAsia="Arial" w:hAnsi="Arial"/>
          <w:sz w:val="13"/>
          <w:szCs w:val="13"/>
          <w:color w:val="auto"/>
        </w:rPr>
        <w:t xml:space="preserve">” means, with respect to each Multicurrency Lender, the commitment of such Multicurrency Lender to make Syndicated Loans, and to acquire participations in Letters of Credit and Swingline Loans, denominated in Dollars and in Agreed Foreign Currencies hereunder, expressed as an amount representing the maximum aggregate amount of such Lender’s Revolving Multicurrency Credit Exposure hereunder, as such commitment may be (a) reduced or increased from time to time pursuant to </w:t>
      </w:r>
      <w:r>
        <w:rPr>
          <w:rFonts w:ascii="Arial" w:cs="Arial" w:eastAsia="Arial" w:hAnsi="Arial"/>
          <w:sz w:val="13"/>
          <w:szCs w:val="13"/>
          <w:u w:val="single" w:color="auto"/>
          <w:color w:val="auto"/>
        </w:rPr>
        <w:t>Section 2.08</w:t>
      </w:r>
      <w:r>
        <w:rPr>
          <w:rFonts w:ascii="Arial" w:cs="Arial" w:eastAsia="Arial" w:hAnsi="Arial"/>
          <w:sz w:val="13"/>
          <w:szCs w:val="13"/>
          <w:color w:val="auto"/>
        </w:rPr>
        <w:t xml:space="preserve"> and</w:t>
      </w:r>
    </w:p>
    <w:p>
      <w:pPr>
        <w:spacing w:after="0" w:line="2" w:lineRule="exact"/>
        <w:rPr>
          <w:sz w:val="20"/>
          <w:szCs w:val="20"/>
          <w:color w:val="auto"/>
        </w:rPr>
      </w:pPr>
    </w:p>
    <w:p>
      <w:pPr>
        <w:jc w:val="both"/>
        <w:ind w:right="20" w:firstLine="8"/>
        <w:spacing w:after="0" w:line="232" w:lineRule="auto"/>
        <w:tabs>
          <w:tab w:leader="none" w:pos="205" w:val="left"/>
        </w:tabs>
        <w:numPr>
          <w:ilvl w:val="0"/>
          <w:numId w:val="36"/>
        </w:numPr>
        <w:rPr>
          <w:rFonts w:ascii="Arial" w:cs="Arial" w:eastAsia="Arial" w:hAnsi="Arial"/>
          <w:sz w:val="14"/>
          <w:szCs w:val="14"/>
          <w:color w:val="auto"/>
        </w:rPr>
      </w:pPr>
      <w:r>
        <w:rPr>
          <w:rFonts w:ascii="Arial" w:cs="Arial" w:eastAsia="Arial" w:hAnsi="Arial"/>
          <w:sz w:val="14"/>
          <w:szCs w:val="14"/>
          <w:color w:val="auto"/>
        </w:rPr>
        <w:t xml:space="preserve">reduced or increased from time to time pursuant to assignments by or to such Lender pursuant to </w:t>
      </w:r>
      <w:r>
        <w:rPr>
          <w:rFonts w:ascii="Arial" w:cs="Arial" w:eastAsia="Arial" w:hAnsi="Arial"/>
          <w:sz w:val="14"/>
          <w:szCs w:val="14"/>
          <w:u w:val="single" w:color="auto"/>
          <w:color w:val="auto"/>
        </w:rPr>
        <w:t>Section 9.04</w:t>
      </w:r>
      <w:r>
        <w:rPr>
          <w:rFonts w:ascii="Arial" w:cs="Arial" w:eastAsia="Arial" w:hAnsi="Arial"/>
          <w:sz w:val="14"/>
          <w:szCs w:val="14"/>
          <w:color w:val="auto"/>
        </w:rPr>
        <w:t xml:space="preserve">. The initial amount of each Lender’s Multicurrency Commitment is set forth on </w:t>
      </w:r>
      <w:r>
        <w:rPr>
          <w:rFonts w:ascii="Arial" w:cs="Arial" w:eastAsia="Arial" w:hAnsi="Arial"/>
          <w:sz w:val="14"/>
          <w:szCs w:val="14"/>
          <w:u w:val="single" w:color="auto"/>
          <w:color w:val="auto"/>
        </w:rPr>
        <w:t>Schedule 1.01(b)</w:t>
      </w:r>
      <w:r>
        <w:rPr>
          <w:rFonts w:ascii="Arial" w:cs="Arial" w:eastAsia="Arial" w:hAnsi="Arial"/>
          <w:sz w:val="14"/>
          <w:szCs w:val="14"/>
          <w:color w:val="auto"/>
        </w:rPr>
        <w:t>, or in the Assignment and Assumption pursuant to which such Lender shall have assumed its Multicurrency commitment, as applicable. The aggregate amount of the Lenders’ Multicurrency Commitments as of the First Amendment Effective Date is $330,000,000.</w:t>
      </w:r>
    </w:p>
    <w:p>
      <w:pPr>
        <w:spacing w:after="0" w:line="183" w:lineRule="exact"/>
        <w:rPr>
          <w:sz w:val="20"/>
          <w:szCs w:val="20"/>
          <w:color w:val="auto"/>
        </w:rPr>
      </w:pPr>
    </w:p>
    <w:p>
      <w:pPr>
        <w:ind w:left="1740"/>
        <w:spacing w:after="0"/>
        <w:rPr>
          <w:sz w:val="20"/>
          <w:szCs w:val="20"/>
          <w:color w:val="auto"/>
        </w:rPr>
      </w:pPr>
      <w:r>
        <w:rPr>
          <w:rFonts w:ascii="Arial" w:cs="Arial" w:eastAsia="Arial" w:hAnsi="Arial"/>
          <w:sz w:val="13"/>
          <w:szCs w:val="13"/>
          <w:color w:val="auto"/>
        </w:rPr>
        <w:t>“</w:t>
      </w:r>
      <w:r>
        <w:rPr>
          <w:rFonts w:ascii="Arial" w:cs="Arial" w:eastAsia="Arial" w:hAnsi="Arial"/>
          <w:sz w:val="13"/>
          <w:szCs w:val="13"/>
          <w:u w:val="single" w:color="auto"/>
          <w:color w:val="auto"/>
        </w:rPr>
        <w:t>Multicurrency LC Exposure</w:t>
      </w:r>
      <w:r>
        <w:rPr>
          <w:rFonts w:ascii="Arial" w:cs="Arial" w:eastAsia="Arial" w:hAnsi="Arial"/>
          <w:sz w:val="13"/>
          <w:szCs w:val="13"/>
          <w:color w:val="auto"/>
        </w:rPr>
        <w:t xml:space="preserve">” means, at any time, the sum of (a) the aggregate undrawn amount of all outstanding Multicurrency Letters of Credit at such time </w:t>
      </w:r>
      <w:r>
        <w:rPr>
          <w:rFonts w:ascii="Arial" w:cs="Arial" w:eastAsia="Arial" w:hAnsi="Arial"/>
          <w:sz w:val="13"/>
          <w:szCs w:val="13"/>
          <w:u w:val="single" w:color="auto"/>
          <w:color w:val="auto"/>
        </w:rPr>
        <w:t>plus</w:t>
      </w:r>
    </w:p>
    <w:p>
      <w:pPr>
        <w:spacing w:after="0" w:line="11" w:lineRule="exact"/>
        <w:rPr>
          <w:sz w:val="20"/>
          <w:szCs w:val="20"/>
          <w:color w:val="auto"/>
        </w:rPr>
      </w:pPr>
    </w:p>
    <w:p>
      <w:pPr>
        <w:ind w:right="20" w:firstLine="8"/>
        <w:spacing w:after="0" w:line="237" w:lineRule="auto"/>
        <w:tabs>
          <w:tab w:leader="none" w:pos="213" w:val="left"/>
        </w:tabs>
        <w:numPr>
          <w:ilvl w:val="0"/>
          <w:numId w:val="37"/>
        </w:numPr>
        <w:rPr>
          <w:rFonts w:ascii="Arial" w:cs="Arial" w:eastAsia="Arial" w:hAnsi="Arial"/>
          <w:sz w:val="14"/>
          <w:szCs w:val="14"/>
          <w:color w:val="auto"/>
        </w:rPr>
      </w:pPr>
      <w:r>
        <w:rPr>
          <w:rFonts w:ascii="Arial" w:cs="Arial" w:eastAsia="Arial" w:hAnsi="Arial"/>
          <w:sz w:val="14"/>
          <w:szCs w:val="14"/>
          <w:color w:val="auto"/>
        </w:rPr>
        <w:t>the aggregate amount of all LC Disbursements in respect of such Letters of Credit that have not yet been reimbursed by or on behalf of the Borrower at such time. The Multicurrency LC Exposure of any Lender at any time shall be its Applicable Multicurrency Percentage of the total Multicurrency LC Exposure at such time.</w:t>
      </w:r>
    </w:p>
    <w:p>
      <w:pPr>
        <w:spacing w:after="0" w:line="183" w:lineRule="exact"/>
        <w:rPr>
          <w:sz w:val="20"/>
          <w:szCs w:val="20"/>
          <w:color w:val="auto"/>
        </w:rPr>
      </w:pPr>
    </w:p>
    <w:p>
      <w:pPr>
        <w:jc w:val="both"/>
        <w:ind w:right="20" w:firstLine="1727"/>
        <w:spacing w:after="0" w:line="238" w:lineRule="auto"/>
        <w:rPr>
          <w:sz w:val="20"/>
          <w:szCs w:val="20"/>
          <w:color w:val="auto"/>
        </w:rPr>
      </w:pPr>
      <w:r>
        <w:rPr>
          <w:rFonts w:ascii="Arial" w:cs="Arial" w:eastAsia="Arial" w:hAnsi="Arial"/>
          <w:sz w:val="14"/>
          <w:szCs w:val="14"/>
          <w:color w:val="auto"/>
        </w:rPr>
        <w:t>“</w:t>
      </w:r>
      <w:r>
        <w:rPr>
          <w:rFonts w:ascii="Arial" w:cs="Arial" w:eastAsia="Arial" w:hAnsi="Arial"/>
          <w:sz w:val="14"/>
          <w:szCs w:val="14"/>
          <w:u w:val="single" w:color="auto"/>
          <w:color w:val="auto"/>
        </w:rPr>
        <w:t>Multicurrency Lender</w:t>
      </w:r>
      <w:r>
        <w:rPr>
          <w:rFonts w:ascii="Arial" w:cs="Arial" w:eastAsia="Arial" w:hAnsi="Arial"/>
          <w:sz w:val="14"/>
          <w:szCs w:val="14"/>
          <w:color w:val="auto"/>
        </w:rPr>
        <w:t xml:space="preserve">” means the Persons listed on </w:t>
      </w:r>
      <w:r>
        <w:rPr>
          <w:rFonts w:ascii="Arial" w:cs="Arial" w:eastAsia="Arial" w:hAnsi="Arial"/>
          <w:sz w:val="14"/>
          <w:szCs w:val="14"/>
          <w:u w:val="single" w:color="auto"/>
          <w:color w:val="auto"/>
        </w:rPr>
        <w:t>Schedule 1.01(b)</w:t>
      </w:r>
      <w:r>
        <w:rPr>
          <w:rFonts w:ascii="Arial" w:cs="Arial" w:eastAsia="Arial" w:hAnsi="Arial"/>
          <w:sz w:val="14"/>
          <w:szCs w:val="14"/>
          <w:color w:val="auto"/>
        </w:rPr>
        <w:t xml:space="preserve"> as having Multicurrency Commitments and any other Person that shall have become a party hereto pursuant to an Assignment and Assumption that provides for it to assume a Multicurrency Commitment or to acquire Revolving Multicurrency Credit Exposure, other than any such Person that ceases to be a party hereto pursuant to an Assignment and Assumption.</w:t>
      </w:r>
    </w:p>
    <w:p>
      <w:pPr>
        <w:spacing w:after="0" w:line="183" w:lineRule="exact"/>
        <w:rPr>
          <w:sz w:val="20"/>
          <w:szCs w:val="20"/>
          <w:color w:val="auto"/>
        </w:rPr>
      </w:pPr>
    </w:p>
    <w:p>
      <w:pPr>
        <w:ind w:left="1740"/>
        <w:spacing w:after="0"/>
        <w:rPr>
          <w:sz w:val="20"/>
          <w:szCs w:val="20"/>
          <w:color w:val="auto"/>
        </w:rPr>
      </w:pPr>
      <w:r>
        <w:rPr>
          <w:rFonts w:ascii="Arial" w:cs="Arial" w:eastAsia="Arial" w:hAnsi="Arial"/>
          <w:sz w:val="14"/>
          <w:szCs w:val="14"/>
          <w:color w:val="auto"/>
        </w:rPr>
        <w:t>“</w:t>
      </w:r>
      <w:r>
        <w:rPr>
          <w:rFonts w:ascii="Arial" w:cs="Arial" w:eastAsia="Arial" w:hAnsi="Arial"/>
          <w:sz w:val="14"/>
          <w:szCs w:val="14"/>
          <w:u w:val="single" w:color="auto"/>
          <w:color w:val="auto"/>
        </w:rPr>
        <w:t>Multicurrency Letters of Credit</w:t>
      </w:r>
      <w:r>
        <w:rPr>
          <w:rFonts w:ascii="Arial" w:cs="Arial" w:eastAsia="Arial" w:hAnsi="Arial"/>
          <w:sz w:val="14"/>
          <w:szCs w:val="14"/>
          <w:color w:val="auto"/>
        </w:rPr>
        <w:t>” means Letters of Credit that utilize the Multicurrency Commitments.</w:t>
      </w:r>
    </w:p>
    <w:p>
      <w:pPr>
        <w:spacing w:after="0" w:line="204" w:lineRule="exact"/>
        <w:rPr>
          <w:sz w:val="20"/>
          <w:szCs w:val="20"/>
          <w:color w:val="auto"/>
        </w:rPr>
      </w:pPr>
    </w:p>
    <w:p>
      <w:pPr>
        <w:ind w:left="1740"/>
        <w:spacing w:after="0"/>
        <w:rPr>
          <w:sz w:val="20"/>
          <w:szCs w:val="20"/>
          <w:color w:val="auto"/>
        </w:rPr>
      </w:pPr>
      <w:r>
        <w:rPr>
          <w:rFonts w:ascii="Arial" w:cs="Arial" w:eastAsia="Arial" w:hAnsi="Arial"/>
          <w:sz w:val="14"/>
          <w:szCs w:val="14"/>
          <w:color w:val="auto"/>
        </w:rPr>
        <w:t>“</w:t>
      </w:r>
      <w:r>
        <w:rPr>
          <w:rFonts w:ascii="Arial" w:cs="Arial" w:eastAsia="Arial" w:hAnsi="Arial"/>
          <w:sz w:val="14"/>
          <w:szCs w:val="14"/>
          <w:u w:val="single" w:color="auto"/>
          <w:color w:val="auto"/>
        </w:rPr>
        <w:t>Multicurrency Loan</w:t>
      </w:r>
      <w:r>
        <w:rPr>
          <w:rFonts w:ascii="Arial" w:cs="Arial" w:eastAsia="Arial" w:hAnsi="Arial"/>
          <w:sz w:val="14"/>
          <w:szCs w:val="14"/>
          <w:color w:val="auto"/>
        </w:rPr>
        <w:t>” means a Loan denominated in Dollars or an Agreed Foreign Currency.</w:t>
      </w:r>
    </w:p>
    <w:p>
      <w:pPr>
        <w:spacing w:after="0" w:line="204" w:lineRule="exact"/>
        <w:rPr>
          <w:sz w:val="20"/>
          <w:szCs w:val="20"/>
          <w:color w:val="auto"/>
        </w:rPr>
      </w:pPr>
    </w:p>
    <w:p>
      <w:pPr>
        <w:ind w:left="1740"/>
        <w:spacing w:after="0"/>
        <w:rPr>
          <w:sz w:val="20"/>
          <w:szCs w:val="20"/>
          <w:color w:val="auto"/>
        </w:rPr>
      </w:pPr>
      <w:r>
        <w:rPr>
          <w:rFonts w:ascii="Arial" w:cs="Arial" w:eastAsia="Arial" w:hAnsi="Arial"/>
          <w:sz w:val="14"/>
          <w:szCs w:val="14"/>
          <w:color w:val="auto"/>
        </w:rPr>
        <w:t>“</w:t>
      </w:r>
      <w:r>
        <w:rPr>
          <w:rFonts w:ascii="Arial" w:cs="Arial" w:eastAsia="Arial" w:hAnsi="Arial"/>
          <w:sz w:val="14"/>
          <w:szCs w:val="14"/>
          <w:u w:val="single" w:color="auto"/>
          <w:color w:val="auto"/>
        </w:rPr>
        <w:t>Multiemployer Plan</w:t>
      </w:r>
      <w:r>
        <w:rPr>
          <w:rFonts w:ascii="Arial" w:cs="Arial" w:eastAsia="Arial" w:hAnsi="Arial"/>
          <w:sz w:val="14"/>
          <w:szCs w:val="14"/>
          <w:color w:val="auto"/>
        </w:rPr>
        <w:t>” means a multiemployer plan as defined in Section 4001(a)(3) of ERISA.</w:t>
      </w:r>
    </w:p>
    <w:p>
      <w:pPr>
        <w:spacing w:after="0" w:line="204" w:lineRule="exact"/>
        <w:rPr>
          <w:sz w:val="20"/>
          <w:szCs w:val="20"/>
          <w:color w:val="auto"/>
        </w:rPr>
      </w:pPr>
    </w:p>
    <w:p>
      <w:pPr>
        <w:ind w:left="1740"/>
        <w:spacing w:after="0"/>
        <w:rPr>
          <w:sz w:val="20"/>
          <w:szCs w:val="20"/>
          <w:color w:val="auto"/>
        </w:rPr>
      </w:pPr>
      <w:r>
        <w:rPr>
          <w:rFonts w:ascii="Arial" w:cs="Arial" w:eastAsia="Arial" w:hAnsi="Arial"/>
          <w:sz w:val="14"/>
          <w:szCs w:val="14"/>
          <w:color w:val="auto"/>
        </w:rPr>
        <w:t>“</w:t>
      </w:r>
      <w:r>
        <w:rPr>
          <w:rFonts w:ascii="Arial" w:cs="Arial" w:eastAsia="Arial" w:hAnsi="Arial"/>
          <w:sz w:val="14"/>
          <w:szCs w:val="14"/>
          <w:u w:val="single" w:color="auto"/>
          <w:color w:val="auto"/>
        </w:rPr>
        <w:t>National Currency</w:t>
      </w:r>
      <w:r>
        <w:rPr>
          <w:rFonts w:ascii="Arial" w:cs="Arial" w:eastAsia="Arial" w:hAnsi="Arial"/>
          <w:sz w:val="14"/>
          <w:szCs w:val="14"/>
          <w:color w:val="auto"/>
        </w:rPr>
        <w:t>” means the currency, other than the Euro, of a Participating Member State.</w:t>
      </w:r>
    </w:p>
    <w:p>
      <w:pPr>
        <w:spacing w:after="0" w:line="204" w:lineRule="exact"/>
        <w:rPr>
          <w:sz w:val="20"/>
          <w:szCs w:val="20"/>
          <w:color w:val="auto"/>
        </w:rPr>
      </w:pPr>
    </w:p>
    <w:p>
      <w:pPr>
        <w:ind w:left="1740"/>
        <w:spacing w:after="0"/>
        <w:rPr>
          <w:sz w:val="20"/>
          <w:szCs w:val="20"/>
          <w:color w:val="auto"/>
        </w:rPr>
      </w:pPr>
      <w:r>
        <w:rPr>
          <w:rFonts w:ascii="Arial" w:cs="Arial" w:eastAsia="Arial" w:hAnsi="Arial"/>
          <w:sz w:val="14"/>
          <w:szCs w:val="14"/>
          <w:color w:val="auto"/>
        </w:rPr>
        <w:t>“</w:t>
      </w:r>
      <w:r>
        <w:rPr>
          <w:rFonts w:ascii="Arial" w:cs="Arial" w:eastAsia="Arial" w:hAnsi="Arial"/>
          <w:sz w:val="14"/>
          <w:szCs w:val="14"/>
          <w:u w:val="single" w:color="auto"/>
          <w:color w:val="auto"/>
        </w:rPr>
        <w:t>Net Cash Proceeds</w:t>
      </w:r>
      <w:r>
        <w:rPr>
          <w:rFonts w:ascii="Arial" w:cs="Arial" w:eastAsia="Arial" w:hAnsi="Arial"/>
          <w:sz w:val="14"/>
          <w:szCs w:val="14"/>
          <w:color w:val="auto"/>
        </w:rPr>
        <w:t>” means:</w:t>
      </w:r>
    </w:p>
    <w:p>
      <w:pPr>
        <w:spacing w:after="0" w:line="200" w:lineRule="exact"/>
        <w:rPr>
          <w:sz w:val="20"/>
          <w:szCs w:val="20"/>
          <w:color w:val="auto"/>
        </w:rPr>
      </w:pPr>
    </w:p>
    <w:p>
      <w:pPr>
        <w:spacing w:after="0" w:line="200" w:lineRule="exact"/>
        <w:rPr>
          <w:sz w:val="20"/>
          <w:szCs w:val="20"/>
          <w:color w:val="auto"/>
        </w:rPr>
      </w:pPr>
    </w:p>
    <w:p>
      <w:pPr>
        <w:spacing w:after="0" w:line="22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7580" w:type="dxa"/>
            <w:vAlign w:val="bottom"/>
          </w:tcPr>
          <w:p>
            <w:pPr>
              <w:jc w:val="right"/>
              <w:ind w:right="1808"/>
              <w:spacing w:after="0"/>
              <w:rPr>
                <w:sz w:val="20"/>
                <w:szCs w:val="20"/>
                <w:color w:val="auto"/>
              </w:rPr>
            </w:pPr>
            <w:r>
              <w:rPr>
                <w:rFonts w:ascii="Arial" w:cs="Arial" w:eastAsia="Arial" w:hAnsi="Arial"/>
                <w:sz w:val="14"/>
                <w:szCs w:val="14"/>
                <w:color w:val="auto"/>
              </w:rPr>
              <w:t>12</w:t>
            </w:r>
          </w:p>
        </w:tc>
        <w:tc>
          <w:tcPr>
            <w:tcW w:w="3680" w:type="dxa"/>
            <w:vAlign w:val="bottom"/>
          </w:tcPr>
          <w:p>
            <w:pPr>
              <w:jc w:val="right"/>
              <w:spacing w:after="0"/>
              <w:rPr>
                <w:sz w:val="20"/>
                <w:szCs w:val="20"/>
                <w:color w:val="auto"/>
              </w:rPr>
            </w:pPr>
            <w:r>
              <w:rPr>
                <w:rFonts w:ascii="Arial" w:cs="Arial" w:eastAsia="Arial" w:hAnsi="Arial"/>
                <w:sz w:val="14"/>
                <w:szCs w:val="14"/>
                <w:i w:val="1"/>
                <w:iCs w:val="1"/>
                <w:color w:val="auto"/>
              </w:rPr>
              <w:t>Second Amended and Restated</w:t>
            </w:r>
          </w:p>
        </w:tc>
      </w:tr>
      <w:tr>
        <w:trPr>
          <w:trHeight w:val="182"/>
        </w:trPr>
        <w:tc>
          <w:tcPr>
            <w:tcW w:w="7580" w:type="dxa"/>
            <w:vAlign w:val="bottom"/>
          </w:tcPr>
          <w:p>
            <w:pPr>
              <w:spacing w:after="0"/>
              <w:rPr>
                <w:sz w:val="15"/>
                <w:szCs w:val="15"/>
                <w:color w:val="auto"/>
              </w:rPr>
            </w:pPr>
          </w:p>
        </w:tc>
        <w:tc>
          <w:tcPr>
            <w:tcW w:w="3680" w:type="dxa"/>
            <w:vAlign w:val="bottom"/>
          </w:tcPr>
          <w:p>
            <w:pPr>
              <w:jc w:val="right"/>
              <w:spacing w:after="0"/>
              <w:rPr>
                <w:sz w:val="20"/>
                <w:szCs w:val="20"/>
                <w:color w:val="auto"/>
              </w:rPr>
            </w:pPr>
            <w:r>
              <w:rPr>
                <w:rFonts w:ascii="Arial" w:cs="Arial" w:eastAsia="Arial" w:hAnsi="Arial"/>
                <w:sz w:val="14"/>
                <w:szCs w:val="14"/>
                <w:i w:val="1"/>
                <w:iCs w:val="1"/>
                <w:color w:val="auto"/>
              </w:rPr>
              <w:t>Revolving Credit Agreement</w:t>
            </w:r>
          </w:p>
        </w:tc>
      </w:tr>
      <w:tr>
        <w:trPr>
          <w:trHeight w:val="316"/>
        </w:trPr>
        <w:tc>
          <w:tcPr>
            <w:tcW w:w="7580" w:type="dxa"/>
            <w:vAlign w:val="bottom"/>
            <w:tcBorders>
              <w:bottom w:val="single" w:sz="8" w:color="9A9A9A"/>
            </w:tcBorders>
          </w:tcPr>
          <w:p>
            <w:pPr>
              <w:spacing w:after="0"/>
              <w:rPr>
                <w:sz w:val="24"/>
                <w:szCs w:val="24"/>
                <w:color w:val="auto"/>
              </w:rPr>
            </w:pPr>
          </w:p>
        </w:tc>
        <w:tc>
          <w:tcPr>
            <w:tcW w:w="368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7145655</wp:posOffset>
            </wp:positionH>
            <wp:positionV relativeFrom="paragraph">
              <wp:posOffset>-8255</wp:posOffset>
            </wp:positionV>
            <wp:extent cx="8255" cy="8890"/>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36">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-16510</wp:posOffset>
            </wp:positionV>
            <wp:extent cx="8890" cy="17145"/>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37">
                      <a:extLst>
                        <a:ext uri="{28A0092B-C50C-407E-A947-70E740481C1C}"/>
                      </a:extLst>
                    </a:blip>
                    <a:srcRect/>
                    <a:stretch>
                      <a:fillRect/>
                    </a:stretch>
                  </pic:blipFill>
                  <pic:spPr bwMode="auto">
                    <a:xfrm>
                      <a:off x="0" y="0"/>
                      <a:ext cx="8890" cy="17145"/>
                    </a:xfrm>
                    <a:prstGeom prst="rect">
                      <a:avLst/>
                    </a:prstGeom>
                    <a:noFill/>
                  </pic:spPr>
                </pic:pic>
              </a:graphicData>
            </a:graphic>
          </wp:anchor>
        </w:drawing>
      </w:r>
    </w:p>
    <w:p>
      <w:pPr>
        <w:sectPr>
          <w:pgSz w:w="11900" w:h="16838" w:orient="portrait"/>
          <w:cols w:equalWidth="0" w:num="1">
            <w:col w:w="11260"/>
          </w:cols>
          <w:pgMar w:left="320" w:top="337" w:right="319" w:bottom="1440" w:gutter="0" w:footer="0" w:header="0"/>
        </w:sectPr>
      </w:pPr>
    </w:p>
    <w:bookmarkStart w:id="75" w:name="page76"/>
    <w:bookmarkEnd w:id="75"/>
    <w:p>
      <w:pPr>
        <w:ind w:right="80" w:firstLine="1735"/>
        <w:spacing w:after="0"/>
        <w:tabs>
          <w:tab w:leader="none" w:pos="2535" w:val="left"/>
        </w:tabs>
        <w:numPr>
          <w:ilvl w:val="1"/>
          <w:numId w:val="38"/>
        </w:numPr>
        <w:rPr>
          <w:rFonts w:ascii="Arial" w:cs="Arial" w:eastAsia="Arial" w:hAnsi="Arial"/>
          <w:sz w:val="13"/>
          <w:szCs w:val="13"/>
          <w:color w:val="auto"/>
        </w:rPr>
      </w:pPr>
      <w:r>
        <w:rPr>
          <w:rFonts w:ascii="Arial" w:cs="Arial" w:eastAsia="Arial" w:hAnsi="Arial"/>
          <w:sz w:val="13"/>
          <w:szCs w:val="13"/>
          <w:color w:val="auto"/>
        </w:rPr>
        <w:t xml:space="preserve">with respect to any Disposition by the Borrower or any of its Subsidiaries (other than Financing Subsidiaries), or any Extraordinary Receipt received or paid to the account of the Borrower or any of its Subsidiaries (other than Financing Subsidiaries) (in each case, which requires a payment of the Loans under </w:t>
      </w:r>
      <w:r>
        <w:rPr>
          <w:rFonts w:ascii="Arial" w:cs="Arial" w:eastAsia="Arial" w:hAnsi="Arial"/>
          <w:sz w:val="13"/>
          <w:szCs w:val="13"/>
          <w:u w:val="single" w:color="auto"/>
          <w:color w:val="auto"/>
        </w:rPr>
        <w:t>Section 2.10(e)</w:t>
      </w:r>
      <w:r>
        <w:rPr>
          <w:rFonts w:ascii="Arial" w:cs="Arial" w:eastAsia="Arial" w:hAnsi="Arial"/>
          <w:sz w:val="13"/>
          <w:szCs w:val="13"/>
          <w:color w:val="auto"/>
        </w:rPr>
        <w:t xml:space="preserve">), an amount equal to (a) the sum of cash and Cash Equivalents received in connection with such transaction (including any cash or Cash Equivalents received by way of deferred payment pursuant to, or by monetization of, a note receivable or otherwise, but only as and when so received) </w:t>
      </w:r>
      <w:r>
        <w:rPr>
          <w:rFonts w:ascii="Arial" w:cs="Arial" w:eastAsia="Arial" w:hAnsi="Arial"/>
          <w:sz w:val="13"/>
          <w:szCs w:val="13"/>
          <w:u w:val="single" w:color="auto"/>
          <w:color w:val="auto"/>
        </w:rPr>
        <w:t>minus</w:t>
      </w:r>
      <w:r>
        <w:rPr>
          <w:rFonts w:ascii="Arial" w:cs="Arial" w:eastAsia="Arial" w:hAnsi="Arial"/>
          <w:sz w:val="13"/>
          <w:szCs w:val="13"/>
          <w:color w:val="auto"/>
        </w:rPr>
        <w:t xml:space="preserve"> (b) the sum of (i) the principal amount of any Indebtedness that is secured by the applicable asset and that is required to be repaid in connection with such transaction (other than Indebtedness under the Loan Documents), (ii) the reasonable out-of-pocket fees, costs and expenses incurred by the Borrower or such Subsidiary in connection with such transaction, (iii) the taxes paid or reasonably estimated to be actually payable within two years of the date of the relevant transaction in connection with such transaction; provided that, if the amount of any estimated taxes pursuant to clause (iii) exceeds the amount of taxes actually required to be paid in cash in respect of such Disposition, the aggregate amount of such excess shall constitute Net Cash Proceeds (as of the date the Borrower determines such excess exists), (iv) any reasonable costs, fees, commissions, premiums and expenses incurred by the Borrower or any of its Subsidiaries in connection with such Disposition, and (v) reserves for indemnification, purchase price adjustments or analogous arrangements reasonably estimated by the Borrower or the relevant Subsidiary in connection with such Disposition; provided that, if the amount of any estimated reserves pursuant to this clause</w:t>
      </w:r>
    </w:p>
    <w:p>
      <w:pPr>
        <w:spacing w:after="0" w:line="2" w:lineRule="exact"/>
        <w:rPr>
          <w:rFonts w:ascii="Arial" w:cs="Arial" w:eastAsia="Arial" w:hAnsi="Arial"/>
          <w:sz w:val="13"/>
          <w:szCs w:val="13"/>
          <w:color w:val="auto"/>
        </w:rPr>
      </w:pPr>
    </w:p>
    <w:p>
      <w:pPr>
        <w:ind w:right="280" w:firstLine="8"/>
        <w:spacing w:after="0" w:line="237" w:lineRule="auto"/>
        <w:tabs>
          <w:tab w:leader="none" w:pos="204" w:val="left"/>
        </w:tabs>
        <w:numPr>
          <w:ilvl w:val="0"/>
          <w:numId w:val="39"/>
        </w:numPr>
        <w:rPr>
          <w:rFonts w:ascii="Arial" w:cs="Arial" w:eastAsia="Arial" w:hAnsi="Arial"/>
          <w:sz w:val="14"/>
          <w:szCs w:val="14"/>
          <w:color w:val="auto"/>
        </w:rPr>
      </w:pPr>
      <w:r>
        <w:rPr>
          <w:rFonts w:ascii="Arial" w:cs="Arial" w:eastAsia="Arial" w:hAnsi="Arial"/>
          <w:sz w:val="14"/>
          <w:szCs w:val="14"/>
          <w:color w:val="auto"/>
        </w:rPr>
        <w:t>exceeds the amount actually required to be paid in cash in respect of indemnification, purchase price adjustments or analogous arrangements for such Disposition, the aggregate amount of such excess shall constitute Net Cash Proceeds (as of the date the Borrower determines such excess exists); and</w:t>
      </w:r>
    </w:p>
    <w:p>
      <w:pPr>
        <w:spacing w:after="0" w:line="183" w:lineRule="exact"/>
        <w:rPr>
          <w:rFonts w:ascii="Arial" w:cs="Arial" w:eastAsia="Arial" w:hAnsi="Arial"/>
          <w:sz w:val="14"/>
          <w:szCs w:val="14"/>
          <w:color w:val="auto"/>
        </w:rPr>
      </w:pPr>
    </w:p>
    <w:p>
      <w:pPr>
        <w:ind w:right="60" w:firstLine="1735"/>
        <w:spacing w:after="0" w:line="247" w:lineRule="auto"/>
        <w:tabs>
          <w:tab w:leader="none" w:pos="2543" w:val="left"/>
        </w:tabs>
        <w:numPr>
          <w:ilvl w:val="1"/>
          <w:numId w:val="39"/>
        </w:numPr>
        <w:rPr>
          <w:rFonts w:ascii="Arial" w:cs="Arial" w:eastAsia="Arial" w:hAnsi="Arial"/>
          <w:sz w:val="13"/>
          <w:szCs w:val="13"/>
          <w:color w:val="auto"/>
        </w:rPr>
      </w:pPr>
      <w:r>
        <w:rPr>
          <w:rFonts w:ascii="Arial" w:cs="Arial" w:eastAsia="Arial" w:hAnsi="Arial"/>
          <w:sz w:val="13"/>
          <w:szCs w:val="13"/>
          <w:color w:val="auto"/>
        </w:rPr>
        <w:t xml:space="preserve">with respect to the sale or issuance of any Equity Interest by the Borrower or any of its Subsidiaries (other than any Financing Subsidiary) (including, for the avoidance of doubt, cash received by the Borrower or any of its Subsidiaries (other than any Financing Subsidiaries) for the sale by the Borrower or such Subsidiary of any Equity Interest of a Financing Subsidiary but specifically excluding any sale of any Equity Interest by a Financing Subsidiary or cash received by a Financing Subsidiary in connection with the sale of any Equity Interest), or the incurrence or issuance of any Indebtedness by the Borrower or any of its Subsidiaries (other than Financing Subsidiaries) (in each case, which requires a payment of the Loans under </w:t>
      </w:r>
      <w:r>
        <w:rPr>
          <w:rFonts w:ascii="Arial" w:cs="Arial" w:eastAsia="Arial" w:hAnsi="Arial"/>
          <w:sz w:val="13"/>
          <w:szCs w:val="13"/>
          <w:u w:val="single" w:color="auto"/>
          <w:color w:val="auto"/>
        </w:rPr>
        <w:t>Section 2.10(e)</w:t>
      </w:r>
      <w:r>
        <w:rPr>
          <w:rFonts w:ascii="Arial" w:cs="Arial" w:eastAsia="Arial" w:hAnsi="Arial"/>
          <w:sz w:val="13"/>
          <w:szCs w:val="13"/>
          <w:color w:val="auto"/>
        </w:rPr>
        <w:t xml:space="preserve">), an amount equal to (i) the sum of the cash and Cash Equivalents received in connection with such transaction </w:t>
      </w:r>
      <w:r>
        <w:rPr>
          <w:rFonts w:ascii="Arial" w:cs="Arial" w:eastAsia="Arial" w:hAnsi="Arial"/>
          <w:sz w:val="13"/>
          <w:szCs w:val="13"/>
          <w:u w:val="single" w:color="auto"/>
          <w:color w:val="auto"/>
        </w:rPr>
        <w:t>minus</w:t>
      </w:r>
      <w:r>
        <w:rPr>
          <w:rFonts w:ascii="Arial" w:cs="Arial" w:eastAsia="Arial" w:hAnsi="Arial"/>
          <w:sz w:val="13"/>
          <w:szCs w:val="13"/>
          <w:color w:val="auto"/>
        </w:rPr>
        <w:t xml:space="preserve"> (ii) the sum of (1) reasonable out-of-pocket fees, costs and expenses, incurred by the Borrower or such Subsidiary in connection therewith </w:t>
      </w:r>
      <w:r>
        <w:rPr>
          <w:rFonts w:ascii="Arial" w:cs="Arial" w:eastAsia="Arial" w:hAnsi="Arial"/>
          <w:sz w:val="13"/>
          <w:szCs w:val="13"/>
          <w:u w:val="single" w:color="auto"/>
          <w:color w:val="auto"/>
        </w:rPr>
        <w:t>plus</w:t>
      </w:r>
      <w:r>
        <w:rPr>
          <w:rFonts w:ascii="Arial" w:cs="Arial" w:eastAsia="Arial" w:hAnsi="Arial"/>
          <w:sz w:val="13"/>
          <w:szCs w:val="13"/>
          <w:color w:val="auto"/>
        </w:rPr>
        <w:t xml:space="preserve"> (2) any reasonable costs, fees, commissions, premiums, expenses, or underwriting discounts or commissions incurred by the Borrower or any of its Subsidiaries in connection with such sale or issuance.</w:t>
      </w:r>
    </w:p>
    <w:p>
      <w:pPr>
        <w:spacing w:after="0" w:line="179" w:lineRule="exact"/>
        <w:rPr>
          <w:sz w:val="20"/>
          <w:szCs w:val="20"/>
          <w:color w:val="auto"/>
        </w:rPr>
      </w:pPr>
    </w:p>
    <w:p>
      <w:pPr>
        <w:ind w:left="1740"/>
        <w:spacing w:after="0"/>
        <w:rPr>
          <w:sz w:val="20"/>
          <w:szCs w:val="20"/>
          <w:color w:val="auto"/>
        </w:rPr>
      </w:pPr>
      <w:r>
        <w:rPr>
          <w:rFonts w:ascii="Arial" w:cs="Arial" w:eastAsia="Arial" w:hAnsi="Arial"/>
          <w:sz w:val="14"/>
          <w:szCs w:val="14"/>
          <w:color w:val="auto"/>
        </w:rPr>
        <w:t>“</w:t>
      </w:r>
      <w:r>
        <w:rPr>
          <w:rFonts w:ascii="Arial" w:cs="Arial" w:eastAsia="Arial" w:hAnsi="Arial"/>
          <w:sz w:val="14"/>
          <w:szCs w:val="14"/>
          <w:u w:val="single" w:color="auto"/>
          <w:color w:val="auto"/>
        </w:rPr>
        <w:t>Non-Defaulting Lender</w:t>
      </w:r>
      <w:r>
        <w:rPr>
          <w:rFonts w:ascii="Arial" w:cs="Arial" w:eastAsia="Arial" w:hAnsi="Arial"/>
          <w:sz w:val="14"/>
          <w:szCs w:val="14"/>
          <w:color w:val="auto"/>
        </w:rPr>
        <w:t>” means, at any time, a Lender that is not a Defaulting Lender at such time.</w:t>
      </w:r>
    </w:p>
    <w:p>
      <w:pPr>
        <w:spacing w:after="0" w:line="204" w:lineRule="exact"/>
        <w:rPr>
          <w:sz w:val="20"/>
          <w:szCs w:val="20"/>
          <w:color w:val="auto"/>
        </w:rPr>
      </w:pPr>
    </w:p>
    <w:p>
      <w:pPr>
        <w:ind w:left="1740"/>
        <w:spacing w:after="0"/>
        <w:rPr>
          <w:sz w:val="20"/>
          <w:szCs w:val="20"/>
          <w:color w:val="auto"/>
        </w:rPr>
      </w:pPr>
      <w:r>
        <w:rPr>
          <w:rFonts w:ascii="Arial" w:cs="Arial" w:eastAsia="Arial" w:hAnsi="Arial"/>
          <w:sz w:val="14"/>
          <w:szCs w:val="14"/>
          <w:color w:val="auto"/>
        </w:rPr>
        <w:t>“</w:t>
      </w:r>
      <w:r>
        <w:rPr>
          <w:rFonts w:ascii="Arial" w:cs="Arial" w:eastAsia="Arial" w:hAnsi="Arial"/>
          <w:sz w:val="14"/>
          <w:szCs w:val="14"/>
          <w:u w:val="single" w:color="auto"/>
          <w:color w:val="auto"/>
        </w:rPr>
        <w:t>Non-LIBO Quoted Currency</w:t>
      </w:r>
      <w:r>
        <w:rPr>
          <w:rFonts w:ascii="Arial" w:cs="Arial" w:eastAsia="Arial" w:hAnsi="Arial"/>
          <w:sz w:val="14"/>
          <w:szCs w:val="14"/>
          <w:color w:val="auto"/>
        </w:rPr>
        <w:t>” means any currency other than a LIBO Quoted Currency.</w:t>
      </w:r>
    </w:p>
    <w:p>
      <w:pPr>
        <w:spacing w:after="0" w:line="204" w:lineRule="exact"/>
        <w:rPr>
          <w:sz w:val="20"/>
          <w:szCs w:val="20"/>
          <w:color w:val="auto"/>
        </w:rPr>
      </w:pPr>
    </w:p>
    <w:p>
      <w:pPr>
        <w:jc w:val="both"/>
        <w:ind w:right="20" w:firstLine="1727"/>
        <w:spacing w:after="0" w:line="253" w:lineRule="auto"/>
        <w:rPr>
          <w:sz w:val="20"/>
          <w:szCs w:val="20"/>
          <w:color w:val="auto"/>
        </w:rPr>
      </w:pPr>
      <w:r>
        <w:rPr>
          <w:rFonts w:ascii="Arial" w:cs="Arial" w:eastAsia="Arial" w:hAnsi="Arial"/>
          <w:sz w:val="14"/>
          <w:szCs w:val="14"/>
          <w:color w:val="auto"/>
        </w:rPr>
        <w:t>“</w:t>
      </w:r>
      <w:r>
        <w:rPr>
          <w:rFonts w:ascii="Arial" w:cs="Arial" w:eastAsia="Arial" w:hAnsi="Arial"/>
          <w:sz w:val="14"/>
          <w:szCs w:val="14"/>
          <w:u w:val="single" w:color="auto"/>
          <w:color w:val="auto"/>
        </w:rPr>
        <w:t>Non-Public Information</w:t>
      </w:r>
      <w:r>
        <w:rPr>
          <w:rFonts w:ascii="Arial" w:cs="Arial" w:eastAsia="Arial" w:hAnsi="Arial"/>
          <w:sz w:val="14"/>
          <w:szCs w:val="14"/>
          <w:color w:val="auto"/>
        </w:rPr>
        <w:t>” means material non-public information (within the meaning of United States federal, state or other applicable securities laws) with respect to Borrower or its Affiliates or their Securities.</w:t>
      </w:r>
    </w:p>
    <w:p>
      <w:pPr>
        <w:spacing w:after="0" w:line="174" w:lineRule="exact"/>
        <w:rPr>
          <w:sz w:val="20"/>
          <w:szCs w:val="20"/>
          <w:color w:val="auto"/>
        </w:rPr>
      </w:pPr>
    </w:p>
    <w:p>
      <w:pPr>
        <w:ind w:left="1740"/>
        <w:spacing w:after="0"/>
        <w:rPr>
          <w:sz w:val="20"/>
          <w:szCs w:val="20"/>
          <w:color w:val="auto"/>
        </w:rPr>
      </w:pPr>
      <w:r>
        <w:rPr>
          <w:rFonts w:ascii="Arial" w:cs="Arial" w:eastAsia="Arial" w:hAnsi="Arial"/>
          <w:sz w:val="14"/>
          <w:szCs w:val="14"/>
          <w:color w:val="auto"/>
        </w:rPr>
        <w:t>“</w:t>
      </w:r>
      <w:r>
        <w:rPr>
          <w:rFonts w:ascii="Arial" w:cs="Arial" w:eastAsia="Arial" w:hAnsi="Arial"/>
          <w:sz w:val="14"/>
          <w:szCs w:val="14"/>
          <w:u w:val="single" w:color="auto"/>
          <w:color w:val="auto"/>
        </w:rPr>
        <w:t>Obligor</w:t>
      </w:r>
      <w:r>
        <w:rPr>
          <w:rFonts w:ascii="Arial" w:cs="Arial" w:eastAsia="Arial" w:hAnsi="Arial"/>
          <w:sz w:val="14"/>
          <w:szCs w:val="14"/>
          <w:color w:val="auto"/>
        </w:rPr>
        <w:t>” means, collectively, the Borrower and the Subsidiary Guarantors.</w:t>
      </w:r>
    </w:p>
    <w:p>
      <w:pPr>
        <w:spacing w:after="0" w:line="204" w:lineRule="exact"/>
        <w:rPr>
          <w:sz w:val="20"/>
          <w:szCs w:val="20"/>
          <w:color w:val="auto"/>
        </w:rPr>
      </w:pPr>
    </w:p>
    <w:p>
      <w:pPr>
        <w:ind w:left="1740"/>
        <w:spacing w:after="0"/>
        <w:rPr>
          <w:sz w:val="20"/>
          <w:szCs w:val="20"/>
          <w:color w:val="auto"/>
        </w:rPr>
      </w:pPr>
      <w:r>
        <w:rPr>
          <w:rFonts w:ascii="Arial" w:cs="Arial" w:eastAsia="Arial" w:hAnsi="Arial"/>
          <w:sz w:val="14"/>
          <w:szCs w:val="14"/>
          <w:color w:val="auto"/>
        </w:rPr>
        <w:t>“</w:t>
      </w:r>
      <w:r>
        <w:rPr>
          <w:rFonts w:ascii="Arial" w:cs="Arial" w:eastAsia="Arial" w:hAnsi="Arial"/>
          <w:sz w:val="14"/>
          <w:szCs w:val="14"/>
          <w:u w:val="single" w:color="auto"/>
          <w:color w:val="auto"/>
        </w:rPr>
        <w:t>OFAC</w:t>
      </w:r>
      <w:r>
        <w:rPr>
          <w:rFonts w:ascii="Arial" w:cs="Arial" w:eastAsia="Arial" w:hAnsi="Arial"/>
          <w:sz w:val="14"/>
          <w:szCs w:val="14"/>
          <w:color w:val="auto"/>
        </w:rPr>
        <w:t xml:space="preserve">” has the meaning assigned to such term in </w:t>
      </w:r>
      <w:r>
        <w:rPr>
          <w:rFonts w:ascii="Arial" w:cs="Arial" w:eastAsia="Arial" w:hAnsi="Arial"/>
          <w:sz w:val="14"/>
          <w:szCs w:val="14"/>
          <w:u w:val="single" w:color="auto"/>
          <w:color w:val="auto"/>
        </w:rPr>
        <w:t>Section 3.15</w:t>
      </w:r>
      <w:r>
        <w:rPr>
          <w:rFonts w:ascii="Arial" w:cs="Arial" w:eastAsia="Arial" w:hAnsi="Arial"/>
          <w:sz w:val="14"/>
          <w:szCs w:val="14"/>
          <w:color w:val="auto"/>
        </w:rPr>
        <w:t>.</w:t>
      </w:r>
    </w:p>
    <w:p>
      <w:pPr>
        <w:spacing w:after="0" w:line="204" w:lineRule="exact"/>
        <w:rPr>
          <w:sz w:val="20"/>
          <w:szCs w:val="20"/>
          <w:color w:val="auto"/>
        </w:rPr>
      </w:pPr>
    </w:p>
    <w:p>
      <w:pPr>
        <w:ind w:left="1740"/>
        <w:spacing w:after="0"/>
        <w:rPr>
          <w:sz w:val="20"/>
          <w:szCs w:val="20"/>
          <w:color w:val="auto"/>
        </w:rPr>
      </w:pPr>
      <w:r>
        <w:rPr>
          <w:rFonts w:ascii="Arial" w:cs="Arial" w:eastAsia="Arial" w:hAnsi="Arial"/>
          <w:sz w:val="14"/>
          <w:szCs w:val="14"/>
          <w:color w:val="auto"/>
        </w:rPr>
        <w:t>“</w:t>
      </w:r>
      <w:r>
        <w:rPr>
          <w:rFonts w:ascii="Arial" w:cs="Arial" w:eastAsia="Arial" w:hAnsi="Arial"/>
          <w:sz w:val="14"/>
          <w:szCs w:val="14"/>
          <w:u w:val="single" w:color="auto"/>
          <w:color w:val="auto"/>
        </w:rPr>
        <w:t>Original Currency</w:t>
      </w:r>
      <w:r>
        <w:rPr>
          <w:rFonts w:ascii="Arial" w:cs="Arial" w:eastAsia="Arial" w:hAnsi="Arial"/>
          <w:sz w:val="14"/>
          <w:szCs w:val="14"/>
          <w:color w:val="auto"/>
        </w:rPr>
        <w:t xml:space="preserve">” has the meaning assigned to such term in </w:t>
      </w:r>
      <w:r>
        <w:rPr>
          <w:rFonts w:ascii="Arial" w:cs="Arial" w:eastAsia="Arial" w:hAnsi="Arial"/>
          <w:sz w:val="14"/>
          <w:szCs w:val="14"/>
          <w:u w:val="single" w:color="auto"/>
          <w:color w:val="auto"/>
        </w:rPr>
        <w:t>Section 2.17</w:t>
      </w:r>
      <w:r>
        <w:rPr>
          <w:rFonts w:ascii="Arial" w:cs="Arial" w:eastAsia="Arial" w:hAnsi="Arial"/>
          <w:sz w:val="14"/>
          <w:szCs w:val="14"/>
          <w:color w:val="auto"/>
        </w:rPr>
        <w:t>.</w:t>
      </w:r>
    </w:p>
    <w:p>
      <w:pPr>
        <w:spacing w:after="0" w:line="204" w:lineRule="exact"/>
        <w:rPr>
          <w:sz w:val="20"/>
          <w:szCs w:val="20"/>
          <w:color w:val="auto"/>
        </w:rPr>
      </w:pPr>
    </w:p>
    <w:p>
      <w:pPr>
        <w:ind w:left="1740"/>
        <w:spacing w:after="0"/>
        <w:rPr>
          <w:sz w:val="20"/>
          <w:szCs w:val="20"/>
          <w:color w:val="auto"/>
        </w:rPr>
      </w:pPr>
      <w:r>
        <w:rPr>
          <w:rFonts w:ascii="Arial" w:cs="Arial" w:eastAsia="Arial" w:hAnsi="Arial"/>
          <w:sz w:val="13"/>
          <w:szCs w:val="13"/>
          <w:color w:val="auto"/>
        </w:rPr>
        <w:t>“</w:t>
      </w:r>
      <w:r>
        <w:rPr>
          <w:rFonts w:ascii="Arial" w:cs="Arial" w:eastAsia="Arial" w:hAnsi="Arial"/>
          <w:sz w:val="13"/>
          <w:szCs w:val="13"/>
          <w:u w:val="single" w:color="auto"/>
          <w:color w:val="auto"/>
        </w:rPr>
        <w:t>Other Covered Indebtedness</w:t>
      </w:r>
      <w:r>
        <w:rPr>
          <w:rFonts w:ascii="Arial" w:cs="Arial" w:eastAsia="Arial" w:hAnsi="Arial"/>
          <w:sz w:val="13"/>
          <w:szCs w:val="13"/>
          <w:color w:val="auto"/>
        </w:rPr>
        <w:t>” means, collectively, Secured Longer-Term Indebtedness, Secured Shorter-Term Indebtedness and Unsecured Shorter-Term</w:t>
      </w:r>
    </w:p>
    <w:p>
      <w:pPr>
        <w:spacing w:after="0" w:line="11" w:lineRule="exact"/>
        <w:rPr>
          <w:sz w:val="20"/>
          <w:szCs w:val="20"/>
          <w:color w:val="auto"/>
        </w:rPr>
      </w:pPr>
    </w:p>
    <w:p>
      <w:pPr>
        <w:spacing w:after="0"/>
        <w:rPr>
          <w:sz w:val="20"/>
          <w:szCs w:val="20"/>
          <w:color w:val="auto"/>
        </w:rPr>
      </w:pPr>
      <w:r>
        <w:rPr>
          <w:rFonts w:ascii="Arial" w:cs="Arial" w:eastAsia="Arial" w:hAnsi="Arial"/>
          <w:sz w:val="14"/>
          <w:szCs w:val="14"/>
          <w:color w:val="auto"/>
        </w:rPr>
        <w:t>Indebtedness.</w:t>
      </w:r>
    </w:p>
    <w:p>
      <w:pPr>
        <w:spacing w:after="0" w:line="192" w:lineRule="exact"/>
        <w:rPr>
          <w:sz w:val="20"/>
          <w:szCs w:val="20"/>
          <w:color w:val="auto"/>
        </w:rPr>
      </w:pPr>
    </w:p>
    <w:p>
      <w:pPr>
        <w:jc w:val="both"/>
        <w:ind w:right="20" w:firstLine="1727"/>
        <w:spacing w:after="0" w:line="228" w:lineRule="auto"/>
        <w:rPr>
          <w:sz w:val="20"/>
          <w:szCs w:val="20"/>
          <w:color w:val="auto"/>
        </w:rPr>
      </w:pPr>
      <w:r>
        <w:rPr>
          <w:rFonts w:ascii="Arial" w:cs="Arial" w:eastAsia="Arial" w:hAnsi="Arial"/>
          <w:sz w:val="14"/>
          <w:szCs w:val="14"/>
          <w:color w:val="auto"/>
        </w:rPr>
        <w:t>“</w:t>
      </w:r>
      <w:r>
        <w:rPr>
          <w:rFonts w:ascii="Arial" w:cs="Arial" w:eastAsia="Arial" w:hAnsi="Arial"/>
          <w:sz w:val="14"/>
          <w:szCs w:val="14"/>
          <w:u w:val="single" w:color="auto"/>
          <w:color w:val="auto"/>
        </w:rPr>
        <w:t>Other Permitted Indebtedness</w:t>
      </w:r>
      <w:r>
        <w:rPr>
          <w:rFonts w:ascii="Arial" w:cs="Arial" w:eastAsia="Arial" w:hAnsi="Arial"/>
          <w:sz w:val="14"/>
          <w:szCs w:val="14"/>
          <w:color w:val="auto"/>
        </w:rPr>
        <w:t xml:space="preserve">” means (a) accrued expenses and current trade accounts payable incurred in the ordinary course of the Borrower’s business which are not overdue for a period of more than 90 days or which are being contested in good faith by appropriate proceedings, (b) Indebtedness (other than Indebtedness for borrowed money) arising in connection with transactions in the ordinary course of the Borrower’s business in connection with its purchasing of securities, loans, derivatives transactions, reverse repurchase agreements or dollar rolls to the extent such transactions are permitted under the Investment Company Act and the Borrower’s Investment Policies (after giving effect to any Permitted Policy Amendments), provided that such Indebtedness does not arise in connection with the purchase of Portfolio Investments other than Cash Equivalents and U.S. Government Securities and (c) Indebtedness in respect of judgments or awards that have been in force for less than the applicable period for taking an appeal so long as such judgments or awards do not constitute an Event of Default under </w:t>
      </w:r>
      <w:r>
        <w:rPr>
          <w:rFonts w:ascii="Arial" w:cs="Arial" w:eastAsia="Arial" w:hAnsi="Arial"/>
          <w:sz w:val="14"/>
          <w:szCs w:val="14"/>
          <w:u w:val="single" w:color="auto"/>
          <w:color w:val="auto"/>
        </w:rPr>
        <w:t>clause (l)</w:t>
      </w:r>
      <w:r>
        <w:rPr>
          <w:rFonts w:ascii="Arial" w:cs="Arial" w:eastAsia="Arial" w:hAnsi="Arial"/>
          <w:sz w:val="14"/>
          <w:szCs w:val="14"/>
          <w:color w:val="auto"/>
        </w:rPr>
        <w:t xml:space="preserve"> of </w:t>
      </w:r>
      <w:r>
        <w:rPr>
          <w:rFonts w:ascii="Arial" w:cs="Arial" w:eastAsia="Arial" w:hAnsi="Arial"/>
          <w:sz w:val="14"/>
          <w:szCs w:val="14"/>
          <w:u w:val="single" w:color="auto"/>
          <w:color w:val="auto"/>
        </w:rPr>
        <w:t>Article VII</w:t>
      </w:r>
      <w:r>
        <w:rPr>
          <w:rFonts w:ascii="Arial" w:cs="Arial" w:eastAsia="Arial" w:hAnsi="Arial"/>
          <w:sz w:val="14"/>
          <w:szCs w:val="14"/>
          <w:color w:val="auto"/>
        </w:rPr>
        <w:t>.</w:t>
      </w:r>
    </w:p>
    <w:p>
      <w:pPr>
        <w:spacing w:after="0" w:line="185" w:lineRule="exact"/>
        <w:rPr>
          <w:sz w:val="20"/>
          <w:szCs w:val="20"/>
          <w:color w:val="auto"/>
        </w:rPr>
      </w:pPr>
    </w:p>
    <w:p>
      <w:pPr>
        <w:jc w:val="both"/>
        <w:ind w:right="20" w:firstLine="1727"/>
        <w:spacing w:after="0" w:line="264" w:lineRule="auto"/>
        <w:rPr>
          <w:sz w:val="20"/>
          <w:szCs w:val="20"/>
          <w:color w:val="auto"/>
        </w:rPr>
      </w:pPr>
      <w:r>
        <w:rPr>
          <w:rFonts w:ascii="Arial" w:cs="Arial" w:eastAsia="Arial" w:hAnsi="Arial"/>
          <w:sz w:val="13"/>
          <w:szCs w:val="13"/>
          <w:color w:val="auto"/>
        </w:rPr>
        <w:t>“</w:t>
      </w:r>
      <w:r>
        <w:rPr>
          <w:rFonts w:ascii="Arial" w:cs="Arial" w:eastAsia="Arial" w:hAnsi="Arial"/>
          <w:sz w:val="13"/>
          <w:szCs w:val="13"/>
          <w:u w:val="single" w:color="auto"/>
          <w:color w:val="auto"/>
        </w:rPr>
        <w:t>Other Taxes</w:t>
      </w:r>
      <w:r>
        <w:rPr>
          <w:rFonts w:ascii="Arial" w:cs="Arial" w:eastAsia="Arial" w:hAnsi="Arial"/>
          <w:sz w:val="13"/>
          <w:szCs w:val="13"/>
          <w:color w:val="auto"/>
        </w:rPr>
        <w:t xml:space="preserve">” means any and all present or future stamp, court or documentary, intangible, recording, filing or similar Taxes, arising from any payment made under any Loan Document or from the execution, delivery, performance, enforcement or registration of, from the receipt or perfection of a security interest under, or otherwise with respect to, any Loan Document, excluding any such Taxes, resulting from an assignment by any Lender in accordance with </w:t>
      </w:r>
      <w:r>
        <w:rPr>
          <w:rFonts w:ascii="Arial" w:cs="Arial" w:eastAsia="Arial" w:hAnsi="Arial"/>
          <w:sz w:val="13"/>
          <w:szCs w:val="13"/>
          <w:u w:val="single" w:color="auto"/>
          <w:color w:val="auto"/>
        </w:rPr>
        <w:t>Section 9.04</w:t>
      </w:r>
      <w:r>
        <w:rPr>
          <w:rFonts w:ascii="Arial" w:cs="Arial" w:eastAsia="Arial" w:hAnsi="Arial"/>
          <w:sz w:val="13"/>
          <w:szCs w:val="13"/>
          <w:color w:val="auto"/>
        </w:rPr>
        <w:t xml:space="preserve"> hereof (unless such assignment is made pursuant to </w:t>
      </w:r>
      <w:r>
        <w:rPr>
          <w:rFonts w:ascii="Arial" w:cs="Arial" w:eastAsia="Arial" w:hAnsi="Arial"/>
          <w:sz w:val="13"/>
          <w:szCs w:val="13"/>
          <w:u w:val="single" w:color="auto"/>
          <w:color w:val="auto"/>
        </w:rPr>
        <w:t>Section 2.18(b)</w:t>
      </w:r>
      <w:r>
        <w:rPr>
          <w:rFonts w:ascii="Arial" w:cs="Arial" w:eastAsia="Arial" w:hAnsi="Arial"/>
          <w:sz w:val="13"/>
          <w:szCs w:val="13"/>
          <w:color w:val="auto"/>
        </w:rPr>
        <w:t>).</w:t>
      </w:r>
    </w:p>
    <w:p>
      <w:pPr>
        <w:spacing w:after="0" w:line="168" w:lineRule="exact"/>
        <w:rPr>
          <w:sz w:val="20"/>
          <w:szCs w:val="20"/>
          <w:color w:val="auto"/>
        </w:rPr>
      </w:pPr>
    </w:p>
    <w:p>
      <w:pPr>
        <w:ind w:left="1740"/>
        <w:spacing w:after="0"/>
        <w:rPr>
          <w:sz w:val="20"/>
          <w:szCs w:val="20"/>
          <w:color w:val="auto"/>
        </w:rPr>
      </w:pPr>
      <w:r>
        <w:rPr>
          <w:rFonts w:ascii="Arial" w:cs="Arial" w:eastAsia="Arial" w:hAnsi="Arial"/>
          <w:sz w:val="14"/>
          <w:szCs w:val="14"/>
          <w:color w:val="auto"/>
        </w:rPr>
        <w:t>“</w:t>
      </w:r>
      <w:r>
        <w:rPr>
          <w:rFonts w:ascii="Arial" w:cs="Arial" w:eastAsia="Arial" w:hAnsi="Arial"/>
          <w:sz w:val="14"/>
          <w:szCs w:val="14"/>
          <w:u w:val="single" w:color="auto"/>
          <w:color w:val="auto"/>
        </w:rPr>
        <w:t>Participant</w:t>
      </w:r>
      <w:r>
        <w:rPr>
          <w:rFonts w:ascii="Arial" w:cs="Arial" w:eastAsia="Arial" w:hAnsi="Arial"/>
          <w:sz w:val="14"/>
          <w:szCs w:val="14"/>
          <w:color w:val="auto"/>
        </w:rPr>
        <w:t xml:space="preserve">” has the meaning assigned to such term in </w:t>
      </w:r>
      <w:r>
        <w:rPr>
          <w:rFonts w:ascii="Arial" w:cs="Arial" w:eastAsia="Arial" w:hAnsi="Arial"/>
          <w:sz w:val="14"/>
          <w:szCs w:val="14"/>
          <w:u w:val="single" w:color="auto"/>
          <w:color w:val="auto"/>
        </w:rPr>
        <w:t>Section 9.04</w:t>
      </w:r>
      <w:r>
        <w:rPr>
          <w:rFonts w:ascii="Arial" w:cs="Arial" w:eastAsia="Arial" w:hAnsi="Arial"/>
          <w:sz w:val="14"/>
          <w:szCs w:val="14"/>
          <w:color w:val="auto"/>
        </w:rPr>
        <w:t>.</w:t>
      </w:r>
    </w:p>
    <w:p>
      <w:pPr>
        <w:spacing w:after="0" w:line="204" w:lineRule="exact"/>
        <w:rPr>
          <w:sz w:val="20"/>
          <w:szCs w:val="20"/>
          <w:color w:val="auto"/>
        </w:rPr>
      </w:pPr>
    </w:p>
    <w:p>
      <w:pPr>
        <w:ind w:left="1740"/>
        <w:spacing w:after="0"/>
        <w:rPr>
          <w:sz w:val="20"/>
          <w:szCs w:val="20"/>
          <w:color w:val="auto"/>
        </w:rPr>
      </w:pPr>
      <w:r>
        <w:rPr>
          <w:rFonts w:ascii="Arial" w:cs="Arial" w:eastAsia="Arial" w:hAnsi="Arial"/>
          <w:sz w:val="14"/>
          <w:szCs w:val="14"/>
          <w:color w:val="auto"/>
        </w:rPr>
        <w:t>“</w:t>
      </w:r>
      <w:r>
        <w:rPr>
          <w:rFonts w:ascii="Arial" w:cs="Arial" w:eastAsia="Arial" w:hAnsi="Arial"/>
          <w:sz w:val="14"/>
          <w:szCs w:val="14"/>
          <w:u w:val="single" w:color="auto"/>
          <w:color w:val="auto"/>
        </w:rPr>
        <w:t>Participant Register</w:t>
      </w:r>
      <w:r>
        <w:rPr>
          <w:rFonts w:ascii="Arial" w:cs="Arial" w:eastAsia="Arial" w:hAnsi="Arial"/>
          <w:sz w:val="14"/>
          <w:szCs w:val="14"/>
          <w:color w:val="auto"/>
        </w:rPr>
        <w:t xml:space="preserve">” has the meaning assigned to such term in </w:t>
      </w:r>
      <w:r>
        <w:rPr>
          <w:rFonts w:ascii="Arial" w:cs="Arial" w:eastAsia="Arial" w:hAnsi="Arial"/>
          <w:sz w:val="14"/>
          <w:szCs w:val="14"/>
          <w:u w:val="single" w:color="auto"/>
          <w:color w:val="auto"/>
        </w:rPr>
        <w:t>Section 9.04</w:t>
      </w:r>
      <w:r>
        <w:rPr>
          <w:rFonts w:ascii="Arial" w:cs="Arial" w:eastAsia="Arial" w:hAnsi="Arial"/>
          <w:sz w:val="14"/>
          <w:szCs w:val="14"/>
          <w:color w:val="auto"/>
        </w:rPr>
        <w:t>.</w:t>
      </w:r>
    </w:p>
    <w:p>
      <w:pPr>
        <w:spacing w:after="0" w:line="204" w:lineRule="exact"/>
        <w:rPr>
          <w:sz w:val="20"/>
          <w:szCs w:val="20"/>
          <w:color w:val="auto"/>
        </w:rPr>
      </w:pPr>
    </w:p>
    <w:p>
      <w:pPr>
        <w:jc w:val="both"/>
        <w:ind w:right="20" w:firstLine="1727"/>
        <w:spacing w:after="0" w:line="253" w:lineRule="auto"/>
        <w:rPr>
          <w:sz w:val="20"/>
          <w:szCs w:val="20"/>
          <w:color w:val="auto"/>
        </w:rPr>
      </w:pPr>
      <w:r>
        <w:rPr>
          <w:rFonts w:ascii="Arial" w:cs="Arial" w:eastAsia="Arial" w:hAnsi="Arial"/>
          <w:sz w:val="14"/>
          <w:szCs w:val="14"/>
          <w:color w:val="auto"/>
        </w:rPr>
        <w:t>“</w:t>
      </w:r>
      <w:r>
        <w:rPr>
          <w:rFonts w:ascii="Arial" w:cs="Arial" w:eastAsia="Arial" w:hAnsi="Arial"/>
          <w:sz w:val="14"/>
          <w:szCs w:val="14"/>
          <w:u w:val="single" w:color="auto"/>
          <w:color w:val="auto"/>
        </w:rPr>
        <w:t>Participating Member State</w:t>
      </w:r>
      <w:r>
        <w:rPr>
          <w:rFonts w:ascii="Arial" w:cs="Arial" w:eastAsia="Arial" w:hAnsi="Arial"/>
          <w:sz w:val="14"/>
          <w:szCs w:val="14"/>
          <w:color w:val="auto"/>
        </w:rPr>
        <w:t>” means any member state of the European Community that adopts or has adopted the Euro as its lawful currency in accordance with the legislation of the European Union relating to the European Monetary Union.</w:t>
      </w:r>
    </w:p>
    <w:p>
      <w:pPr>
        <w:spacing w:after="0" w:line="200" w:lineRule="exact"/>
        <w:rPr>
          <w:sz w:val="20"/>
          <w:szCs w:val="20"/>
          <w:color w:val="auto"/>
        </w:rPr>
      </w:pPr>
    </w:p>
    <w:p>
      <w:pPr>
        <w:spacing w:after="0" w:line="39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7580" w:type="dxa"/>
            <w:vAlign w:val="bottom"/>
          </w:tcPr>
          <w:p>
            <w:pPr>
              <w:jc w:val="right"/>
              <w:ind w:right="1808"/>
              <w:spacing w:after="0"/>
              <w:rPr>
                <w:sz w:val="20"/>
                <w:szCs w:val="20"/>
                <w:color w:val="auto"/>
              </w:rPr>
            </w:pPr>
            <w:r>
              <w:rPr>
                <w:rFonts w:ascii="Arial" w:cs="Arial" w:eastAsia="Arial" w:hAnsi="Arial"/>
                <w:sz w:val="14"/>
                <w:szCs w:val="14"/>
                <w:color w:val="auto"/>
              </w:rPr>
              <w:t>13</w:t>
            </w:r>
          </w:p>
        </w:tc>
        <w:tc>
          <w:tcPr>
            <w:tcW w:w="3680" w:type="dxa"/>
            <w:vAlign w:val="bottom"/>
          </w:tcPr>
          <w:p>
            <w:pPr>
              <w:jc w:val="right"/>
              <w:spacing w:after="0"/>
              <w:rPr>
                <w:sz w:val="20"/>
                <w:szCs w:val="20"/>
                <w:color w:val="auto"/>
              </w:rPr>
            </w:pPr>
            <w:r>
              <w:rPr>
                <w:rFonts w:ascii="Arial" w:cs="Arial" w:eastAsia="Arial" w:hAnsi="Arial"/>
                <w:sz w:val="14"/>
                <w:szCs w:val="14"/>
                <w:i w:val="1"/>
                <w:iCs w:val="1"/>
                <w:color w:val="auto"/>
              </w:rPr>
              <w:t>Second Amended and Restated</w:t>
            </w:r>
          </w:p>
        </w:tc>
      </w:tr>
      <w:tr>
        <w:trPr>
          <w:trHeight w:val="182"/>
        </w:trPr>
        <w:tc>
          <w:tcPr>
            <w:tcW w:w="7580" w:type="dxa"/>
            <w:vAlign w:val="bottom"/>
          </w:tcPr>
          <w:p>
            <w:pPr>
              <w:spacing w:after="0"/>
              <w:rPr>
                <w:sz w:val="15"/>
                <w:szCs w:val="15"/>
                <w:color w:val="auto"/>
              </w:rPr>
            </w:pPr>
          </w:p>
        </w:tc>
        <w:tc>
          <w:tcPr>
            <w:tcW w:w="3680" w:type="dxa"/>
            <w:vAlign w:val="bottom"/>
          </w:tcPr>
          <w:p>
            <w:pPr>
              <w:jc w:val="right"/>
              <w:spacing w:after="0"/>
              <w:rPr>
                <w:sz w:val="20"/>
                <w:szCs w:val="20"/>
                <w:color w:val="auto"/>
              </w:rPr>
            </w:pPr>
            <w:r>
              <w:rPr>
                <w:rFonts w:ascii="Arial" w:cs="Arial" w:eastAsia="Arial" w:hAnsi="Arial"/>
                <w:sz w:val="14"/>
                <w:szCs w:val="14"/>
                <w:i w:val="1"/>
                <w:iCs w:val="1"/>
                <w:color w:val="auto"/>
              </w:rPr>
              <w:t>Revolving Credit Agreement</w:t>
            </w:r>
          </w:p>
        </w:tc>
      </w:tr>
      <w:tr>
        <w:trPr>
          <w:trHeight w:val="316"/>
        </w:trPr>
        <w:tc>
          <w:tcPr>
            <w:tcW w:w="7580" w:type="dxa"/>
            <w:vAlign w:val="bottom"/>
            <w:tcBorders>
              <w:bottom w:val="single" w:sz="8" w:color="9A9A9A"/>
            </w:tcBorders>
          </w:tcPr>
          <w:p>
            <w:pPr>
              <w:spacing w:after="0"/>
              <w:rPr>
                <w:sz w:val="24"/>
                <w:szCs w:val="24"/>
                <w:color w:val="auto"/>
              </w:rPr>
            </w:pPr>
          </w:p>
        </w:tc>
        <w:tc>
          <w:tcPr>
            <w:tcW w:w="368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7145655</wp:posOffset>
            </wp:positionH>
            <wp:positionV relativeFrom="paragraph">
              <wp:posOffset>-8255</wp:posOffset>
            </wp:positionV>
            <wp:extent cx="8255" cy="8890"/>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38">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-16510</wp:posOffset>
            </wp:positionV>
            <wp:extent cx="8890" cy="17145"/>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39">
                      <a:extLst>
                        <a:ext uri="{28A0092B-C50C-407E-A947-70E740481C1C}"/>
                      </a:extLst>
                    </a:blip>
                    <a:srcRect/>
                    <a:stretch>
                      <a:fillRect/>
                    </a:stretch>
                  </pic:blipFill>
                  <pic:spPr bwMode="auto">
                    <a:xfrm>
                      <a:off x="0" y="0"/>
                      <a:ext cx="8890" cy="17145"/>
                    </a:xfrm>
                    <a:prstGeom prst="rect">
                      <a:avLst/>
                    </a:prstGeom>
                    <a:noFill/>
                  </pic:spPr>
                </pic:pic>
              </a:graphicData>
            </a:graphic>
          </wp:anchor>
        </w:drawing>
      </w:r>
    </w:p>
    <w:p>
      <w:pPr>
        <w:sectPr>
          <w:pgSz w:w="11900" w:h="16838" w:orient="portrait"/>
          <w:cols w:equalWidth="0" w:num="1">
            <w:col w:w="11260"/>
          </w:cols>
          <w:pgMar w:left="320" w:top="337" w:right="319" w:bottom="1440" w:gutter="0" w:footer="0" w:header="0"/>
        </w:sectPr>
      </w:pPr>
    </w:p>
    <w:bookmarkStart w:id="76" w:name="page77"/>
    <w:bookmarkEnd w:id="76"/>
    <w:p>
      <w:pPr>
        <w:ind w:left="1740"/>
        <w:spacing w:after="0"/>
        <w:rPr>
          <w:sz w:val="20"/>
          <w:szCs w:val="20"/>
          <w:color w:val="auto"/>
        </w:rPr>
      </w:pPr>
      <w:r>
        <w:rPr>
          <w:rFonts w:ascii="Arial" w:cs="Arial" w:eastAsia="Arial" w:hAnsi="Arial"/>
          <w:sz w:val="14"/>
          <w:szCs w:val="14"/>
          <w:color w:val="auto"/>
        </w:rPr>
        <w:t>“</w:t>
      </w:r>
      <w:r>
        <w:rPr>
          <w:rFonts w:ascii="Arial" w:cs="Arial" w:eastAsia="Arial" w:hAnsi="Arial"/>
          <w:sz w:val="14"/>
          <w:szCs w:val="14"/>
          <w:u w:val="single" w:color="auto"/>
          <w:color w:val="auto"/>
        </w:rPr>
        <w:t>PBGC</w:t>
      </w:r>
      <w:r>
        <w:rPr>
          <w:rFonts w:ascii="Arial" w:cs="Arial" w:eastAsia="Arial" w:hAnsi="Arial"/>
          <w:sz w:val="14"/>
          <w:szCs w:val="14"/>
          <w:color w:val="auto"/>
        </w:rPr>
        <w:t>” means the Pension Benefit Guaranty Corporation referred to and defined in ERISA and any successor entity performing similar functions.</w:t>
      </w:r>
    </w:p>
    <w:p>
      <w:pPr>
        <w:spacing w:after="0" w:line="204" w:lineRule="exact"/>
        <w:rPr>
          <w:sz w:val="20"/>
          <w:szCs w:val="20"/>
          <w:color w:val="auto"/>
        </w:rPr>
      </w:pPr>
    </w:p>
    <w:p>
      <w:pPr>
        <w:ind w:left="1740"/>
        <w:spacing w:after="0"/>
        <w:rPr>
          <w:sz w:val="20"/>
          <w:szCs w:val="20"/>
          <w:color w:val="auto"/>
        </w:rPr>
      </w:pPr>
      <w:r>
        <w:rPr>
          <w:rFonts w:ascii="Arial" w:cs="Arial" w:eastAsia="Arial" w:hAnsi="Arial"/>
          <w:sz w:val="13"/>
          <w:szCs w:val="13"/>
          <w:color w:val="auto"/>
        </w:rPr>
        <w:t>“</w:t>
      </w:r>
      <w:r>
        <w:rPr>
          <w:rFonts w:ascii="Arial" w:cs="Arial" w:eastAsia="Arial" w:hAnsi="Arial"/>
          <w:sz w:val="13"/>
          <w:szCs w:val="13"/>
          <w:u w:val="single" w:color="auto"/>
          <w:color w:val="auto"/>
        </w:rPr>
        <w:t>Permitted Convertible Indebtedness</w:t>
      </w:r>
      <w:r>
        <w:rPr>
          <w:rFonts w:ascii="Arial" w:cs="Arial" w:eastAsia="Arial" w:hAnsi="Arial"/>
          <w:sz w:val="13"/>
          <w:szCs w:val="13"/>
          <w:color w:val="auto"/>
        </w:rPr>
        <w:t>” means Indebtedness incurred by an Obligor that is convertible solely into Permitted Equity Interests of the Borrower.</w:t>
      </w:r>
    </w:p>
    <w:p>
      <w:pPr>
        <w:spacing w:after="0" w:line="215" w:lineRule="exact"/>
        <w:rPr>
          <w:sz w:val="20"/>
          <w:szCs w:val="20"/>
          <w:color w:val="auto"/>
        </w:rPr>
      </w:pPr>
    </w:p>
    <w:p>
      <w:pPr>
        <w:jc w:val="both"/>
        <w:ind w:right="40" w:firstLine="1727"/>
        <w:spacing w:after="0" w:line="253" w:lineRule="auto"/>
        <w:rPr>
          <w:sz w:val="20"/>
          <w:szCs w:val="20"/>
          <w:color w:val="auto"/>
        </w:rPr>
      </w:pPr>
      <w:r>
        <w:rPr>
          <w:rFonts w:ascii="Arial" w:cs="Arial" w:eastAsia="Arial" w:hAnsi="Arial"/>
          <w:sz w:val="14"/>
          <w:szCs w:val="14"/>
          <w:color w:val="auto"/>
        </w:rPr>
        <w:t>“</w:t>
      </w:r>
      <w:r>
        <w:rPr>
          <w:rFonts w:ascii="Arial" w:cs="Arial" w:eastAsia="Arial" w:hAnsi="Arial"/>
          <w:sz w:val="14"/>
          <w:szCs w:val="14"/>
          <w:u w:val="single" w:color="auto"/>
          <w:color w:val="auto"/>
        </w:rPr>
        <w:t>Permitted Equity Interests</w:t>
      </w:r>
      <w:r>
        <w:rPr>
          <w:rFonts w:ascii="Arial" w:cs="Arial" w:eastAsia="Arial" w:hAnsi="Arial"/>
          <w:sz w:val="14"/>
          <w:szCs w:val="14"/>
          <w:color w:val="auto"/>
        </w:rPr>
        <w:t>” means common stock of the Borrower that after its issuance is not subject to any agreement between the holder of such common stock and the Borrower where the Borrower is required to purchase, redeem, retire, acquire, cancel or terminate any such common stock.</w:t>
      </w:r>
    </w:p>
    <w:p>
      <w:pPr>
        <w:spacing w:after="0" w:line="174" w:lineRule="exact"/>
        <w:rPr>
          <w:sz w:val="20"/>
          <w:szCs w:val="20"/>
          <w:color w:val="auto"/>
        </w:rPr>
      </w:pPr>
    </w:p>
    <w:p>
      <w:pPr>
        <w:jc w:val="both"/>
        <w:ind w:right="40" w:firstLine="1727"/>
        <w:spacing w:after="0" w:line="253" w:lineRule="auto"/>
        <w:rPr>
          <w:sz w:val="20"/>
          <w:szCs w:val="20"/>
          <w:color w:val="auto"/>
        </w:rPr>
      </w:pPr>
      <w:r>
        <w:rPr>
          <w:rFonts w:ascii="Arial" w:cs="Arial" w:eastAsia="Arial" w:hAnsi="Arial"/>
          <w:sz w:val="14"/>
          <w:szCs w:val="14"/>
          <w:color w:val="auto"/>
        </w:rPr>
        <w:t>“</w:t>
      </w:r>
      <w:r>
        <w:rPr>
          <w:rFonts w:ascii="Arial" w:cs="Arial" w:eastAsia="Arial" w:hAnsi="Arial"/>
          <w:sz w:val="14"/>
          <w:szCs w:val="14"/>
          <w:u w:val="single" w:color="auto"/>
          <w:color w:val="auto"/>
        </w:rPr>
        <w:t>Permitted Indebtedness</w:t>
      </w:r>
      <w:r>
        <w:rPr>
          <w:rFonts w:ascii="Arial" w:cs="Arial" w:eastAsia="Arial" w:hAnsi="Arial"/>
          <w:sz w:val="14"/>
          <w:szCs w:val="14"/>
          <w:color w:val="auto"/>
        </w:rPr>
        <w:t>” means Permitted Convertible Indebtedness, the 2019 Notes and any other unsecured Indebtedness, in each case designated by the Borrower as “Permitted Indebtedness” in writing to the Administrative Agent.</w:t>
      </w:r>
    </w:p>
    <w:p>
      <w:pPr>
        <w:spacing w:after="0" w:line="174" w:lineRule="exact"/>
        <w:rPr>
          <w:sz w:val="20"/>
          <w:szCs w:val="20"/>
          <w:color w:val="auto"/>
        </w:rPr>
      </w:pPr>
    </w:p>
    <w:p>
      <w:pPr>
        <w:jc w:val="both"/>
        <w:ind w:right="20" w:firstLine="1727"/>
        <w:spacing w:after="0" w:line="241" w:lineRule="auto"/>
        <w:rPr>
          <w:sz w:val="20"/>
          <w:szCs w:val="20"/>
          <w:color w:val="auto"/>
        </w:rPr>
      </w:pPr>
      <w:r>
        <w:rPr>
          <w:rFonts w:ascii="Arial" w:cs="Arial" w:eastAsia="Arial" w:hAnsi="Arial"/>
          <w:sz w:val="13"/>
          <w:szCs w:val="13"/>
          <w:color w:val="auto"/>
        </w:rPr>
        <w:t>“</w:t>
      </w:r>
      <w:r>
        <w:rPr>
          <w:rFonts w:ascii="Arial" w:cs="Arial" w:eastAsia="Arial" w:hAnsi="Arial"/>
          <w:sz w:val="13"/>
          <w:szCs w:val="13"/>
          <w:u w:val="single" w:color="auto"/>
          <w:color w:val="auto"/>
        </w:rPr>
        <w:t>Permitted Liens</w:t>
      </w:r>
      <w:r>
        <w:rPr>
          <w:rFonts w:ascii="Arial" w:cs="Arial" w:eastAsia="Arial" w:hAnsi="Arial"/>
          <w:sz w:val="13"/>
          <w:szCs w:val="13"/>
          <w:color w:val="auto"/>
        </w:rPr>
        <w:t xml:space="preserve">” means (a) Liens imposed by any Governmental Authority for taxes, assessments or charges not yet due or that are being contested in good faith and by appropriate proceedings if adequate reserves with respect thereto are maintained on the books of the Borrower in accordance with GAAP; (b) Liens of clearing agencies, broker-dealers and similar Liens incurred in the ordinary course of business, provided that such Liens (i) attach only to the securities (or proceeds) being purchased or sold and (ii) secure only obligations incurred in connection with such purchase or sale, and not any obligation in connection with margin financing; (c) Liens imposed by law, such as materialmen’s, mechanics’, carriers’, workmens’, storage and repairmen’s Liens and other similar Liens arising in the ordinary course of business and securing obligations (other than Indebtedness for borrowed money) not yet due or that are being contested in good faith and by appropriate proceedings if adequate reserves with respect thereto are maintained on the books of the Borrower in accordance with GAAP; (d) Liens incurred or pledges or deposits made to secure obligations incurred in the ordinary course of business under workers’ compensation laws, unemployment insurance or other similar social security legislation (other than in respect of employee benefit plans subject to ERISA) or to secure public or statutory obligations; (e) Liens securing the performance of, or payment in respect of, bids, insurance premiums, deductibles or co-insured amounts, tenders, government or utility contracts (other than for the repayment of borrowed money), surety, stay, customs and appeal bonds and other obligations of a similar nature incurred in the ordinary course of business; (f) Liens arising out of judgments or awards that have been in force for less than the applicable period for taking an appeal so long as such judgments or awards do not constitute an Event of Default under </w:t>
      </w:r>
      <w:r>
        <w:rPr>
          <w:rFonts w:ascii="Arial" w:cs="Arial" w:eastAsia="Arial" w:hAnsi="Arial"/>
          <w:sz w:val="13"/>
          <w:szCs w:val="13"/>
          <w:u w:val="single" w:color="auto"/>
          <w:color w:val="auto"/>
        </w:rPr>
        <w:t>clause (l)</w:t>
      </w:r>
      <w:r>
        <w:rPr>
          <w:rFonts w:ascii="Arial" w:cs="Arial" w:eastAsia="Arial" w:hAnsi="Arial"/>
          <w:sz w:val="13"/>
          <w:szCs w:val="13"/>
          <w:color w:val="auto"/>
        </w:rPr>
        <w:t xml:space="preserve"> of </w:t>
      </w:r>
      <w:r>
        <w:rPr>
          <w:rFonts w:ascii="Arial" w:cs="Arial" w:eastAsia="Arial" w:hAnsi="Arial"/>
          <w:sz w:val="13"/>
          <w:szCs w:val="13"/>
          <w:u w:val="single" w:color="auto"/>
          <w:color w:val="auto"/>
        </w:rPr>
        <w:t>Article VII</w:t>
      </w:r>
      <w:r>
        <w:rPr>
          <w:rFonts w:ascii="Arial" w:cs="Arial" w:eastAsia="Arial" w:hAnsi="Arial"/>
          <w:sz w:val="13"/>
          <w:szCs w:val="13"/>
          <w:color w:val="auto"/>
        </w:rPr>
        <w:t>; (g) customary rights of setoff and liens upon (i) deposits of cash in favor of banks or other depository institutions in which such cash is maintained in the ordinary course of business, (ii) cash and financial assets held in securities accounts in favor of banks and other financial institutions with which such accounts are maintained in the ordinary course of business and (iii) assets held by a custodian in favor of such custodian in the ordinary course of business securing payment of fees, indemnities and other similar obligations; (h) Liens arising solely from precautionary filings of financing statements under the Uniform Commercial Code of the applicable jurisdictions in respect of operating leases entered into by the Borrower or any of its Subsidiaries in the ordinary course of business or in respect of assets sold or otherwise disposed of to a non-Obligor in a transaction permitted by this Agreement; and (i) deposits of money securing leases to which Borrower is a party as lessee made in the ordinary course of business.</w:t>
      </w:r>
    </w:p>
    <w:p>
      <w:pPr>
        <w:spacing w:after="0" w:line="190" w:lineRule="exact"/>
        <w:rPr>
          <w:sz w:val="20"/>
          <w:szCs w:val="20"/>
          <w:color w:val="auto"/>
        </w:rPr>
      </w:pPr>
    </w:p>
    <w:p>
      <w:pPr>
        <w:jc w:val="both"/>
        <w:ind w:right="20" w:firstLine="1727"/>
        <w:spacing w:after="0" w:line="231" w:lineRule="auto"/>
        <w:rPr>
          <w:sz w:val="20"/>
          <w:szCs w:val="20"/>
          <w:color w:val="auto"/>
        </w:rPr>
      </w:pPr>
      <w:r>
        <w:rPr>
          <w:rFonts w:ascii="Arial" w:cs="Arial" w:eastAsia="Arial" w:hAnsi="Arial"/>
          <w:sz w:val="14"/>
          <w:szCs w:val="14"/>
          <w:color w:val="auto"/>
        </w:rPr>
        <w:t>“</w:t>
      </w:r>
      <w:r>
        <w:rPr>
          <w:rFonts w:ascii="Arial" w:cs="Arial" w:eastAsia="Arial" w:hAnsi="Arial"/>
          <w:sz w:val="14"/>
          <w:szCs w:val="14"/>
          <w:u w:val="single" w:color="auto"/>
          <w:color w:val="auto"/>
        </w:rPr>
        <w:t>Permitted Policy Amendment</w:t>
      </w:r>
      <w:r>
        <w:rPr>
          <w:rFonts w:ascii="Arial" w:cs="Arial" w:eastAsia="Arial" w:hAnsi="Arial"/>
          <w:sz w:val="14"/>
          <w:szCs w:val="14"/>
          <w:color w:val="auto"/>
        </w:rPr>
        <w:t>” means any change, alteration, expansion, amendment, modification, termination or restatement of the Investment Policies, that is either (a) approved in writing by the Administrative Agent (with the consent of the Required Lenders), (b) required by applicable law, rule, regulation or Governmental Authority, or (c) not materially adverse to the rights, remedies or interests of the Lenders in the reasonable discretion of the Administrative Agent (for the avoidance of doubt, no change, alteration, expansion, amendment, modification, termination or restatement of the Investment Policies shall be deemed “material” if (i) investment size proportionately increases as the size of the Borrower’s capital base changes or (ii) the Borrower and its Subsidiaries, taken as a whole, invest up to 30% of their assets in non-U.S. companies).</w:t>
      </w:r>
    </w:p>
    <w:p>
      <w:pPr>
        <w:spacing w:after="0" w:line="184" w:lineRule="exact"/>
        <w:rPr>
          <w:sz w:val="20"/>
          <w:szCs w:val="20"/>
          <w:color w:val="auto"/>
        </w:rPr>
      </w:pPr>
    </w:p>
    <w:p>
      <w:pPr>
        <w:jc w:val="both"/>
        <w:ind w:right="20" w:firstLine="1727"/>
        <w:spacing w:after="0" w:line="264" w:lineRule="auto"/>
        <w:rPr>
          <w:sz w:val="20"/>
          <w:szCs w:val="20"/>
          <w:color w:val="auto"/>
        </w:rPr>
      </w:pPr>
      <w:r>
        <w:rPr>
          <w:rFonts w:ascii="Arial" w:cs="Arial" w:eastAsia="Arial" w:hAnsi="Arial"/>
          <w:sz w:val="13"/>
          <w:szCs w:val="13"/>
          <w:color w:val="auto"/>
        </w:rPr>
        <w:t>“</w:t>
      </w:r>
      <w:r>
        <w:rPr>
          <w:rFonts w:ascii="Arial" w:cs="Arial" w:eastAsia="Arial" w:hAnsi="Arial"/>
          <w:sz w:val="13"/>
          <w:szCs w:val="13"/>
          <w:u w:val="single" w:color="auto"/>
          <w:color w:val="auto"/>
        </w:rPr>
        <w:t>Permitted SBIC Guarantee</w:t>
      </w:r>
      <w:r>
        <w:rPr>
          <w:rFonts w:ascii="Arial" w:cs="Arial" w:eastAsia="Arial" w:hAnsi="Arial"/>
          <w:sz w:val="13"/>
          <w:szCs w:val="13"/>
          <w:color w:val="auto"/>
        </w:rPr>
        <w:t>” means a guarantee by the Borrower of Indebtedness of an SBIC Subsidiary on the SBA’s then applicable form, provided that the recourse to the Borrower thereunder is expressly limited only to periods after the occurrence of an event or condition that is an impermissible change in the control of such SBIC Subsidiary (it being understood that, as provided in clause (s) of Article VII, it shall be an Event of Default hereunder if any such event or condition giving rise to such recourse occurs).</w:t>
      </w:r>
    </w:p>
    <w:p>
      <w:pPr>
        <w:spacing w:after="0" w:line="168" w:lineRule="exact"/>
        <w:rPr>
          <w:sz w:val="20"/>
          <w:szCs w:val="20"/>
          <w:color w:val="auto"/>
        </w:rPr>
      </w:pPr>
    </w:p>
    <w:p>
      <w:pPr>
        <w:ind w:left="1740"/>
        <w:spacing w:after="0"/>
        <w:rPr>
          <w:sz w:val="20"/>
          <w:szCs w:val="20"/>
          <w:color w:val="auto"/>
        </w:rPr>
      </w:pPr>
      <w:r>
        <w:rPr>
          <w:rFonts w:ascii="Arial" w:cs="Arial" w:eastAsia="Arial" w:hAnsi="Arial"/>
          <w:sz w:val="13"/>
          <w:szCs w:val="13"/>
          <w:color w:val="auto"/>
        </w:rPr>
        <w:t>“</w:t>
      </w:r>
      <w:r>
        <w:rPr>
          <w:rFonts w:ascii="Arial" w:cs="Arial" w:eastAsia="Arial" w:hAnsi="Arial"/>
          <w:sz w:val="13"/>
          <w:szCs w:val="13"/>
          <w:u w:val="single" w:color="auto"/>
          <w:color w:val="auto"/>
        </w:rPr>
        <w:t>Person</w:t>
      </w:r>
      <w:r>
        <w:rPr>
          <w:rFonts w:ascii="Arial" w:cs="Arial" w:eastAsia="Arial" w:hAnsi="Arial"/>
          <w:sz w:val="13"/>
          <w:szCs w:val="13"/>
          <w:color w:val="auto"/>
        </w:rPr>
        <w:t>” means any natural person, corporation, limited liability company, trust, joint venture, association, company, partnership, Governmental Authority or other</w:t>
      </w:r>
    </w:p>
    <w:p>
      <w:pPr>
        <w:spacing w:after="0" w:line="11" w:lineRule="exact"/>
        <w:rPr>
          <w:sz w:val="20"/>
          <w:szCs w:val="20"/>
          <w:color w:val="auto"/>
        </w:rPr>
      </w:pPr>
    </w:p>
    <w:p>
      <w:pPr>
        <w:spacing w:after="0"/>
        <w:rPr>
          <w:sz w:val="20"/>
          <w:szCs w:val="20"/>
          <w:color w:val="auto"/>
        </w:rPr>
      </w:pPr>
      <w:r>
        <w:rPr>
          <w:rFonts w:ascii="Arial" w:cs="Arial" w:eastAsia="Arial" w:hAnsi="Arial"/>
          <w:sz w:val="14"/>
          <w:szCs w:val="14"/>
          <w:color w:val="auto"/>
        </w:rPr>
        <w:t>entity.</w:t>
      </w:r>
    </w:p>
    <w:p>
      <w:pPr>
        <w:spacing w:after="0" w:line="192" w:lineRule="exact"/>
        <w:rPr>
          <w:sz w:val="20"/>
          <w:szCs w:val="20"/>
          <w:color w:val="auto"/>
        </w:rPr>
      </w:pPr>
    </w:p>
    <w:p>
      <w:pPr>
        <w:jc w:val="both"/>
        <w:ind w:right="20" w:firstLine="1727"/>
        <w:spacing w:after="0" w:line="238" w:lineRule="auto"/>
        <w:rPr>
          <w:sz w:val="20"/>
          <w:szCs w:val="20"/>
          <w:color w:val="auto"/>
        </w:rPr>
      </w:pPr>
      <w:r>
        <w:rPr>
          <w:rFonts w:ascii="Arial" w:cs="Arial" w:eastAsia="Arial" w:hAnsi="Arial"/>
          <w:sz w:val="14"/>
          <w:szCs w:val="14"/>
          <w:color w:val="auto"/>
        </w:rPr>
        <w:t>“</w:t>
      </w:r>
      <w:r>
        <w:rPr>
          <w:rFonts w:ascii="Arial" w:cs="Arial" w:eastAsia="Arial" w:hAnsi="Arial"/>
          <w:sz w:val="14"/>
          <w:szCs w:val="14"/>
          <w:u w:val="single" w:color="auto"/>
          <w:color w:val="auto"/>
        </w:rPr>
        <w:t>Plan</w:t>
      </w:r>
      <w:r>
        <w:rPr>
          <w:rFonts w:ascii="Arial" w:cs="Arial" w:eastAsia="Arial" w:hAnsi="Arial"/>
          <w:sz w:val="14"/>
          <w:szCs w:val="14"/>
          <w:color w:val="auto"/>
        </w:rPr>
        <w:t>” means any employee pension benefit plan (other than a Multiemployer Plan) subject to the provisions of Title IV of ERISA or Section 412 of the Code or Section 302 of ERISA, and in respect of which the Borrower or any ERISA Affiliate is (or, if such plan were terminated, would under Section 4069 of ERISA be deemed to be) an “employer” as defined in Section 3(5) of ERISA.</w:t>
      </w:r>
    </w:p>
    <w:p>
      <w:pPr>
        <w:spacing w:after="0" w:line="183" w:lineRule="exact"/>
        <w:rPr>
          <w:sz w:val="20"/>
          <w:szCs w:val="20"/>
          <w:color w:val="auto"/>
        </w:rPr>
      </w:pPr>
    </w:p>
    <w:p>
      <w:pPr>
        <w:ind w:left="1740"/>
        <w:spacing w:after="0"/>
        <w:rPr>
          <w:sz w:val="20"/>
          <w:szCs w:val="20"/>
          <w:color w:val="auto"/>
        </w:rPr>
      </w:pPr>
      <w:r>
        <w:rPr>
          <w:rFonts w:ascii="Arial" w:cs="Arial" w:eastAsia="Arial" w:hAnsi="Arial"/>
          <w:sz w:val="14"/>
          <w:szCs w:val="14"/>
          <w:color w:val="auto"/>
        </w:rPr>
        <w:t>“</w:t>
      </w:r>
      <w:r>
        <w:rPr>
          <w:rFonts w:ascii="Arial" w:cs="Arial" w:eastAsia="Arial" w:hAnsi="Arial"/>
          <w:sz w:val="14"/>
          <w:szCs w:val="14"/>
          <w:u w:val="single" w:color="auto"/>
          <w:color w:val="auto"/>
        </w:rPr>
        <w:t>Platform</w:t>
      </w:r>
      <w:r>
        <w:rPr>
          <w:rFonts w:ascii="Arial" w:cs="Arial" w:eastAsia="Arial" w:hAnsi="Arial"/>
          <w:sz w:val="14"/>
          <w:szCs w:val="14"/>
          <w:color w:val="auto"/>
        </w:rPr>
        <w:t xml:space="preserve">” means has the meaning set forth in </w:t>
      </w:r>
      <w:r>
        <w:rPr>
          <w:rFonts w:ascii="Arial" w:cs="Arial" w:eastAsia="Arial" w:hAnsi="Arial"/>
          <w:sz w:val="14"/>
          <w:szCs w:val="14"/>
          <w:u w:val="single" w:color="auto"/>
          <w:color w:val="auto"/>
        </w:rPr>
        <w:t>Section 5.01(i)</w:t>
      </w:r>
      <w:r>
        <w:rPr>
          <w:rFonts w:ascii="Arial" w:cs="Arial" w:eastAsia="Arial" w:hAnsi="Arial"/>
          <w:sz w:val="14"/>
          <w:szCs w:val="14"/>
          <w:color w:val="auto"/>
        </w:rPr>
        <w:t>.</w:t>
      </w:r>
    </w:p>
    <w:p>
      <w:pPr>
        <w:spacing w:after="0" w:line="204" w:lineRule="exact"/>
        <w:rPr>
          <w:sz w:val="20"/>
          <w:szCs w:val="20"/>
          <w:color w:val="auto"/>
        </w:rPr>
      </w:pPr>
    </w:p>
    <w:p>
      <w:pPr>
        <w:ind w:left="1740"/>
        <w:spacing w:after="0"/>
        <w:rPr>
          <w:sz w:val="20"/>
          <w:szCs w:val="20"/>
          <w:color w:val="auto"/>
        </w:rPr>
      </w:pPr>
      <w:r>
        <w:rPr>
          <w:rFonts w:ascii="Arial" w:cs="Arial" w:eastAsia="Arial" w:hAnsi="Arial"/>
          <w:sz w:val="13"/>
          <w:szCs w:val="13"/>
          <w:color w:val="auto"/>
        </w:rPr>
        <w:t>“</w:t>
      </w:r>
      <w:r>
        <w:rPr>
          <w:rFonts w:ascii="Arial" w:cs="Arial" w:eastAsia="Arial" w:hAnsi="Arial"/>
          <w:sz w:val="13"/>
          <w:szCs w:val="13"/>
          <w:u w:val="single" w:color="auto"/>
          <w:color w:val="auto"/>
        </w:rPr>
        <w:t>Portfolio Investment</w:t>
      </w:r>
      <w:r>
        <w:rPr>
          <w:rFonts w:ascii="Arial" w:cs="Arial" w:eastAsia="Arial" w:hAnsi="Arial"/>
          <w:sz w:val="13"/>
          <w:szCs w:val="13"/>
          <w:color w:val="auto"/>
        </w:rPr>
        <w:t>” means any Investment held by the Obligors in their asset portfolio (and solely for purposes of determining the Borrowing Base, Cash).</w:t>
      </w:r>
    </w:p>
    <w:p>
      <w:pPr>
        <w:spacing w:after="0" w:line="215" w:lineRule="exact"/>
        <w:rPr>
          <w:sz w:val="20"/>
          <w:szCs w:val="20"/>
          <w:color w:val="auto"/>
        </w:rPr>
      </w:pPr>
    </w:p>
    <w:p>
      <w:pPr>
        <w:ind w:left="1740"/>
        <w:spacing w:after="0"/>
        <w:rPr>
          <w:sz w:val="20"/>
          <w:szCs w:val="20"/>
          <w:color w:val="auto"/>
        </w:rPr>
      </w:pPr>
      <w:r>
        <w:rPr>
          <w:rFonts w:ascii="Arial" w:cs="Arial" w:eastAsia="Arial" w:hAnsi="Arial"/>
          <w:sz w:val="14"/>
          <w:szCs w:val="14"/>
          <w:color w:val="auto"/>
        </w:rPr>
        <w:t>“</w:t>
      </w:r>
      <w:r>
        <w:rPr>
          <w:rFonts w:ascii="Arial" w:cs="Arial" w:eastAsia="Arial" w:hAnsi="Arial"/>
          <w:sz w:val="14"/>
          <w:szCs w:val="14"/>
          <w:u w:val="single" w:color="auto"/>
          <w:color w:val="auto"/>
        </w:rPr>
        <w:t>Prime Rate</w:t>
      </w:r>
      <w:r>
        <w:rPr>
          <w:rFonts w:ascii="Arial" w:cs="Arial" w:eastAsia="Arial" w:hAnsi="Arial"/>
          <w:sz w:val="14"/>
          <w:szCs w:val="14"/>
          <w:color w:val="auto"/>
        </w:rPr>
        <w:t>” means the rate which SunTrust announces from time to time as its prime lending rate, as in effect from time to time.</w:t>
      </w:r>
    </w:p>
    <w:p>
      <w:pPr>
        <w:spacing w:after="0" w:line="200" w:lineRule="exact"/>
        <w:rPr>
          <w:sz w:val="20"/>
          <w:szCs w:val="20"/>
          <w:color w:val="auto"/>
        </w:rPr>
      </w:pPr>
    </w:p>
    <w:p>
      <w:pPr>
        <w:spacing w:after="0" w:line="200" w:lineRule="exact"/>
        <w:rPr>
          <w:sz w:val="20"/>
          <w:szCs w:val="20"/>
          <w:color w:val="auto"/>
        </w:rPr>
      </w:pPr>
    </w:p>
    <w:p>
      <w:pPr>
        <w:spacing w:after="0" w:line="22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7580" w:type="dxa"/>
            <w:vAlign w:val="bottom"/>
          </w:tcPr>
          <w:p>
            <w:pPr>
              <w:jc w:val="right"/>
              <w:ind w:right="1808"/>
              <w:spacing w:after="0"/>
              <w:rPr>
                <w:sz w:val="20"/>
                <w:szCs w:val="20"/>
                <w:color w:val="auto"/>
              </w:rPr>
            </w:pPr>
            <w:r>
              <w:rPr>
                <w:rFonts w:ascii="Arial" w:cs="Arial" w:eastAsia="Arial" w:hAnsi="Arial"/>
                <w:sz w:val="14"/>
                <w:szCs w:val="14"/>
                <w:color w:val="auto"/>
              </w:rPr>
              <w:t>14</w:t>
            </w:r>
          </w:p>
        </w:tc>
        <w:tc>
          <w:tcPr>
            <w:tcW w:w="3680" w:type="dxa"/>
            <w:vAlign w:val="bottom"/>
          </w:tcPr>
          <w:p>
            <w:pPr>
              <w:jc w:val="right"/>
              <w:spacing w:after="0"/>
              <w:rPr>
                <w:sz w:val="20"/>
                <w:szCs w:val="20"/>
                <w:color w:val="auto"/>
              </w:rPr>
            </w:pPr>
            <w:r>
              <w:rPr>
                <w:rFonts w:ascii="Arial" w:cs="Arial" w:eastAsia="Arial" w:hAnsi="Arial"/>
                <w:sz w:val="14"/>
                <w:szCs w:val="14"/>
                <w:i w:val="1"/>
                <w:iCs w:val="1"/>
                <w:color w:val="auto"/>
              </w:rPr>
              <w:t>Second Amended and Restated</w:t>
            </w:r>
          </w:p>
        </w:tc>
      </w:tr>
      <w:tr>
        <w:trPr>
          <w:trHeight w:val="182"/>
        </w:trPr>
        <w:tc>
          <w:tcPr>
            <w:tcW w:w="7580" w:type="dxa"/>
            <w:vAlign w:val="bottom"/>
          </w:tcPr>
          <w:p>
            <w:pPr>
              <w:spacing w:after="0"/>
              <w:rPr>
                <w:sz w:val="15"/>
                <w:szCs w:val="15"/>
                <w:color w:val="auto"/>
              </w:rPr>
            </w:pPr>
          </w:p>
        </w:tc>
        <w:tc>
          <w:tcPr>
            <w:tcW w:w="3680" w:type="dxa"/>
            <w:vAlign w:val="bottom"/>
          </w:tcPr>
          <w:p>
            <w:pPr>
              <w:jc w:val="right"/>
              <w:spacing w:after="0"/>
              <w:rPr>
                <w:sz w:val="20"/>
                <w:szCs w:val="20"/>
                <w:color w:val="auto"/>
              </w:rPr>
            </w:pPr>
            <w:r>
              <w:rPr>
                <w:rFonts w:ascii="Arial" w:cs="Arial" w:eastAsia="Arial" w:hAnsi="Arial"/>
                <w:sz w:val="14"/>
                <w:szCs w:val="14"/>
                <w:i w:val="1"/>
                <w:iCs w:val="1"/>
                <w:color w:val="auto"/>
              </w:rPr>
              <w:t>Revolving Credit Agreement</w:t>
            </w:r>
          </w:p>
        </w:tc>
      </w:tr>
      <w:tr>
        <w:trPr>
          <w:trHeight w:val="316"/>
        </w:trPr>
        <w:tc>
          <w:tcPr>
            <w:tcW w:w="7580" w:type="dxa"/>
            <w:vAlign w:val="bottom"/>
            <w:tcBorders>
              <w:bottom w:val="single" w:sz="8" w:color="9A9A9A"/>
            </w:tcBorders>
          </w:tcPr>
          <w:p>
            <w:pPr>
              <w:spacing w:after="0"/>
              <w:rPr>
                <w:sz w:val="24"/>
                <w:szCs w:val="24"/>
                <w:color w:val="auto"/>
              </w:rPr>
            </w:pPr>
          </w:p>
        </w:tc>
        <w:tc>
          <w:tcPr>
            <w:tcW w:w="368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7145655</wp:posOffset>
            </wp:positionH>
            <wp:positionV relativeFrom="paragraph">
              <wp:posOffset>-7620</wp:posOffset>
            </wp:positionV>
            <wp:extent cx="8255" cy="8255"/>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40">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-16510</wp:posOffset>
            </wp:positionV>
            <wp:extent cx="8890" cy="17145"/>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41">
                      <a:extLst>
                        <a:ext uri="{28A0092B-C50C-407E-A947-70E740481C1C}"/>
                      </a:extLst>
                    </a:blip>
                    <a:srcRect/>
                    <a:stretch>
                      <a:fillRect/>
                    </a:stretch>
                  </pic:blipFill>
                  <pic:spPr bwMode="auto">
                    <a:xfrm>
                      <a:off x="0" y="0"/>
                      <a:ext cx="8890" cy="17145"/>
                    </a:xfrm>
                    <a:prstGeom prst="rect">
                      <a:avLst/>
                    </a:prstGeom>
                    <a:noFill/>
                  </pic:spPr>
                </pic:pic>
              </a:graphicData>
            </a:graphic>
          </wp:anchor>
        </w:drawing>
      </w:r>
    </w:p>
    <w:p>
      <w:pPr>
        <w:sectPr>
          <w:pgSz w:w="11900" w:h="16838" w:orient="portrait"/>
          <w:cols w:equalWidth="0" w:num="1">
            <w:col w:w="11260"/>
          </w:cols>
          <w:pgMar w:left="320" w:top="337" w:right="319" w:bottom="1440" w:gutter="0" w:footer="0" w:header="0"/>
        </w:sectPr>
      </w:pPr>
    </w:p>
    <w:bookmarkStart w:id="77" w:name="page78"/>
    <w:bookmarkEnd w:id="77"/>
    <w:p>
      <w:pPr>
        <w:ind w:left="1740"/>
        <w:spacing w:after="0"/>
        <w:rPr>
          <w:sz w:val="20"/>
          <w:szCs w:val="20"/>
          <w:color w:val="auto"/>
        </w:rPr>
      </w:pPr>
      <w:r>
        <w:rPr>
          <w:rFonts w:ascii="Arial" w:cs="Arial" w:eastAsia="Arial" w:hAnsi="Arial"/>
          <w:sz w:val="13"/>
          <w:szCs w:val="13"/>
          <w:color w:val="auto"/>
        </w:rPr>
        <w:t>“</w:t>
      </w:r>
      <w:r>
        <w:rPr>
          <w:rFonts w:ascii="Arial" w:cs="Arial" w:eastAsia="Arial" w:hAnsi="Arial"/>
          <w:sz w:val="13"/>
          <w:szCs w:val="13"/>
          <w:u w:val="single" w:color="auto"/>
          <w:color w:val="auto"/>
        </w:rPr>
        <w:t>Principal Financial Center</w:t>
      </w:r>
      <w:r>
        <w:rPr>
          <w:rFonts w:ascii="Arial" w:cs="Arial" w:eastAsia="Arial" w:hAnsi="Arial"/>
          <w:sz w:val="13"/>
          <w:szCs w:val="13"/>
          <w:color w:val="auto"/>
        </w:rPr>
        <w:t>” means, in the case of any Currency, the principal financial center where such Currency is cleared and settled, as determined by the</w:t>
      </w:r>
    </w:p>
    <w:p>
      <w:pPr>
        <w:spacing w:after="0" w:line="11" w:lineRule="exact"/>
        <w:rPr>
          <w:sz w:val="20"/>
          <w:szCs w:val="20"/>
          <w:color w:val="auto"/>
        </w:rPr>
      </w:pPr>
    </w:p>
    <w:p>
      <w:pPr>
        <w:spacing w:after="0"/>
        <w:rPr>
          <w:sz w:val="20"/>
          <w:szCs w:val="20"/>
          <w:color w:val="auto"/>
        </w:rPr>
      </w:pPr>
      <w:r>
        <w:rPr>
          <w:rFonts w:ascii="Arial" w:cs="Arial" w:eastAsia="Arial" w:hAnsi="Arial"/>
          <w:sz w:val="14"/>
          <w:szCs w:val="14"/>
          <w:color w:val="auto"/>
        </w:rPr>
        <w:t>Administrative Agent.</w:t>
      </w:r>
    </w:p>
    <w:p>
      <w:pPr>
        <w:spacing w:after="0" w:line="192" w:lineRule="exact"/>
        <w:rPr>
          <w:sz w:val="20"/>
          <w:szCs w:val="20"/>
          <w:color w:val="auto"/>
        </w:rPr>
      </w:pPr>
    </w:p>
    <w:p>
      <w:pPr>
        <w:jc w:val="both"/>
        <w:ind w:right="20" w:firstLine="1727"/>
        <w:spacing w:after="0" w:line="253" w:lineRule="auto"/>
        <w:rPr>
          <w:sz w:val="20"/>
          <w:szCs w:val="20"/>
          <w:color w:val="auto"/>
        </w:rPr>
      </w:pPr>
      <w:r>
        <w:rPr>
          <w:rFonts w:ascii="Arial" w:cs="Arial" w:eastAsia="Arial" w:hAnsi="Arial"/>
          <w:sz w:val="14"/>
          <w:szCs w:val="14"/>
          <w:color w:val="auto"/>
        </w:rPr>
        <w:t>“</w:t>
      </w:r>
      <w:r>
        <w:rPr>
          <w:rFonts w:ascii="Arial" w:cs="Arial" w:eastAsia="Arial" w:hAnsi="Arial"/>
          <w:sz w:val="14"/>
          <w:szCs w:val="14"/>
          <w:u w:val="single" w:color="auto"/>
          <w:color w:val="auto"/>
        </w:rPr>
        <w:t>Prohibited Assignees and Participants Side Letter</w:t>
      </w:r>
      <w:r>
        <w:rPr>
          <w:rFonts w:ascii="Arial" w:cs="Arial" w:eastAsia="Arial" w:hAnsi="Arial"/>
          <w:sz w:val="14"/>
          <w:szCs w:val="14"/>
          <w:color w:val="auto"/>
        </w:rPr>
        <w:t>” means that certain Side Letter, dated as of the date hereof, between the Borrower and the Administrative Agent (as amended, restated, modified or otherwise supplemented from time to time with the consent of the Administrative Agent and each Lender).</w:t>
      </w:r>
    </w:p>
    <w:p>
      <w:pPr>
        <w:spacing w:after="0" w:line="174" w:lineRule="exact"/>
        <w:rPr>
          <w:sz w:val="20"/>
          <w:szCs w:val="20"/>
          <w:color w:val="auto"/>
        </w:rPr>
      </w:pPr>
    </w:p>
    <w:p>
      <w:pPr>
        <w:ind w:left="1740"/>
        <w:spacing w:after="0"/>
        <w:rPr>
          <w:sz w:val="20"/>
          <w:szCs w:val="20"/>
          <w:color w:val="auto"/>
        </w:rPr>
      </w:pPr>
      <w:r>
        <w:rPr>
          <w:rFonts w:ascii="Arial" w:cs="Arial" w:eastAsia="Arial" w:hAnsi="Arial"/>
          <w:sz w:val="13"/>
          <w:szCs w:val="13"/>
          <w:color w:val="auto"/>
        </w:rPr>
        <w:t>“</w:t>
      </w:r>
      <w:r>
        <w:rPr>
          <w:rFonts w:ascii="Arial" w:cs="Arial" w:eastAsia="Arial" w:hAnsi="Arial"/>
          <w:sz w:val="13"/>
          <w:szCs w:val="13"/>
          <w:u w:val="single" w:color="auto"/>
          <w:color w:val="auto"/>
        </w:rPr>
        <w:t>Public Lender</w:t>
      </w:r>
      <w:r>
        <w:rPr>
          <w:rFonts w:ascii="Arial" w:cs="Arial" w:eastAsia="Arial" w:hAnsi="Arial"/>
          <w:sz w:val="13"/>
          <w:szCs w:val="13"/>
          <w:color w:val="auto"/>
        </w:rPr>
        <w:t>” means Lenders that do not wish to receive Non-Public Information with respect to the Borrower or any of its Subsidiaries or their Securities.</w:t>
      </w:r>
    </w:p>
    <w:p>
      <w:pPr>
        <w:spacing w:after="0" w:line="215" w:lineRule="exact"/>
        <w:rPr>
          <w:sz w:val="20"/>
          <w:szCs w:val="20"/>
          <w:color w:val="auto"/>
        </w:rPr>
      </w:pPr>
    </w:p>
    <w:p>
      <w:pPr>
        <w:ind w:left="1740"/>
        <w:spacing w:after="0"/>
        <w:rPr>
          <w:sz w:val="20"/>
          <w:szCs w:val="20"/>
          <w:color w:val="auto"/>
        </w:rPr>
      </w:pPr>
      <w:r>
        <w:rPr>
          <w:rFonts w:ascii="Arial" w:cs="Arial" w:eastAsia="Arial" w:hAnsi="Arial"/>
          <w:sz w:val="14"/>
          <w:szCs w:val="14"/>
          <w:color w:val="auto"/>
        </w:rPr>
        <w:t>“</w:t>
      </w:r>
      <w:r>
        <w:rPr>
          <w:rFonts w:ascii="Arial" w:cs="Arial" w:eastAsia="Arial" w:hAnsi="Arial"/>
          <w:sz w:val="14"/>
          <w:szCs w:val="14"/>
          <w:u w:val="single" w:color="auto"/>
          <w:color w:val="auto"/>
        </w:rPr>
        <w:t>Quarterly Dates</w:t>
      </w:r>
      <w:r>
        <w:rPr>
          <w:rFonts w:ascii="Arial" w:cs="Arial" w:eastAsia="Arial" w:hAnsi="Arial"/>
          <w:sz w:val="14"/>
          <w:szCs w:val="14"/>
          <w:color w:val="auto"/>
        </w:rPr>
        <w:t>” means the last Business Day of March, June, September and December in each year, commencing on June 30, 2014.</w:t>
      </w:r>
    </w:p>
    <w:p>
      <w:pPr>
        <w:spacing w:after="0" w:line="204" w:lineRule="exact"/>
        <w:rPr>
          <w:sz w:val="20"/>
          <w:szCs w:val="20"/>
          <w:color w:val="auto"/>
        </w:rPr>
      </w:pPr>
    </w:p>
    <w:p>
      <w:pPr>
        <w:ind w:left="1740"/>
        <w:spacing w:after="0"/>
        <w:rPr>
          <w:sz w:val="20"/>
          <w:szCs w:val="20"/>
          <w:color w:val="auto"/>
        </w:rPr>
      </w:pPr>
      <w:r>
        <w:rPr>
          <w:rFonts w:ascii="Arial" w:cs="Arial" w:eastAsia="Arial" w:hAnsi="Arial"/>
          <w:sz w:val="14"/>
          <w:szCs w:val="14"/>
          <w:color w:val="auto"/>
        </w:rPr>
        <w:t>“</w:t>
      </w:r>
      <w:r>
        <w:rPr>
          <w:rFonts w:ascii="Arial" w:cs="Arial" w:eastAsia="Arial" w:hAnsi="Arial"/>
          <w:sz w:val="14"/>
          <w:szCs w:val="14"/>
          <w:u w:val="single" w:color="auto"/>
          <w:color w:val="auto"/>
        </w:rPr>
        <w:t>Quoted Investment</w:t>
      </w:r>
      <w:r>
        <w:rPr>
          <w:rFonts w:ascii="Arial" w:cs="Arial" w:eastAsia="Arial" w:hAnsi="Arial"/>
          <w:sz w:val="14"/>
          <w:szCs w:val="14"/>
          <w:color w:val="auto"/>
        </w:rPr>
        <w:t xml:space="preserve">” means a Portfolio Investment with a value that may be assigned by the Borrower pursuant to </w:t>
      </w:r>
      <w:r>
        <w:rPr>
          <w:rFonts w:ascii="Arial" w:cs="Arial" w:eastAsia="Arial" w:hAnsi="Arial"/>
          <w:sz w:val="14"/>
          <w:szCs w:val="14"/>
          <w:u w:val="single" w:color="auto"/>
          <w:color w:val="auto"/>
        </w:rPr>
        <w:t>Section 5.12(b)(ii)(A)</w:t>
      </w:r>
      <w:r>
        <w:rPr>
          <w:rFonts w:ascii="Arial" w:cs="Arial" w:eastAsia="Arial" w:hAnsi="Arial"/>
          <w:sz w:val="14"/>
          <w:szCs w:val="14"/>
          <w:color w:val="auto"/>
        </w:rPr>
        <w:t>.</w:t>
      </w:r>
    </w:p>
    <w:p>
      <w:pPr>
        <w:spacing w:after="0" w:line="204" w:lineRule="exact"/>
        <w:rPr>
          <w:sz w:val="20"/>
          <w:szCs w:val="20"/>
          <w:color w:val="auto"/>
        </w:rPr>
      </w:pPr>
    </w:p>
    <w:p>
      <w:pPr>
        <w:ind w:left="1740"/>
        <w:spacing w:after="0"/>
        <w:rPr>
          <w:sz w:val="20"/>
          <w:szCs w:val="20"/>
          <w:color w:val="auto"/>
        </w:rPr>
      </w:pPr>
      <w:r>
        <w:rPr>
          <w:rFonts w:ascii="Arial" w:cs="Arial" w:eastAsia="Arial" w:hAnsi="Arial"/>
          <w:sz w:val="14"/>
          <w:szCs w:val="14"/>
          <w:color w:val="auto"/>
        </w:rPr>
        <w:t>“</w:t>
      </w:r>
      <w:r>
        <w:rPr>
          <w:rFonts w:ascii="Arial" w:cs="Arial" w:eastAsia="Arial" w:hAnsi="Arial"/>
          <w:sz w:val="14"/>
          <w:szCs w:val="14"/>
          <w:u w:val="single" w:color="auto"/>
          <w:color w:val="auto"/>
        </w:rPr>
        <w:t>Register</w:t>
      </w:r>
      <w:r>
        <w:rPr>
          <w:rFonts w:ascii="Arial" w:cs="Arial" w:eastAsia="Arial" w:hAnsi="Arial"/>
          <w:sz w:val="14"/>
          <w:szCs w:val="14"/>
          <w:color w:val="auto"/>
        </w:rPr>
        <w:t xml:space="preserve">” has the meaning set forth in </w:t>
      </w:r>
      <w:r>
        <w:rPr>
          <w:rFonts w:ascii="Arial" w:cs="Arial" w:eastAsia="Arial" w:hAnsi="Arial"/>
          <w:sz w:val="14"/>
          <w:szCs w:val="14"/>
          <w:u w:val="single" w:color="auto"/>
          <w:color w:val="auto"/>
        </w:rPr>
        <w:t>Section 9.04</w:t>
      </w:r>
      <w:r>
        <w:rPr>
          <w:rFonts w:ascii="Arial" w:cs="Arial" w:eastAsia="Arial" w:hAnsi="Arial"/>
          <w:sz w:val="14"/>
          <w:szCs w:val="14"/>
          <w:color w:val="auto"/>
        </w:rPr>
        <w:t>.</w:t>
      </w:r>
    </w:p>
    <w:p>
      <w:pPr>
        <w:spacing w:after="0" w:line="204" w:lineRule="exact"/>
        <w:rPr>
          <w:sz w:val="20"/>
          <w:szCs w:val="20"/>
          <w:color w:val="auto"/>
        </w:rPr>
      </w:pPr>
    </w:p>
    <w:p>
      <w:pPr>
        <w:ind w:left="1740"/>
        <w:spacing w:after="0"/>
        <w:rPr>
          <w:sz w:val="20"/>
          <w:szCs w:val="20"/>
          <w:color w:val="auto"/>
        </w:rPr>
      </w:pPr>
      <w:r>
        <w:rPr>
          <w:rFonts w:ascii="Arial" w:cs="Arial" w:eastAsia="Arial" w:hAnsi="Arial"/>
          <w:sz w:val="14"/>
          <w:szCs w:val="14"/>
          <w:color w:val="auto"/>
        </w:rPr>
        <w:t>“</w:t>
      </w:r>
      <w:r>
        <w:rPr>
          <w:rFonts w:ascii="Arial" w:cs="Arial" w:eastAsia="Arial" w:hAnsi="Arial"/>
          <w:sz w:val="14"/>
          <w:szCs w:val="14"/>
          <w:u w:val="single" w:color="auto"/>
          <w:color w:val="auto"/>
        </w:rPr>
        <w:t>Registration Statement</w:t>
      </w:r>
      <w:r>
        <w:rPr>
          <w:rFonts w:ascii="Arial" w:cs="Arial" w:eastAsia="Arial" w:hAnsi="Arial"/>
          <w:sz w:val="14"/>
          <w:szCs w:val="14"/>
          <w:color w:val="auto"/>
        </w:rPr>
        <w:t>” means the Registration Statement filed by the Borrower with the Securities and Exchange Commission on April 19, 2007.</w:t>
      </w:r>
    </w:p>
    <w:p>
      <w:pPr>
        <w:spacing w:after="0" w:line="204" w:lineRule="exact"/>
        <w:rPr>
          <w:sz w:val="20"/>
          <w:szCs w:val="20"/>
          <w:color w:val="auto"/>
        </w:rPr>
      </w:pPr>
    </w:p>
    <w:p>
      <w:pPr>
        <w:jc w:val="both"/>
        <w:ind w:right="20" w:firstLine="1727"/>
        <w:spacing w:after="0" w:line="253" w:lineRule="auto"/>
        <w:rPr>
          <w:sz w:val="20"/>
          <w:szCs w:val="20"/>
          <w:color w:val="auto"/>
        </w:rPr>
      </w:pPr>
      <w:r>
        <w:rPr>
          <w:rFonts w:ascii="Arial" w:cs="Arial" w:eastAsia="Arial" w:hAnsi="Arial"/>
          <w:sz w:val="14"/>
          <w:szCs w:val="14"/>
          <w:color w:val="auto"/>
        </w:rPr>
        <w:t>“</w:t>
      </w:r>
      <w:r>
        <w:rPr>
          <w:rFonts w:ascii="Arial" w:cs="Arial" w:eastAsia="Arial" w:hAnsi="Arial"/>
          <w:sz w:val="14"/>
          <w:szCs w:val="14"/>
          <w:u w:val="single" w:color="auto"/>
          <w:color w:val="auto"/>
        </w:rPr>
        <w:t>Regulations D, T, U and X</w:t>
      </w:r>
      <w:r>
        <w:rPr>
          <w:rFonts w:ascii="Arial" w:cs="Arial" w:eastAsia="Arial" w:hAnsi="Arial"/>
          <w:sz w:val="14"/>
          <w:szCs w:val="14"/>
          <w:color w:val="auto"/>
        </w:rPr>
        <w:t>” means, respectively, Regulations D, T, U and X of the Board of Governors of the Federal Reserve System (or any successor), as the same may be modified and supplemented and in effect from time to time.</w:t>
      </w:r>
    </w:p>
    <w:p>
      <w:pPr>
        <w:spacing w:after="0" w:line="174" w:lineRule="exact"/>
        <w:rPr>
          <w:sz w:val="20"/>
          <w:szCs w:val="20"/>
          <w:color w:val="auto"/>
        </w:rPr>
      </w:pPr>
    </w:p>
    <w:p>
      <w:pPr>
        <w:jc w:val="both"/>
        <w:ind w:right="40" w:firstLine="1727"/>
        <w:spacing w:after="0" w:line="253" w:lineRule="auto"/>
        <w:rPr>
          <w:sz w:val="20"/>
          <w:szCs w:val="20"/>
          <w:color w:val="auto"/>
        </w:rPr>
      </w:pPr>
      <w:r>
        <w:rPr>
          <w:rFonts w:ascii="Arial" w:cs="Arial" w:eastAsia="Arial" w:hAnsi="Arial"/>
          <w:sz w:val="14"/>
          <w:szCs w:val="14"/>
          <w:color w:val="auto"/>
        </w:rPr>
        <w:t>“</w:t>
      </w:r>
      <w:r>
        <w:rPr>
          <w:rFonts w:ascii="Arial" w:cs="Arial" w:eastAsia="Arial" w:hAnsi="Arial"/>
          <w:sz w:val="14"/>
          <w:szCs w:val="14"/>
          <w:u w:val="single" w:color="auto"/>
          <w:color w:val="auto"/>
        </w:rPr>
        <w:t>Related Parties</w:t>
      </w:r>
      <w:r>
        <w:rPr>
          <w:rFonts w:ascii="Arial" w:cs="Arial" w:eastAsia="Arial" w:hAnsi="Arial"/>
          <w:sz w:val="14"/>
          <w:szCs w:val="14"/>
          <w:color w:val="auto"/>
        </w:rPr>
        <w:t>” means, with respect to any specified Person, such Person’s Affiliates and the respective partners, directors, officers, employees, agents and advisors of such Person and such Person’s Affiliates.</w:t>
      </w:r>
    </w:p>
    <w:p>
      <w:pPr>
        <w:spacing w:after="0" w:line="174" w:lineRule="exact"/>
        <w:rPr>
          <w:sz w:val="20"/>
          <w:szCs w:val="20"/>
          <w:color w:val="auto"/>
        </w:rPr>
      </w:pPr>
    </w:p>
    <w:p>
      <w:pPr>
        <w:jc w:val="both"/>
        <w:ind w:right="20" w:firstLine="1727"/>
        <w:spacing w:after="0" w:line="229" w:lineRule="auto"/>
        <w:rPr>
          <w:sz w:val="20"/>
          <w:szCs w:val="20"/>
          <w:color w:val="auto"/>
        </w:rPr>
      </w:pPr>
      <w:r>
        <w:rPr>
          <w:rFonts w:ascii="Arial" w:cs="Arial" w:eastAsia="Arial" w:hAnsi="Arial"/>
          <w:sz w:val="14"/>
          <w:szCs w:val="14"/>
          <w:color w:val="auto"/>
        </w:rPr>
        <w:t>“</w:t>
      </w:r>
      <w:r>
        <w:rPr>
          <w:rFonts w:ascii="Arial" w:cs="Arial" w:eastAsia="Arial" w:hAnsi="Arial"/>
          <w:sz w:val="14"/>
          <w:szCs w:val="14"/>
          <w:u w:val="single" w:color="auto"/>
          <w:color w:val="auto"/>
        </w:rPr>
        <w:t>Required Lenders</w:t>
      </w:r>
      <w:r>
        <w:rPr>
          <w:rFonts w:ascii="Arial" w:cs="Arial" w:eastAsia="Arial" w:hAnsi="Arial"/>
          <w:sz w:val="14"/>
          <w:szCs w:val="14"/>
          <w:color w:val="auto"/>
        </w:rPr>
        <w:t xml:space="preserve">” means, at any time, Lenders having Revolving Credit Exposures and unused Commitments representing more than 50% of the sum of the total Revolving Credit Exposures and unused Commitments at such time; </w:t>
      </w:r>
      <w:r>
        <w:rPr>
          <w:rFonts w:ascii="Arial" w:cs="Arial" w:eastAsia="Arial" w:hAnsi="Arial"/>
          <w:sz w:val="14"/>
          <w:szCs w:val="14"/>
          <w:u w:val="single" w:color="auto"/>
          <w:color w:val="auto"/>
        </w:rPr>
        <w:t>provided</w:t>
      </w:r>
      <w:r>
        <w:rPr>
          <w:rFonts w:ascii="Arial" w:cs="Arial" w:eastAsia="Arial" w:hAnsi="Arial"/>
          <w:sz w:val="14"/>
          <w:szCs w:val="14"/>
          <w:color w:val="auto"/>
        </w:rPr>
        <w:t xml:space="preserve"> that the Revolving Credit Exposures and unused Commitments of any Defaulting Lender shall be disregarded in the determination of Required Lenders. The Required Lenders of a Class (which shall include the terms “Required Dollar Lenders” and “Required Multicurrency Lenders”) means, at any time, Lenders having Revolving Credit Exposures and unused Commitments of such Class representing more than 50% of the sum of the total Revolving Credit Exposures and unused Commitments of such Class at such time; provided that the Revolving Credit Exposures and unused Commitments of any Defaulting Lenders shall be disregarded in the determination of the Required Lenders of a Class.</w:t>
      </w:r>
    </w:p>
    <w:p>
      <w:pPr>
        <w:spacing w:after="0" w:line="185" w:lineRule="exact"/>
        <w:rPr>
          <w:sz w:val="20"/>
          <w:szCs w:val="20"/>
          <w:color w:val="auto"/>
        </w:rPr>
      </w:pPr>
    </w:p>
    <w:p>
      <w:pPr>
        <w:jc w:val="both"/>
        <w:ind w:right="20" w:firstLine="1727"/>
        <w:spacing w:after="0" w:line="238" w:lineRule="auto"/>
        <w:rPr>
          <w:sz w:val="20"/>
          <w:szCs w:val="20"/>
          <w:color w:val="auto"/>
        </w:rPr>
      </w:pPr>
      <w:r>
        <w:rPr>
          <w:rFonts w:ascii="Arial" w:cs="Arial" w:eastAsia="Arial" w:hAnsi="Arial"/>
          <w:sz w:val="14"/>
          <w:szCs w:val="14"/>
          <w:color w:val="auto"/>
        </w:rPr>
        <w:t>“</w:t>
      </w:r>
      <w:r>
        <w:rPr>
          <w:rFonts w:ascii="Arial" w:cs="Arial" w:eastAsia="Arial" w:hAnsi="Arial"/>
          <w:sz w:val="14"/>
          <w:szCs w:val="14"/>
          <w:u w:val="single" w:color="auto"/>
          <w:color w:val="auto"/>
        </w:rPr>
        <w:t>Responsible Officer</w:t>
      </w:r>
      <w:r>
        <w:rPr>
          <w:rFonts w:ascii="Arial" w:cs="Arial" w:eastAsia="Arial" w:hAnsi="Arial"/>
          <w:sz w:val="14"/>
          <w:szCs w:val="14"/>
          <w:color w:val="auto"/>
        </w:rPr>
        <w:t>” means the chief executive officer, president, chief financial officer, treasurer, assistant treasurer or controller of an Obligor. Any document delivered hereunder that is signed by a Responsible Officer of an Obligor shall be conclusively presumed to have been authorized by all necessary corporate, partnership and/or other action on the part of such Obligor and such Responsible Officer shall be conclusively presumed to have acted on behalf of such Obligor.</w:t>
      </w:r>
    </w:p>
    <w:p>
      <w:pPr>
        <w:spacing w:after="0" w:line="183" w:lineRule="exact"/>
        <w:rPr>
          <w:sz w:val="20"/>
          <w:szCs w:val="20"/>
          <w:color w:val="auto"/>
        </w:rPr>
      </w:pPr>
    </w:p>
    <w:p>
      <w:pPr>
        <w:jc w:val="both"/>
        <w:ind w:right="20" w:firstLine="1727"/>
        <w:spacing w:after="0" w:line="231" w:lineRule="auto"/>
        <w:rPr>
          <w:sz w:val="20"/>
          <w:szCs w:val="20"/>
          <w:color w:val="auto"/>
        </w:rPr>
      </w:pPr>
      <w:r>
        <w:rPr>
          <w:rFonts w:ascii="Arial" w:cs="Arial" w:eastAsia="Arial" w:hAnsi="Arial"/>
          <w:sz w:val="14"/>
          <w:szCs w:val="14"/>
          <w:color w:val="auto"/>
        </w:rPr>
        <w:t>“</w:t>
      </w:r>
      <w:r>
        <w:rPr>
          <w:rFonts w:ascii="Arial" w:cs="Arial" w:eastAsia="Arial" w:hAnsi="Arial"/>
          <w:sz w:val="14"/>
          <w:szCs w:val="14"/>
          <w:u w:val="single" w:color="auto"/>
          <w:color w:val="auto"/>
        </w:rPr>
        <w:t>Restricted Payment</w:t>
      </w:r>
      <w:r>
        <w:rPr>
          <w:rFonts w:ascii="Arial" w:cs="Arial" w:eastAsia="Arial" w:hAnsi="Arial"/>
          <w:sz w:val="14"/>
          <w:szCs w:val="14"/>
          <w:color w:val="auto"/>
        </w:rPr>
        <w:t>” means any dividend or other distribution (whether in cash, securities or other property) with respect to any shares of any class of capital stock of the Borrower or any of its Subsidiaries, or any payment (whether in cash, securities or other property), including any sinking fund or similar deposit, on account of the purchase, redemption, retirement, acquisition, cancellation or termination of any such shares of capital stock of the Borrower or any option, warrant or other right to acquire any such shares of capital stock of the Borrower (it being understood that none of: (w) the conversion features under convertible notes; (x) the triggering and/or settlement thereof; or (y) any cash payment made by the Borrower in respect thereof, shall constitute a Restricted Payment hereunder).</w:t>
      </w:r>
    </w:p>
    <w:p>
      <w:pPr>
        <w:spacing w:after="0" w:line="184" w:lineRule="exact"/>
        <w:rPr>
          <w:sz w:val="20"/>
          <w:szCs w:val="20"/>
          <w:color w:val="auto"/>
        </w:rPr>
      </w:pPr>
    </w:p>
    <w:p>
      <w:pPr>
        <w:jc w:val="both"/>
        <w:ind w:right="20" w:firstLine="1727"/>
        <w:spacing w:after="0" w:line="227" w:lineRule="auto"/>
        <w:rPr>
          <w:sz w:val="20"/>
          <w:szCs w:val="20"/>
          <w:color w:val="auto"/>
        </w:rPr>
      </w:pPr>
      <w:r>
        <w:rPr>
          <w:rFonts w:ascii="Arial" w:cs="Arial" w:eastAsia="Arial" w:hAnsi="Arial"/>
          <w:sz w:val="14"/>
          <w:szCs w:val="14"/>
          <w:color w:val="auto"/>
        </w:rPr>
        <w:t>“</w:t>
      </w:r>
      <w:r>
        <w:rPr>
          <w:rFonts w:ascii="Arial" w:cs="Arial" w:eastAsia="Arial" w:hAnsi="Arial"/>
          <w:sz w:val="14"/>
          <w:szCs w:val="14"/>
          <w:u w:val="single" w:color="auto"/>
          <w:color w:val="auto"/>
        </w:rPr>
        <w:t>Return of Capital</w:t>
      </w:r>
      <w:r>
        <w:rPr>
          <w:rFonts w:ascii="Arial" w:cs="Arial" w:eastAsia="Arial" w:hAnsi="Arial"/>
          <w:sz w:val="14"/>
          <w:szCs w:val="14"/>
          <w:color w:val="auto"/>
        </w:rPr>
        <w:t xml:space="preserve">” means (a) any cash amount (and net cash proceeds of any noncash amount) received by any Obligor in respect of the outstanding principal of any Portfolio Investment (whether at stated maturity, by acceleration or otherwise), (b) without duplication of amounts received under </w:t>
      </w:r>
      <w:r>
        <w:rPr>
          <w:rFonts w:ascii="Arial" w:cs="Arial" w:eastAsia="Arial" w:hAnsi="Arial"/>
          <w:sz w:val="14"/>
          <w:szCs w:val="14"/>
          <w:u w:val="single" w:color="auto"/>
          <w:color w:val="auto"/>
        </w:rPr>
        <w:t>clause (a)</w:t>
      </w:r>
      <w:r>
        <w:rPr>
          <w:rFonts w:ascii="Arial" w:cs="Arial" w:eastAsia="Arial" w:hAnsi="Arial"/>
          <w:sz w:val="14"/>
          <w:szCs w:val="14"/>
          <w:color w:val="auto"/>
        </w:rPr>
        <w:t>, any net cash proceeds (including net cash proceeds of any noncash consideration) received by any Obligor from the sale of any property or assets pledged as collateral in respect of any Portfolio Investment to the extent such net cash proceeds are less than or equal to the outstanding principal balance of such Portfolio Investment, (c) any net cash amount (and net cash proceeds of any noncash amount) received by any Obligor in respect of any Portfolio Investment that is an Equity Interest (x) upon the liquidation or dissolution of the issuer of such Portfolio Investment, (y) as a distribution of capital made on or in respect of such Portfolio Investment, or (z) pursuant to the recapitalization or reclassification of the capital of the issuer of such Portfolio Investment or pursuant to the reorganization of such issuer or (d) any similar return of capital (net of any fees, costs and expenses) received by any Obligor in cash (and net cash proceeds of any noncash amount) in respect of any Portfolio Investment.</w:t>
      </w:r>
    </w:p>
    <w:p>
      <w:pPr>
        <w:spacing w:after="0" w:line="186" w:lineRule="exact"/>
        <w:rPr>
          <w:sz w:val="20"/>
          <w:szCs w:val="20"/>
          <w:color w:val="auto"/>
        </w:rPr>
      </w:pPr>
    </w:p>
    <w:p>
      <w:pPr>
        <w:jc w:val="both"/>
        <w:ind w:right="20" w:firstLine="1727"/>
        <w:spacing w:after="0" w:line="253" w:lineRule="auto"/>
        <w:rPr>
          <w:sz w:val="20"/>
          <w:szCs w:val="20"/>
          <w:color w:val="auto"/>
        </w:rPr>
      </w:pPr>
      <w:r>
        <w:rPr>
          <w:rFonts w:ascii="Arial" w:cs="Arial" w:eastAsia="Arial" w:hAnsi="Arial"/>
          <w:sz w:val="14"/>
          <w:szCs w:val="14"/>
          <w:color w:val="auto"/>
        </w:rPr>
        <w:t>“</w:t>
      </w:r>
      <w:r>
        <w:rPr>
          <w:rFonts w:ascii="Arial" w:cs="Arial" w:eastAsia="Arial" w:hAnsi="Arial"/>
          <w:sz w:val="14"/>
          <w:szCs w:val="14"/>
          <w:u w:val="single" w:color="auto"/>
          <w:color w:val="auto"/>
        </w:rPr>
        <w:t>Revolving Credit Exposure</w:t>
      </w:r>
      <w:r>
        <w:rPr>
          <w:rFonts w:ascii="Arial" w:cs="Arial" w:eastAsia="Arial" w:hAnsi="Arial"/>
          <w:sz w:val="14"/>
          <w:szCs w:val="14"/>
          <w:color w:val="auto"/>
        </w:rPr>
        <w:t>” means, with respect to any Lender at any time, the sum of the outstanding principal amount of such Lender’s Revolving Dollar Credit Exposure and Revolving Multicurrency Credit Exposure at such time.</w:t>
      </w:r>
    </w:p>
    <w:p>
      <w:pPr>
        <w:spacing w:after="0" w:line="174" w:lineRule="exact"/>
        <w:rPr>
          <w:sz w:val="20"/>
          <w:szCs w:val="20"/>
          <w:color w:val="auto"/>
        </w:rPr>
      </w:pPr>
    </w:p>
    <w:p>
      <w:pPr>
        <w:jc w:val="both"/>
        <w:ind w:right="20" w:firstLine="1727"/>
        <w:spacing w:after="0" w:line="253" w:lineRule="auto"/>
        <w:rPr>
          <w:sz w:val="20"/>
          <w:szCs w:val="20"/>
          <w:color w:val="auto"/>
        </w:rPr>
      </w:pPr>
      <w:r>
        <w:rPr>
          <w:rFonts w:ascii="Arial" w:cs="Arial" w:eastAsia="Arial" w:hAnsi="Arial"/>
          <w:sz w:val="14"/>
          <w:szCs w:val="14"/>
          <w:color w:val="auto"/>
        </w:rPr>
        <w:t>“</w:t>
      </w:r>
      <w:r>
        <w:rPr>
          <w:rFonts w:ascii="Arial" w:cs="Arial" w:eastAsia="Arial" w:hAnsi="Arial"/>
          <w:sz w:val="14"/>
          <w:szCs w:val="14"/>
          <w:u w:val="single" w:color="auto"/>
          <w:color w:val="auto"/>
        </w:rPr>
        <w:t>Revolving Dollar Credit Exposure</w:t>
      </w:r>
      <w:r>
        <w:rPr>
          <w:rFonts w:ascii="Arial" w:cs="Arial" w:eastAsia="Arial" w:hAnsi="Arial"/>
          <w:sz w:val="14"/>
          <w:szCs w:val="14"/>
          <w:color w:val="auto"/>
        </w:rPr>
        <w:t>” means, with respect to any Lender at any time, the sum of the outstanding principal amount of such Lender’s Syndicated Loans, and its LC Exposure and Swingline Exposure, at such time made or incurred under the Dollar Commitments.</w:t>
      </w:r>
    </w:p>
    <w:p>
      <w:pPr>
        <w:spacing w:after="0" w:line="200" w:lineRule="exact"/>
        <w:rPr>
          <w:sz w:val="20"/>
          <w:szCs w:val="20"/>
          <w:color w:val="auto"/>
        </w:rPr>
      </w:pPr>
    </w:p>
    <w:p>
      <w:pPr>
        <w:spacing w:after="0" w:line="39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7580" w:type="dxa"/>
            <w:vAlign w:val="bottom"/>
          </w:tcPr>
          <w:p>
            <w:pPr>
              <w:jc w:val="right"/>
              <w:ind w:right="1808"/>
              <w:spacing w:after="0"/>
              <w:rPr>
                <w:sz w:val="20"/>
                <w:szCs w:val="20"/>
                <w:color w:val="auto"/>
              </w:rPr>
            </w:pPr>
            <w:r>
              <w:rPr>
                <w:rFonts w:ascii="Arial" w:cs="Arial" w:eastAsia="Arial" w:hAnsi="Arial"/>
                <w:sz w:val="14"/>
                <w:szCs w:val="14"/>
                <w:color w:val="auto"/>
              </w:rPr>
              <w:t>15</w:t>
            </w:r>
          </w:p>
        </w:tc>
        <w:tc>
          <w:tcPr>
            <w:tcW w:w="3680" w:type="dxa"/>
            <w:vAlign w:val="bottom"/>
          </w:tcPr>
          <w:p>
            <w:pPr>
              <w:jc w:val="right"/>
              <w:spacing w:after="0"/>
              <w:rPr>
                <w:sz w:val="20"/>
                <w:szCs w:val="20"/>
                <w:color w:val="auto"/>
              </w:rPr>
            </w:pPr>
            <w:r>
              <w:rPr>
                <w:rFonts w:ascii="Arial" w:cs="Arial" w:eastAsia="Arial" w:hAnsi="Arial"/>
                <w:sz w:val="14"/>
                <w:szCs w:val="14"/>
                <w:i w:val="1"/>
                <w:iCs w:val="1"/>
                <w:color w:val="auto"/>
              </w:rPr>
              <w:t>Second Amended and Restated</w:t>
            </w:r>
          </w:p>
        </w:tc>
      </w:tr>
      <w:tr>
        <w:trPr>
          <w:trHeight w:val="182"/>
        </w:trPr>
        <w:tc>
          <w:tcPr>
            <w:tcW w:w="7580" w:type="dxa"/>
            <w:vAlign w:val="bottom"/>
          </w:tcPr>
          <w:p>
            <w:pPr>
              <w:spacing w:after="0"/>
              <w:rPr>
                <w:sz w:val="15"/>
                <w:szCs w:val="15"/>
                <w:color w:val="auto"/>
              </w:rPr>
            </w:pPr>
          </w:p>
        </w:tc>
        <w:tc>
          <w:tcPr>
            <w:tcW w:w="3680" w:type="dxa"/>
            <w:vAlign w:val="bottom"/>
          </w:tcPr>
          <w:p>
            <w:pPr>
              <w:jc w:val="right"/>
              <w:spacing w:after="0"/>
              <w:rPr>
                <w:sz w:val="20"/>
                <w:szCs w:val="20"/>
                <w:color w:val="auto"/>
              </w:rPr>
            </w:pPr>
            <w:r>
              <w:rPr>
                <w:rFonts w:ascii="Arial" w:cs="Arial" w:eastAsia="Arial" w:hAnsi="Arial"/>
                <w:sz w:val="14"/>
                <w:szCs w:val="14"/>
                <w:i w:val="1"/>
                <w:iCs w:val="1"/>
                <w:color w:val="auto"/>
              </w:rPr>
              <w:t>Revolving Credit Agreement</w:t>
            </w:r>
          </w:p>
        </w:tc>
      </w:tr>
      <w:tr>
        <w:trPr>
          <w:trHeight w:val="316"/>
        </w:trPr>
        <w:tc>
          <w:tcPr>
            <w:tcW w:w="7580" w:type="dxa"/>
            <w:vAlign w:val="bottom"/>
            <w:tcBorders>
              <w:bottom w:val="single" w:sz="8" w:color="9A9A9A"/>
            </w:tcBorders>
          </w:tcPr>
          <w:p>
            <w:pPr>
              <w:spacing w:after="0"/>
              <w:rPr>
                <w:sz w:val="24"/>
                <w:szCs w:val="24"/>
                <w:color w:val="auto"/>
              </w:rPr>
            </w:pPr>
          </w:p>
        </w:tc>
        <w:tc>
          <w:tcPr>
            <w:tcW w:w="368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7145655</wp:posOffset>
            </wp:positionH>
            <wp:positionV relativeFrom="paragraph">
              <wp:posOffset>-7620</wp:posOffset>
            </wp:positionV>
            <wp:extent cx="8255" cy="8255"/>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42">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-16510</wp:posOffset>
            </wp:positionV>
            <wp:extent cx="8890" cy="17145"/>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43">
                      <a:extLst>
                        <a:ext uri="{28A0092B-C50C-407E-A947-70E740481C1C}"/>
                      </a:extLst>
                    </a:blip>
                    <a:srcRect/>
                    <a:stretch>
                      <a:fillRect/>
                    </a:stretch>
                  </pic:blipFill>
                  <pic:spPr bwMode="auto">
                    <a:xfrm>
                      <a:off x="0" y="0"/>
                      <a:ext cx="8890" cy="17145"/>
                    </a:xfrm>
                    <a:prstGeom prst="rect">
                      <a:avLst/>
                    </a:prstGeom>
                    <a:noFill/>
                  </pic:spPr>
                </pic:pic>
              </a:graphicData>
            </a:graphic>
          </wp:anchor>
        </w:drawing>
      </w:r>
    </w:p>
    <w:p>
      <w:pPr>
        <w:sectPr>
          <w:pgSz w:w="11900" w:h="16838" w:orient="portrait"/>
          <w:cols w:equalWidth="0" w:num="1">
            <w:col w:w="11260"/>
          </w:cols>
          <w:pgMar w:left="320" w:top="337" w:right="319" w:bottom="1440" w:gutter="0" w:footer="0" w:header="0"/>
        </w:sectPr>
      </w:pPr>
    </w:p>
    <w:bookmarkStart w:id="78" w:name="page79"/>
    <w:bookmarkEnd w:id="78"/>
    <w:p>
      <w:pPr>
        <w:jc w:val="both"/>
        <w:ind w:right="40" w:firstLine="1727"/>
        <w:spacing w:after="0" w:line="253" w:lineRule="auto"/>
        <w:rPr>
          <w:sz w:val="20"/>
          <w:szCs w:val="20"/>
          <w:color w:val="auto"/>
        </w:rPr>
      </w:pPr>
      <w:r>
        <w:rPr>
          <w:rFonts w:ascii="Arial" w:cs="Arial" w:eastAsia="Arial" w:hAnsi="Arial"/>
          <w:sz w:val="14"/>
          <w:szCs w:val="14"/>
          <w:color w:val="auto"/>
        </w:rPr>
        <w:t>“</w:t>
      </w:r>
      <w:r>
        <w:rPr>
          <w:rFonts w:ascii="Arial" w:cs="Arial" w:eastAsia="Arial" w:hAnsi="Arial"/>
          <w:sz w:val="14"/>
          <w:szCs w:val="14"/>
          <w:u w:val="single" w:color="auto"/>
          <w:color w:val="auto"/>
        </w:rPr>
        <w:t>Revolving Multicurrency Credit Exposure</w:t>
      </w:r>
      <w:r>
        <w:rPr>
          <w:rFonts w:ascii="Arial" w:cs="Arial" w:eastAsia="Arial" w:hAnsi="Arial"/>
          <w:sz w:val="14"/>
          <w:szCs w:val="14"/>
          <w:color w:val="auto"/>
        </w:rPr>
        <w:t>” means, with respect to any Lender at any time, the sum of the outstanding principal amount of such Lender’s Syndicated Loans, and its LC Exposure and Swingline Exposure, at such time made or incurred under the Multicurrency Commitments.</w:t>
      </w:r>
    </w:p>
    <w:p>
      <w:pPr>
        <w:spacing w:after="0" w:line="174" w:lineRule="exact"/>
        <w:rPr>
          <w:sz w:val="20"/>
          <w:szCs w:val="20"/>
          <w:color w:val="auto"/>
        </w:rPr>
      </w:pPr>
    </w:p>
    <w:p>
      <w:pPr>
        <w:jc w:val="both"/>
        <w:ind w:right="40" w:firstLine="1727"/>
        <w:spacing w:after="0" w:line="253" w:lineRule="auto"/>
        <w:rPr>
          <w:sz w:val="20"/>
          <w:szCs w:val="20"/>
          <w:color w:val="auto"/>
        </w:rPr>
      </w:pPr>
      <w:r>
        <w:rPr>
          <w:rFonts w:ascii="Arial" w:cs="Arial" w:eastAsia="Arial" w:hAnsi="Arial"/>
          <w:sz w:val="14"/>
          <w:szCs w:val="14"/>
          <w:color w:val="auto"/>
        </w:rPr>
        <w:t>“</w:t>
      </w:r>
      <w:r>
        <w:rPr>
          <w:rFonts w:ascii="Arial" w:cs="Arial" w:eastAsia="Arial" w:hAnsi="Arial"/>
          <w:sz w:val="14"/>
          <w:szCs w:val="14"/>
          <w:u w:val="single" w:color="auto"/>
          <w:color w:val="auto"/>
        </w:rPr>
        <w:t>Revolving Percentage</w:t>
      </w:r>
      <w:r>
        <w:rPr>
          <w:rFonts w:ascii="Arial" w:cs="Arial" w:eastAsia="Arial" w:hAnsi="Arial"/>
          <w:sz w:val="14"/>
          <w:szCs w:val="14"/>
          <w:color w:val="auto"/>
        </w:rPr>
        <w:t>” means, as of any date of determination, the result, expressed as a percentage, of the Revolving Credit Exposure on such date divided by the aggregate outstanding Covered Debt Amount on such date.</w:t>
      </w:r>
    </w:p>
    <w:p>
      <w:pPr>
        <w:spacing w:after="0" w:line="174" w:lineRule="exact"/>
        <w:rPr>
          <w:sz w:val="20"/>
          <w:szCs w:val="20"/>
          <w:color w:val="auto"/>
        </w:rPr>
      </w:pPr>
    </w:p>
    <w:p>
      <w:pPr>
        <w:ind w:left="1740"/>
        <w:spacing w:after="0"/>
        <w:rPr>
          <w:sz w:val="20"/>
          <w:szCs w:val="20"/>
          <w:color w:val="auto"/>
        </w:rPr>
      </w:pPr>
      <w:r>
        <w:rPr>
          <w:rFonts w:ascii="Arial" w:cs="Arial" w:eastAsia="Arial" w:hAnsi="Arial"/>
          <w:sz w:val="14"/>
          <w:szCs w:val="14"/>
          <w:color w:val="auto"/>
        </w:rPr>
        <w:t>“</w:t>
      </w:r>
      <w:r>
        <w:rPr>
          <w:rFonts w:ascii="Arial" w:cs="Arial" w:eastAsia="Arial" w:hAnsi="Arial"/>
          <w:sz w:val="14"/>
          <w:szCs w:val="14"/>
          <w:u w:val="single" w:color="auto"/>
          <w:color w:val="auto"/>
        </w:rPr>
        <w:t>RIC</w:t>
      </w:r>
      <w:r>
        <w:rPr>
          <w:rFonts w:ascii="Arial" w:cs="Arial" w:eastAsia="Arial" w:hAnsi="Arial"/>
          <w:sz w:val="14"/>
          <w:szCs w:val="14"/>
          <w:color w:val="auto"/>
        </w:rPr>
        <w:t>” means a person qualifying for treatment as a “regulated investment company,” as defined in Section 851 of the Code.</w:t>
      </w:r>
    </w:p>
    <w:p>
      <w:pPr>
        <w:spacing w:after="0" w:line="204" w:lineRule="exact"/>
        <w:rPr>
          <w:sz w:val="20"/>
          <w:szCs w:val="20"/>
          <w:color w:val="auto"/>
        </w:rPr>
      </w:pPr>
    </w:p>
    <w:p>
      <w:pPr>
        <w:ind w:left="1740"/>
        <w:spacing w:after="0"/>
        <w:rPr>
          <w:sz w:val="20"/>
          <w:szCs w:val="20"/>
          <w:color w:val="auto"/>
        </w:rPr>
      </w:pPr>
      <w:r>
        <w:rPr>
          <w:rFonts w:ascii="Arial" w:cs="Arial" w:eastAsia="Arial" w:hAnsi="Arial"/>
          <w:sz w:val="14"/>
          <w:szCs w:val="14"/>
          <w:color w:val="auto"/>
        </w:rPr>
        <w:t>“</w:t>
      </w:r>
      <w:r>
        <w:rPr>
          <w:rFonts w:ascii="Arial" w:cs="Arial" w:eastAsia="Arial" w:hAnsi="Arial"/>
          <w:sz w:val="14"/>
          <w:szCs w:val="14"/>
          <w:u w:val="single" w:color="auto"/>
          <w:color w:val="auto"/>
        </w:rPr>
        <w:t>S&amp;P</w:t>
      </w:r>
      <w:r>
        <w:rPr>
          <w:rFonts w:ascii="Arial" w:cs="Arial" w:eastAsia="Arial" w:hAnsi="Arial"/>
          <w:sz w:val="14"/>
          <w:szCs w:val="14"/>
          <w:color w:val="auto"/>
        </w:rPr>
        <w:t>” means Standard &amp; Poor’s Ratings Services, a division of The McGraw Hill Companies, Inc., a New York corporation, or any successor thereto.</w:t>
      </w:r>
    </w:p>
    <w:p>
      <w:pPr>
        <w:spacing w:after="0" w:line="204" w:lineRule="exact"/>
        <w:rPr>
          <w:sz w:val="20"/>
          <w:szCs w:val="20"/>
          <w:color w:val="auto"/>
        </w:rPr>
      </w:pPr>
    </w:p>
    <w:p>
      <w:pPr>
        <w:jc w:val="both"/>
        <w:ind w:right="40" w:firstLine="1727"/>
        <w:spacing w:after="0" w:line="253" w:lineRule="auto"/>
        <w:rPr>
          <w:sz w:val="20"/>
          <w:szCs w:val="20"/>
          <w:color w:val="auto"/>
        </w:rPr>
      </w:pPr>
      <w:r>
        <w:rPr>
          <w:rFonts w:ascii="Arial" w:cs="Arial" w:eastAsia="Arial" w:hAnsi="Arial"/>
          <w:sz w:val="14"/>
          <w:szCs w:val="14"/>
          <w:color w:val="auto"/>
        </w:rPr>
        <w:t>“</w:t>
      </w:r>
      <w:r>
        <w:rPr>
          <w:rFonts w:ascii="Arial" w:cs="Arial" w:eastAsia="Arial" w:hAnsi="Arial"/>
          <w:sz w:val="14"/>
          <w:szCs w:val="14"/>
          <w:u w:val="single" w:color="auto"/>
          <w:color w:val="auto"/>
        </w:rPr>
        <w:t>Sanctioned Country</w:t>
      </w:r>
      <w:r>
        <w:rPr>
          <w:rFonts w:ascii="Arial" w:cs="Arial" w:eastAsia="Arial" w:hAnsi="Arial"/>
          <w:sz w:val="14"/>
          <w:szCs w:val="14"/>
          <w:color w:val="auto"/>
        </w:rPr>
        <w:t>” means, at any time, a country, territory or region which is the subject or target of any comprehensive Sanctions (as of the First Amendment Effective Date, including Cuba, Iran, North Korea, Syria or the Crimean region of Ukraine).</w:t>
      </w:r>
    </w:p>
    <w:p>
      <w:pPr>
        <w:spacing w:after="0" w:line="174" w:lineRule="exact"/>
        <w:rPr>
          <w:sz w:val="20"/>
          <w:szCs w:val="20"/>
          <w:color w:val="auto"/>
        </w:rPr>
      </w:pPr>
    </w:p>
    <w:p>
      <w:pPr>
        <w:ind w:left="1740"/>
        <w:spacing w:after="0"/>
        <w:rPr>
          <w:sz w:val="20"/>
          <w:szCs w:val="20"/>
          <w:color w:val="auto"/>
        </w:rPr>
      </w:pPr>
      <w:r>
        <w:rPr>
          <w:rFonts w:ascii="Arial" w:cs="Arial" w:eastAsia="Arial" w:hAnsi="Arial"/>
          <w:sz w:val="14"/>
          <w:szCs w:val="14"/>
          <w:color w:val="auto"/>
        </w:rPr>
        <w:t>“</w:t>
      </w:r>
      <w:r>
        <w:rPr>
          <w:rFonts w:ascii="Arial" w:cs="Arial" w:eastAsia="Arial" w:hAnsi="Arial"/>
          <w:sz w:val="14"/>
          <w:szCs w:val="14"/>
          <w:u w:val="single" w:color="auto"/>
          <w:color w:val="auto"/>
        </w:rPr>
        <w:t>Sanctions</w:t>
      </w:r>
      <w:r>
        <w:rPr>
          <w:rFonts w:ascii="Arial" w:cs="Arial" w:eastAsia="Arial" w:hAnsi="Arial"/>
          <w:sz w:val="14"/>
          <w:szCs w:val="14"/>
          <w:color w:val="auto"/>
        </w:rPr>
        <w:t xml:space="preserve">” has the meaning assigned to such term in </w:t>
      </w:r>
      <w:r>
        <w:rPr>
          <w:rFonts w:ascii="Arial" w:cs="Arial" w:eastAsia="Arial" w:hAnsi="Arial"/>
          <w:sz w:val="14"/>
          <w:szCs w:val="14"/>
          <w:u w:val="single" w:color="auto"/>
          <w:color w:val="auto"/>
        </w:rPr>
        <w:t>Section 3.15</w:t>
      </w:r>
      <w:r>
        <w:rPr>
          <w:rFonts w:ascii="Arial" w:cs="Arial" w:eastAsia="Arial" w:hAnsi="Arial"/>
          <w:sz w:val="14"/>
          <w:szCs w:val="14"/>
          <w:color w:val="auto"/>
        </w:rPr>
        <w:t>.</w:t>
      </w:r>
    </w:p>
    <w:p>
      <w:pPr>
        <w:spacing w:after="0" w:line="204" w:lineRule="exact"/>
        <w:rPr>
          <w:sz w:val="20"/>
          <w:szCs w:val="20"/>
          <w:color w:val="auto"/>
        </w:rPr>
      </w:pPr>
    </w:p>
    <w:p>
      <w:pPr>
        <w:ind w:left="1740"/>
        <w:spacing w:after="0"/>
        <w:rPr>
          <w:sz w:val="20"/>
          <w:szCs w:val="20"/>
          <w:color w:val="auto"/>
        </w:rPr>
      </w:pPr>
      <w:r>
        <w:rPr>
          <w:rFonts w:ascii="Arial" w:cs="Arial" w:eastAsia="Arial" w:hAnsi="Arial"/>
          <w:sz w:val="14"/>
          <w:szCs w:val="14"/>
          <w:color w:val="auto"/>
        </w:rPr>
        <w:t>“</w:t>
      </w:r>
      <w:r>
        <w:rPr>
          <w:rFonts w:ascii="Arial" w:cs="Arial" w:eastAsia="Arial" w:hAnsi="Arial"/>
          <w:sz w:val="14"/>
          <w:szCs w:val="14"/>
          <w:u w:val="single" w:color="auto"/>
          <w:color w:val="auto"/>
        </w:rPr>
        <w:t>SBA</w:t>
      </w:r>
      <w:r>
        <w:rPr>
          <w:rFonts w:ascii="Arial" w:cs="Arial" w:eastAsia="Arial" w:hAnsi="Arial"/>
          <w:sz w:val="14"/>
          <w:szCs w:val="14"/>
          <w:color w:val="auto"/>
        </w:rPr>
        <w:t>” means the United States Small Business Administration.</w:t>
      </w:r>
    </w:p>
    <w:p>
      <w:pPr>
        <w:spacing w:after="0" w:line="204" w:lineRule="exact"/>
        <w:rPr>
          <w:sz w:val="20"/>
          <w:szCs w:val="20"/>
          <w:color w:val="auto"/>
        </w:rPr>
      </w:pPr>
    </w:p>
    <w:p>
      <w:pPr>
        <w:ind w:left="1740"/>
        <w:spacing w:after="0"/>
        <w:rPr>
          <w:sz w:val="20"/>
          <w:szCs w:val="20"/>
          <w:color w:val="auto"/>
        </w:rPr>
      </w:pPr>
      <w:r>
        <w:rPr>
          <w:rFonts w:ascii="Arial" w:cs="Arial" w:eastAsia="Arial" w:hAnsi="Arial"/>
          <w:sz w:val="14"/>
          <w:szCs w:val="14"/>
          <w:color w:val="auto"/>
        </w:rPr>
        <w:t>“</w:t>
      </w:r>
      <w:r>
        <w:rPr>
          <w:rFonts w:ascii="Arial" w:cs="Arial" w:eastAsia="Arial" w:hAnsi="Arial"/>
          <w:sz w:val="14"/>
          <w:szCs w:val="14"/>
          <w:u w:val="single" w:color="auto"/>
          <w:color w:val="auto"/>
        </w:rPr>
        <w:t>SBIC Equity Commitment</w:t>
      </w:r>
      <w:r>
        <w:rPr>
          <w:rFonts w:ascii="Arial" w:cs="Arial" w:eastAsia="Arial" w:hAnsi="Arial"/>
          <w:sz w:val="14"/>
          <w:szCs w:val="14"/>
          <w:color w:val="auto"/>
        </w:rPr>
        <w:t>” means a commitment by the Borrower to make one or more capital contributions to an SBIC Subsidiary.</w:t>
      </w:r>
    </w:p>
    <w:p>
      <w:pPr>
        <w:spacing w:after="0" w:line="204" w:lineRule="exact"/>
        <w:rPr>
          <w:sz w:val="20"/>
          <w:szCs w:val="20"/>
          <w:color w:val="auto"/>
        </w:rPr>
      </w:pPr>
    </w:p>
    <w:p>
      <w:pPr>
        <w:jc w:val="both"/>
        <w:ind w:right="20" w:firstLine="1727"/>
        <w:spacing w:after="0" w:line="244" w:lineRule="auto"/>
        <w:rPr>
          <w:sz w:val="20"/>
          <w:szCs w:val="20"/>
          <w:color w:val="auto"/>
        </w:rPr>
      </w:pPr>
      <w:r>
        <w:rPr>
          <w:rFonts w:ascii="Arial" w:cs="Arial" w:eastAsia="Arial" w:hAnsi="Arial"/>
          <w:sz w:val="13"/>
          <w:szCs w:val="13"/>
          <w:color w:val="auto"/>
        </w:rPr>
        <w:t>“</w:t>
      </w:r>
      <w:r>
        <w:rPr>
          <w:rFonts w:ascii="Arial" w:cs="Arial" w:eastAsia="Arial" w:hAnsi="Arial"/>
          <w:sz w:val="13"/>
          <w:szCs w:val="13"/>
          <w:u w:val="single" w:color="auto"/>
          <w:color w:val="auto"/>
        </w:rPr>
        <w:t>SBIC Subsidiary</w:t>
      </w:r>
      <w:r>
        <w:rPr>
          <w:rFonts w:ascii="Arial" w:cs="Arial" w:eastAsia="Arial" w:hAnsi="Arial"/>
          <w:sz w:val="13"/>
          <w:szCs w:val="13"/>
          <w:color w:val="auto"/>
        </w:rPr>
        <w:t>” means any direct or indirect Subsidiary (including such Subsidiary’s general partner or managing entity to the extent that the only material asset of such general partner or managing entity is its equity interest in the SBIC Subsidiary) of the Borrower licensed as a small business investment company under the Small Business Investment Act of 1958, as amended, (or that has applied for such a license and is actively pursuing the granting thereof by appropriate proceedings promptly instituted and diligently conducted) and which is designated by the Borrower (as provided below) as an SBIC Subsidiary, so long as (a) no portion of the Indebtedness or any other obligations (contingent or otherwise) of such Subsidiary: (i) is Guaranteed by any Obligor (other than a Permitted SBIC Guarantee or analogous commitment), (ii) is recourse to or obligates any Obligor in any way (other than in respect of any SBIC Equity Commitment, Permitted SBIC Guarantee or analogous commitment), or (iii) subjects any property of any Obligor, directly or indirectly, contingently or otherwise, to the satisfaction thereof, other than Equity Interests in any SBIC Subsidiary pledged to secure such Indebtedness, and (b) no Obligor has any obligation to maintain or preserve such Subsidiary’s financial condition or cause such entity to achieve certain levels of operating results (other than in respect of any SBIC Equity Commitment, Permitted SBIC Guarantee or analogous commitment). Any such designation by the Borrower shall be effected pursuant to a certificate of a Financial Officer delivered to the Administrative Agent, which certificate shall include a statement to the effect that, to the best of such officer’s knowledge, such designation complied with the foregoing conditions.</w:t>
      </w:r>
    </w:p>
    <w:p>
      <w:pPr>
        <w:spacing w:after="0" w:line="181" w:lineRule="exact"/>
        <w:rPr>
          <w:sz w:val="20"/>
          <w:szCs w:val="20"/>
          <w:color w:val="auto"/>
        </w:rPr>
      </w:pPr>
    </w:p>
    <w:p>
      <w:pPr>
        <w:jc w:val="both"/>
        <w:ind w:right="20" w:firstLine="1727"/>
        <w:spacing w:after="0" w:line="253" w:lineRule="auto"/>
        <w:rPr>
          <w:sz w:val="20"/>
          <w:szCs w:val="20"/>
          <w:color w:val="auto"/>
        </w:rPr>
      </w:pPr>
      <w:r>
        <w:rPr>
          <w:rFonts w:ascii="Arial" w:cs="Arial" w:eastAsia="Arial" w:hAnsi="Arial"/>
          <w:sz w:val="14"/>
          <w:szCs w:val="14"/>
          <w:color w:val="auto"/>
        </w:rPr>
        <w:t>“</w:t>
      </w:r>
      <w:r>
        <w:rPr>
          <w:rFonts w:ascii="Arial" w:cs="Arial" w:eastAsia="Arial" w:hAnsi="Arial"/>
          <w:sz w:val="14"/>
          <w:szCs w:val="14"/>
          <w:u w:val="single" w:color="auto"/>
          <w:color w:val="auto"/>
        </w:rPr>
        <w:t>Secured Debt Amount</w:t>
      </w:r>
      <w:r>
        <w:rPr>
          <w:rFonts w:ascii="Arial" w:cs="Arial" w:eastAsia="Arial" w:hAnsi="Arial"/>
          <w:sz w:val="14"/>
          <w:szCs w:val="14"/>
          <w:color w:val="auto"/>
        </w:rPr>
        <w:t>” means, on any date, the aggregate amount of all Secured Longer-Term Indebtedness and Secured Shorter-Term Indebtedness on such date (other than the obligations owed under the Loan Documents, including the Revolving Credit Exposure).</w:t>
      </w:r>
    </w:p>
    <w:p>
      <w:pPr>
        <w:spacing w:after="0" w:line="174" w:lineRule="exact"/>
        <w:rPr>
          <w:sz w:val="20"/>
          <w:szCs w:val="20"/>
          <w:color w:val="auto"/>
        </w:rPr>
      </w:pPr>
    </w:p>
    <w:p>
      <w:pPr>
        <w:jc w:val="both"/>
        <w:ind w:right="20" w:firstLine="1727"/>
        <w:spacing w:after="0" w:line="241" w:lineRule="auto"/>
        <w:rPr>
          <w:sz w:val="20"/>
          <w:szCs w:val="20"/>
          <w:color w:val="auto"/>
        </w:rPr>
      </w:pPr>
      <w:r>
        <w:rPr>
          <w:rFonts w:ascii="Arial" w:cs="Arial" w:eastAsia="Arial" w:hAnsi="Arial"/>
          <w:sz w:val="13"/>
          <w:szCs w:val="13"/>
          <w:color w:val="auto"/>
        </w:rPr>
        <w:t>“</w:t>
      </w:r>
      <w:r>
        <w:rPr>
          <w:rFonts w:ascii="Arial" w:cs="Arial" w:eastAsia="Arial" w:hAnsi="Arial"/>
          <w:sz w:val="13"/>
          <w:szCs w:val="13"/>
          <w:u w:val="single" w:color="auto"/>
          <w:color w:val="auto"/>
        </w:rPr>
        <w:t>Secured Longer-Term Indebtedness</w:t>
      </w:r>
      <w:r>
        <w:rPr>
          <w:rFonts w:ascii="Arial" w:cs="Arial" w:eastAsia="Arial" w:hAnsi="Arial"/>
          <w:sz w:val="13"/>
          <w:szCs w:val="13"/>
          <w:color w:val="auto"/>
        </w:rPr>
        <w:t xml:space="preserve">” means, as at any date, Indebtedness (other than Indebtedness hereunder) of any Obligor (which may be Guaranteed by any other Obligor) that (a) has no scheduled amortization (other than for amortization in an amount not greater than 1% of the aggregate initial principal amount of such Indebtedness per annum, provided that amortization in excess of 1% per annum shall be permitted so long as the amount of such amortization in excess of 1% is permitted to be incurred pursuant to </w:t>
      </w:r>
      <w:r>
        <w:rPr>
          <w:rFonts w:ascii="Arial" w:cs="Arial" w:eastAsia="Arial" w:hAnsi="Arial"/>
          <w:sz w:val="13"/>
          <w:szCs w:val="13"/>
          <w:u w:val="single" w:color="auto"/>
          <w:color w:val="auto"/>
        </w:rPr>
        <w:t>Section 6.01(g)</w:t>
      </w:r>
      <w:r>
        <w:rPr>
          <w:rFonts w:ascii="Arial" w:cs="Arial" w:eastAsia="Arial" w:hAnsi="Arial"/>
          <w:sz w:val="13"/>
          <w:szCs w:val="13"/>
          <w:color w:val="auto"/>
        </w:rPr>
        <w:t xml:space="preserve">) prior to, and a final maturity date not earlier than, six months after the Final Maturity Date (it being understood that none of: (w) the conversion features under convertible notes; (x) the triggering and/or settlement thereof; or (y) any cash payment made in respect thereof, shall constitute “amortization” for purposes of this </w:t>
      </w:r>
      <w:r>
        <w:rPr>
          <w:rFonts w:ascii="Arial" w:cs="Arial" w:eastAsia="Arial" w:hAnsi="Arial"/>
          <w:sz w:val="13"/>
          <w:szCs w:val="13"/>
          <w:u w:val="single" w:color="auto"/>
          <w:color w:val="auto"/>
        </w:rPr>
        <w:t>clause (a)</w:t>
      </w:r>
      <w:r>
        <w:rPr>
          <w:rFonts w:ascii="Arial" w:cs="Arial" w:eastAsia="Arial" w:hAnsi="Arial"/>
          <w:sz w:val="13"/>
          <w:szCs w:val="13"/>
          <w:color w:val="auto"/>
        </w:rPr>
        <w:t xml:space="preserve">), (b) is incurred pursuant to documentation containing (i) financial covenants, covenants governing the borrowing base, if any, portfolio valuations and events of default (other than events of default customary in indentures or similar instruments that have no analogous provisions in this Agreement or credit agreements generally) that are no more restrictive upon the Borrower and its Subsidiaries than those set forth in this Agreement and (ii) other terms (other than interest) that are no more restrictive in any material respect upon the Borrower and its Subsidiaries, prior to the Termination Date, than those set forth in this Agreement (it being understood that put rights or repurchase or redemption obligations (x) in the case of convertible securities, in connection with the suspension or delisting of the capital stock of the Borrower or the failure of the Borrower to satisfy a continued listing rule with respect to its capital stock or (y) arising out of circumstances that would constitute a “fundamental change” (as such term is customarily defined in convertible note offerings) or an Event of Default under this Agreement shall not be deemed to be more restrictive for purposes of this definition)); </w:t>
      </w:r>
      <w:r>
        <w:rPr>
          <w:rFonts w:ascii="Arial" w:cs="Arial" w:eastAsia="Arial" w:hAnsi="Arial"/>
          <w:sz w:val="13"/>
          <w:szCs w:val="13"/>
          <w:u w:val="single" w:color="auto"/>
          <w:color w:val="auto"/>
        </w:rPr>
        <w:t>provided</w:t>
      </w:r>
      <w:r>
        <w:rPr>
          <w:rFonts w:ascii="Arial" w:cs="Arial" w:eastAsia="Arial" w:hAnsi="Arial"/>
          <w:sz w:val="13"/>
          <w:szCs w:val="13"/>
          <w:color w:val="auto"/>
        </w:rPr>
        <w:t xml:space="preserve"> that, upon the Borrower’s written request in connection with the incurrence of any Secured Longer-Term Indebtedness that otherwise would not meet the requirements of this clause (b), this Agreement will be deemed automatically amended (and, upon the request of the Administrative Agent or the Required Lenders, the Borrower shall promptly enter into a written amendment evidencing such amendment), </w:t>
      </w:r>
      <w:r>
        <w:rPr>
          <w:rFonts w:ascii="Arial" w:cs="Arial" w:eastAsia="Arial" w:hAnsi="Arial"/>
          <w:sz w:val="13"/>
          <w:szCs w:val="13"/>
          <w:i w:val="1"/>
          <w:iCs w:val="1"/>
          <w:color w:val="auto"/>
        </w:rPr>
        <w:t>mutatis mutandis</w:t>
      </w:r>
      <w:r>
        <w:rPr>
          <w:rFonts w:ascii="Arial" w:cs="Arial" w:eastAsia="Arial" w:hAnsi="Arial"/>
          <w:sz w:val="13"/>
          <w:szCs w:val="13"/>
          <w:color w:val="auto"/>
        </w:rPr>
        <w:t>, solely to the extent necessary such that the financial covenants, covenants governing the borrowing base, if any, portfolio valuations, events of default (other than events of default customary in indentures or similar instruments that have no analogous provisions in this Agreement or credit agreements generally) or other terms, as applicable, in this Agreement shall be as restrictive as such covenants in the Secured Longer-Term Indebtedness, and (c) is not secured by any assets of any Obligor other than pursuant to this Agreement or the Security Documents and the holders of which (or an authorized agent, representative or trustee of such holders) have either executed (i) a joinder agreement to the Guarantee and Security Agreement or (ii) such other document or agreement, in a form reasonably satisfactory to the Administrative Agent and the Collateral Agent, pursuant to which the holders (or an authorized agent, representative or trustee of such holders) of such Secured Longer-Term Indebtedness shall have become a party to the</w:t>
      </w:r>
    </w:p>
    <w:p>
      <w:pPr>
        <w:spacing w:after="0" w:line="200" w:lineRule="exact"/>
        <w:rPr>
          <w:sz w:val="20"/>
          <w:szCs w:val="20"/>
          <w:color w:val="auto"/>
        </w:rPr>
      </w:pPr>
    </w:p>
    <w:p>
      <w:pPr>
        <w:spacing w:after="0" w:line="200" w:lineRule="exact"/>
        <w:rPr>
          <w:sz w:val="20"/>
          <w:szCs w:val="20"/>
          <w:color w:val="auto"/>
        </w:rPr>
      </w:pPr>
    </w:p>
    <w:p>
      <w:pPr>
        <w:spacing w:after="0" w:line="20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7580" w:type="dxa"/>
            <w:vAlign w:val="bottom"/>
          </w:tcPr>
          <w:p>
            <w:pPr>
              <w:jc w:val="right"/>
              <w:ind w:right="1808"/>
              <w:spacing w:after="0"/>
              <w:rPr>
                <w:sz w:val="20"/>
                <w:szCs w:val="20"/>
                <w:color w:val="auto"/>
              </w:rPr>
            </w:pPr>
            <w:r>
              <w:rPr>
                <w:rFonts w:ascii="Arial" w:cs="Arial" w:eastAsia="Arial" w:hAnsi="Arial"/>
                <w:sz w:val="14"/>
                <w:szCs w:val="14"/>
                <w:color w:val="auto"/>
              </w:rPr>
              <w:t>16</w:t>
            </w:r>
          </w:p>
        </w:tc>
        <w:tc>
          <w:tcPr>
            <w:tcW w:w="3680" w:type="dxa"/>
            <w:vAlign w:val="bottom"/>
          </w:tcPr>
          <w:p>
            <w:pPr>
              <w:jc w:val="right"/>
              <w:spacing w:after="0"/>
              <w:rPr>
                <w:sz w:val="20"/>
                <w:szCs w:val="20"/>
                <w:color w:val="auto"/>
              </w:rPr>
            </w:pPr>
            <w:r>
              <w:rPr>
                <w:rFonts w:ascii="Arial" w:cs="Arial" w:eastAsia="Arial" w:hAnsi="Arial"/>
                <w:sz w:val="14"/>
                <w:szCs w:val="14"/>
                <w:i w:val="1"/>
                <w:iCs w:val="1"/>
                <w:color w:val="auto"/>
              </w:rPr>
              <w:t>Second Amended and Restated</w:t>
            </w:r>
          </w:p>
        </w:tc>
      </w:tr>
      <w:tr>
        <w:trPr>
          <w:trHeight w:val="182"/>
        </w:trPr>
        <w:tc>
          <w:tcPr>
            <w:tcW w:w="7580" w:type="dxa"/>
            <w:vAlign w:val="bottom"/>
          </w:tcPr>
          <w:p>
            <w:pPr>
              <w:spacing w:after="0"/>
              <w:rPr>
                <w:sz w:val="15"/>
                <w:szCs w:val="15"/>
                <w:color w:val="auto"/>
              </w:rPr>
            </w:pPr>
          </w:p>
        </w:tc>
        <w:tc>
          <w:tcPr>
            <w:tcW w:w="3680" w:type="dxa"/>
            <w:vAlign w:val="bottom"/>
          </w:tcPr>
          <w:p>
            <w:pPr>
              <w:jc w:val="right"/>
              <w:spacing w:after="0"/>
              <w:rPr>
                <w:sz w:val="20"/>
                <w:szCs w:val="20"/>
                <w:color w:val="auto"/>
              </w:rPr>
            </w:pPr>
            <w:r>
              <w:rPr>
                <w:rFonts w:ascii="Arial" w:cs="Arial" w:eastAsia="Arial" w:hAnsi="Arial"/>
                <w:sz w:val="14"/>
                <w:szCs w:val="14"/>
                <w:i w:val="1"/>
                <w:iCs w:val="1"/>
                <w:color w:val="auto"/>
              </w:rPr>
              <w:t>Revolving Credit Agreement</w:t>
            </w:r>
          </w:p>
        </w:tc>
      </w:tr>
      <w:tr>
        <w:trPr>
          <w:trHeight w:val="316"/>
        </w:trPr>
        <w:tc>
          <w:tcPr>
            <w:tcW w:w="7580" w:type="dxa"/>
            <w:vAlign w:val="bottom"/>
            <w:tcBorders>
              <w:bottom w:val="single" w:sz="8" w:color="9A9A9A"/>
            </w:tcBorders>
          </w:tcPr>
          <w:p>
            <w:pPr>
              <w:spacing w:after="0"/>
              <w:rPr>
                <w:sz w:val="24"/>
                <w:szCs w:val="24"/>
                <w:color w:val="auto"/>
              </w:rPr>
            </w:pPr>
          </w:p>
        </w:tc>
        <w:tc>
          <w:tcPr>
            <w:tcW w:w="368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7145655</wp:posOffset>
            </wp:positionH>
            <wp:positionV relativeFrom="paragraph">
              <wp:posOffset>-8255</wp:posOffset>
            </wp:positionV>
            <wp:extent cx="8255" cy="8890"/>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44">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-16510</wp:posOffset>
            </wp:positionV>
            <wp:extent cx="8890" cy="17145"/>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45">
                      <a:extLst>
                        <a:ext uri="{28A0092B-C50C-407E-A947-70E740481C1C}"/>
                      </a:extLst>
                    </a:blip>
                    <a:srcRect/>
                    <a:stretch>
                      <a:fillRect/>
                    </a:stretch>
                  </pic:blipFill>
                  <pic:spPr bwMode="auto">
                    <a:xfrm>
                      <a:off x="0" y="0"/>
                      <a:ext cx="8890" cy="17145"/>
                    </a:xfrm>
                    <a:prstGeom prst="rect">
                      <a:avLst/>
                    </a:prstGeom>
                    <a:noFill/>
                  </pic:spPr>
                </pic:pic>
              </a:graphicData>
            </a:graphic>
          </wp:anchor>
        </w:drawing>
      </w:r>
    </w:p>
    <w:p>
      <w:pPr>
        <w:sectPr>
          <w:pgSz w:w="11900" w:h="16838" w:orient="portrait"/>
          <w:cols w:equalWidth="0" w:num="1">
            <w:col w:w="11260"/>
          </w:cols>
          <w:pgMar w:left="320" w:top="337" w:right="319" w:bottom="1440" w:gutter="0" w:footer="0" w:header="0"/>
        </w:sectPr>
      </w:pPr>
    </w:p>
    <w:bookmarkStart w:id="79" w:name="page80"/>
    <w:bookmarkEnd w:id="79"/>
    <w:p>
      <w:pPr>
        <w:spacing w:after="0"/>
        <w:rPr>
          <w:sz w:val="20"/>
          <w:szCs w:val="20"/>
          <w:color w:val="auto"/>
        </w:rPr>
      </w:pPr>
      <w:r>
        <w:rPr>
          <w:rFonts w:ascii="Arial" w:cs="Arial" w:eastAsia="Arial" w:hAnsi="Arial"/>
          <w:sz w:val="13"/>
          <w:szCs w:val="13"/>
          <w:color w:val="auto"/>
        </w:rPr>
        <w:t>Guarantee and Security Agreement and assumed the obligations of a Financing Agent or Designated Indebtedness Holder (in each case, as defined in the Guarantee and Security Agreement).</w:t>
      </w:r>
    </w:p>
    <w:p>
      <w:pPr>
        <w:spacing w:after="0" w:line="215" w:lineRule="exact"/>
        <w:rPr>
          <w:sz w:val="20"/>
          <w:szCs w:val="20"/>
          <w:color w:val="auto"/>
        </w:rPr>
      </w:pPr>
    </w:p>
    <w:p>
      <w:pPr>
        <w:jc w:val="both"/>
        <w:ind w:right="20" w:firstLine="1727"/>
        <w:spacing w:after="0" w:line="228" w:lineRule="auto"/>
        <w:rPr>
          <w:sz w:val="20"/>
          <w:szCs w:val="20"/>
          <w:color w:val="auto"/>
        </w:rPr>
      </w:pPr>
      <w:r>
        <w:rPr>
          <w:rFonts w:ascii="Arial" w:cs="Arial" w:eastAsia="Arial" w:hAnsi="Arial"/>
          <w:sz w:val="14"/>
          <w:szCs w:val="14"/>
          <w:color w:val="auto"/>
        </w:rPr>
        <w:t>“</w:t>
      </w:r>
      <w:r>
        <w:rPr>
          <w:rFonts w:ascii="Arial" w:cs="Arial" w:eastAsia="Arial" w:hAnsi="Arial"/>
          <w:sz w:val="14"/>
          <w:szCs w:val="14"/>
          <w:u w:val="single" w:color="auto"/>
          <w:color w:val="auto"/>
        </w:rPr>
        <w:t>Secured Shorter-Term Indebtedness</w:t>
      </w:r>
      <w:r>
        <w:rPr>
          <w:rFonts w:ascii="Arial" w:cs="Arial" w:eastAsia="Arial" w:hAnsi="Arial"/>
          <w:sz w:val="14"/>
          <w:szCs w:val="14"/>
          <w:color w:val="auto"/>
        </w:rPr>
        <w:t xml:space="preserve">” means, collectively, (a) any Indebtedness of the Borrower or any Subsidiary (other than a Financing Subsidiary) that is (x) secured by any assets of any Obligor and that does not constitute Secured Longer-Term Indebtedness and (y) not secured by any assets of any Obligor other than pursuant to this Agreement or the Security Documents and the holders of which (or an authorized agent, representative or trustee of such holders) have either executed (i) a joinder agreement to the Guarantee and Security Agreement or (ii) such other document or agreement, in a form reasonably satisfactory to the Administrative Agent and the Collateral Agent, pursuant to which the holders (or an authorized agent, representative or trustee of such holders) of such Secured Shorter-Term Indebtedness shall have become a party to the Guarantee and Security Agreement and assumed the obligations of a Financing Agent or Designated Indebtedness Holder (in each case, as defined in the Guarantee and Security Agreement) and (b) any Indebtedness that is designated as “Secured Shorter-Term Indebtedness” pursuant to </w:t>
      </w:r>
      <w:r>
        <w:rPr>
          <w:rFonts w:ascii="Arial" w:cs="Arial" w:eastAsia="Arial" w:hAnsi="Arial"/>
          <w:sz w:val="14"/>
          <w:szCs w:val="14"/>
          <w:u w:val="single" w:color="auto"/>
          <w:color w:val="auto"/>
        </w:rPr>
        <w:t>Section 6.11(a)</w:t>
      </w:r>
      <w:r>
        <w:rPr>
          <w:rFonts w:ascii="Arial" w:cs="Arial" w:eastAsia="Arial" w:hAnsi="Arial"/>
          <w:sz w:val="14"/>
          <w:szCs w:val="14"/>
          <w:color w:val="auto"/>
        </w:rPr>
        <w:t>.</w:t>
      </w:r>
    </w:p>
    <w:p>
      <w:pPr>
        <w:spacing w:after="0" w:line="185" w:lineRule="exact"/>
        <w:rPr>
          <w:sz w:val="20"/>
          <w:szCs w:val="20"/>
          <w:color w:val="auto"/>
        </w:rPr>
      </w:pPr>
    </w:p>
    <w:p>
      <w:pPr>
        <w:jc w:val="both"/>
        <w:ind w:right="20" w:firstLine="1727"/>
        <w:spacing w:after="0" w:line="233" w:lineRule="auto"/>
        <w:rPr>
          <w:sz w:val="20"/>
          <w:szCs w:val="20"/>
          <w:color w:val="auto"/>
        </w:rPr>
      </w:pPr>
      <w:r>
        <w:rPr>
          <w:rFonts w:ascii="Arial" w:cs="Arial" w:eastAsia="Arial" w:hAnsi="Arial"/>
          <w:sz w:val="14"/>
          <w:szCs w:val="14"/>
          <w:color w:val="auto"/>
        </w:rPr>
        <w:t>“</w:t>
      </w:r>
      <w:r>
        <w:rPr>
          <w:rFonts w:ascii="Arial" w:cs="Arial" w:eastAsia="Arial" w:hAnsi="Arial"/>
          <w:sz w:val="14"/>
          <w:szCs w:val="14"/>
          <w:u w:val="single" w:color="auto"/>
          <w:color w:val="auto"/>
        </w:rPr>
        <w:t>Security Documents</w:t>
      </w:r>
      <w:r>
        <w:rPr>
          <w:rFonts w:ascii="Arial" w:cs="Arial" w:eastAsia="Arial" w:hAnsi="Arial"/>
          <w:sz w:val="14"/>
          <w:szCs w:val="14"/>
          <w:color w:val="auto"/>
        </w:rPr>
        <w:t>” means, collectively, the Guarantee and Security Agreement, all Uniform Commercial Code financing statements filed with respect to the security interests in personal property created pursuant to the Guarantee and Security Agreement and all other assignments, pledge agreements, security agreements, control agreements and other instruments executed and delivered on or after the date hereof by any of the Obligors pursuant to the Guarantee and Security Agreement or otherwise providing or relating to any collateral security for any of the Secured Obligations under and as defined in the Guarantee and Security Agreement.</w:t>
      </w:r>
    </w:p>
    <w:p>
      <w:pPr>
        <w:spacing w:after="0" w:line="185" w:lineRule="exact"/>
        <w:rPr>
          <w:sz w:val="20"/>
          <w:szCs w:val="20"/>
          <w:color w:val="auto"/>
        </w:rPr>
      </w:pPr>
    </w:p>
    <w:p>
      <w:pPr>
        <w:jc w:val="both"/>
        <w:ind w:right="20" w:firstLine="1727"/>
        <w:spacing w:after="0" w:line="253" w:lineRule="auto"/>
        <w:rPr>
          <w:sz w:val="20"/>
          <w:szCs w:val="20"/>
          <w:color w:val="auto"/>
        </w:rPr>
      </w:pPr>
      <w:r>
        <w:rPr>
          <w:rFonts w:ascii="Arial" w:cs="Arial" w:eastAsia="Arial" w:hAnsi="Arial"/>
          <w:sz w:val="14"/>
          <w:szCs w:val="14"/>
          <w:color w:val="auto"/>
        </w:rPr>
        <w:t>“</w:t>
      </w:r>
      <w:r>
        <w:rPr>
          <w:rFonts w:ascii="Arial" w:cs="Arial" w:eastAsia="Arial" w:hAnsi="Arial"/>
          <w:sz w:val="14"/>
          <w:szCs w:val="14"/>
          <w:u w:val="single" w:color="auto"/>
          <w:color w:val="auto"/>
        </w:rPr>
        <w:t>Shareholders’ Equity</w:t>
      </w:r>
      <w:r>
        <w:rPr>
          <w:rFonts w:ascii="Arial" w:cs="Arial" w:eastAsia="Arial" w:hAnsi="Arial"/>
          <w:sz w:val="14"/>
          <w:szCs w:val="14"/>
          <w:color w:val="auto"/>
        </w:rPr>
        <w:t>” means, at any date, the amount determined on a consolidated basis, without duplication, in accordance with GAAP, of shareholders equity for the Borrower and its Subsidiaries at such date.</w:t>
      </w:r>
    </w:p>
    <w:p>
      <w:pPr>
        <w:spacing w:after="0" w:line="174" w:lineRule="exact"/>
        <w:rPr>
          <w:sz w:val="20"/>
          <w:szCs w:val="20"/>
          <w:color w:val="auto"/>
        </w:rPr>
      </w:pPr>
    </w:p>
    <w:p>
      <w:pPr>
        <w:jc w:val="both"/>
        <w:ind w:right="20" w:firstLine="1727"/>
        <w:spacing w:after="0" w:line="238" w:lineRule="auto"/>
        <w:rPr>
          <w:sz w:val="20"/>
          <w:szCs w:val="20"/>
          <w:color w:val="auto"/>
        </w:rPr>
      </w:pPr>
      <w:r>
        <w:rPr>
          <w:rFonts w:ascii="Arial" w:cs="Arial" w:eastAsia="Arial" w:hAnsi="Arial"/>
          <w:sz w:val="14"/>
          <w:szCs w:val="14"/>
          <w:color w:val="auto"/>
        </w:rPr>
        <w:t>“</w:t>
      </w:r>
      <w:r>
        <w:rPr>
          <w:rFonts w:ascii="Arial" w:cs="Arial" w:eastAsia="Arial" w:hAnsi="Arial"/>
          <w:sz w:val="14"/>
          <w:szCs w:val="14"/>
          <w:u w:val="single" w:color="auto"/>
          <w:color w:val="auto"/>
        </w:rPr>
        <w:t>SPE Subsidiary</w:t>
      </w:r>
      <w:r>
        <w:rPr>
          <w:rFonts w:ascii="Arial" w:cs="Arial" w:eastAsia="Arial" w:hAnsi="Arial"/>
          <w:sz w:val="14"/>
          <w:szCs w:val="14"/>
          <w:color w:val="auto"/>
        </w:rPr>
        <w:t>” means a direct or indirect Subsidiary of the Borrower to which any Obligor sells, conveys or otherwise transfers (whether directly or indirectly) Portfolio Investments, which engages in no material activities other than in connection with the purchase, holding, disposition or financing of such assets and which is designated by the Borrower (as provided below) as an SPE Subsidiary:</w:t>
      </w:r>
    </w:p>
    <w:p>
      <w:pPr>
        <w:spacing w:after="0" w:line="183" w:lineRule="exact"/>
        <w:rPr>
          <w:sz w:val="20"/>
          <w:szCs w:val="20"/>
          <w:color w:val="auto"/>
        </w:rPr>
      </w:pPr>
    </w:p>
    <w:p>
      <w:pPr>
        <w:jc w:val="both"/>
        <w:ind w:right="120" w:firstLine="1735"/>
        <w:spacing w:after="0" w:line="264" w:lineRule="auto"/>
        <w:tabs>
          <w:tab w:leader="none" w:pos="2535" w:val="left"/>
        </w:tabs>
        <w:numPr>
          <w:ilvl w:val="0"/>
          <w:numId w:val="40"/>
        </w:numPr>
        <w:rPr>
          <w:rFonts w:ascii="Arial" w:cs="Arial" w:eastAsia="Arial" w:hAnsi="Arial"/>
          <w:sz w:val="13"/>
          <w:szCs w:val="13"/>
          <w:color w:val="auto"/>
        </w:rPr>
      </w:pPr>
      <w:r>
        <w:rPr>
          <w:rFonts w:ascii="Arial" w:cs="Arial" w:eastAsia="Arial" w:hAnsi="Arial"/>
          <w:sz w:val="13"/>
          <w:szCs w:val="13"/>
          <w:color w:val="auto"/>
        </w:rPr>
        <w:t>no portion of the Indebtedness or any other obligations (contingent or otherwise) of which (i) is Guaranteed by any Obligor (other than Guarantees in respect of Standard Securitization Undertakings), (ii) is recourse to or obligates any Obligor in any way other than pursuant to Standard Securitization Undertakings or (iii) subjects any property of any Obligor, directly or indirectly, contingently or otherwise, to the satisfaction thereof, other than pursuant to Standard Securitization Undertakings or any Guarantee thereof,</w:t>
      </w:r>
    </w:p>
    <w:p>
      <w:pPr>
        <w:spacing w:after="0" w:line="168" w:lineRule="exact"/>
        <w:rPr>
          <w:rFonts w:ascii="Arial" w:cs="Arial" w:eastAsia="Arial" w:hAnsi="Arial"/>
          <w:sz w:val="13"/>
          <w:szCs w:val="13"/>
          <w:color w:val="auto"/>
        </w:rPr>
      </w:pPr>
    </w:p>
    <w:p>
      <w:pPr>
        <w:ind w:right="60" w:firstLine="1735"/>
        <w:spacing w:after="0" w:line="238" w:lineRule="auto"/>
        <w:tabs>
          <w:tab w:leader="none" w:pos="2543" w:val="left"/>
        </w:tabs>
        <w:numPr>
          <w:ilvl w:val="0"/>
          <w:numId w:val="40"/>
        </w:numPr>
        <w:rPr>
          <w:rFonts w:ascii="Arial" w:cs="Arial" w:eastAsia="Arial" w:hAnsi="Arial"/>
          <w:sz w:val="14"/>
          <w:szCs w:val="14"/>
          <w:color w:val="auto"/>
        </w:rPr>
      </w:pPr>
      <w:r>
        <w:rPr>
          <w:rFonts w:ascii="Arial" w:cs="Arial" w:eastAsia="Arial" w:hAnsi="Arial"/>
          <w:sz w:val="14"/>
          <w:szCs w:val="14"/>
          <w:color w:val="auto"/>
        </w:rPr>
        <w:t>with which no Obligor has any material contract, agreement, arrangement or understanding other than on terms, taken as a whole, not materially less favorable to such Obligor than those that might be obtained at the time from Persons that are not Affiliates of any Obligor, other than fees payable in the ordinary course of business in connection with servicing receivables, and</w:t>
      </w:r>
    </w:p>
    <w:p>
      <w:pPr>
        <w:spacing w:after="0" w:line="182" w:lineRule="exact"/>
        <w:rPr>
          <w:rFonts w:ascii="Arial" w:cs="Arial" w:eastAsia="Arial" w:hAnsi="Arial"/>
          <w:sz w:val="14"/>
          <w:szCs w:val="14"/>
          <w:color w:val="auto"/>
        </w:rPr>
      </w:pPr>
    </w:p>
    <w:p>
      <w:pPr>
        <w:ind w:left="2540" w:hanging="805"/>
        <w:spacing w:after="0"/>
        <w:tabs>
          <w:tab w:leader="none" w:pos="2540" w:val="left"/>
        </w:tabs>
        <w:numPr>
          <w:ilvl w:val="0"/>
          <w:numId w:val="40"/>
        </w:numPr>
        <w:rPr>
          <w:rFonts w:ascii="Arial" w:cs="Arial" w:eastAsia="Arial" w:hAnsi="Arial"/>
          <w:sz w:val="13"/>
          <w:szCs w:val="13"/>
          <w:color w:val="auto"/>
        </w:rPr>
      </w:pPr>
      <w:r>
        <w:rPr>
          <w:rFonts w:ascii="Arial" w:cs="Arial" w:eastAsia="Arial" w:hAnsi="Arial"/>
          <w:sz w:val="13"/>
          <w:szCs w:val="13"/>
          <w:color w:val="auto"/>
        </w:rPr>
        <w:t>to which no Obligor has any obligation to maintain or preserve such entity’s financial condition or cause such entity to achieve certain levels of</w:t>
      </w:r>
    </w:p>
    <w:p>
      <w:pPr>
        <w:spacing w:after="0" w:line="11" w:lineRule="exact"/>
        <w:rPr>
          <w:rFonts w:ascii="Arial" w:cs="Arial" w:eastAsia="Arial" w:hAnsi="Arial"/>
          <w:sz w:val="13"/>
          <w:szCs w:val="13"/>
          <w:color w:val="auto"/>
        </w:rPr>
      </w:pPr>
    </w:p>
    <w:p>
      <w:pPr>
        <w:spacing w:after="0"/>
        <w:rPr>
          <w:rFonts w:ascii="Arial" w:cs="Arial" w:eastAsia="Arial" w:hAnsi="Arial"/>
          <w:sz w:val="13"/>
          <w:szCs w:val="13"/>
          <w:color w:val="auto"/>
        </w:rPr>
      </w:pPr>
      <w:r>
        <w:rPr>
          <w:rFonts w:ascii="Arial" w:cs="Arial" w:eastAsia="Arial" w:hAnsi="Arial"/>
          <w:sz w:val="14"/>
          <w:szCs w:val="14"/>
          <w:color w:val="auto"/>
        </w:rPr>
        <w:t>operating results.</w:t>
      </w:r>
    </w:p>
    <w:p>
      <w:pPr>
        <w:spacing w:after="0" w:line="192" w:lineRule="exact"/>
        <w:rPr>
          <w:sz w:val="20"/>
          <w:szCs w:val="20"/>
          <w:color w:val="auto"/>
        </w:rPr>
      </w:pPr>
    </w:p>
    <w:p>
      <w:pPr>
        <w:jc w:val="both"/>
        <w:ind w:right="20" w:firstLine="1727"/>
        <w:spacing w:after="0" w:line="238" w:lineRule="auto"/>
        <w:rPr>
          <w:sz w:val="20"/>
          <w:szCs w:val="20"/>
          <w:color w:val="auto"/>
        </w:rPr>
      </w:pPr>
      <w:r>
        <w:rPr>
          <w:rFonts w:ascii="Arial" w:cs="Arial" w:eastAsia="Arial" w:hAnsi="Arial"/>
          <w:sz w:val="14"/>
          <w:szCs w:val="14"/>
          <w:color w:val="auto"/>
        </w:rPr>
        <w:t>Any such designation by the Borrower shall be effected pursuant to a certificate of a Financial Officer delivered to the Administrative Agent, which certificate shall include a statement to the effect that, to the best of such officer’s knowledge, such designation complied with the foregoing conditions. Each Subsidiary of an SPE Subsidiary shall be deemed to be an SPE Subsidiary and shall comply with the foregoing requirements of this definition.</w:t>
      </w:r>
    </w:p>
    <w:p>
      <w:pPr>
        <w:spacing w:after="0" w:line="183" w:lineRule="exact"/>
        <w:rPr>
          <w:sz w:val="20"/>
          <w:szCs w:val="20"/>
          <w:color w:val="auto"/>
        </w:rPr>
      </w:pPr>
    </w:p>
    <w:p>
      <w:pPr>
        <w:jc w:val="both"/>
        <w:ind w:right="20" w:firstLine="1727"/>
        <w:spacing w:after="0" w:line="233" w:lineRule="auto"/>
        <w:rPr>
          <w:sz w:val="20"/>
          <w:szCs w:val="20"/>
          <w:color w:val="auto"/>
        </w:rPr>
      </w:pPr>
      <w:r>
        <w:rPr>
          <w:rFonts w:ascii="Arial" w:cs="Arial" w:eastAsia="Arial" w:hAnsi="Arial"/>
          <w:sz w:val="14"/>
          <w:szCs w:val="14"/>
          <w:color w:val="auto"/>
        </w:rPr>
        <w:t>“</w:t>
      </w:r>
      <w:r>
        <w:rPr>
          <w:rFonts w:ascii="Arial" w:cs="Arial" w:eastAsia="Arial" w:hAnsi="Arial"/>
          <w:sz w:val="14"/>
          <w:szCs w:val="14"/>
          <w:u w:val="single" w:color="auto"/>
          <w:color w:val="auto"/>
        </w:rPr>
        <w:t>Special Equity Interest</w:t>
      </w:r>
      <w:r>
        <w:rPr>
          <w:rFonts w:ascii="Arial" w:cs="Arial" w:eastAsia="Arial" w:hAnsi="Arial"/>
          <w:sz w:val="14"/>
          <w:szCs w:val="14"/>
          <w:color w:val="auto"/>
        </w:rPr>
        <w:t xml:space="preserve">” means any Equity Interest that is subject to a Lien in favor of creditors of the issuer of such Equity Interest </w:t>
      </w:r>
      <w:r>
        <w:rPr>
          <w:rFonts w:ascii="Arial" w:cs="Arial" w:eastAsia="Arial" w:hAnsi="Arial"/>
          <w:sz w:val="14"/>
          <w:szCs w:val="14"/>
          <w:u w:val="single" w:color="auto"/>
          <w:color w:val="auto"/>
        </w:rPr>
        <w:t>provided</w:t>
      </w:r>
      <w:r>
        <w:rPr>
          <w:rFonts w:ascii="Arial" w:cs="Arial" w:eastAsia="Arial" w:hAnsi="Arial"/>
          <w:sz w:val="14"/>
          <w:szCs w:val="14"/>
          <w:color w:val="auto"/>
        </w:rPr>
        <w:t xml:space="preserve"> that (a) such Lien was created to secure Indebtedness owing by such issuer to such creditors, (b) such Indebtedness was (i) in existence at the time the Obligors acquired such Equity Interest, (ii) incurred or assumed by such issuer substantially contemporaneously with such acquisition or (iii) already subject to a Lien granted to such creditors and (c) unless such Equity Interest is not intended to be included in the Collateral, the documentation creating or governing such Lien does not prohibit the inclusion of such Equity Interest in the Collateral.</w:t>
      </w:r>
    </w:p>
    <w:p>
      <w:pPr>
        <w:spacing w:after="0" w:line="185" w:lineRule="exact"/>
        <w:rPr>
          <w:sz w:val="20"/>
          <w:szCs w:val="20"/>
          <w:color w:val="auto"/>
        </w:rPr>
      </w:pPr>
    </w:p>
    <w:p>
      <w:pPr>
        <w:jc w:val="both"/>
        <w:ind w:right="20" w:firstLine="1727"/>
        <w:spacing w:after="0" w:line="238" w:lineRule="auto"/>
        <w:rPr>
          <w:sz w:val="20"/>
          <w:szCs w:val="20"/>
          <w:color w:val="auto"/>
        </w:rPr>
      </w:pPr>
      <w:r>
        <w:rPr>
          <w:rFonts w:ascii="Arial" w:cs="Arial" w:eastAsia="Arial" w:hAnsi="Arial"/>
          <w:sz w:val="14"/>
          <w:szCs w:val="14"/>
          <w:color w:val="auto"/>
        </w:rPr>
        <w:t>“</w:t>
      </w:r>
      <w:r>
        <w:rPr>
          <w:rFonts w:ascii="Arial" w:cs="Arial" w:eastAsia="Arial" w:hAnsi="Arial"/>
          <w:sz w:val="14"/>
          <w:szCs w:val="14"/>
          <w:u w:val="single" w:color="auto"/>
          <w:color w:val="auto"/>
        </w:rPr>
        <w:t>Special Permitted Indebtedness</w:t>
      </w:r>
      <w:r>
        <w:rPr>
          <w:rFonts w:ascii="Arial" w:cs="Arial" w:eastAsia="Arial" w:hAnsi="Arial"/>
          <w:sz w:val="14"/>
          <w:szCs w:val="14"/>
          <w:color w:val="auto"/>
        </w:rPr>
        <w:t>” means any Permitted Indebtedness that has no scheduled amortization prior to, and a final maturity date not earlier than, the Final Maturity Date (it being understood that none of (a) the conversion features under convertible notes, (b) the triggering and/or settlement thereof or (c) any cash payment made in respect thereof, shall constitute “amortization” hereunder).</w:t>
      </w:r>
    </w:p>
    <w:p>
      <w:pPr>
        <w:spacing w:after="0" w:line="183" w:lineRule="exact"/>
        <w:rPr>
          <w:sz w:val="20"/>
          <w:szCs w:val="20"/>
          <w:color w:val="auto"/>
        </w:rPr>
      </w:pPr>
    </w:p>
    <w:p>
      <w:pPr>
        <w:jc w:val="both"/>
        <w:ind w:right="20" w:firstLine="1727"/>
        <w:spacing w:after="0" w:line="253" w:lineRule="auto"/>
        <w:rPr>
          <w:sz w:val="20"/>
          <w:szCs w:val="20"/>
          <w:color w:val="auto"/>
        </w:rPr>
      </w:pPr>
      <w:r>
        <w:rPr>
          <w:rFonts w:ascii="Arial" w:cs="Arial" w:eastAsia="Arial" w:hAnsi="Arial"/>
          <w:sz w:val="14"/>
          <w:szCs w:val="14"/>
          <w:color w:val="auto"/>
        </w:rPr>
        <w:t>“</w:t>
      </w:r>
      <w:r>
        <w:rPr>
          <w:rFonts w:ascii="Arial" w:cs="Arial" w:eastAsia="Arial" w:hAnsi="Arial"/>
          <w:sz w:val="14"/>
          <w:szCs w:val="14"/>
          <w:u w:val="single" w:color="auto"/>
          <w:color w:val="auto"/>
        </w:rPr>
        <w:t>Specified Countries</w:t>
      </w:r>
      <w:r>
        <w:rPr>
          <w:rFonts w:ascii="Arial" w:cs="Arial" w:eastAsia="Arial" w:hAnsi="Arial"/>
          <w:sz w:val="14"/>
          <w:szCs w:val="14"/>
          <w:color w:val="auto"/>
        </w:rPr>
        <w:t>” means the United States and U.S. Territories, Canada, Australia, the United Kingdom, Ireland, Germany, Spain, France, Belgium, the Netherlands, Luxembourg, Switzerland, Denmark, Finland, Norway, Sweden, Austria, Iceland and Lichtenstein.</w:t>
      </w:r>
    </w:p>
    <w:p>
      <w:pPr>
        <w:spacing w:after="0" w:line="174" w:lineRule="exact"/>
        <w:rPr>
          <w:sz w:val="20"/>
          <w:szCs w:val="20"/>
          <w:color w:val="auto"/>
        </w:rPr>
      </w:pPr>
    </w:p>
    <w:p>
      <w:pPr>
        <w:ind w:left="1740"/>
        <w:spacing w:after="0"/>
        <w:rPr>
          <w:sz w:val="20"/>
          <w:szCs w:val="20"/>
          <w:color w:val="auto"/>
        </w:rPr>
      </w:pPr>
      <w:r>
        <w:rPr>
          <w:rFonts w:ascii="Arial" w:cs="Arial" w:eastAsia="Arial" w:hAnsi="Arial"/>
          <w:sz w:val="13"/>
          <w:szCs w:val="13"/>
          <w:color w:val="auto"/>
        </w:rPr>
        <w:t>“</w:t>
      </w:r>
      <w:r>
        <w:rPr>
          <w:rFonts w:ascii="Arial" w:cs="Arial" w:eastAsia="Arial" w:hAnsi="Arial"/>
          <w:sz w:val="13"/>
          <w:szCs w:val="13"/>
          <w:u w:val="single" w:color="auto"/>
          <w:color w:val="auto"/>
        </w:rPr>
        <w:t>Specified Tax Jurisdictions</w:t>
      </w:r>
      <w:r>
        <w:rPr>
          <w:rFonts w:ascii="Arial" w:cs="Arial" w:eastAsia="Arial" w:hAnsi="Arial"/>
          <w:sz w:val="13"/>
          <w:szCs w:val="13"/>
          <w:color w:val="auto"/>
        </w:rPr>
        <w:t>” shall mean Bermuda, the British Virgin Islands, the Cayman Islands, the Channel Islands, the Isle of Man and the Netherlands Antilles.</w:t>
      </w:r>
    </w:p>
    <w:p>
      <w:pPr>
        <w:spacing w:after="0" w:line="215" w:lineRule="exact"/>
        <w:rPr>
          <w:sz w:val="20"/>
          <w:szCs w:val="20"/>
          <w:color w:val="auto"/>
        </w:rPr>
      </w:pPr>
    </w:p>
    <w:p>
      <w:pPr>
        <w:ind w:left="1740"/>
        <w:spacing w:after="0"/>
        <w:rPr>
          <w:sz w:val="20"/>
          <w:szCs w:val="20"/>
          <w:color w:val="auto"/>
        </w:rPr>
      </w:pPr>
      <w:r>
        <w:rPr>
          <w:rFonts w:ascii="Arial" w:cs="Arial" w:eastAsia="Arial" w:hAnsi="Arial"/>
          <w:sz w:val="13"/>
          <w:szCs w:val="13"/>
          <w:color w:val="auto"/>
        </w:rPr>
        <w:t>“</w:t>
      </w:r>
      <w:r>
        <w:rPr>
          <w:rFonts w:ascii="Arial" w:cs="Arial" w:eastAsia="Arial" w:hAnsi="Arial"/>
          <w:sz w:val="13"/>
          <w:szCs w:val="13"/>
          <w:u w:val="single" w:color="auto"/>
          <w:color w:val="auto"/>
        </w:rPr>
        <w:t>Standard Securitization Undertakings</w:t>
      </w:r>
      <w:r>
        <w:rPr>
          <w:rFonts w:ascii="Arial" w:cs="Arial" w:eastAsia="Arial" w:hAnsi="Arial"/>
          <w:sz w:val="13"/>
          <w:szCs w:val="13"/>
          <w:color w:val="auto"/>
        </w:rPr>
        <w:t>” means, collectively, (a) customary arms-length servicing obligations (together with any related performance guarantees),</w:t>
      </w:r>
    </w:p>
    <w:p>
      <w:pPr>
        <w:spacing w:after="0" w:line="11" w:lineRule="exact"/>
        <w:rPr>
          <w:sz w:val="20"/>
          <w:szCs w:val="20"/>
          <w:color w:val="auto"/>
        </w:rPr>
      </w:pPr>
    </w:p>
    <w:p>
      <w:pPr>
        <w:jc w:val="both"/>
        <w:ind w:right="20" w:firstLine="8"/>
        <w:spacing w:after="0" w:line="232" w:lineRule="auto"/>
        <w:tabs>
          <w:tab w:leader="none" w:pos="209" w:val="left"/>
        </w:tabs>
        <w:numPr>
          <w:ilvl w:val="0"/>
          <w:numId w:val="41"/>
        </w:numPr>
        <w:rPr>
          <w:rFonts w:ascii="Arial" w:cs="Arial" w:eastAsia="Arial" w:hAnsi="Arial"/>
          <w:sz w:val="14"/>
          <w:szCs w:val="14"/>
          <w:color w:val="auto"/>
        </w:rPr>
      </w:pPr>
      <w:r>
        <w:rPr>
          <w:rFonts w:ascii="Arial" w:cs="Arial" w:eastAsia="Arial" w:hAnsi="Arial"/>
          <w:sz w:val="14"/>
          <w:szCs w:val="14"/>
          <w:color w:val="auto"/>
        </w:rPr>
        <w:t>obligations (together with any related performance guarantees) to refund the purchase price or grant purchase price credits for dilutive events or misrepresentations (in each case unrelated to the collectability of the assets sold or the creditworthiness of the associated account debtors) and (c) representations, warranties, covenants and indemnities (together with any related performance guarantees) of a type that are reasonably customary in accounts receivable securitizations.</w:t>
      </w:r>
    </w:p>
    <w:p>
      <w:pPr>
        <w:spacing w:after="0" w:line="200" w:lineRule="exact"/>
        <w:rPr>
          <w:sz w:val="20"/>
          <w:szCs w:val="20"/>
          <w:color w:val="auto"/>
        </w:rPr>
      </w:pPr>
    </w:p>
    <w:p>
      <w:pPr>
        <w:spacing w:after="0" w:line="200" w:lineRule="exact"/>
        <w:rPr>
          <w:sz w:val="20"/>
          <w:szCs w:val="20"/>
          <w:color w:val="auto"/>
        </w:rPr>
      </w:pPr>
    </w:p>
    <w:p>
      <w:pPr>
        <w:spacing w:after="0" w:line="20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7580" w:type="dxa"/>
            <w:vAlign w:val="bottom"/>
          </w:tcPr>
          <w:p>
            <w:pPr>
              <w:jc w:val="right"/>
              <w:ind w:right="1808"/>
              <w:spacing w:after="0"/>
              <w:rPr>
                <w:sz w:val="20"/>
                <w:szCs w:val="20"/>
                <w:color w:val="auto"/>
              </w:rPr>
            </w:pPr>
            <w:r>
              <w:rPr>
                <w:rFonts w:ascii="Arial" w:cs="Arial" w:eastAsia="Arial" w:hAnsi="Arial"/>
                <w:sz w:val="14"/>
                <w:szCs w:val="14"/>
                <w:color w:val="auto"/>
              </w:rPr>
              <w:t>17</w:t>
            </w:r>
          </w:p>
        </w:tc>
        <w:tc>
          <w:tcPr>
            <w:tcW w:w="3680" w:type="dxa"/>
            <w:vAlign w:val="bottom"/>
          </w:tcPr>
          <w:p>
            <w:pPr>
              <w:jc w:val="right"/>
              <w:spacing w:after="0"/>
              <w:rPr>
                <w:sz w:val="20"/>
                <w:szCs w:val="20"/>
                <w:color w:val="auto"/>
              </w:rPr>
            </w:pPr>
            <w:r>
              <w:rPr>
                <w:rFonts w:ascii="Arial" w:cs="Arial" w:eastAsia="Arial" w:hAnsi="Arial"/>
                <w:sz w:val="14"/>
                <w:szCs w:val="14"/>
                <w:i w:val="1"/>
                <w:iCs w:val="1"/>
                <w:color w:val="auto"/>
              </w:rPr>
              <w:t>Second Amended and Restated</w:t>
            </w:r>
          </w:p>
        </w:tc>
      </w:tr>
      <w:tr>
        <w:trPr>
          <w:trHeight w:val="182"/>
        </w:trPr>
        <w:tc>
          <w:tcPr>
            <w:tcW w:w="7580" w:type="dxa"/>
            <w:vAlign w:val="bottom"/>
          </w:tcPr>
          <w:p>
            <w:pPr>
              <w:spacing w:after="0"/>
              <w:rPr>
                <w:sz w:val="15"/>
                <w:szCs w:val="15"/>
                <w:color w:val="auto"/>
              </w:rPr>
            </w:pPr>
          </w:p>
        </w:tc>
        <w:tc>
          <w:tcPr>
            <w:tcW w:w="3680" w:type="dxa"/>
            <w:vAlign w:val="bottom"/>
          </w:tcPr>
          <w:p>
            <w:pPr>
              <w:jc w:val="right"/>
              <w:spacing w:after="0"/>
              <w:rPr>
                <w:sz w:val="20"/>
                <w:szCs w:val="20"/>
                <w:color w:val="auto"/>
              </w:rPr>
            </w:pPr>
            <w:r>
              <w:rPr>
                <w:rFonts w:ascii="Arial" w:cs="Arial" w:eastAsia="Arial" w:hAnsi="Arial"/>
                <w:sz w:val="14"/>
                <w:szCs w:val="14"/>
                <w:i w:val="1"/>
                <w:iCs w:val="1"/>
                <w:color w:val="auto"/>
              </w:rPr>
              <w:t>Revolving Credit Agreement</w:t>
            </w:r>
          </w:p>
        </w:tc>
      </w:tr>
      <w:tr>
        <w:trPr>
          <w:trHeight w:val="316"/>
        </w:trPr>
        <w:tc>
          <w:tcPr>
            <w:tcW w:w="7580" w:type="dxa"/>
            <w:vAlign w:val="bottom"/>
            <w:tcBorders>
              <w:bottom w:val="single" w:sz="8" w:color="9A9A9A"/>
            </w:tcBorders>
          </w:tcPr>
          <w:p>
            <w:pPr>
              <w:spacing w:after="0"/>
              <w:rPr>
                <w:sz w:val="24"/>
                <w:szCs w:val="24"/>
                <w:color w:val="auto"/>
              </w:rPr>
            </w:pPr>
          </w:p>
        </w:tc>
        <w:tc>
          <w:tcPr>
            <w:tcW w:w="368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7145655</wp:posOffset>
            </wp:positionH>
            <wp:positionV relativeFrom="paragraph">
              <wp:posOffset>-8255</wp:posOffset>
            </wp:positionV>
            <wp:extent cx="8255" cy="8890"/>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46">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-16510</wp:posOffset>
            </wp:positionV>
            <wp:extent cx="8890" cy="17145"/>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47">
                      <a:extLst>
                        <a:ext uri="{28A0092B-C50C-407E-A947-70E740481C1C}"/>
                      </a:extLst>
                    </a:blip>
                    <a:srcRect/>
                    <a:stretch>
                      <a:fillRect/>
                    </a:stretch>
                  </pic:blipFill>
                  <pic:spPr bwMode="auto">
                    <a:xfrm>
                      <a:off x="0" y="0"/>
                      <a:ext cx="8890" cy="17145"/>
                    </a:xfrm>
                    <a:prstGeom prst="rect">
                      <a:avLst/>
                    </a:prstGeom>
                    <a:noFill/>
                  </pic:spPr>
                </pic:pic>
              </a:graphicData>
            </a:graphic>
          </wp:anchor>
        </w:drawing>
      </w:r>
    </w:p>
    <w:p>
      <w:pPr>
        <w:sectPr>
          <w:pgSz w:w="11900" w:h="16838" w:orient="portrait"/>
          <w:cols w:equalWidth="0" w:num="1">
            <w:col w:w="11260"/>
          </w:cols>
          <w:pgMar w:left="320" w:top="337" w:right="319" w:bottom="1440" w:gutter="0" w:footer="0" w:header="0"/>
        </w:sectPr>
      </w:pPr>
    </w:p>
    <w:bookmarkStart w:id="80" w:name="page81"/>
    <w:bookmarkEnd w:id="80"/>
    <w:p>
      <w:pPr>
        <w:jc w:val="both"/>
        <w:ind w:right="20" w:firstLine="1727"/>
        <w:spacing w:after="0" w:line="248" w:lineRule="auto"/>
        <w:rPr>
          <w:sz w:val="20"/>
          <w:szCs w:val="20"/>
          <w:color w:val="auto"/>
        </w:rPr>
      </w:pPr>
      <w:r>
        <w:rPr>
          <w:rFonts w:ascii="Arial" w:cs="Arial" w:eastAsia="Arial" w:hAnsi="Arial"/>
          <w:sz w:val="13"/>
          <w:szCs w:val="13"/>
          <w:color w:val="auto"/>
        </w:rPr>
        <w:t>“</w:t>
      </w:r>
      <w:r>
        <w:rPr>
          <w:rFonts w:ascii="Arial" w:cs="Arial" w:eastAsia="Arial" w:hAnsi="Arial"/>
          <w:sz w:val="13"/>
          <w:szCs w:val="13"/>
          <w:u w:val="single" w:color="auto"/>
          <w:color w:val="auto"/>
        </w:rPr>
        <w:t>Statutory Reserve Rate</w:t>
      </w:r>
      <w:r>
        <w:rPr>
          <w:rFonts w:ascii="Arial" w:cs="Arial" w:eastAsia="Arial" w:hAnsi="Arial"/>
          <w:sz w:val="13"/>
          <w:szCs w:val="13"/>
          <w:color w:val="auto"/>
        </w:rPr>
        <w:t xml:space="preserve">” means, for the Interest Period for any Eurocurrency Borrowing, a fraction (expressed as a decimal), the numerator of which is the number one and the denominator of which is the number one </w:t>
      </w:r>
      <w:r>
        <w:rPr>
          <w:rFonts w:ascii="Arial" w:cs="Arial" w:eastAsia="Arial" w:hAnsi="Arial"/>
          <w:sz w:val="13"/>
          <w:szCs w:val="13"/>
          <w:u w:val="single" w:color="auto"/>
          <w:color w:val="auto"/>
        </w:rPr>
        <w:t>minus</w:t>
      </w:r>
      <w:r>
        <w:rPr>
          <w:rFonts w:ascii="Arial" w:cs="Arial" w:eastAsia="Arial" w:hAnsi="Arial"/>
          <w:sz w:val="13"/>
          <w:szCs w:val="13"/>
          <w:color w:val="auto"/>
        </w:rPr>
        <w:t xml:space="preserve"> the arithmetic mean, taken over each day in such Interest Period, of the aggregate of the maximum reserve percentages (including any marginal, special, emergency or supplemental reserves) expressed as a decimal established by the Board to which the Administrative Agent is subject for eurocurrency funding (currently referred to as “Eurocurrency liabilities” in Regulation D). Such reserve percentages shall include those imposed pursuant to Regulation D. Eurocurrency Loans shall be deemed to constitute eurocurrency funding and to be subject to such reserve requirements without benefit of or credit for proration, exemptions or offsets that may be available from time to time to any Lender under Regulation D or any comparable regulation. The Statutory Reserve Rate shall be adjusted automatically on and as of the effective date of any change in any reserve percentage.</w:t>
      </w:r>
    </w:p>
    <w:p>
      <w:pPr>
        <w:spacing w:after="0" w:line="180" w:lineRule="exact"/>
        <w:rPr>
          <w:sz w:val="20"/>
          <w:szCs w:val="20"/>
          <w:color w:val="auto"/>
        </w:rPr>
      </w:pPr>
    </w:p>
    <w:p>
      <w:pPr>
        <w:jc w:val="both"/>
        <w:ind w:right="20" w:firstLine="1727"/>
        <w:spacing w:after="0" w:line="247" w:lineRule="auto"/>
        <w:rPr>
          <w:sz w:val="20"/>
          <w:szCs w:val="20"/>
          <w:color w:val="auto"/>
        </w:rPr>
      </w:pPr>
      <w:r>
        <w:rPr>
          <w:rFonts w:ascii="Arial" w:cs="Arial" w:eastAsia="Arial" w:hAnsi="Arial"/>
          <w:sz w:val="13"/>
          <w:szCs w:val="13"/>
          <w:color w:val="auto"/>
        </w:rPr>
        <w:t>“</w:t>
      </w:r>
      <w:r>
        <w:rPr>
          <w:rFonts w:ascii="Arial" w:cs="Arial" w:eastAsia="Arial" w:hAnsi="Arial"/>
          <w:sz w:val="13"/>
          <w:szCs w:val="13"/>
          <w:u w:val="single" w:color="auto"/>
          <w:color w:val="auto"/>
        </w:rPr>
        <w:t>Subsidiary</w:t>
      </w:r>
      <w:r>
        <w:rPr>
          <w:rFonts w:ascii="Arial" w:cs="Arial" w:eastAsia="Arial" w:hAnsi="Arial"/>
          <w:sz w:val="13"/>
          <w:szCs w:val="13"/>
          <w:color w:val="auto"/>
        </w:rPr>
        <w:t>” means, with respect to any Person (the “</w:t>
      </w:r>
      <w:r>
        <w:rPr>
          <w:rFonts w:ascii="Arial" w:cs="Arial" w:eastAsia="Arial" w:hAnsi="Arial"/>
          <w:sz w:val="13"/>
          <w:szCs w:val="13"/>
          <w:u w:val="single" w:color="auto"/>
          <w:color w:val="auto"/>
        </w:rPr>
        <w:t>parent</w:t>
      </w:r>
      <w:r>
        <w:rPr>
          <w:rFonts w:ascii="Arial" w:cs="Arial" w:eastAsia="Arial" w:hAnsi="Arial"/>
          <w:sz w:val="13"/>
          <w:szCs w:val="13"/>
          <w:color w:val="auto"/>
        </w:rPr>
        <w:t>”) at any date, any corporation, limited liability company, partnership, association or other entity the accounts of which would be consolidated with those of the parent in the parent’s consolidated financial statements if such financial statements were prepared in accordance with GAAP as of such date, as well as any other corporation, limited liability company, partnership, association or other entity (a) of which securities or other ownership interests representing more than 50% of the equity or more than 50% of the ordinary voting power or, in the case of a partnership, more than 50% of the general partnership interests are, as of such date, owned, controlled or held, or (b) that is, as of such date, otherwise Controlled by the parent or one or more subsidiaries of the parent or by the parent and one or more subsidiaries of the parent. Anything herein to the contrary notwithstanding, the term “Subsidiary” shall not include any Person that constitutes an Investment held by the Borrower in the ordinary course of business and that is not, under GAAP, consolidated on the financial statements of the Borrower and its Subsidiaries. Unless otherwise specified, “Subsidiary” means a Subsidiary of the Borrower.</w:t>
      </w:r>
    </w:p>
    <w:p>
      <w:pPr>
        <w:spacing w:after="0" w:line="179" w:lineRule="exact"/>
        <w:rPr>
          <w:sz w:val="20"/>
          <w:szCs w:val="20"/>
          <w:color w:val="auto"/>
        </w:rPr>
      </w:pPr>
    </w:p>
    <w:p>
      <w:pPr>
        <w:jc w:val="both"/>
        <w:ind w:right="20" w:firstLine="1727"/>
        <w:spacing w:after="0" w:line="238" w:lineRule="auto"/>
        <w:rPr>
          <w:sz w:val="20"/>
          <w:szCs w:val="20"/>
          <w:color w:val="auto"/>
        </w:rPr>
      </w:pPr>
      <w:r>
        <w:rPr>
          <w:rFonts w:ascii="Arial" w:cs="Arial" w:eastAsia="Arial" w:hAnsi="Arial"/>
          <w:sz w:val="14"/>
          <w:szCs w:val="14"/>
          <w:color w:val="auto"/>
        </w:rPr>
        <w:t>“</w:t>
      </w:r>
      <w:r>
        <w:rPr>
          <w:rFonts w:ascii="Arial" w:cs="Arial" w:eastAsia="Arial" w:hAnsi="Arial"/>
          <w:sz w:val="14"/>
          <w:szCs w:val="14"/>
          <w:u w:val="single" w:color="auto"/>
          <w:color w:val="auto"/>
        </w:rPr>
        <w:t>Subsidiary Guarantor</w:t>
      </w:r>
      <w:r>
        <w:rPr>
          <w:rFonts w:ascii="Arial" w:cs="Arial" w:eastAsia="Arial" w:hAnsi="Arial"/>
          <w:sz w:val="14"/>
          <w:szCs w:val="14"/>
          <w:color w:val="auto"/>
        </w:rPr>
        <w:t>” means any Subsidiary that is a Guarantor under the Guarantee and Security Agreement. It is understood and agreed that no Financing Subsidiary or Foreign Subsidiary shall be a Subsidiary Guarantor. As of the First Amendment Effective Date, the Subsidiary Guarantors are PNNT CI (GALLS) Prime Investment Holdings, LLC, PNNT Investment Holdings, LLC, PNNT New Gulf Resources, LLC, PNNT ecoserve, LLC and PNNT Cascade Environmental Holdings, LLC.</w:t>
      </w:r>
    </w:p>
    <w:p>
      <w:pPr>
        <w:spacing w:after="0" w:line="183" w:lineRule="exact"/>
        <w:rPr>
          <w:sz w:val="20"/>
          <w:szCs w:val="20"/>
          <w:color w:val="auto"/>
        </w:rPr>
      </w:pPr>
    </w:p>
    <w:p>
      <w:pPr>
        <w:ind w:left="1740"/>
        <w:spacing w:after="0"/>
        <w:rPr>
          <w:sz w:val="20"/>
          <w:szCs w:val="20"/>
          <w:color w:val="auto"/>
        </w:rPr>
      </w:pPr>
      <w:r>
        <w:rPr>
          <w:rFonts w:ascii="Arial" w:cs="Arial" w:eastAsia="Arial" w:hAnsi="Arial"/>
          <w:sz w:val="14"/>
          <w:szCs w:val="14"/>
          <w:color w:val="auto"/>
        </w:rPr>
        <w:t>“</w:t>
      </w:r>
      <w:r>
        <w:rPr>
          <w:rFonts w:ascii="Arial" w:cs="Arial" w:eastAsia="Arial" w:hAnsi="Arial"/>
          <w:sz w:val="14"/>
          <w:szCs w:val="14"/>
          <w:u w:val="single" w:color="auto"/>
          <w:color w:val="auto"/>
        </w:rPr>
        <w:t>SunTrust</w:t>
      </w:r>
      <w:r>
        <w:rPr>
          <w:rFonts w:ascii="Arial" w:cs="Arial" w:eastAsia="Arial" w:hAnsi="Arial"/>
          <w:sz w:val="14"/>
          <w:szCs w:val="14"/>
          <w:color w:val="auto"/>
        </w:rPr>
        <w:t>” means SunTrust Bank.</w:t>
      </w:r>
    </w:p>
    <w:p>
      <w:pPr>
        <w:spacing w:after="0" w:line="204" w:lineRule="exact"/>
        <w:rPr>
          <w:sz w:val="20"/>
          <w:szCs w:val="20"/>
          <w:color w:val="auto"/>
        </w:rPr>
      </w:pPr>
    </w:p>
    <w:p>
      <w:pPr>
        <w:jc w:val="both"/>
        <w:ind w:right="20" w:firstLine="1727"/>
        <w:spacing w:after="0" w:line="238" w:lineRule="auto"/>
        <w:rPr>
          <w:sz w:val="20"/>
          <w:szCs w:val="20"/>
          <w:color w:val="auto"/>
        </w:rPr>
      </w:pPr>
      <w:r>
        <w:rPr>
          <w:rFonts w:ascii="Arial" w:cs="Arial" w:eastAsia="Arial" w:hAnsi="Arial"/>
          <w:sz w:val="14"/>
          <w:szCs w:val="14"/>
          <w:color w:val="auto"/>
        </w:rPr>
        <w:t>“</w:t>
      </w:r>
      <w:r>
        <w:rPr>
          <w:rFonts w:ascii="Arial" w:cs="Arial" w:eastAsia="Arial" w:hAnsi="Arial"/>
          <w:sz w:val="14"/>
          <w:szCs w:val="14"/>
          <w:u w:val="single" w:color="auto"/>
          <w:color w:val="auto"/>
        </w:rPr>
        <w:t>Swingline Exposure</w:t>
      </w:r>
      <w:r>
        <w:rPr>
          <w:rFonts w:ascii="Arial" w:cs="Arial" w:eastAsia="Arial" w:hAnsi="Arial"/>
          <w:sz w:val="14"/>
          <w:szCs w:val="14"/>
          <w:color w:val="auto"/>
        </w:rPr>
        <w:t>” means, at any time, the aggregate principal amount of all Swingline Loans outstanding at such time. The Swingline Exposure of any Lender at any time shall be the sum of (i) its Applicable Dollar Percentage of the total Swingline Exposure at such time incurred under the Dollar Commitments and (ii) its Applicable Multicurrency Percentage of the total Swingline Exposure at such time incurred under the Multicurrency Commitments.</w:t>
      </w:r>
    </w:p>
    <w:p>
      <w:pPr>
        <w:spacing w:after="0" w:line="183" w:lineRule="exact"/>
        <w:rPr>
          <w:sz w:val="20"/>
          <w:szCs w:val="20"/>
          <w:color w:val="auto"/>
        </w:rPr>
      </w:pPr>
    </w:p>
    <w:p>
      <w:pPr>
        <w:ind w:left="1740"/>
        <w:spacing w:after="0"/>
        <w:rPr>
          <w:sz w:val="20"/>
          <w:szCs w:val="20"/>
          <w:color w:val="auto"/>
        </w:rPr>
      </w:pPr>
      <w:r>
        <w:rPr>
          <w:rFonts w:ascii="Arial" w:cs="Arial" w:eastAsia="Arial" w:hAnsi="Arial"/>
          <w:sz w:val="13"/>
          <w:szCs w:val="13"/>
          <w:color w:val="auto"/>
        </w:rPr>
        <w:t>“</w:t>
      </w:r>
      <w:r>
        <w:rPr>
          <w:rFonts w:ascii="Arial" w:cs="Arial" w:eastAsia="Arial" w:hAnsi="Arial"/>
          <w:sz w:val="13"/>
          <w:szCs w:val="13"/>
          <w:u w:val="single" w:color="auto"/>
          <w:color w:val="auto"/>
        </w:rPr>
        <w:t>Swingline Lender</w:t>
      </w:r>
      <w:r>
        <w:rPr>
          <w:rFonts w:ascii="Arial" w:cs="Arial" w:eastAsia="Arial" w:hAnsi="Arial"/>
          <w:sz w:val="13"/>
          <w:szCs w:val="13"/>
          <w:color w:val="auto"/>
        </w:rPr>
        <w:t xml:space="preserve">” means SunTrust, in its capacity as lender of Swingline Loans hereunder, and its successors in such capacity as provided in </w:t>
      </w:r>
      <w:r>
        <w:rPr>
          <w:rFonts w:ascii="Arial" w:cs="Arial" w:eastAsia="Arial" w:hAnsi="Arial"/>
          <w:sz w:val="13"/>
          <w:szCs w:val="13"/>
          <w:u w:val="single" w:color="auto"/>
          <w:color w:val="auto"/>
        </w:rPr>
        <w:t>Section 2.04(d)</w:t>
      </w:r>
      <w:r>
        <w:rPr>
          <w:rFonts w:ascii="Arial" w:cs="Arial" w:eastAsia="Arial" w:hAnsi="Arial"/>
          <w:sz w:val="13"/>
          <w:szCs w:val="13"/>
          <w:color w:val="auto"/>
        </w:rPr>
        <w:t>.</w:t>
      </w:r>
    </w:p>
    <w:p>
      <w:pPr>
        <w:spacing w:after="0" w:line="215" w:lineRule="exact"/>
        <w:rPr>
          <w:sz w:val="20"/>
          <w:szCs w:val="20"/>
          <w:color w:val="auto"/>
        </w:rPr>
      </w:pPr>
    </w:p>
    <w:p>
      <w:pPr>
        <w:ind w:left="1740"/>
        <w:spacing w:after="0"/>
        <w:rPr>
          <w:sz w:val="20"/>
          <w:szCs w:val="20"/>
          <w:color w:val="auto"/>
        </w:rPr>
      </w:pPr>
      <w:r>
        <w:rPr>
          <w:rFonts w:ascii="Arial" w:cs="Arial" w:eastAsia="Arial" w:hAnsi="Arial"/>
          <w:sz w:val="14"/>
          <w:szCs w:val="14"/>
          <w:color w:val="auto"/>
        </w:rPr>
        <w:t>“</w:t>
      </w:r>
      <w:r>
        <w:rPr>
          <w:rFonts w:ascii="Arial" w:cs="Arial" w:eastAsia="Arial" w:hAnsi="Arial"/>
          <w:sz w:val="14"/>
          <w:szCs w:val="14"/>
          <w:u w:val="single" w:color="auto"/>
          <w:color w:val="auto"/>
        </w:rPr>
        <w:t>Swingline Loan</w:t>
      </w:r>
      <w:r>
        <w:rPr>
          <w:rFonts w:ascii="Arial" w:cs="Arial" w:eastAsia="Arial" w:hAnsi="Arial"/>
          <w:sz w:val="14"/>
          <w:szCs w:val="14"/>
          <w:color w:val="auto"/>
        </w:rPr>
        <w:t xml:space="preserve">” means a Loan made pursuant to </w:t>
      </w:r>
      <w:r>
        <w:rPr>
          <w:rFonts w:ascii="Arial" w:cs="Arial" w:eastAsia="Arial" w:hAnsi="Arial"/>
          <w:sz w:val="14"/>
          <w:szCs w:val="14"/>
          <w:u w:val="single" w:color="auto"/>
          <w:color w:val="auto"/>
        </w:rPr>
        <w:t>Section 2.04</w:t>
      </w:r>
      <w:r>
        <w:rPr>
          <w:rFonts w:ascii="Arial" w:cs="Arial" w:eastAsia="Arial" w:hAnsi="Arial"/>
          <w:sz w:val="14"/>
          <w:szCs w:val="14"/>
          <w:color w:val="auto"/>
        </w:rPr>
        <w:t>.</w:t>
      </w:r>
    </w:p>
    <w:p>
      <w:pPr>
        <w:spacing w:after="0" w:line="204" w:lineRule="exact"/>
        <w:rPr>
          <w:sz w:val="20"/>
          <w:szCs w:val="20"/>
          <w:color w:val="auto"/>
        </w:rPr>
      </w:pPr>
    </w:p>
    <w:p>
      <w:pPr>
        <w:ind w:left="1740"/>
        <w:spacing w:after="0"/>
        <w:rPr>
          <w:sz w:val="20"/>
          <w:szCs w:val="20"/>
          <w:color w:val="auto"/>
        </w:rPr>
      </w:pPr>
      <w:r>
        <w:rPr>
          <w:rFonts w:ascii="Arial" w:cs="Arial" w:eastAsia="Arial" w:hAnsi="Arial"/>
          <w:sz w:val="13"/>
          <w:szCs w:val="13"/>
          <w:color w:val="auto"/>
        </w:rPr>
        <w:t>“</w:t>
      </w:r>
      <w:r>
        <w:rPr>
          <w:rFonts w:ascii="Arial" w:cs="Arial" w:eastAsia="Arial" w:hAnsi="Arial"/>
          <w:sz w:val="13"/>
          <w:szCs w:val="13"/>
          <w:u w:val="single" w:color="auto"/>
          <w:color w:val="auto"/>
        </w:rPr>
        <w:t>Syndicated</w:t>
      </w:r>
      <w:r>
        <w:rPr>
          <w:rFonts w:ascii="Arial" w:cs="Arial" w:eastAsia="Arial" w:hAnsi="Arial"/>
          <w:sz w:val="13"/>
          <w:szCs w:val="13"/>
          <w:color w:val="auto"/>
        </w:rPr>
        <w:t>”, when used in reference to any Loan or Borrowing, refers to whether such Loan, or the Loans constituting such Borrowing, are made pursuant to</w:t>
      </w:r>
    </w:p>
    <w:p>
      <w:pPr>
        <w:spacing w:after="0" w:line="11" w:lineRule="exact"/>
        <w:rPr>
          <w:sz w:val="20"/>
          <w:szCs w:val="20"/>
          <w:color w:val="auto"/>
        </w:rPr>
      </w:pPr>
    </w:p>
    <w:p>
      <w:pPr>
        <w:spacing w:after="0"/>
        <w:rPr>
          <w:sz w:val="20"/>
          <w:szCs w:val="20"/>
          <w:color w:val="auto"/>
        </w:rPr>
      </w:pPr>
      <w:r>
        <w:rPr>
          <w:rFonts w:ascii="Arial" w:cs="Arial" w:eastAsia="Arial" w:hAnsi="Arial"/>
          <w:sz w:val="14"/>
          <w:szCs w:val="14"/>
          <w:u w:val="single" w:color="auto"/>
          <w:color w:val="auto"/>
        </w:rPr>
        <w:t>Section 2.01</w:t>
      </w:r>
      <w:r>
        <w:rPr>
          <w:rFonts w:ascii="Arial" w:cs="Arial" w:eastAsia="Arial" w:hAnsi="Arial"/>
          <w:sz w:val="14"/>
          <w:szCs w:val="14"/>
          <w:color w:val="auto"/>
        </w:rPr>
        <w:t>.</w:t>
      </w:r>
    </w:p>
    <w:p>
      <w:pPr>
        <w:spacing w:after="0" w:line="192" w:lineRule="exact"/>
        <w:rPr>
          <w:sz w:val="20"/>
          <w:szCs w:val="20"/>
          <w:color w:val="auto"/>
        </w:rPr>
      </w:pPr>
    </w:p>
    <w:p>
      <w:pPr>
        <w:jc w:val="both"/>
        <w:ind w:right="20" w:firstLine="1727"/>
        <w:spacing w:after="0" w:line="253" w:lineRule="auto"/>
        <w:rPr>
          <w:sz w:val="20"/>
          <w:szCs w:val="20"/>
          <w:color w:val="auto"/>
        </w:rPr>
      </w:pPr>
      <w:r>
        <w:rPr>
          <w:rFonts w:ascii="Arial" w:cs="Arial" w:eastAsia="Arial" w:hAnsi="Arial"/>
          <w:sz w:val="14"/>
          <w:szCs w:val="14"/>
          <w:color w:val="auto"/>
        </w:rPr>
        <w:t>“</w:t>
      </w:r>
      <w:r>
        <w:rPr>
          <w:rFonts w:ascii="Arial" w:cs="Arial" w:eastAsia="Arial" w:hAnsi="Arial"/>
          <w:sz w:val="14"/>
          <w:szCs w:val="14"/>
          <w:u w:val="single" w:color="auto"/>
          <w:color w:val="auto"/>
        </w:rPr>
        <w:t>Taxes</w:t>
      </w:r>
      <w:r>
        <w:rPr>
          <w:rFonts w:ascii="Arial" w:cs="Arial" w:eastAsia="Arial" w:hAnsi="Arial"/>
          <w:sz w:val="14"/>
          <w:szCs w:val="14"/>
          <w:color w:val="auto"/>
        </w:rPr>
        <w:t>” means any and all present or future taxes, levies, imposts, duties, deductions, charges or withholdings (including backup withholding), assessments, fees, or other charges imposed by any Governmental Authority, including any interest, additions to tax or penalties applicable thereto.</w:t>
      </w:r>
    </w:p>
    <w:p>
      <w:pPr>
        <w:spacing w:after="0" w:line="174" w:lineRule="exact"/>
        <w:rPr>
          <w:sz w:val="20"/>
          <w:szCs w:val="20"/>
          <w:color w:val="auto"/>
        </w:rPr>
      </w:pPr>
    </w:p>
    <w:p>
      <w:pPr>
        <w:jc w:val="both"/>
        <w:ind w:right="20" w:firstLine="1727"/>
        <w:spacing w:after="0" w:line="253" w:lineRule="auto"/>
        <w:rPr>
          <w:sz w:val="20"/>
          <w:szCs w:val="20"/>
          <w:color w:val="auto"/>
        </w:rPr>
      </w:pPr>
      <w:r>
        <w:rPr>
          <w:rFonts w:ascii="Arial" w:cs="Arial" w:eastAsia="Arial" w:hAnsi="Arial"/>
          <w:sz w:val="14"/>
          <w:szCs w:val="14"/>
          <w:color w:val="auto"/>
        </w:rPr>
        <w:t>“</w:t>
      </w:r>
      <w:r>
        <w:rPr>
          <w:rFonts w:ascii="Arial" w:cs="Arial" w:eastAsia="Arial" w:hAnsi="Arial"/>
          <w:sz w:val="14"/>
          <w:szCs w:val="14"/>
          <w:u w:val="single" w:color="auto"/>
          <w:color w:val="auto"/>
        </w:rPr>
        <w:t>Termination Date</w:t>
      </w:r>
      <w:r>
        <w:rPr>
          <w:rFonts w:ascii="Arial" w:cs="Arial" w:eastAsia="Arial" w:hAnsi="Arial"/>
          <w:sz w:val="14"/>
          <w:szCs w:val="14"/>
          <w:color w:val="auto"/>
        </w:rPr>
        <w:t xml:space="preserve">” means the earliest to occur of (i) the Final Maturity Date, (ii) the date of the termination of the Commitments in full pursuant to Section 2.08(c), or (iii) the date on which the Commitments are terminated pursuant to </w:t>
      </w:r>
      <w:r>
        <w:rPr>
          <w:rFonts w:ascii="Arial" w:cs="Arial" w:eastAsia="Arial" w:hAnsi="Arial"/>
          <w:sz w:val="14"/>
          <w:szCs w:val="14"/>
          <w:u w:val="single" w:color="auto"/>
          <w:color w:val="auto"/>
        </w:rPr>
        <w:t>Article VII</w:t>
      </w:r>
      <w:r>
        <w:rPr>
          <w:rFonts w:ascii="Arial" w:cs="Arial" w:eastAsia="Arial" w:hAnsi="Arial"/>
          <w:sz w:val="14"/>
          <w:szCs w:val="14"/>
          <w:color w:val="auto"/>
        </w:rPr>
        <w:t>.</w:t>
      </w:r>
    </w:p>
    <w:p>
      <w:pPr>
        <w:spacing w:after="0" w:line="174" w:lineRule="exact"/>
        <w:rPr>
          <w:sz w:val="20"/>
          <w:szCs w:val="20"/>
          <w:color w:val="auto"/>
        </w:rPr>
      </w:pPr>
    </w:p>
    <w:p>
      <w:pPr>
        <w:ind w:left="1740"/>
        <w:spacing w:after="0"/>
        <w:rPr>
          <w:sz w:val="20"/>
          <w:szCs w:val="20"/>
          <w:color w:val="auto"/>
        </w:rPr>
      </w:pPr>
      <w:r>
        <w:rPr>
          <w:rFonts w:ascii="Arial" w:cs="Arial" w:eastAsia="Arial" w:hAnsi="Arial"/>
          <w:sz w:val="14"/>
          <w:szCs w:val="14"/>
          <w:color w:val="auto"/>
        </w:rPr>
        <w:t>“</w:t>
      </w:r>
      <w:r>
        <w:rPr>
          <w:rFonts w:ascii="Arial" w:cs="Arial" w:eastAsia="Arial" w:hAnsi="Arial"/>
          <w:sz w:val="14"/>
          <w:szCs w:val="14"/>
          <w:u w:val="single" w:color="auto"/>
          <w:color w:val="auto"/>
        </w:rPr>
        <w:t>Testing Quarter</w:t>
      </w:r>
      <w:r>
        <w:rPr>
          <w:rFonts w:ascii="Arial" w:cs="Arial" w:eastAsia="Arial" w:hAnsi="Arial"/>
          <w:sz w:val="14"/>
          <w:szCs w:val="14"/>
          <w:color w:val="auto"/>
        </w:rPr>
        <w:t xml:space="preserve">” has the meaning assigned to such term in </w:t>
      </w:r>
      <w:r>
        <w:rPr>
          <w:rFonts w:ascii="Arial" w:cs="Arial" w:eastAsia="Arial" w:hAnsi="Arial"/>
          <w:sz w:val="14"/>
          <w:szCs w:val="14"/>
          <w:u w:val="single" w:color="auto"/>
          <w:color w:val="auto"/>
        </w:rPr>
        <w:t>Section 5.12(b)(ii)(E)(x)</w:t>
      </w:r>
      <w:r>
        <w:rPr>
          <w:rFonts w:ascii="Arial" w:cs="Arial" w:eastAsia="Arial" w:hAnsi="Arial"/>
          <w:sz w:val="14"/>
          <w:szCs w:val="14"/>
          <w:color w:val="auto"/>
        </w:rPr>
        <w:t>.</w:t>
      </w:r>
    </w:p>
    <w:p>
      <w:pPr>
        <w:spacing w:after="0" w:line="204" w:lineRule="exact"/>
        <w:rPr>
          <w:sz w:val="20"/>
          <w:szCs w:val="20"/>
          <w:color w:val="auto"/>
        </w:rPr>
      </w:pPr>
    </w:p>
    <w:p>
      <w:pPr>
        <w:jc w:val="both"/>
        <w:ind w:right="20" w:firstLine="1727"/>
        <w:spacing w:after="0" w:line="253" w:lineRule="auto"/>
        <w:rPr>
          <w:sz w:val="20"/>
          <w:szCs w:val="20"/>
          <w:color w:val="auto"/>
        </w:rPr>
      </w:pPr>
      <w:r>
        <w:rPr>
          <w:rFonts w:ascii="Arial" w:cs="Arial" w:eastAsia="Arial" w:hAnsi="Arial"/>
          <w:sz w:val="14"/>
          <w:szCs w:val="14"/>
          <w:color w:val="auto"/>
        </w:rPr>
        <w:t>“</w:t>
      </w:r>
      <w:r>
        <w:rPr>
          <w:rFonts w:ascii="Arial" w:cs="Arial" w:eastAsia="Arial" w:hAnsi="Arial"/>
          <w:sz w:val="14"/>
          <w:szCs w:val="14"/>
          <w:u w:val="single" w:color="auto"/>
          <w:color w:val="auto"/>
        </w:rPr>
        <w:t>Transactions</w:t>
      </w:r>
      <w:r>
        <w:rPr>
          <w:rFonts w:ascii="Arial" w:cs="Arial" w:eastAsia="Arial" w:hAnsi="Arial"/>
          <w:sz w:val="14"/>
          <w:szCs w:val="14"/>
          <w:color w:val="auto"/>
        </w:rPr>
        <w:t>” means the execution, delivery and performance by the Borrower of this Agreement and the other Loan Documents, the borrowing of Loans, the use of the proceeds thereof and the issuance of Letters of Credit hereunder.</w:t>
      </w:r>
    </w:p>
    <w:p>
      <w:pPr>
        <w:spacing w:after="0" w:line="174" w:lineRule="exact"/>
        <w:rPr>
          <w:sz w:val="20"/>
          <w:szCs w:val="20"/>
          <w:color w:val="auto"/>
        </w:rPr>
      </w:pPr>
    </w:p>
    <w:p>
      <w:pPr>
        <w:ind w:left="1740"/>
        <w:spacing w:after="0"/>
        <w:rPr>
          <w:sz w:val="20"/>
          <w:szCs w:val="20"/>
          <w:color w:val="auto"/>
        </w:rPr>
      </w:pPr>
      <w:r>
        <w:rPr>
          <w:rFonts w:ascii="Arial" w:cs="Arial" w:eastAsia="Arial" w:hAnsi="Arial"/>
          <w:sz w:val="14"/>
          <w:szCs w:val="14"/>
          <w:color w:val="auto"/>
        </w:rPr>
        <w:t>“</w:t>
      </w:r>
      <w:r>
        <w:rPr>
          <w:rFonts w:ascii="Arial" w:cs="Arial" w:eastAsia="Arial" w:hAnsi="Arial"/>
          <w:sz w:val="14"/>
          <w:szCs w:val="14"/>
          <w:u w:val="single" w:color="auto"/>
          <w:color w:val="auto"/>
        </w:rPr>
        <w:t>Transferred Assets</w:t>
      </w:r>
      <w:r>
        <w:rPr>
          <w:rFonts w:ascii="Arial" w:cs="Arial" w:eastAsia="Arial" w:hAnsi="Arial"/>
          <w:sz w:val="14"/>
          <w:szCs w:val="14"/>
          <w:color w:val="auto"/>
        </w:rPr>
        <w:t xml:space="preserve">” has the meaning assigned to such term in </w:t>
      </w:r>
      <w:r>
        <w:rPr>
          <w:rFonts w:ascii="Arial" w:cs="Arial" w:eastAsia="Arial" w:hAnsi="Arial"/>
          <w:sz w:val="14"/>
          <w:szCs w:val="14"/>
          <w:u w:val="single" w:color="auto"/>
          <w:color w:val="auto"/>
        </w:rPr>
        <w:t>Section 6.03(h)</w:t>
      </w:r>
      <w:r>
        <w:rPr>
          <w:rFonts w:ascii="Arial" w:cs="Arial" w:eastAsia="Arial" w:hAnsi="Arial"/>
          <w:sz w:val="14"/>
          <w:szCs w:val="14"/>
          <w:color w:val="auto"/>
        </w:rPr>
        <w:t>.</w:t>
      </w:r>
    </w:p>
    <w:p>
      <w:pPr>
        <w:spacing w:after="0" w:line="204" w:lineRule="exact"/>
        <w:rPr>
          <w:sz w:val="20"/>
          <w:szCs w:val="20"/>
          <w:color w:val="auto"/>
        </w:rPr>
      </w:pPr>
    </w:p>
    <w:p>
      <w:pPr>
        <w:jc w:val="both"/>
        <w:ind w:right="40" w:firstLine="1727"/>
        <w:spacing w:after="0" w:line="253" w:lineRule="auto"/>
        <w:rPr>
          <w:sz w:val="20"/>
          <w:szCs w:val="20"/>
          <w:color w:val="auto"/>
        </w:rPr>
      </w:pPr>
      <w:r>
        <w:rPr>
          <w:rFonts w:ascii="Arial" w:cs="Arial" w:eastAsia="Arial" w:hAnsi="Arial"/>
          <w:sz w:val="14"/>
          <w:szCs w:val="14"/>
          <w:color w:val="auto"/>
        </w:rPr>
        <w:t>“</w:t>
      </w:r>
      <w:r>
        <w:rPr>
          <w:rFonts w:ascii="Arial" w:cs="Arial" w:eastAsia="Arial" w:hAnsi="Arial"/>
          <w:sz w:val="14"/>
          <w:szCs w:val="14"/>
          <w:u w:val="single" w:color="auto"/>
          <w:color w:val="auto"/>
        </w:rPr>
        <w:t>Type</w:t>
      </w:r>
      <w:r>
        <w:rPr>
          <w:rFonts w:ascii="Arial" w:cs="Arial" w:eastAsia="Arial" w:hAnsi="Arial"/>
          <w:sz w:val="14"/>
          <w:szCs w:val="14"/>
          <w:color w:val="auto"/>
        </w:rPr>
        <w:t>”, when used in reference to any Loan or Borrowing, refers to whether the rate of interest on such Loan, or on the Loans constituting such Borrowing, is determined by reference to the Adjusted LIBO Rate or the Alternate Base Rate.</w:t>
      </w:r>
    </w:p>
    <w:p>
      <w:pPr>
        <w:spacing w:after="0" w:line="174" w:lineRule="exact"/>
        <w:rPr>
          <w:sz w:val="20"/>
          <w:szCs w:val="20"/>
          <w:color w:val="auto"/>
        </w:rPr>
      </w:pPr>
    </w:p>
    <w:p>
      <w:pPr>
        <w:jc w:val="both"/>
        <w:ind w:right="20" w:firstLine="1727"/>
        <w:spacing w:after="0" w:line="238" w:lineRule="auto"/>
        <w:rPr>
          <w:sz w:val="20"/>
          <w:szCs w:val="20"/>
          <w:color w:val="auto"/>
        </w:rPr>
      </w:pPr>
      <w:r>
        <w:rPr>
          <w:rFonts w:ascii="Arial" w:cs="Arial" w:eastAsia="Arial" w:hAnsi="Arial"/>
          <w:sz w:val="14"/>
          <w:szCs w:val="14"/>
          <w:color w:val="auto"/>
        </w:rPr>
        <w:t>“</w:t>
      </w:r>
      <w:r>
        <w:rPr>
          <w:rFonts w:ascii="Arial" w:cs="Arial" w:eastAsia="Arial" w:hAnsi="Arial"/>
          <w:sz w:val="14"/>
          <w:szCs w:val="14"/>
          <w:u w:val="single" w:color="auto"/>
          <w:color w:val="auto"/>
        </w:rPr>
        <w:t>Undisclosed Administration</w:t>
      </w:r>
      <w:r>
        <w:rPr>
          <w:rFonts w:ascii="Arial" w:cs="Arial" w:eastAsia="Arial" w:hAnsi="Arial"/>
          <w:sz w:val="14"/>
          <w:szCs w:val="14"/>
          <w:color w:val="auto"/>
        </w:rPr>
        <w:t>” means, in relation to a Lender, the appointment of an administrator, provisional liquidator, conservator, receiver, trustee, custodian or other similar official by a supervisory authority or regulator under or based on the law in the country where such Lender is subject to home jurisdiction supervision if applicable law requires that such appointment is not to be publicly disclosed.</w:t>
      </w:r>
    </w:p>
    <w:p>
      <w:pPr>
        <w:spacing w:after="0" w:line="183" w:lineRule="exact"/>
        <w:rPr>
          <w:sz w:val="20"/>
          <w:szCs w:val="20"/>
          <w:color w:val="auto"/>
        </w:rPr>
      </w:pPr>
    </w:p>
    <w:p>
      <w:pPr>
        <w:ind w:left="1740"/>
        <w:spacing w:after="0"/>
        <w:rPr>
          <w:sz w:val="20"/>
          <w:szCs w:val="20"/>
          <w:color w:val="auto"/>
        </w:rPr>
      </w:pPr>
      <w:r>
        <w:rPr>
          <w:rFonts w:ascii="Arial" w:cs="Arial" w:eastAsia="Arial" w:hAnsi="Arial"/>
          <w:sz w:val="14"/>
          <w:szCs w:val="14"/>
          <w:color w:val="auto"/>
        </w:rPr>
        <w:t>“</w:t>
      </w:r>
      <w:r>
        <w:rPr>
          <w:rFonts w:ascii="Arial" w:cs="Arial" w:eastAsia="Arial" w:hAnsi="Arial"/>
          <w:sz w:val="14"/>
          <w:szCs w:val="14"/>
          <w:u w:val="single" w:color="auto"/>
          <w:color w:val="auto"/>
        </w:rPr>
        <w:t>Uniform Commercial Code</w:t>
      </w:r>
      <w:r>
        <w:rPr>
          <w:rFonts w:ascii="Arial" w:cs="Arial" w:eastAsia="Arial" w:hAnsi="Arial"/>
          <w:sz w:val="14"/>
          <w:szCs w:val="14"/>
          <w:color w:val="auto"/>
        </w:rPr>
        <w:t>” means the Uniform Commercial Code as in effect from time to time in the State of New York.</w:t>
      </w:r>
    </w:p>
    <w:p>
      <w:pPr>
        <w:spacing w:after="0" w:line="200" w:lineRule="exact"/>
        <w:rPr>
          <w:sz w:val="20"/>
          <w:szCs w:val="20"/>
          <w:color w:val="auto"/>
        </w:rPr>
      </w:pPr>
    </w:p>
    <w:p>
      <w:pPr>
        <w:spacing w:after="0" w:line="200" w:lineRule="exact"/>
        <w:rPr>
          <w:sz w:val="20"/>
          <w:szCs w:val="20"/>
          <w:color w:val="auto"/>
        </w:rPr>
      </w:pPr>
    </w:p>
    <w:p>
      <w:pPr>
        <w:spacing w:after="0" w:line="22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7580" w:type="dxa"/>
            <w:vAlign w:val="bottom"/>
          </w:tcPr>
          <w:p>
            <w:pPr>
              <w:jc w:val="right"/>
              <w:ind w:right="1808"/>
              <w:spacing w:after="0"/>
              <w:rPr>
                <w:sz w:val="20"/>
                <w:szCs w:val="20"/>
                <w:color w:val="auto"/>
              </w:rPr>
            </w:pPr>
            <w:r>
              <w:rPr>
                <w:rFonts w:ascii="Arial" w:cs="Arial" w:eastAsia="Arial" w:hAnsi="Arial"/>
                <w:sz w:val="14"/>
                <w:szCs w:val="14"/>
                <w:color w:val="auto"/>
              </w:rPr>
              <w:t>18</w:t>
            </w:r>
          </w:p>
        </w:tc>
        <w:tc>
          <w:tcPr>
            <w:tcW w:w="3680" w:type="dxa"/>
            <w:vAlign w:val="bottom"/>
          </w:tcPr>
          <w:p>
            <w:pPr>
              <w:jc w:val="right"/>
              <w:spacing w:after="0"/>
              <w:rPr>
                <w:sz w:val="20"/>
                <w:szCs w:val="20"/>
                <w:color w:val="auto"/>
              </w:rPr>
            </w:pPr>
            <w:r>
              <w:rPr>
                <w:rFonts w:ascii="Arial" w:cs="Arial" w:eastAsia="Arial" w:hAnsi="Arial"/>
                <w:sz w:val="14"/>
                <w:szCs w:val="14"/>
                <w:i w:val="1"/>
                <w:iCs w:val="1"/>
                <w:color w:val="auto"/>
              </w:rPr>
              <w:t>Second Amended and Restated</w:t>
            </w:r>
          </w:p>
        </w:tc>
      </w:tr>
      <w:tr>
        <w:trPr>
          <w:trHeight w:val="182"/>
        </w:trPr>
        <w:tc>
          <w:tcPr>
            <w:tcW w:w="7580" w:type="dxa"/>
            <w:vAlign w:val="bottom"/>
          </w:tcPr>
          <w:p>
            <w:pPr>
              <w:spacing w:after="0"/>
              <w:rPr>
                <w:sz w:val="15"/>
                <w:szCs w:val="15"/>
                <w:color w:val="auto"/>
              </w:rPr>
            </w:pPr>
          </w:p>
        </w:tc>
        <w:tc>
          <w:tcPr>
            <w:tcW w:w="3680" w:type="dxa"/>
            <w:vAlign w:val="bottom"/>
          </w:tcPr>
          <w:p>
            <w:pPr>
              <w:jc w:val="right"/>
              <w:spacing w:after="0"/>
              <w:rPr>
                <w:sz w:val="20"/>
                <w:szCs w:val="20"/>
                <w:color w:val="auto"/>
              </w:rPr>
            </w:pPr>
            <w:r>
              <w:rPr>
                <w:rFonts w:ascii="Arial" w:cs="Arial" w:eastAsia="Arial" w:hAnsi="Arial"/>
                <w:sz w:val="14"/>
                <w:szCs w:val="14"/>
                <w:i w:val="1"/>
                <w:iCs w:val="1"/>
                <w:color w:val="auto"/>
              </w:rPr>
              <w:t>Revolving Credit Agreement</w:t>
            </w:r>
          </w:p>
        </w:tc>
      </w:tr>
      <w:tr>
        <w:trPr>
          <w:trHeight w:val="316"/>
        </w:trPr>
        <w:tc>
          <w:tcPr>
            <w:tcW w:w="7580" w:type="dxa"/>
            <w:vAlign w:val="bottom"/>
            <w:tcBorders>
              <w:bottom w:val="single" w:sz="8" w:color="9A9A9A"/>
            </w:tcBorders>
          </w:tcPr>
          <w:p>
            <w:pPr>
              <w:spacing w:after="0"/>
              <w:rPr>
                <w:sz w:val="24"/>
                <w:szCs w:val="24"/>
                <w:color w:val="auto"/>
              </w:rPr>
            </w:pPr>
          </w:p>
        </w:tc>
        <w:tc>
          <w:tcPr>
            <w:tcW w:w="368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7145655</wp:posOffset>
            </wp:positionH>
            <wp:positionV relativeFrom="paragraph">
              <wp:posOffset>-7620</wp:posOffset>
            </wp:positionV>
            <wp:extent cx="8255" cy="8255"/>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48">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-16510</wp:posOffset>
            </wp:positionV>
            <wp:extent cx="8890" cy="17145"/>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49">
                      <a:extLst>
                        <a:ext uri="{28A0092B-C50C-407E-A947-70E740481C1C}"/>
                      </a:extLst>
                    </a:blip>
                    <a:srcRect/>
                    <a:stretch>
                      <a:fillRect/>
                    </a:stretch>
                  </pic:blipFill>
                  <pic:spPr bwMode="auto">
                    <a:xfrm>
                      <a:off x="0" y="0"/>
                      <a:ext cx="8890" cy="17145"/>
                    </a:xfrm>
                    <a:prstGeom prst="rect">
                      <a:avLst/>
                    </a:prstGeom>
                    <a:noFill/>
                  </pic:spPr>
                </pic:pic>
              </a:graphicData>
            </a:graphic>
          </wp:anchor>
        </w:drawing>
      </w:r>
    </w:p>
    <w:p>
      <w:pPr>
        <w:sectPr>
          <w:pgSz w:w="11900" w:h="16838" w:orient="portrait"/>
          <w:cols w:equalWidth="0" w:num="1">
            <w:col w:w="11260"/>
          </w:cols>
          <w:pgMar w:left="320" w:top="337" w:right="319" w:bottom="1440" w:gutter="0" w:footer="0" w:header="0"/>
        </w:sectPr>
      </w:pPr>
    </w:p>
    <w:bookmarkStart w:id="81" w:name="page82"/>
    <w:bookmarkEnd w:id="81"/>
    <w:p>
      <w:pPr>
        <w:jc w:val="both"/>
        <w:ind w:right="20" w:firstLine="1727"/>
        <w:spacing w:after="0" w:line="241" w:lineRule="auto"/>
        <w:rPr>
          <w:sz w:val="20"/>
          <w:szCs w:val="20"/>
          <w:color w:val="auto"/>
        </w:rPr>
      </w:pPr>
      <w:r>
        <w:rPr>
          <w:rFonts w:ascii="Arial" w:cs="Arial" w:eastAsia="Arial" w:hAnsi="Arial"/>
          <w:sz w:val="13"/>
          <w:szCs w:val="13"/>
          <w:color w:val="auto"/>
        </w:rPr>
        <w:t>“</w:t>
      </w:r>
      <w:r>
        <w:rPr>
          <w:rFonts w:ascii="Arial" w:cs="Arial" w:eastAsia="Arial" w:hAnsi="Arial"/>
          <w:sz w:val="13"/>
          <w:szCs w:val="13"/>
          <w:u w:val="single" w:color="auto"/>
          <w:color w:val="auto"/>
        </w:rPr>
        <w:t>Unsecured Longer-Term Indebtedness</w:t>
      </w:r>
      <w:r>
        <w:rPr>
          <w:rFonts w:ascii="Arial" w:cs="Arial" w:eastAsia="Arial" w:hAnsi="Arial"/>
          <w:sz w:val="13"/>
          <w:szCs w:val="13"/>
          <w:color w:val="auto"/>
        </w:rPr>
        <w:t xml:space="preserve">” means Indebtedness of any Obligor (which may be Guaranteed by any other Obligor) that (a) has no amortization prior to, and a final maturity date not earlier than, six months after the Final Maturity Date (it being understood that (A) none of: (w) the conversion features under convertible notes; (x) the triggering and/or settlement thereof; and (y) any cash payment made in respect thereof shall constitute “amortization” for the purposes of this definition); and (B) any mandatory amortization that is contingent upon the happening of an event that is not certain to occur (including, without limitation, a change of control or bankruptcy) shall not in and of itself be deemed to disqualify such Indebtedness under this clause (a); provided, with respect to this clause (a)(B), the Borrower acknowledges that any payment prior to the Final Maturity Date in respect of any such obligation or right shall only be made to the extent permitted by this Agreement and immediately upon such contingent event occurring the amount of such mandatory amortization shall be included in the Covered Debt Amount), (b) is incurred pursuant to terms that are substantially comparable to market terms for substantially similar debt of other similarly situated borrowers as reasonably determined in good faith by the Borrower or, if such transaction is not one in which there are market terms for substantially similar debt of other similarly situated borrowers, on terms that are negotiated in good faith on an arm’s length basis (except, in each case, other than financial covenants and events of default (other than events of default customary in indentures or similar instruments that have no analogous provisions in this Agreement or credit agreements generally), which shall be no more restrictive upon the Borrower and its Subsidiaries, while any Loans or the Commitments are outstanding, than those set forth in the Loan Documents; provided that, upon the Borrower’s written request in connection with the incurrence of any Unsecured Longer-Term Indebtedness that otherwise would not meet the requirements set forth in this parenthetical of this clause (b), this Agreement will be deemed automatically amended (and, upon the request of the Administrative Agent or the Required Lenders, the Borrower shall promptly enter into a written amendment evidencing such amendment), </w:t>
      </w:r>
      <w:r>
        <w:rPr>
          <w:rFonts w:ascii="Arial" w:cs="Arial" w:eastAsia="Arial" w:hAnsi="Arial"/>
          <w:sz w:val="13"/>
          <w:szCs w:val="13"/>
          <w:i w:val="1"/>
          <w:iCs w:val="1"/>
          <w:color w:val="auto"/>
        </w:rPr>
        <w:t>mutatis mutandis</w:t>
      </w:r>
      <w:r>
        <w:rPr>
          <w:rFonts w:ascii="Arial" w:cs="Arial" w:eastAsia="Arial" w:hAnsi="Arial"/>
          <w:sz w:val="13"/>
          <w:szCs w:val="13"/>
          <w:color w:val="auto"/>
        </w:rPr>
        <w:t xml:space="preserve">, solely to the extent necessary such that the financial covenants and events of default, as applicable, in this Agreement shall be as restrictive as such provisions in the Unsecured Longer-Term Indebtedness) (it being understood that put rights or repurchase or redemption obligations (x) in the case of convertible securities, in connection with the suspension or delisting of the capital stock of the Borrower or the failure of the Borrower to satisfy a continued listing rule with respect to its capital stock or (y) arising out of circumstances that would constitute a “fundamental change” (as such term is customarily defined in convertible note offerings) or be Events of Default under this Agreement shall not be deemed to be more restrictive for purposes of this definition) and (c) is not secured by any assets of any Obligor. For the avoidance of doubt, the conversion of all or any portion of any Permitted Convertible Indebtedness constituting Unsecured Longer-Term Indebtedness into Permitted Equity Interests in accordance with </w:t>
      </w:r>
      <w:r>
        <w:rPr>
          <w:rFonts w:ascii="Arial" w:cs="Arial" w:eastAsia="Arial" w:hAnsi="Arial"/>
          <w:sz w:val="13"/>
          <w:szCs w:val="13"/>
          <w:u w:val="single" w:color="auto"/>
          <w:color w:val="auto"/>
        </w:rPr>
        <w:t>Section 6.12(a)</w:t>
      </w:r>
      <w:r>
        <w:rPr>
          <w:rFonts w:ascii="Arial" w:cs="Arial" w:eastAsia="Arial" w:hAnsi="Arial"/>
          <w:sz w:val="13"/>
          <w:szCs w:val="13"/>
          <w:color w:val="auto"/>
        </w:rPr>
        <w:t>, shall not cause such Indebtedness to be designated as Unsecured Shorter-Term Indebtedness hereunder.</w:t>
      </w:r>
    </w:p>
    <w:p>
      <w:pPr>
        <w:spacing w:after="0" w:line="185" w:lineRule="exact"/>
        <w:rPr>
          <w:sz w:val="20"/>
          <w:szCs w:val="20"/>
          <w:color w:val="auto"/>
        </w:rPr>
      </w:pPr>
    </w:p>
    <w:p>
      <w:pPr>
        <w:jc w:val="both"/>
        <w:ind w:right="20" w:firstLine="1727"/>
        <w:spacing w:after="0" w:line="238" w:lineRule="auto"/>
        <w:rPr>
          <w:sz w:val="20"/>
          <w:szCs w:val="20"/>
          <w:color w:val="auto"/>
        </w:rPr>
      </w:pPr>
      <w:r>
        <w:rPr>
          <w:rFonts w:ascii="Arial" w:cs="Arial" w:eastAsia="Arial" w:hAnsi="Arial"/>
          <w:sz w:val="14"/>
          <w:szCs w:val="14"/>
          <w:color w:val="auto"/>
        </w:rPr>
        <w:t>“</w:t>
      </w:r>
      <w:r>
        <w:rPr>
          <w:rFonts w:ascii="Arial" w:cs="Arial" w:eastAsia="Arial" w:hAnsi="Arial"/>
          <w:sz w:val="14"/>
          <w:szCs w:val="14"/>
          <w:u w:val="single" w:color="auto"/>
          <w:color w:val="auto"/>
        </w:rPr>
        <w:t>Unsecured Shorter-Term Indebtedness</w:t>
      </w:r>
      <w:r>
        <w:rPr>
          <w:rFonts w:ascii="Arial" w:cs="Arial" w:eastAsia="Arial" w:hAnsi="Arial"/>
          <w:sz w:val="14"/>
          <w:szCs w:val="14"/>
          <w:color w:val="auto"/>
        </w:rPr>
        <w:t xml:space="preserve">” means, collectively, (a) any Indebtedness of the Borrower or any Subsidiary (other than a Financing Subsidiary) that is not secured by any assets of any Obligor and that does not constitute Unsecured Longer-Term Indebtedness and (b) any Indebtedness that is designated as “Unsecured Shorter-Term Indebtedness” pursuant to </w:t>
      </w:r>
      <w:r>
        <w:rPr>
          <w:rFonts w:ascii="Arial" w:cs="Arial" w:eastAsia="Arial" w:hAnsi="Arial"/>
          <w:sz w:val="14"/>
          <w:szCs w:val="14"/>
          <w:u w:val="single" w:color="auto"/>
          <w:color w:val="auto"/>
        </w:rPr>
        <w:t>Section 6.11(a)</w:t>
      </w:r>
      <w:r>
        <w:rPr>
          <w:rFonts w:ascii="Arial" w:cs="Arial" w:eastAsia="Arial" w:hAnsi="Arial"/>
          <w:sz w:val="14"/>
          <w:szCs w:val="14"/>
          <w:color w:val="auto"/>
        </w:rPr>
        <w:t>.</w:t>
      </w:r>
    </w:p>
    <w:p>
      <w:pPr>
        <w:spacing w:after="0" w:line="183" w:lineRule="exact"/>
        <w:rPr>
          <w:sz w:val="20"/>
          <w:szCs w:val="20"/>
          <w:color w:val="auto"/>
        </w:rPr>
      </w:pPr>
    </w:p>
    <w:p>
      <w:pPr>
        <w:ind w:left="1740"/>
        <w:spacing w:after="0"/>
        <w:rPr>
          <w:sz w:val="20"/>
          <w:szCs w:val="20"/>
          <w:color w:val="auto"/>
        </w:rPr>
      </w:pPr>
      <w:r>
        <w:rPr>
          <w:rFonts w:ascii="Arial" w:cs="Arial" w:eastAsia="Arial" w:hAnsi="Arial"/>
          <w:sz w:val="14"/>
          <w:szCs w:val="14"/>
          <w:color w:val="auto"/>
        </w:rPr>
        <w:t>“</w:t>
      </w:r>
      <w:r>
        <w:rPr>
          <w:rFonts w:ascii="Arial" w:cs="Arial" w:eastAsia="Arial" w:hAnsi="Arial"/>
          <w:sz w:val="14"/>
          <w:szCs w:val="14"/>
          <w:u w:val="single" w:color="auto"/>
          <w:color w:val="auto"/>
        </w:rPr>
        <w:t>Unquoted Investment</w:t>
      </w:r>
      <w:r>
        <w:rPr>
          <w:rFonts w:ascii="Arial" w:cs="Arial" w:eastAsia="Arial" w:hAnsi="Arial"/>
          <w:sz w:val="14"/>
          <w:szCs w:val="14"/>
          <w:color w:val="auto"/>
        </w:rPr>
        <w:t xml:space="preserve">” means a Portfolio Investment with a value that may be assigned by the Borrower pursuant to </w:t>
      </w:r>
      <w:r>
        <w:rPr>
          <w:rFonts w:ascii="Arial" w:cs="Arial" w:eastAsia="Arial" w:hAnsi="Arial"/>
          <w:sz w:val="14"/>
          <w:szCs w:val="14"/>
          <w:u w:val="single" w:color="auto"/>
          <w:color w:val="auto"/>
        </w:rPr>
        <w:t>Section 5.12(b)(ii)(B)</w:t>
      </w:r>
      <w:r>
        <w:rPr>
          <w:rFonts w:ascii="Arial" w:cs="Arial" w:eastAsia="Arial" w:hAnsi="Arial"/>
          <w:sz w:val="14"/>
          <w:szCs w:val="14"/>
          <w:color w:val="auto"/>
        </w:rPr>
        <w:t>.</w:t>
      </w:r>
    </w:p>
    <w:p>
      <w:pPr>
        <w:spacing w:after="0" w:line="204" w:lineRule="exact"/>
        <w:rPr>
          <w:sz w:val="20"/>
          <w:szCs w:val="20"/>
          <w:color w:val="auto"/>
        </w:rPr>
      </w:pPr>
    </w:p>
    <w:p>
      <w:pPr>
        <w:jc w:val="both"/>
        <w:ind w:right="20" w:firstLine="1727"/>
        <w:spacing w:after="0" w:line="238" w:lineRule="auto"/>
        <w:rPr>
          <w:sz w:val="20"/>
          <w:szCs w:val="20"/>
          <w:color w:val="auto"/>
        </w:rPr>
      </w:pPr>
      <w:r>
        <w:rPr>
          <w:rFonts w:ascii="Arial" w:cs="Arial" w:eastAsia="Arial" w:hAnsi="Arial"/>
          <w:sz w:val="14"/>
          <w:szCs w:val="14"/>
          <w:color w:val="auto"/>
        </w:rPr>
        <w:t>“</w:t>
      </w:r>
      <w:r>
        <w:rPr>
          <w:rFonts w:ascii="Arial" w:cs="Arial" w:eastAsia="Arial" w:hAnsi="Arial"/>
          <w:sz w:val="14"/>
          <w:szCs w:val="14"/>
          <w:u w:val="single" w:color="auto"/>
          <w:color w:val="auto"/>
        </w:rPr>
        <w:t>U.S. Government Securities</w:t>
      </w:r>
      <w:r>
        <w:rPr>
          <w:rFonts w:ascii="Arial" w:cs="Arial" w:eastAsia="Arial" w:hAnsi="Arial"/>
          <w:sz w:val="14"/>
          <w:szCs w:val="14"/>
          <w:color w:val="auto"/>
        </w:rPr>
        <w:t>” means securities that are direct obligations of, and obligations the timely payment of principal and interest on which is fully guaranteed by, the United States or any agency or instrumentality of the United States the obligations of which are backed by the full faith and credit of the United States and in the form of conventional bills, bonds, and notes.</w:t>
      </w:r>
    </w:p>
    <w:p>
      <w:pPr>
        <w:spacing w:after="0" w:line="183" w:lineRule="exact"/>
        <w:rPr>
          <w:sz w:val="20"/>
          <w:szCs w:val="20"/>
          <w:color w:val="auto"/>
        </w:rPr>
      </w:pPr>
    </w:p>
    <w:p>
      <w:pPr>
        <w:ind w:left="1740"/>
        <w:spacing w:after="0"/>
        <w:rPr>
          <w:sz w:val="20"/>
          <w:szCs w:val="20"/>
          <w:color w:val="auto"/>
        </w:rPr>
      </w:pPr>
      <w:r>
        <w:rPr>
          <w:rFonts w:ascii="Arial" w:cs="Arial" w:eastAsia="Arial" w:hAnsi="Arial"/>
          <w:sz w:val="14"/>
          <w:szCs w:val="14"/>
          <w:color w:val="auto"/>
        </w:rPr>
        <w:t>“</w:t>
      </w:r>
      <w:r>
        <w:rPr>
          <w:rFonts w:ascii="Arial" w:cs="Arial" w:eastAsia="Arial" w:hAnsi="Arial"/>
          <w:sz w:val="14"/>
          <w:szCs w:val="14"/>
          <w:u w:val="single" w:color="auto"/>
          <w:color w:val="auto"/>
        </w:rPr>
        <w:t>U.S. Person</w:t>
      </w:r>
      <w:r>
        <w:rPr>
          <w:rFonts w:ascii="Arial" w:cs="Arial" w:eastAsia="Arial" w:hAnsi="Arial"/>
          <w:sz w:val="14"/>
          <w:szCs w:val="14"/>
          <w:color w:val="auto"/>
        </w:rPr>
        <w:t>” means any Person that is a “United States person” as defined in Section 7701(a)(30) of the Code.</w:t>
      </w:r>
    </w:p>
    <w:p>
      <w:pPr>
        <w:spacing w:after="0" w:line="204" w:lineRule="exact"/>
        <w:rPr>
          <w:sz w:val="20"/>
          <w:szCs w:val="20"/>
          <w:color w:val="auto"/>
        </w:rPr>
      </w:pPr>
    </w:p>
    <w:p>
      <w:pPr>
        <w:ind w:left="1740"/>
        <w:spacing w:after="0"/>
        <w:rPr>
          <w:sz w:val="20"/>
          <w:szCs w:val="20"/>
          <w:color w:val="auto"/>
        </w:rPr>
      </w:pPr>
      <w:r>
        <w:rPr>
          <w:rFonts w:ascii="Arial" w:cs="Arial" w:eastAsia="Arial" w:hAnsi="Arial"/>
          <w:sz w:val="14"/>
          <w:szCs w:val="14"/>
          <w:color w:val="auto"/>
        </w:rPr>
        <w:t>“</w:t>
      </w:r>
      <w:r>
        <w:rPr>
          <w:rFonts w:ascii="Arial" w:cs="Arial" w:eastAsia="Arial" w:hAnsi="Arial"/>
          <w:sz w:val="14"/>
          <w:szCs w:val="14"/>
          <w:u w:val="single" w:color="auto"/>
          <w:color w:val="auto"/>
        </w:rPr>
        <w:t>Value</w:t>
      </w:r>
      <w:r>
        <w:rPr>
          <w:rFonts w:ascii="Arial" w:cs="Arial" w:eastAsia="Arial" w:hAnsi="Arial"/>
          <w:sz w:val="14"/>
          <w:szCs w:val="14"/>
          <w:color w:val="auto"/>
        </w:rPr>
        <w:t xml:space="preserve">” has the meaning assigned to such term in </w:t>
      </w:r>
      <w:r>
        <w:rPr>
          <w:rFonts w:ascii="Arial" w:cs="Arial" w:eastAsia="Arial" w:hAnsi="Arial"/>
          <w:sz w:val="14"/>
          <w:szCs w:val="14"/>
          <w:u w:val="single" w:color="auto"/>
          <w:color w:val="auto"/>
        </w:rPr>
        <w:t>Section 5.13</w:t>
      </w:r>
      <w:r>
        <w:rPr>
          <w:rFonts w:ascii="Arial" w:cs="Arial" w:eastAsia="Arial" w:hAnsi="Arial"/>
          <w:sz w:val="14"/>
          <w:szCs w:val="14"/>
          <w:color w:val="auto"/>
        </w:rPr>
        <w:t>.</w:t>
      </w:r>
    </w:p>
    <w:p>
      <w:pPr>
        <w:spacing w:after="0" w:line="204" w:lineRule="exact"/>
        <w:rPr>
          <w:sz w:val="20"/>
          <w:szCs w:val="20"/>
          <w:color w:val="auto"/>
        </w:rPr>
      </w:pPr>
    </w:p>
    <w:p>
      <w:pPr>
        <w:jc w:val="both"/>
        <w:ind w:right="40" w:firstLine="1727"/>
        <w:spacing w:after="0" w:line="253" w:lineRule="auto"/>
        <w:rPr>
          <w:sz w:val="20"/>
          <w:szCs w:val="20"/>
          <w:color w:val="auto"/>
        </w:rPr>
      </w:pPr>
      <w:r>
        <w:rPr>
          <w:rFonts w:ascii="Arial" w:cs="Arial" w:eastAsia="Arial" w:hAnsi="Arial"/>
          <w:sz w:val="14"/>
          <w:szCs w:val="14"/>
          <w:color w:val="auto"/>
        </w:rPr>
        <w:t>“</w:t>
      </w:r>
      <w:r>
        <w:rPr>
          <w:rFonts w:ascii="Arial" w:cs="Arial" w:eastAsia="Arial" w:hAnsi="Arial"/>
          <w:sz w:val="14"/>
          <w:szCs w:val="14"/>
          <w:u w:val="single" w:color="auto"/>
          <w:color w:val="auto"/>
        </w:rPr>
        <w:t>Withdrawal Liability</w:t>
      </w:r>
      <w:r>
        <w:rPr>
          <w:rFonts w:ascii="Arial" w:cs="Arial" w:eastAsia="Arial" w:hAnsi="Arial"/>
          <w:sz w:val="14"/>
          <w:szCs w:val="14"/>
          <w:color w:val="auto"/>
        </w:rPr>
        <w:t>” means liability to a Multiemployer Plan as a result of a complete or partial withdrawal from such Multiemployer Plan, as such terms are defined in Part I of Subtitle E of Title IV of ERISA.</w:t>
      </w:r>
    </w:p>
    <w:p>
      <w:pPr>
        <w:spacing w:after="0" w:line="174" w:lineRule="exact"/>
        <w:rPr>
          <w:sz w:val="20"/>
          <w:szCs w:val="20"/>
          <w:color w:val="auto"/>
        </w:rPr>
      </w:pPr>
    </w:p>
    <w:p>
      <w:pPr>
        <w:jc w:val="both"/>
        <w:ind w:right="20" w:firstLine="1727"/>
        <w:spacing w:after="0" w:line="238" w:lineRule="auto"/>
        <w:rPr>
          <w:sz w:val="20"/>
          <w:szCs w:val="20"/>
          <w:color w:val="auto"/>
        </w:rPr>
      </w:pPr>
      <w:r>
        <w:rPr>
          <w:rFonts w:ascii="Arial" w:cs="Arial" w:eastAsia="Arial" w:hAnsi="Arial"/>
          <w:sz w:val="14"/>
          <w:szCs w:val="14"/>
          <w:color w:val="auto"/>
        </w:rPr>
        <w:t>“</w:t>
      </w:r>
      <w:r>
        <w:rPr>
          <w:rFonts w:ascii="Arial" w:cs="Arial" w:eastAsia="Arial" w:hAnsi="Arial"/>
          <w:sz w:val="14"/>
          <w:szCs w:val="14"/>
          <w:u w:val="single" w:color="auto"/>
          <w:color w:val="auto"/>
        </w:rPr>
        <w:t>Write-Down and Conversion Powers</w:t>
      </w:r>
      <w:r>
        <w:rPr>
          <w:rFonts w:ascii="Arial" w:cs="Arial" w:eastAsia="Arial" w:hAnsi="Arial"/>
          <w:sz w:val="14"/>
          <w:szCs w:val="14"/>
          <w:color w:val="auto"/>
        </w:rPr>
        <w:t>” means, with respect to any EEA Resolution Authority, the write-down and conversion powers of such EEA Resolution Authority from time to time under the Bail-In Legislation for the applicable EEA Member Country, which write-down and conversion powers are described in the EU Bail-In Legislation Schedule.</w:t>
      </w:r>
    </w:p>
    <w:p>
      <w:pPr>
        <w:spacing w:after="0" w:line="183" w:lineRule="exact"/>
        <w:rPr>
          <w:sz w:val="20"/>
          <w:szCs w:val="20"/>
          <w:color w:val="auto"/>
        </w:rPr>
      </w:pPr>
    </w:p>
    <w:p>
      <w:pPr>
        <w:jc w:val="both"/>
        <w:ind w:right="20" w:firstLine="1727"/>
        <w:spacing w:after="0" w:line="233" w:lineRule="auto"/>
        <w:rPr>
          <w:sz w:val="20"/>
          <w:szCs w:val="20"/>
          <w:color w:val="auto"/>
        </w:rPr>
      </w:pPr>
      <w:r>
        <w:rPr>
          <w:rFonts w:ascii="Arial" w:cs="Arial" w:eastAsia="Arial" w:hAnsi="Arial"/>
          <w:sz w:val="14"/>
          <w:szCs w:val="14"/>
          <w:color w:val="auto"/>
        </w:rPr>
        <w:t xml:space="preserve">SECTION 1.02. </w:t>
      </w:r>
      <w:r>
        <w:rPr>
          <w:rFonts w:ascii="Arial" w:cs="Arial" w:eastAsia="Arial" w:hAnsi="Arial"/>
          <w:sz w:val="14"/>
          <w:szCs w:val="14"/>
          <w:u w:val="single" w:color="auto"/>
          <w:color w:val="auto"/>
        </w:rPr>
        <w:t>Classification of Loans and Borrowings</w:t>
      </w:r>
      <w:r>
        <w:rPr>
          <w:rFonts w:ascii="Arial" w:cs="Arial" w:eastAsia="Arial" w:hAnsi="Arial"/>
          <w:sz w:val="14"/>
          <w:szCs w:val="14"/>
          <w:color w:val="auto"/>
        </w:rPr>
        <w:t>. For purposes of this Agreement, Loans may be classified and referred to by Class (e.g., a “Syndicated Dollar Loan” or “Syndicated Multicurrency Loan”), by Type (e.g., an “ABR Loan”) or by Class and Type (e.g., a “Syndicated Multicurrency LIBOR Loan”). Borrowings also may be classified and referred to by Class (e.g., a “Dollar Borrowing”, “Multicurrency Borrowing” or “Syndicated Borrowing”), by Type (e.g., an “ABR Borrowing”) or by Class and Type (e.g., a “Syndicated ABR Borrowing” or “Syndicated Multicurrency LIBOR Borrowing”). Loans and Borrowings may also be identified by Currency.</w:t>
      </w:r>
    </w:p>
    <w:p>
      <w:pPr>
        <w:spacing w:after="0" w:line="185" w:lineRule="exact"/>
        <w:rPr>
          <w:sz w:val="20"/>
          <w:szCs w:val="20"/>
          <w:color w:val="auto"/>
        </w:rPr>
      </w:pPr>
    </w:p>
    <w:p>
      <w:pPr>
        <w:jc w:val="both"/>
        <w:ind w:right="20" w:firstLine="1727"/>
        <w:spacing w:after="0" w:line="241" w:lineRule="auto"/>
        <w:rPr>
          <w:sz w:val="20"/>
          <w:szCs w:val="20"/>
          <w:color w:val="auto"/>
        </w:rPr>
      </w:pPr>
      <w:r>
        <w:rPr>
          <w:rFonts w:ascii="Arial" w:cs="Arial" w:eastAsia="Arial" w:hAnsi="Arial"/>
          <w:sz w:val="13"/>
          <w:szCs w:val="13"/>
          <w:color w:val="auto"/>
        </w:rPr>
        <w:t xml:space="preserve">SECTION 1.03. </w:t>
      </w:r>
      <w:r>
        <w:rPr>
          <w:rFonts w:ascii="Arial" w:cs="Arial" w:eastAsia="Arial" w:hAnsi="Arial"/>
          <w:sz w:val="13"/>
          <w:szCs w:val="13"/>
          <w:u w:val="single" w:color="auto"/>
          <w:color w:val="auto"/>
        </w:rPr>
        <w:t>Terms Generally</w:t>
      </w:r>
      <w:r>
        <w:rPr>
          <w:rFonts w:ascii="Arial" w:cs="Arial" w:eastAsia="Arial" w:hAnsi="Arial"/>
          <w:sz w:val="13"/>
          <w:szCs w:val="13"/>
          <w:color w:val="auto"/>
        </w:rPr>
        <w:t>. The definitions of terms herein shall apply equally to the singular and plural forms of the terms defined. Whenever the context may require, any pronoun shall include the corresponding masculine, feminine and neuter forms. The words “include”, “includes” and “including” shall be deemed to be followed by the phrase “without limitation”. The word “will” shall be construed to have the same meaning and effect as the word “shall”. Unless the context requires otherwise (a) any definition of or reference to any agreement, instrument or other document herein shall be construed as referring to such agreement, instrument or other document as from time to time amended, supplemented or otherwise modified (subject to any restrictions on such amendments, supplements or modifications set forth herein), (b) any reference herein to any Person shall be construed to include such Person’s successors and assigns, (c) the words “herein”, “hereof’ and “hereunder”, and words of similar import, shall be construed to refer to this Agreement in its entirety and not to any particular provision hereof, (d) all references herein to Articles, Sections, Exhibits and Schedules shall be construed to refer to Articles and Sections of, and Exhibits and Schedules to, this Agreement and</w:t>
      </w:r>
    </w:p>
    <w:p>
      <w:pPr>
        <w:spacing w:after="0" w:line="1" w:lineRule="exact"/>
        <w:rPr>
          <w:sz w:val="20"/>
          <w:szCs w:val="20"/>
          <w:color w:val="auto"/>
        </w:rPr>
      </w:pPr>
    </w:p>
    <w:p>
      <w:pPr>
        <w:ind w:right="20" w:firstLine="8"/>
        <w:spacing w:after="0" w:line="237" w:lineRule="auto"/>
        <w:tabs>
          <w:tab w:leader="none" w:pos="204" w:val="left"/>
        </w:tabs>
        <w:numPr>
          <w:ilvl w:val="0"/>
          <w:numId w:val="42"/>
        </w:numPr>
        <w:rPr>
          <w:rFonts w:ascii="Arial" w:cs="Arial" w:eastAsia="Arial" w:hAnsi="Arial"/>
          <w:sz w:val="14"/>
          <w:szCs w:val="14"/>
          <w:color w:val="auto"/>
        </w:rPr>
      </w:pPr>
      <w:r>
        <w:rPr>
          <w:rFonts w:ascii="Arial" w:cs="Arial" w:eastAsia="Arial" w:hAnsi="Arial"/>
          <w:sz w:val="14"/>
          <w:szCs w:val="14"/>
          <w:color w:val="auto"/>
        </w:rPr>
        <w:t>the words “asset” and “property” shall be construed to have the same meaning and effect and to refer to any and all tangible and intangible assets and properties, including cash, securities, accounts and contract rights.</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7580" w:type="dxa"/>
            <w:vAlign w:val="bottom"/>
          </w:tcPr>
          <w:p>
            <w:pPr>
              <w:jc w:val="right"/>
              <w:ind w:right="1808"/>
              <w:spacing w:after="0"/>
              <w:rPr>
                <w:sz w:val="20"/>
                <w:szCs w:val="20"/>
                <w:color w:val="auto"/>
              </w:rPr>
            </w:pPr>
            <w:r>
              <w:rPr>
                <w:rFonts w:ascii="Arial" w:cs="Arial" w:eastAsia="Arial" w:hAnsi="Arial"/>
                <w:sz w:val="14"/>
                <w:szCs w:val="14"/>
                <w:color w:val="auto"/>
              </w:rPr>
              <w:t>19</w:t>
            </w:r>
          </w:p>
        </w:tc>
        <w:tc>
          <w:tcPr>
            <w:tcW w:w="3680" w:type="dxa"/>
            <w:vAlign w:val="bottom"/>
          </w:tcPr>
          <w:p>
            <w:pPr>
              <w:jc w:val="right"/>
              <w:spacing w:after="0"/>
              <w:rPr>
                <w:sz w:val="20"/>
                <w:szCs w:val="20"/>
                <w:color w:val="auto"/>
              </w:rPr>
            </w:pPr>
            <w:r>
              <w:rPr>
                <w:rFonts w:ascii="Arial" w:cs="Arial" w:eastAsia="Arial" w:hAnsi="Arial"/>
                <w:sz w:val="14"/>
                <w:szCs w:val="14"/>
                <w:i w:val="1"/>
                <w:iCs w:val="1"/>
                <w:color w:val="auto"/>
              </w:rPr>
              <w:t>Second Amended and Restated</w:t>
            </w:r>
          </w:p>
        </w:tc>
      </w:tr>
      <w:tr>
        <w:trPr>
          <w:trHeight w:val="182"/>
        </w:trPr>
        <w:tc>
          <w:tcPr>
            <w:tcW w:w="7580" w:type="dxa"/>
            <w:vAlign w:val="bottom"/>
          </w:tcPr>
          <w:p>
            <w:pPr>
              <w:spacing w:after="0"/>
              <w:rPr>
                <w:sz w:val="15"/>
                <w:szCs w:val="15"/>
                <w:color w:val="auto"/>
              </w:rPr>
            </w:pPr>
          </w:p>
        </w:tc>
        <w:tc>
          <w:tcPr>
            <w:tcW w:w="3680" w:type="dxa"/>
            <w:vAlign w:val="bottom"/>
          </w:tcPr>
          <w:p>
            <w:pPr>
              <w:jc w:val="right"/>
              <w:spacing w:after="0"/>
              <w:rPr>
                <w:sz w:val="20"/>
                <w:szCs w:val="20"/>
                <w:color w:val="auto"/>
              </w:rPr>
            </w:pPr>
            <w:r>
              <w:rPr>
                <w:rFonts w:ascii="Arial" w:cs="Arial" w:eastAsia="Arial" w:hAnsi="Arial"/>
                <w:sz w:val="14"/>
                <w:szCs w:val="14"/>
                <w:i w:val="1"/>
                <w:iCs w:val="1"/>
                <w:color w:val="auto"/>
              </w:rPr>
              <w:t>Revolving Credit Agreement</w:t>
            </w:r>
          </w:p>
        </w:tc>
      </w:tr>
      <w:tr>
        <w:trPr>
          <w:trHeight w:val="316"/>
        </w:trPr>
        <w:tc>
          <w:tcPr>
            <w:tcW w:w="7580" w:type="dxa"/>
            <w:vAlign w:val="bottom"/>
            <w:tcBorders>
              <w:bottom w:val="single" w:sz="8" w:color="9A9A9A"/>
            </w:tcBorders>
          </w:tcPr>
          <w:p>
            <w:pPr>
              <w:spacing w:after="0"/>
              <w:rPr>
                <w:sz w:val="24"/>
                <w:szCs w:val="24"/>
                <w:color w:val="auto"/>
              </w:rPr>
            </w:pPr>
          </w:p>
        </w:tc>
        <w:tc>
          <w:tcPr>
            <w:tcW w:w="368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7145655</wp:posOffset>
            </wp:positionH>
            <wp:positionV relativeFrom="paragraph">
              <wp:posOffset>-7620</wp:posOffset>
            </wp:positionV>
            <wp:extent cx="8255" cy="8255"/>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50">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-16510</wp:posOffset>
            </wp:positionV>
            <wp:extent cx="8890" cy="17145"/>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51">
                      <a:extLst>
                        <a:ext uri="{28A0092B-C50C-407E-A947-70E740481C1C}"/>
                      </a:extLst>
                    </a:blip>
                    <a:srcRect/>
                    <a:stretch>
                      <a:fillRect/>
                    </a:stretch>
                  </pic:blipFill>
                  <pic:spPr bwMode="auto">
                    <a:xfrm>
                      <a:off x="0" y="0"/>
                      <a:ext cx="8890" cy="17145"/>
                    </a:xfrm>
                    <a:prstGeom prst="rect">
                      <a:avLst/>
                    </a:prstGeom>
                    <a:noFill/>
                  </pic:spPr>
                </pic:pic>
              </a:graphicData>
            </a:graphic>
          </wp:anchor>
        </w:drawing>
      </w:r>
    </w:p>
    <w:p>
      <w:pPr>
        <w:sectPr>
          <w:pgSz w:w="11900" w:h="16838" w:orient="portrait"/>
          <w:cols w:equalWidth="0" w:num="1">
            <w:col w:w="11260"/>
          </w:cols>
          <w:pgMar w:left="320" w:top="337" w:right="319" w:bottom="1440" w:gutter="0" w:footer="0" w:header="0"/>
        </w:sectPr>
      </w:pPr>
    </w:p>
    <w:bookmarkStart w:id="82" w:name="page83"/>
    <w:bookmarkEnd w:id="82"/>
    <w:p>
      <w:pPr>
        <w:jc w:val="both"/>
        <w:ind w:right="20" w:firstLine="1727"/>
        <w:spacing w:after="0" w:line="242" w:lineRule="auto"/>
        <w:rPr>
          <w:sz w:val="20"/>
          <w:szCs w:val="20"/>
          <w:color w:val="auto"/>
        </w:rPr>
      </w:pPr>
      <w:r>
        <w:rPr>
          <w:rFonts w:ascii="Arial" w:cs="Arial" w:eastAsia="Arial" w:hAnsi="Arial"/>
          <w:sz w:val="13"/>
          <w:szCs w:val="13"/>
          <w:color w:val="auto"/>
        </w:rPr>
        <w:t xml:space="preserve">SECTION 1.04. </w:t>
      </w:r>
      <w:r>
        <w:rPr>
          <w:rFonts w:ascii="Arial" w:cs="Arial" w:eastAsia="Arial" w:hAnsi="Arial"/>
          <w:sz w:val="13"/>
          <w:szCs w:val="13"/>
          <w:u w:val="single" w:color="auto"/>
          <w:color w:val="auto"/>
        </w:rPr>
        <w:t>Accounting Terms; GAAP</w:t>
      </w:r>
      <w:r>
        <w:rPr>
          <w:rFonts w:ascii="Arial" w:cs="Arial" w:eastAsia="Arial" w:hAnsi="Arial"/>
          <w:sz w:val="13"/>
          <w:szCs w:val="13"/>
          <w:color w:val="auto"/>
        </w:rPr>
        <w:t xml:space="preserve">. Except as otherwise expressly provided herein, all terms of an accounting or financial nature shall be construed in accordance with GAAP, as in effect from time to time; </w:t>
      </w:r>
      <w:r>
        <w:rPr>
          <w:rFonts w:ascii="Arial" w:cs="Arial" w:eastAsia="Arial" w:hAnsi="Arial"/>
          <w:sz w:val="13"/>
          <w:szCs w:val="13"/>
          <w:u w:val="single" w:color="auto"/>
          <w:color w:val="auto"/>
        </w:rPr>
        <w:t>provided</w:t>
      </w:r>
      <w:r>
        <w:rPr>
          <w:rFonts w:ascii="Arial" w:cs="Arial" w:eastAsia="Arial" w:hAnsi="Arial"/>
          <w:sz w:val="13"/>
          <w:szCs w:val="13"/>
          <w:color w:val="auto"/>
        </w:rPr>
        <w:t xml:space="preserve"> that, (a) if the Borrower notifies the Administrative Agent that the Borrower requests an amendment to any provision hereof to eliminate the effect of any change occurring after the date hereof in GAAP or in the application thereof on the operation of such provision (or if the Administrative Agent notifies the Borrower that the Required Lenders request an amendment to any provision hereof for such purpose), regardless of whether any such notice is given before or after such change in GAAP or in the application thereof then such provision shall be interpreted on the basis of GAAP as in effect and applied immediately before such change shall have become effective until such notice shall have been withdrawn or such provision amended in accordance herewith and (b) all leases that would be treated as operating leases for purposes of GAAP on the date hereof shall continue to be accounted for as operating leases for purposes of all financial definitions and calculations hereunder regardless of any change to GAAP following the date hereof that would otherwise require such leases to be treated as Capital Lease Obligations. The Borrower covenants and agrees with the Lenders that whether or not the Borrower may at any time adopt Financial Accounting Standards Board (“</w:t>
      </w:r>
      <w:r>
        <w:rPr>
          <w:rFonts w:ascii="Arial" w:cs="Arial" w:eastAsia="Arial" w:hAnsi="Arial"/>
          <w:sz w:val="13"/>
          <w:szCs w:val="13"/>
          <w:u w:val="single" w:color="auto"/>
          <w:color w:val="auto"/>
        </w:rPr>
        <w:t>FASB</w:t>
      </w:r>
      <w:r>
        <w:rPr>
          <w:rFonts w:ascii="Arial" w:cs="Arial" w:eastAsia="Arial" w:hAnsi="Arial"/>
          <w:sz w:val="13"/>
          <w:szCs w:val="13"/>
          <w:color w:val="auto"/>
        </w:rPr>
        <w:t>”) Statement of Financial Accounting Standard No. 159 (or successor standard solely as it relates to fair valuing liabilities) or accounts for liabilities acquired in an acquisition on a fair value basis pursuant to FASB Statement of Financial Accounting Standard No. 141(R) (or successor standard solely as it relates to fair valuing liabilities), all determinations of compliance with the terms and conditions of this Agreement shall be made on the basis that the Borrower has not adopted FASB Statement of Financial Accounting Standard No. 159 (or such successor standard solely as it relates to fair valuing liabilities) or, in the case of liabilities acquired in an acquisition, FASB Statement of Financial Accounting Standard No. 141(R) (or such successor standard solely as it relates to fair valuing liabilities).</w:t>
      </w:r>
    </w:p>
    <w:p>
      <w:pPr>
        <w:spacing w:after="0" w:line="187" w:lineRule="exact"/>
        <w:rPr>
          <w:sz w:val="20"/>
          <w:szCs w:val="20"/>
          <w:color w:val="auto"/>
        </w:rPr>
      </w:pPr>
    </w:p>
    <w:p>
      <w:pPr>
        <w:ind w:left="1740"/>
        <w:spacing w:after="0"/>
        <w:rPr>
          <w:sz w:val="20"/>
          <w:szCs w:val="20"/>
          <w:color w:val="auto"/>
        </w:rPr>
      </w:pPr>
      <w:r>
        <w:rPr>
          <w:rFonts w:ascii="Arial" w:cs="Arial" w:eastAsia="Arial" w:hAnsi="Arial"/>
          <w:sz w:val="14"/>
          <w:szCs w:val="14"/>
          <w:color w:val="auto"/>
        </w:rPr>
        <w:t xml:space="preserve">SECTION 1.05. </w:t>
      </w:r>
      <w:r>
        <w:rPr>
          <w:rFonts w:ascii="Arial" w:cs="Arial" w:eastAsia="Arial" w:hAnsi="Arial"/>
          <w:sz w:val="14"/>
          <w:szCs w:val="14"/>
          <w:u w:val="single" w:color="auto"/>
          <w:color w:val="auto"/>
        </w:rPr>
        <w:t>Currencies; Currency Equivalents</w:t>
      </w:r>
      <w:r>
        <w:rPr>
          <w:rFonts w:ascii="Arial" w:cs="Arial" w:eastAsia="Arial" w:hAnsi="Arial"/>
          <w:sz w:val="14"/>
          <w:szCs w:val="14"/>
          <w:color w:val="auto"/>
        </w:rPr>
        <w:t>.</w:t>
      </w:r>
    </w:p>
    <w:p>
      <w:pPr>
        <w:spacing w:after="0" w:line="204" w:lineRule="exact"/>
        <w:rPr>
          <w:sz w:val="20"/>
          <w:szCs w:val="20"/>
          <w:color w:val="auto"/>
        </w:rPr>
      </w:pPr>
    </w:p>
    <w:p>
      <w:pPr>
        <w:jc w:val="both"/>
        <w:ind w:right="20" w:firstLine="1735"/>
        <w:spacing w:after="0" w:line="242" w:lineRule="auto"/>
        <w:tabs>
          <w:tab w:leader="none" w:pos="2535" w:val="left"/>
        </w:tabs>
        <w:numPr>
          <w:ilvl w:val="0"/>
          <w:numId w:val="43"/>
        </w:numPr>
        <w:rPr>
          <w:rFonts w:ascii="Arial" w:cs="Arial" w:eastAsia="Arial" w:hAnsi="Arial"/>
          <w:sz w:val="13"/>
          <w:szCs w:val="13"/>
          <w:color w:val="auto"/>
        </w:rPr>
      </w:pPr>
      <w:r>
        <w:rPr>
          <w:rFonts w:ascii="Arial" w:cs="Arial" w:eastAsia="Arial" w:hAnsi="Arial"/>
          <w:sz w:val="13"/>
          <w:szCs w:val="13"/>
          <w:u w:val="single" w:color="auto"/>
          <w:color w:val="auto"/>
        </w:rPr>
        <w:t>Currencies Generally</w:t>
      </w:r>
      <w:r>
        <w:rPr>
          <w:rFonts w:ascii="Arial" w:cs="Arial" w:eastAsia="Arial" w:hAnsi="Arial"/>
          <w:sz w:val="13"/>
          <w:szCs w:val="13"/>
          <w:color w:val="auto"/>
        </w:rPr>
        <w:t xml:space="preserve">. At any time, any reference in the definition of the term “Agreed Foreign Currency” or in any other provision of this Agreement to the Currency of any particular nation means the lawful currency of such nation at such time whether or not the name of such Currency is the same as it was on the date hereof. Except as provided in </w:t>
      </w:r>
      <w:r>
        <w:rPr>
          <w:rFonts w:ascii="Arial" w:cs="Arial" w:eastAsia="Arial" w:hAnsi="Arial"/>
          <w:sz w:val="13"/>
          <w:szCs w:val="13"/>
          <w:u w:val="single" w:color="auto"/>
          <w:color w:val="auto"/>
        </w:rPr>
        <w:t>Section 2.10(b)</w:t>
      </w:r>
      <w:r>
        <w:rPr>
          <w:rFonts w:ascii="Arial" w:cs="Arial" w:eastAsia="Arial" w:hAnsi="Arial"/>
          <w:sz w:val="13"/>
          <w:szCs w:val="13"/>
          <w:color w:val="auto"/>
        </w:rPr>
        <w:t xml:space="preserve"> and the last sentence of </w:t>
      </w:r>
      <w:r>
        <w:rPr>
          <w:rFonts w:ascii="Arial" w:cs="Arial" w:eastAsia="Arial" w:hAnsi="Arial"/>
          <w:sz w:val="13"/>
          <w:szCs w:val="13"/>
          <w:u w:val="single" w:color="auto"/>
          <w:color w:val="auto"/>
        </w:rPr>
        <w:t>Section 2.17(a)</w:t>
      </w:r>
      <w:r>
        <w:rPr>
          <w:rFonts w:ascii="Arial" w:cs="Arial" w:eastAsia="Arial" w:hAnsi="Arial"/>
          <w:sz w:val="13"/>
          <w:szCs w:val="13"/>
          <w:color w:val="auto"/>
        </w:rPr>
        <w:t>, for purposes of determining (i) whether the amount of any Borrowing or Letter of Credit under the Multicurrency Commitments, together with all other Borrowings and Letters of Credit under the Multicurrency Commitments then outstanding or to be borrowed at the same time as such Borrowing, would exceed the aggregate amount of the Multicurrency Commitments, (ii) the aggregate unutilized amount of the Multicurrency Commitments, (iii) the Revolving Credit Exposure, (iv) the Multicurrency LC Exposure, (v) the Covered Debt Amount and (vi) the Borrowing Base or the Value or the fair market value of any Portfolio Investment, the outstanding principal amount of any Borrowing or Letter of Credit that is denominated in any Foreign Currency or the Value or the fair market value of any Portfolio Investment that is denominated in any Foreign Currency shall be deemed to be the Dollar Equivalent of the amount of the Foreign Currency of such Borrowing, Letter of Credit or Portfolio Investment, as the case may be, determined as of the date of such Borrowing or Letter of Credit (determined in accordance with the last sentence of the definition of the term “Interest Period”) or the date of valuation of such Portfolio Investment, as the case may be. Wherever in this Agreement in connection with a Borrowing or Loan an amount, such as a required minimum or multiple amount, is expressed in Dollars, but such Borrowing or Loan is denominated in a Foreign Currency, such amount shall be the relevant Foreign Currency Equivalent of such Dollar amount (rounded to the nearest 1,000 units of such Foreign Currency). Without limiting the generality of the foregoing, for purposes of determining compliance with any basket in Sections 6.03(g) and 6.04(f), in no event shall the Borrower or any of its Subsidiaries be deemed to not be in compliance with any such basket solely as a result of a change in exchange rates.</w:t>
      </w:r>
    </w:p>
    <w:p>
      <w:pPr>
        <w:spacing w:after="0" w:line="186" w:lineRule="exact"/>
        <w:rPr>
          <w:rFonts w:ascii="Arial" w:cs="Arial" w:eastAsia="Arial" w:hAnsi="Arial"/>
          <w:sz w:val="13"/>
          <w:szCs w:val="13"/>
          <w:color w:val="auto"/>
        </w:rPr>
      </w:pPr>
    </w:p>
    <w:p>
      <w:pPr>
        <w:jc w:val="both"/>
        <w:ind w:right="20" w:firstLine="1735"/>
        <w:spacing w:after="0" w:line="226" w:lineRule="auto"/>
        <w:tabs>
          <w:tab w:leader="none" w:pos="2543" w:val="left"/>
        </w:tabs>
        <w:numPr>
          <w:ilvl w:val="0"/>
          <w:numId w:val="43"/>
        </w:numPr>
        <w:rPr>
          <w:rFonts w:ascii="Arial" w:cs="Arial" w:eastAsia="Arial" w:hAnsi="Arial"/>
          <w:sz w:val="14"/>
          <w:szCs w:val="14"/>
          <w:color w:val="auto"/>
        </w:rPr>
      </w:pPr>
      <w:r>
        <w:rPr>
          <w:rFonts w:ascii="Arial" w:cs="Arial" w:eastAsia="Arial" w:hAnsi="Arial"/>
          <w:sz w:val="14"/>
          <w:szCs w:val="14"/>
          <w:u w:val="single" w:color="auto"/>
          <w:color w:val="auto"/>
        </w:rPr>
        <w:t>Special Provisions Relating to Euro</w:t>
      </w:r>
      <w:r>
        <w:rPr>
          <w:rFonts w:ascii="Arial" w:cs="Arial" w:eastAsia="Arial" w:hAnsi="Arial"/>
          <w:sz w:val="14"/>
          <w:szCs w:val="14"/>
          <w:color w:val="auto"/>
        </w:rPr>
        <w:t xml:space="preserve">. Each obligation hereunder of any party hereto that is denominated in the National Currency of a state that is not a Participating Member State on the date hereof shall, effective from the date on which such state becomes a Participating Member State, be redenominated in Euro in accordance with the legislation of the European Union applicable to the European Monetary Union; </w:t>
      </w:r>
      <w:r>
        <w:rPr>
          <w:rFonts w:ascii="Arial" w:cs="Arial" w:eastAsia="Arial" w:hAnsi="Arial"/>
          <w:sz w:val="14"/>
          <w:szCs w:val="14"/>
          <w:u w:val="single" w:color="auto"/>
          <w:color w:val="auto"/>
        </w:rPr>
        <w:t>provided</w:t>
      </w:r>
      <w:r>
        <w:rPr>
          <w:rFonts w:ascii="Arial" w:cs="Arial" w:eastAsia="Arial" w:hAnsi="Arial"/>
          <w:sz w:val="14"/>
          <w:szCs w:val="14"/>
          <w:color w:val="auto"/>
        </w:rPr>
        <w:t xml:space="preserve"> that, if and to the extent that any such legislation provides that any such obligation of any such party payable within such Participating Member State by crediting an account of the creditor can be paid by the debtor either in Euros or such National Currency, such party shall be entitled to pay or repay such amount either in Euros or in such National Currency. If the basis of accrual of interest or fees expressed in this Agreement with respect to an Agreed Foreign Currency of any country that becomes a Participating Member State after the date on which such currency becomes an Agreed Foreign Currency shall be inconsistent with any convention or practice in the interbank market for the basis of accrual of interest or fees in respect of the Euro, such convention or practice shall replace such expressed basis effective as of and from the date on which such state becomes a Participating Member State; </w:t>
      </w:r>
      <w:r>
        <w:rPr>
          <w:rFonts w:ascii="Arial" w:cs="Arial" w:eastAsia="Arial" w:hAnsi="Arial"/>
          <w:sz w:val="14"/>
          <w:szCs w:val="14"/>
          <w:u w:val="single" w:color="auto"/>
          <w:color w:val="auto"/>
        </w:rPr>
        <w:t>provided</w:t>
      </w:r>
      <w:r>
        <w:rPr>
          <w:rFonts w:ascii="Arial" w:cs="Arial" w:eastAsia="Arial" w:hAnsi="Arial"/>
          <w:sz w:val="14"/>
          <w:szCs w:val="14"/>
          <w:color w:val="auto"/>
        </w:rPr>
        <w:t xml:space="preserve"> that, with respect to any Borrowing denominated in such currency that is outstanding immediately prior to such date, such replacement shall take effect at the end of the Interest Period therefor.</w:t>
      </w:r>
    </w:p>
    <w:p>
      <w:pPr>
        <w:spacing w:after="0" w:line="188" w:lineRule="exact"/>
        <w:rPr>
          <w:sz w:val="20"/>
          <w:szCs w:val="20"/>
          <w:color w:val="auto"/>
        </w:rPr>
      </w:pPr>
    </w:p>
    <w:p>
      <w:pPr>
        <w:jc w:val="both"/>
        <w:ind w:right="20" w:firstLine="864"/>
        <w:spacing w:after="0" w:line="231" w:lineRule="auto"/>
        <w:rPr>
          <w:sz w:val="20"/>
          <w:szCs w:val="20"/>
          <w:color w:val="auto"/>
        </w:rPr>
      </w:pPr>
      <w:r>
        <w:rPr>
          <w:rFonts w:ascii="Arial" w:cs="Arial" w:eastAsia="Arial" w:hAnsi="Arial"/>
          <w:sz w:val="14"/>
          <w:szCs w:val="14"/>
          <w:color w:val="auto"/>
        </w:rPr>
        <w:t xml:space="preserve">Without prejudice to the respective liabilities of the Borrower to the Lenders and the Lenders to the Borrower under or pursuant to this Agreement, each provision of this Agreement shall be subject to such reasonable changes of construction as the Administrative Agent may from time to time, in consultation with the Borrower, reasonably specify to be necessary or appropriate to reflect the introduction or changeover to the Euro in any country that becomes a Participating Member State after the date hereof; </w:t>
      </w:r>
      <w:r>
        <w:rPr>
          <w:rFonts w:ascii="Arial" w:cs="Arial" w:eastAsia="Arial" w:hAnsi="Arial"/>
          <w:sz w:val="14"/>
          <w:szCs w:val="14"/>
          <w:u w:val="single" w:color="auto"/>
          <w:color w:val="auto"/>
        </w:rPr>
        <w:t>provided</w:t>
      </w:r>
      <w:r>
        <w:rPr>
          <w:rFonts w:ascii="Arial" w:cs="Arial" w:eastAsia="Arial" w:hAnsi="Arial"/>
          <w:sz w:val="14"/>
          <w:szCs w:val="14"/>
          <w:color w:val="auto"/>
        </w:rPr>
        <w:t xml:space="preserve"> that the Administrative Agent shall provide the Borrower and the Lenders with prior notice of the proposed change with an explanation of such change in sufficient time to permit the Borrower and the Lenders an opportunity to respond to such proposed change.</w:t>
      </w:r>
    </w:p>
    <w:p>
      <w:pPr>
        <w:spacing w:after="0" w:line="184" w:lineRule="exact"/>
        <w:rPr>
          <w:sz w:val="20"/>
          <w:szCs w:val="20"/>
          <w:color w:val="auto"/>
        </w:rPr>
      </w:pPr>
    </w:p>
    <w:p>
      <w:pPr>
        <w:jc w:val="center"/>
        <w:ind w:right="20"/>
        <w:spacing w:after="0"/>
        <w:rPr>
          <w:sz w:val="20"/>
          <w:szCs w:val="20"/>
          <w:color w:val="auto"/>
        </w:rPr>
      </w:pPr>
      <w:r>
        <w:rPr>
          <w:rFonts w:ascii="Arial" w:cs="Arial" w:eastAsia="Arial" w:hAnsi="Arial"/>
          <w:sz w:val="14"/>
          <w:szCs w:val="14"/>
          <w:color w:val="auto"/>
        </w:rPr>
        <w:t>ARTICLE II</w:t>
      </w:r>
    </w:p>
    <w:p>
      <w:pPr>
        <w:spacing w:after="0" w:line="136" w:lineRule="exact"/>
        <w:rPr>
          <w:sz w:val="20"/>
          <w:szCs w:val="20"/>
          <w:color w:val="auto"/>
        </w:rPr>
      </w:pPr>
    </w:p>
    <w:p>
      <w:pPr>
        <w:jc w:val="center"/>
        <w:ind w:right="20"/>
        <w:spacing w:after="0"/>
        <w:rPr>
          <w:sz w:val="20"/>
          <w:szCs w:val="20"/>
          <w:color w:val="auto"/>
        </w:rPr>
      </w:pPr>
      <w:r>
        <w:rPr>
          <w:rFonts w:ascii="Arial" w:cs="Arial" w:eastAsia="Arial" w:hAnsi="Arial"/>
          <w:sz w:val="14"/>
          <w:szCs w:val="14"/>
          <w:u w:val="single" w:color="auto"/>
          <w:color w:val="auto"/>
        </w:rPr>
        <w:t>THE CREDITS</w:t>
      </w:r>
    </w:p>
    <w:p>
      <w:pPr>
        <w:spacing w:after="0" w:line="204" w:lineRule="exact"/>
        <w:rPr>
          <w:sz w:val="20"/>
          <w:szCs w:val="20"/>
          <w:color w:val="auto"/>
        </w:rPr>
      </w:pPr>
    </w:p>
    <w:p>
      <w:pPr>
        <w:ind w:left="1740"/>
        <w:spacing w:after="0"/>
        <w:rPr>
          <w:sz w:val="20"/>
          <w:szCs w:val="20"/>
          <w:color w:val="auto"/>
        </w:rPr>
      </w:pPr>
      <w:r>
        <w:rPr>
          <w:rFonts w:ascii="Arial" w:cs="Arial" w:eastAsia="Arial" w:hAnsi="Arial"/>
          <w:sz w:val="14"/>
          <w:szCs w:val="14"/>
          <w:color w:val="auto"/>
        </w:rPr>
        <w:t xml:space="preserve">SECTION 2.01. </w:t>
      </w:r>
      <w:r>
        <w:rPr>
          <w:rFonts w:ascii="Arial" w:cs="Arial" w:eastAsia="Arial" w:hAnsi="Arial"/>
          <w:sz w:val="14"/>
          <w:szCs w:val="14"/>
          <w:u w:val="single" w:color="auto"/>
          <w:color w:val="auto"/>
        </w:rPr>
        <w:t>The Commitments</w:t>
      </w:r>
      <w:r>
        <w:rPr>
          <w:rFonts w:ascii="Arial" w:cs="Arial" w:eastAsia="Arial" w:hAnsi="Arial"/>
          <w:sz w:val="14"/>
          <w:szCs w:val="14"/>
          <w:color w:val="auto"/>
        </w:rPr>
        <w:t>. Subject to the terms and conditions set forth herein:</w:t>
      </w:r>
    </w:p>
    <w:p>
      <w:pPr>
        <w:spacing w:after="0" w:line="204" w:lineRule="exact"/>
        <w:rPr>
          <w:sz w:val="20"/>
          <w:szCs w:val="20"/>
          <w:color w:val="auto"/>
        </w:rPr>
      </w:pPr>
    </w:p>
    <w:p>
      <w:pPr>
        <w:jc w:val="both"/>
        <w:ind w:right="20" w:firstLine="1735"/>
        <w:spacing w:after="0" w:line="264" w:lineRule="auto"/>
        <w:tabs>
          <w:tab w:leader="none" w:pos="2535" w:val="left"/>
        </w:tabs>
        <w:numPr>
          <w:ilvl w:val="0"/>
          <w:numId w:val="44"/>
        </w:numPr>
        <w:rPr>
          <w:rFonts w:ascii="Arial" w:cs="Arial" w:eastAsia="Arial" w:hAnsi="Arial"/>
          <w:sz w:val="13"/>
          <w:szCs w:val="13"/>
          <w:color w:val="auto"/>
        </w:rPr>
      </w:pPr>
      <w:r>
        <w:rPr>
          <w:rFonts w:ascii="Arial" w:cs="Arial" w:eastAsia="Arial" w:hAnsi="Arial"/>
          <w:sz w:val="13"/>
          <w:szCs w:val="13"/>
          <w:color w:val="auto"/>
        </w:rPr>
        <w:t>each Dollar Lender severally agrees to make Syndicated Loans in Dollars to the Borrower from time to time during the Availability Period in an aggregate principal amount that will not result in (i) such Lender’s Revolving Dollar Credit Exposure exceeding such Lender’s Dollar Commitment, (ii) the aggregate Revolving Dollar Credit Exposure of all of the Dollar Lenders exceeding the aggregate Dollar Commitments or (iii) the total Covered Debt Amount exceeding the Borrowing Base then in effect; and</w:t>
      </w:r>
    </w:p>
    <w:p>
      <w:pPr>
        <w:spacing w:after="0" w:line="200" w:lineRule="exact"/>
        <w:rPr>
          <w:sz w:val="20"/>
          <w:szCs w:val="20"/>
          <w:color w:val="auto"/>
        </w:rPr>
      </w:pPr>
    </w:p>
    <w:p>
      <w:pPr>
        <w:spacing w:after="0" w:line="38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7580" w:type="dxa"/>
            <w:vAlign w:val="bottom"/>
          </w:tcPr>
          <w:p>
            <w:pPr>
              <w:jc w:val="right"/>
              <w:ind w:right="1808"/>
              <w:spacing w:after="0"/>
              <w:rPr>
                <w:sz w:val="20"/>
                <w:szCs w:val="20"/>
                <w:color w:val="auto"/>
              </w:rPr>
            </w:pPr>
            <w:r>
              <w:rPr>
                <w:rFonts w:ascii="Arial" w:cs="Arial" w:eastAsia="Arial" w:hAnsi="Arial"/>
                <w:sz w:val="14"/>
                <w:szCs w:val="14"/>
                <w:color w:val="auto"/>
              </w:rPr>
              <w:t>20</w:t>
            </w:r>
          </w:p>
        </w:tc>
        <w:tc>
          <w:tcPr>
            <w:tcW w:w="3680" w:type="dxa"/>
            <w:vAlign w:val="bottom"/>
          </w:tcPr>
          <w:p>
            <w:pPr>
              <w:jc w:val="right"/>
              <w:spacing w:after="0"/>
              <w:rPr>
                <w:sz w:val="20"/>
                <w:szCs w:val="20"/>
                <w:color w:val="auto"/>
              </w:rPr>
            </w:pPr>
            <w:r>
              <w:rPr>
                <w:rFonts w:ascii="Arial" w:cs="Arial" w:eastAsia="Arial" w:hAnsi="Arial"/>
                <w:sz w:val="14"/>
                <w:szCs w:val="14"/>
                <w:i w:val="1"/>
                <w:iCs w:val="1"/>
                <w:color w:val="auto"/>
              </w:rPr>
              <w:t>Second Amended and Restated</w:t>
            </w:r>
          </w:p>
        </w:tc>
      </w:tr>
      <w:tr>
        <w:trPr>
          <w:trHeight w:val="182"/>
        </w:trPr>
        <w:tc>
          <w:tcPr>
            <w:tcW w:w="7580" w:type="dxa"/>
            <w:vAlign w:val="bottom"/>
          </w:tcPr>
          <w:p>
            <w:pPr>
              <w:spacing w:after="0"/>
              <w:rPr>
                <w:sz w:val="15"/>
                <w:szCs w:val="15"/>
                <w:color w:val="auto"/>
              </w:rPr>
            </w:pPr>
          </w:p>
        </w:tc>
        <w:tc>
          <w:tcPr>
            <w:tcW w:w="3680" w:type="dxa"/>
            <w:vAlign w:val="bottom"/>
          </w:tcPr>
          <w:p>
            <w:pPr>
              <w:jc w:val="right"/>
              <w:spacing w:after="0"/>
              <w:rPr>
                <w:sz w:val="20"/>
                <w:szCs w:val="20"/>
                <w:color w:val="auto"/>
              </w:rPr>
            </w:pPr>
            <w:r>
              <w:rPr>
                <w:rFonts w:ascii="Arial" w:cs="Arial" w:eastAsia="Arial" w:hAnsi="Arial"/>
                <w:sz w:val="14"/>
                <w:szCs w:val="14"/>
                <w:i w:val="1"/>
                <w:iCs w:val="1"/>
                <w:color w:val="auto"/>
              </w:rPr>
              <w:t>Revolving Credit Agreement</w:t>
            </w:r>
          </w:p>
        </w:tc>
      </w:tr>
      <w:tr>
        <w:trPr>
          <w:trHeight w:val="316"/>
        </w:trPr>
        <w:tc>
          <w:tcPr>
            <w:tcW w:w="7580" w:type="dxa"/>
            <w:vAlign w:val="bottom"/>
            <w:tcBorders>
              <w:bottom w:val="single" w:sz="8" w:color="9A9A9A"/>
            </w:tcBorders>
          </w:tcPr>
          <w:p>
            <w:pPr>
              <w:spacing w:after="0"/>
              <w:rPr>
                <w:sz w:val="24"/>
                <w:szCs w:val="24"/>
                <w:color w:val="auto"/>
              </w:rPr>
            </w:pPr>
          </w:p>
        </w:tc>
        <w:tc>
          <w:tcPr>
            <w:tcW w:w="368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7145655</wp:posOffset>
            </wp:positionH>
            <wp:positionV relativeFrom="paragraph">
              <wp:posOffset>-7620</wp:posOffset>
            </wp:positionV>
            <wp:extent cx="8255" cy="8255"/>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52">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-16510</wp:posOffset>
            </wp:positionV>
            <wp:extent cx="8890" cy="17145"/>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153">
                      <a:extLst>
                        <a:ext uri="{28A0092B-C50C-407E-A947-70E740481C1C}"/>
                      </a:extLst>
                    </a:blip>
                    <a:srcRect/>
                    <a:stretch>
                      <a:fillRect/>
                    </a:stretch>
                  </pic:blipFill>
                  <pic:spPr bwMode="auto">
                    <a:xfrm>
                      <a:off x="0" y="0"/>
                      <a:ext cx="8890" cy="17145"/>
                    </a:xfrm>
                    <a:prstGeom prst="rect">
                      <a:avLst/>
                    </a:prstGeom>
                    <a:noFill/>
                  </pic:spPr>
                </pic:pic>
              </a:graphicData>
            </a:graphic>
          </wp:anchor>
        </w:drawing>
      </w:r>
    </w:p>
    <w:p>
      <w:pPr>
        <w:sectPr>
          <w:pgSz w:w="11900" w:h="16838" w:orient="portrait"/>
          <w:cols w:equalWidth="0" w:num="1">
            <w:col w:w="11260"/>
          </w:cols>
          <w:pgMar w:left="320" w:top="337" w:right="319" w:bottom="1440" w:gutter="0" w:footer="0" w:header="0"/>
        </w:sectPr>
      </w:pPr>
    </w:p>
    <w:bookmarkStart w:id="83" w:name="page84"/>
    <w:bookmarkEnd w:id="83"/>
    <w:p>
      <w:pPr>
        <w:jc w:val="both"/>
        <w:ind w:right="20" w:firstLine="1735"/>
        <w:spacing w:after="0" w:line="233" w:lineRule="auto"/>
        <w:tabs>
          <w:tab w:leader="none" w:pos="2543" w:val="left"/>
        </w:tabs>
        <w:numPr>
          <w:ilvl w:val="0"/>
          <w:numId w:val="45"/>
        </w:numPr>
        <w:rPr>
          <w:rFonts w:ascii="Arial" w:cs="Arial" w:eastAsia="Arial" w:hAnsi="Arial"/>
          <w:sz w:val="14"/>
          <w:szCs w:val="14"/>
          <w:color w:val="auto"/>
        </w:rPr>
      </w:pPr>
      <w:r>
        <w:rPr>
          <w:rFonts w:ascii="Arial" w:cs="Arial" w:eastAsia="Arial" w:hAnsi="Arial"/>
          <w:sz w:val="14"/>
          <w:szCs w:val="14"/>
          <w:color w:val="auto"/>
        </w:rPr>
        <w:t>each Multicurrency Lender severally agrees to make Syndicated Loans in Dollars and in Agreed Foreign Currencies to the Borrower from time to time during the Availability Period in an aggregate principal amount that will not result in (i) such Lender’s Revolving Multicurrency Credit Exposure exceeding such Lender’s Multicurrency Commitment, (ii) the aggregate Revolving Multicurrency Credit Exposure of all of the Multicurrency Lenders exceeding the aggregate Multicurrency Commitments or (iii) the total Covered Debt Amount exceeding the Borrowing Base then in effect.</w:t>
      </w:r>
    </w:p>
    <w:p>
      <w:pPr>
        <w:spacing w:after="0" w:line="185" w:lineRule="exact"/>
        <w:rPr>
          <w:sz w:val="20"/>
          <w:szCs w:val="20"/>
          <w:color w:val="auto"/>
        </w:rPr>
      </w:pPr>
    </w:p>
    <w:p>
      <w:pPr>
        <w:ind w:left="1740"/>
        <w:spacing w:after="0"/>
        <w:rPr>
          <w:sz w:val="20"/>
          <w:szCs w:val="20"/>
          <w:color w:val="auto"/>
        </w:rPr>
      </w:pPr>
      <w:r>
        <w:rPr>
          <w:rFonts w:ascii="Arial" w:cs="Arial" w:eastAsia="Arial" w:hAnsi="Arial"/>
          <w:sz w:val="14"/>
          <w:szCs w:val="14"/>
          <w:color w:val="auto"/>
        </w:rPr>
        <w:t>Within the foregoing limits and subject to the terms and conditions set forth herein, the Borrower may borrow, prepay and reborrow Syndicated Loans.</w:t>
      </w:r>
    </w:p>
    <w:p>
      <w:pPr>
        <w:spacing w:after="0" w:line="204" w:lineRule="exact"/>
        <w:rPr>
          <w:sz w:val="20"/>
          <w:szCs w:val="20"/>
          <w:color w:val="auto"/>
        </w:rPr>
      </w:pPr>
    </w:p>
    <w:p>
      <w:pPr>
        <w:ind w:left="1740"/>
        <w:spacing w:after="0"/>
        <w:rPr>
          <w:sz w:val="20"/>
          <w:szCs w:val="20"/>
          <w:color w:val="auto"/>
        </w:rPr>
      </w:pPr>
      <w:r>
        <w:rPr>
          <w:rFonts w:ascii="Arial" w:cs="Arial" w:eastAsia="Arial" w:hAnsi="Arial"/>
          <w:sz w:val="14"/>
          <w:szCs w:val="14"/>
          <w:color w:val="auto"/>
        </w:rPr>
        <w:t xml:space="preserve">SECTION 2.02. </w:t>
      </w:r>
      <w:r>
        <w:rPr>
          <w:rFonts w:ascii="Arial" w:cs="Arial" w:eastAsia="Arial" w:hAnsi="Arial"/>
          <w:sz w:val="14"/>
          <w:szCs w:val="14"/>
          <w:u w:val="single" w:color="auto"/>
          <w:color w:val="auto"/>
        </w:rPr>
        <w:t>Loans and Borrowings</w:t>
      </w:r>
      <w:r>
        <w:rPr>
          <w:rFonts w:ascii="Arial" w:cs="Arial" w:eastAsia="Arial" w:hAnsi="Arial"/>
          <w:sz w:val="14"/>
          <w:szCs w:val="14"/>
          <w:color w:val="auto"/>
        </w:rPr>
        <w:t>.</w:t>
      </w:r>
    </w:p>
    <w:p>
      <w:pPr>
        <w:spacing w:after="0" w:line="204" w:lineRule="exact"/>
        <w:rPr>
          <w:sz w:val="20"/>
          <w:szCs w:val="20"/>
          <w:color w:val="auto"/>
        </w:rPr>
      </w:pPr>
    </w:p>
    <w:p>
      <w:pPr>
        <w:jc w:val="both"/>
        <w:ind w:right="20" w:firstLine="1735"/>
        <w:spacing w:after="0" w:line="233" w:lineRule="auto"/>
        <w:tabs>
          <w:tab w:leader="none" w:pos="2535" w:val="left"/>
        </w:tabs>
        <w:numPr>
          <w:ilvl w:val="0"/>
          <w:numId w:val="46"/>
        </w:numPr>
        <w:rPr>
          <w:rFonts w:ascii="Arial" w:cs="Arial" w:eastAsia="Arial" w:hAnsi="Arial"/>
          <w:sz w:val="14"/>
          <w:szCs w:val="14"/>
          <w:color w:val="auto"/>
        </w:rPr>
      </w:pPr>
      <w:r>
        <w:rPr>
          <w:rFonts w:ascii="Arial" w:cs="Arial" w:eastAsia="Arial" w:hAnsi="Arial"/>
          <w:sz w:val="14"/>
          <w:szCs w:val="14"/>
          <w:u w:val="single" w:color="auto"/>
          <w:color w:val="auto"/>
        </w:rPr>
        <w:t>Obligations of Lenders</w:t>
      </w:r>
      <w:r>
        <w:rPr>
          <w:rFonts w:ascii="Arial" w:cs="Arial" w:eastAsia="Arial" w:hAnsi="Arial"/>
          <w:sz w:val="14"/>
          <w:szCs w:val="14"/>
          <w:color w:val="auto"/>
        </w:rPr>
        <w:t xml:space="preserve">. Each Syndicated Loan shall be made as part of a Borrowing consisting of Loans of the same Class, Currency and Type made by the applicable Lenders ratably in accordance with their respective Commitments of the applicable Class. The failure of any Lender to make any Loan required to be made by it shall not relieve any other Lender of its obligations hereunder; </w:t>
      </w:r>
      <w:r>
        <w:rPr>
          <w:rFonts w:ascii="Arial" w:cs="Arial" w:eastAsia="Arial" w:hAnsi="Arial"/>
          <w:sz w:val="14"/>
          <w:szCs w:val="14"/>
          <w:u w:val="single" w:color="auto"/>
          <w:color w:val="auto"/>
        </w:rPr>
        <w:t>provided</w:t>
      </w:r>
      <w:r>
        <w:rPr>
          <w:rFonts w:ascii="Arial" w:cs="Arial" w:eastAsia="Arial" w:hAnsi="Arial"/>
          <w:sz w:val="14"/>
          <w:szCs w:val="14"/>
          <w:color w:val="auto"/>
        </w:rPr>
        <w:t xml:space="preserve"> that the Commitments of the Lenders are several and no Lender shall be responsible for any other Lender’s failure to make Loans as required.</w:t>
      </w:r>
    </w:p>
    <w:p>
      <w:pPr>
        <w:spacing w:after="0" w:line="184" w:lineRule="exact"/>
        <w:rPr>
          <w:rFonts w:ascii="Arial" w:cs="Arial" w:eastAsia="Arial" w:hAnsi="Arial"/>
          <w:sz w:val="14"/>
          <w:szCs w:val="14"/>
          <w:color w:val="auto"/>
        </w:rPr>
      </w:pPr>
    </w:p>
    <w:p>
      <w:pPr>
        <w:jc w:val="both"/>
        <w:ind w:right="20" w:firstLine="1735"/>
        <w:spacing w:after="0" w:line="233" w:lineRule="auto"/>
        <w:tabs>
          <w:tab w:leader="none" w:pos="2543" w:val="left"/>
        </w:tabs>
        <w:numPr>
          <w:ilvl w:val="0"/>
          <w:numId w:val="46"/>
        </w:numPr>
        <w:rPr>
          <w:rFonts w:ascii="Arial" w:cs="Arial" w:eastAsia="Arial" w:hAnsi="Arial"/>
          <w:sz w:val="14"/>
          <w:szCs w:val="14"/>
          <w:color w:val="auto"/>
        </w:rPr>
      </w:pPr>
      <w:r>
        <w:rPr>
          <w:rFonts w:ascii="Arial" w:cs="Arial" w:eastAsia="Arial" w:hAnsi="Arial"/>
          <w:sz w:val="14"/>
          <w:szCs w:val="14"/>
          <w:u w:val="single" w:color="auto"/>
          <w:color w:val="auto"/>
        </w:rPr>
        <w:t>Type of Loans</w:t>
      </w:r>
      <w:r>
        <w:rPr>
          <w:rFonts w:ascii="Arial" w:cs="Arial" w:eastAsia="Arial" w:hAnsi="Arial"/>
          <w:sz w:val="14"/>
          <w:szCs w:val="14"/>
          <w:color w:val="auto"/>
        </w:rPr>
        <w:t xml:space="preserve">. Subject to </w:t>
      </w:r>
      <w:r>
        <w:rPr>
          <w:rFonts w:ascii="Arial" w:cs="Arial" w:eastAsia="Arial" w:hAnsi="Arial"/>
          <w:sz w:val="14"/>
          <w:szCs w:val="14"/>
          <w:u w:val="single" w:color="auto"/>
          <w:color w:val="auto"/>
        </w:rPr>
        <w:t>Section 2.13</w:t>
      </w:r>
      <w:r>
        <w:rPr>
          <w:rFonts w:ascii="Arial" w:cs="Arial" w:eastAsia="Arial" w:hAnsi="Arial"/>
          <w:sz w:val="14"/>
          <w:szCs w:val="14"/>
          <w:color w:val="auto"/>
        </w:rPr>
        <w:t xml:space="preserve">, each Syndicated Borrowing of a Class shall be constituted entirely of ABR Loans or of Eurocurrency Loans of such Class denominated in a single Currency as the Borrower may request in accordance herewith. Each ABR Loan shall be denominated in Dollars. Each Lender at its option may make any Eurocurrency Loan by causing any domestic or foreign branch or Affiliate of such Lender to make such Loan; </w:t>
      </w:r>
      <w:r>
        <w:rPr>
          <w:rFonts w:ascii="Arial" w:cs="Arial" w:eastAsia="Arial" w:hAnsi="Arial"/>
          <w:sz w:val="14"/>
          <w:szCs w:val="14"/>
          <w:u w:val="single" w:color="auto"/>
          <w:color w:val="auto"/>
        </w:rPr>
        <w:t>provided</w:t>
      </w:r>
      <w:r>
        <w:rPr>
          <w:rFonts w:ascii="Arial" w:cs="Arial" w:eastAsia="Arial" w:hAnsi="Arial"/>
          <w:sz w:val="14"/>
          <w:szCs w:val="14"/>
          <w:color w:val="auto"/>
        </w:rPr>
        <w:t xml:space="preserve"> that any exercise of such option shall not affect the obligation of the Borrower to repay such Loan in accordance with the terms of this Agreement.</w:t>
      </w:r>
    </w:p>
    <w:p>
      <w:pPr>
        <w:spacing w:after="0" w:line="184" w:lineRule="exact"/>
        <w:rPr>
          <w:rFonts w:ascii="Arial" w:cs="Arial" w:eastAsia="Arial" w:hAnsi="Arial"/>
          <w:sz w:val="14"/>
          <w:szCs w:val="14"/>
          <w:color w:val="auto"/>
        </w:rPr>
      </w:pPr>
    </w:p>
    <w:p>
      <w:pPr>
        <w:jc w:val="both"/>
        <w:ind w:right="20" w:firstLine="1735"/>
        <w:spacing w:after="0" w:line="233" w:lineRule="auto"/>
        <w:tabs>
          <w:tab w:leader="none" w:pos="2535" w:val="left"/>
        </w:tabs>
        <w:numPr>
          <w:ilvl w:val="0"/>
          <w:numId w:val="46"/>
        </w:numPr>
        <w:rPr>
          <w:rFonts w:ascii="Arial" w:cs="Arial" w:eastAsia="Arial" w:hAnsi="Arial"/>
          <w:sz w:val="14"/>
          <w:szCs w:val="14"/>
          <w:color w:val="auto"/>
        </w:rPr>
      </w:pPr>
      <w:r>
        <w:rPr>
          <w:rFonts w:ascii="Arial" w:cs="Arial" w:eastAsia="Arial" w:hAnsi="Arial"/>
          <w:sz w:val="14"/>
          <w:szCs w:val="14"/>
          <w:u w:val="single" w:color="auto"/>
          <w:color w:val="auto"/>
        </w:rPr>
        <w:t>Minimum Amounts</w:t>
      </w:r>
      <w:r>
        <w:rPr>
          <w:rFonts w:ascii="Arial" w:cs="Arial" w:eastAsia="Arial" w:hAnsi="Arial"/>
          <w:sz w:val="14"/>
          <w:szCs w:val="14"/>
          <w:color w:val="auto"/>
        </w:rPr>
        <w:t xml:space="preserve">. Each Eurocurrency Borrowing shall be in an aggregate amount of $1,000,000 or a larger multiple of $1,000,000, and each ABR Borrowing (whether Syndicated or Swingline) shall be in an aggregate amount of $1,000,000 or a larger multiple of $100,000; </w:t>
      </w:r>
      <w:r>
        <w:rPr>
          <w:rFonts w:ascii="Arial" w:cs="Arial" w:eastAsia="Arial" w:hAnsi="Arial"/>
          <w:sz w:val="14"/>
          <w:szCs w:val="14"/>
          <w:u w:val="single" w:color="auto"/>
          <w:color w:val="auto"/>
        </w:rPr>
        <w:t>provided</w:t>
      </w:r>
      <w:r>
        <w:rPr>
          <w:rFonts w:ascii="Arial" w:cs="Arial" w:eastAsia="Arial" w:hAnsi="Arial"/>
          <w:sz w:val="14"/>
          <w:szCs w:val="14"/>
          <w:color w:val="auto"/>
        </w:rPr>
        <w:t xml:space="preserve"> that a Syndicated ABR Borrowing of a Class may be in an aggregate amount that is equal to the entire unused balance of the total Commitments of such Class or that is required to finance the reimbursement of an LC Disbursement of such Class as contemplated by </w:t>
      </w:r>
      <w:r>
        <w:rPr>
          <w:rFonts w:ascii="Arial" w:cs="Arial" w:eastAsia="Arial" w:hAnsi="Arial"/>
          <w:sz w:val="14"/>
          <w:szCs w:val="14"/>
          <w:u w:val="single" w:color="auto"/>
          <w:color w:val="auto"/>
        </w:rPr>
        <w:t>Section 2.05(f)</w:t>
      </w:r>
      <w:r>
        <w:rPr>
          <w:rFonts w:ascii="Arial" w:cs="Arial" w:eastAsia="Arial" w:hAnsi="Arial"/>
          <w:sz w:val="14"/>
          <w:szCs w:val="14"/>
          <w:color w:val="auto"/>
        </w:rPr>
        <w:t>. Borrowings of more than one Class, Currency and Type may be outstanding at the same time.</w:t>
      </w:r>
    </w:p>
    <w:p>
      <w:pPr>
        <w:spacing w:after="0" w:line="184" w:lineRule="exact"/>
        <w:rPr>
          <w:rFonts w:ascii="Arial" w:cs="Arial" w:eastAsia="Arial" w:hAnsi="Arial"/>
          <w:sz w:val="14"/>
          <w:szCs w:val="14"/>
          <w:color w:val="auto"/>
        </w:rPr>
      </w:pPr>
    </w:p>
    <w:p>
      <w:pPr>
        <w:ind w:right="20" w:firstLine="1735"/>
        <w:spacing w:after="0" w:line="253" w:lineRule="auto"/>
        <w:tabs>
          <w:tab w:leader="none" w:pos="2543" w:val="left"/>
        </w:tabs>
        <w:numPr>
          <w:ilvl w:val="0"/>
          <w:numId w:val="46"/>
        </w:numPr>
        <w:rPr>
          <w:rFonts w:ascii="Arial" w:cs="Arial" w:eastAsia="Arial" w:hAnsi="Arial"/>
          <w:sz w:val="14"/>
          <w:szCs w:val="14"/>
          <w:color w:val="auto"/>
        </w:rPr>
      </w:pPr>
      <w:r>
        <w:rPr>
          <w:rFonts w:ascii="Arial" w:cs="Arial" w:eastAsia="Arial" w:hAnsi="Arial"/>
          <w:sz w:val="14"/>
          <w:szCs w:val="14"/>
          <w:u w:val="single" w:color="auto"/>
          <w:color w:val="auto"/>
        </w:rPr>
        <w:t>Limitations on Interest Periods</w:t>
      </w:r>
      <w:r>
        <w:rPr>
          <w:rFonts w:ascii="Arial" w:cs="Arial" w:eastAsia="Arial" w:hAnsi="Arial"/>
          <w:sz w:val="14"/>
          <w:szCs w:val="14"/>
          <w:color w:val="auto"/>
        </w:rPr>
        <w:t>. Notwithstanding any other provision of this Agreement, the Borrower shall not be entitled to request (or to elect to convert to or continue as a Eurocurrency Borrowing) any Borrowing if the Interest Period requested therefor would end after the Final Maturity Date.</w:t>
      </w:r>
    </w:p>
    <w:p>
      <w:pPr>
        <w:spacing w:after="0" w:line="173" w:lineRule="exact"/>
        <w:rPr>
          <w:rFonts w:ascii="Arial" w:cs="Arial" w:eastAsia="Arial" w:hAnsi="Arial"/>
          <w:sz w:val="14"/>
          <w:szCs w:val="14"/>
          <w:color w:val="auto"/>
        </w:rPr>
      </w:pPr>
    </w:p>
    <w:p>
      <w:pPr>
        <w:jc w:val="both"/>
        <w:ind w:right="20" w:firstLine="1735"/>
        <w:spacing w:after="0" w:line="233" w:lineRule="auto"/>
        <w:tabs>
          <w:tab w:leader="none" w:pos="2535" w:val="left"/>
        </w:tabs>
        <w:numPr>
          <w:ilvl w:val="0"/>
          <w:numId w:val="46"/>
        </w:numPr>
        <w:rPr>
          <w:rFonts w:ascii="Arial" w:cs="Arial" w:eastAsia="Arial" w:hAnsi="Arial"/>
          <w:sz w:val="14"/>
          <w:szCs w:val="14"/>
          <w:color w:val="auto"/>
        </w:rPr>
      </w:pPr>
      <w:r>
        <w:rPr>
          <w:rFonts w:ascii="Arial" w:cs="Arial" w:eastAsia="Arial" w:hAnsi="Arial"/>
          <w:sz w:val="14"/>
          <w:szCs w:val="14"/>
          <w:u w:val="single" w:color="auto"/>
          <w:color w:val="auto"/>
        </w:rPr>
        <w:t>Treatment of Classes</w:t>
      </w:r>
      <w:r>
        <w:rPr>
          <w:rFonts w:ascii="Arial" w:cs="Arial" w:eastAsia="Arial" w:hAnsi="Arial"/>
          <w:sz w:val="14"/>
          <w:szCs w:val="14"/>
          <w:color w:val="auto"/>
        </w:rPr>
        <w:t>. Notwithstanding anything to the contrary contained herein, with respect to each Syndicated Loan, Swingline Loan or Letter of Credit designated in Dollars, the Administrative Agent shall deem the Borrower to have requested that such Syndicated Loan, Swingline Loan or Letter of Credit be applied ratably to each of the Dollar Commitments and the Multicurrency Commitments, based upon the percentage of the aggregate Commitments represented by the Dollar Commitments and the Multicurrency Commitments, respectively.</w:t>
      </w:r>
    </w:p>
    <w:p>
      <w:pPr>
        <w:spacing w:after="0" w:line="185" w:lineRule="exact"/>
        <w:rPr>
          <w:sz w:val="20"/>
          <w:szCs w:val="20"/>
          <w:color w:val="auto"/>
        </w:rPr>
      </w:pPr>
    </w:p>
    <w:p>
      <w:pPr>
        <w:ind w:left="1740"/>
        <w:spacing w:after="0"/>
        <w:rPr>
          <w:sz w:val="20"/>
          <w:szCs w:val="20"/>
          <w:color w:val="auto"/>
        </w:rPr>
      </w:pPr>
      <w:r>
        <w:rPr>
          <w:rFonts w:ascii="Arial" w:cs="Arial" w:eastAsia="Arial" w:hAnsi="Arial"/>
          <w:sz w:val="14"/>
          <w:szCs w:val="14"/>
          <w:color w:val="auto"/>
        </w:rPr>
        <w:t xml:space="preserve">SECTION 2.03. </w:t>
      </w:r>
      <w:r>
        <w:rPr>
          <w:rFonts w:ascii="Arial" w:cs="Arial" w:eastAsia="Arial" w:hAnsi="Arial"/>
          <w:sz w:val="14"/>
          <w:szCs w:val="14"/>
          <w:u w:val="single" w:color="auto"/>
          <w:color w:val="auto"/>
        </w:rPr>
        <w:t>Requests for Syndicated Borrowings</w:t>
      </w:r>
      <w:r>
        <w:rPr>
          <w:rFonts w:ascii="Arial" w:cs="Arial" w:eastAsia="Arial" w:hAnsi="Arial"/>
          <w:sz w:val="14"/>
          <w:szCs w:val="14"/>
          <w:color w:val="auto"/>
        </w:rPr>
        <w:t>.</w:t>
      </w:r>
    </w:p>
    <w:p>
      <w:pPr>
        <w:spacing w:after="0" w:line="204" w:lineRule="exact"/>
        <w:rPr>
          <w:sz w:val="20"/>
          <w:szCs w:val="20"/>
          <w:color w:val="auto"/>
        </w:rPr>
      </w:pPr>
    </w:p>
    <w:p>
      <w:pPr>
        <w:jc w:val="both"/>
        <w:ind w:right="20" w:firstLine="1735"/>
        <w:spacing w:after="0" w:line="229" w:lineRule="auto"/>
        <w:tabs>
          <w:tab w:leader="none" w:pos="2535" w:val="left"/>
        </w:tabs>
        <w:numPr>
          <w:ilvl w:val="1"/>
          <w:numId w:val="47"/>
        </w:numPr>
        <w:rPr>
          <w:rFonts w:ascii="Arial" w:cs="Arial" w:eastAsia="Arial" w:hAnsi="Arial"/>
          <w:sz w:val="14"/>
          <w:szCs w:val="14"/>
          <w:color w:val="auto"/>
        </w:rPr>
      </w:pPr>
      <w:r>
        <w:rPr>
          <w:rFonts w:ascii="Arial" w:cs="Arial" w:eastAsia="Arial" w:hAnsi="Arial"/>
          <w:sz w:val="14"/>
          <w:szCs w:val="14"/>
          <w:u w:val="single" w:color="auto"/>
          <w:color w:val="auto"/>
        </w:rPr>
        <w:t>Notice by the Borrower</w:t>
      </w:r>
      <w:r>
        <w:rPr>
          <w:rFonts w:ascii="Arial" w:cs="Arial" w:eastAsia="Arial" w:hAnsi="Arial"/>
          <w:sz w:val="14"/>
          <w:szCs w:val="14"/>
          <w:color w:val="auto"/>
        </w:rPr>
        <w:t>. To request a Syndicated Borrowing, the Borrower shall notify the Administrative Agent of such request by telephone (i) in the case of a Eurocurrency Borrowing denominated in Dollars, not later than 11:00 a.m., Atlanta, Georgia time, two Business Days before the date of the proposed Borrowing, (ii) in the case of a Eurocurrency Borrowing denominated in a Foreign Currency, not later than 11:00 a.m., Atlanta, Georgia time, four Business Days before the date of the proposed Borrowing or (iii) in the case of a Syndicated ABR Borrowing, not later than 11:00 a.m., Atlanta, Georgia time, one Business Day before the date of the proposed Borrowing. Each such telephonic Borrowing Request shall be irrevocable and shall be confirmed promptly by hand delivery or telecopy to the Administrative Agent of a written Borrowing Request in a form approved by the Administrative Agent and signed by the Borrower.</w:t>
      </w:r>
    </w:p>
    <w:p>
      <w:pPr>
        <w:spacing w:after="0" w:line="184" w:lineRule="exact"/>
        <w:rPr>
          <w:rFonts w:ascii="Arial" w:cs="Arial" w:eastAsia="Arial" w:hAnsi="Arial"/>
          <w:sz w:val="14"/>
          <w:szCs w:val="14"/>
          <w:color w:val="auto"/>
        </w:rPr>
      </w:pPr>
    </w:p>
    <w:p>
      <w:pPr>
        <w:ind w:left="2560" w:hanging="825"/>
        <w:spacing w:after="0"/>
        <w:tabs>
          <w:tab w:leader="none" w:pos="2560" w:val="left"/>
        </w:tabs>
        <w:numPr>
          <w:ilvl w:val="1"/>
          <w:numId w:val="47"/>
        </w:numPr>
        <w:rPr>
          <w:rFonts w:ascii="Arial" w:cs="Arial" w:eastAsia="Arial" w:hAnsi="Arial"/>
          <w:sz w:val="14"/>
          <w:szCs w:val="14"/>
          <w:color w:val="auto"/>
        </w:rPr>
      </w:pPr>
      <w:r>
        <w:rPr>
          <w:rFonts w:ascii="Arial" w:cs="Arial" w:eastAsia="Arial" w:hAnsi="Arial"/>
          <w:sz w:val="14"/>
          <w:szCs w:val="14"/>
          <w:u w:val="single" w:color="auto"/>
          <w:color w:val="auto"/>
        </w:rPr>
        <w:t>Content of Borrowing Requests</w:t>
      </w:r>
      <w:r>
        <w:rPr>
          <w:rFonts w:ascii="Arial" w:cs="Arial" w:eastAsia="Arial" w:hAnsi="Arial"/>
          <w:sz w:val="14"/>
          <w:szCs w:val="14"/>
          <w:color w:val="auto"/>
        </w:rPr>
        <w:t>.  Each telephonic and written Borrowing Request shall specify the following information in compliance with</w:t>
      </w:r>
    </w:p>
    <w:p>
      <w:pPr>
        <w:spacing w:after="0"/>
        <w:rPr>
          <w:rFonts w:ascii="Arial" w:cs="Arial" w:eastAsia="Arial" w:hAnsi="Arial"/>
          <w:sz w:val="14"/>
          <w:szCs w:val="14"/>
          <w:color w:val="auto"/>
        </w:rPr>
      </w:pPr>
      <w:r>
        <w:rPr>
          <w:rFonts w:ascii="Arial" w:cs="Arial" w:eastAsia="Arial" w:hAnsi="Arial"/>
          <w:sz w:val="14"/>
          <w:szCs w:val="14"/>
          <w:u w:val="single" w:color="auto"/>
          <w:color w:val="auto"/>
        </w:rPr>
        <w:t>Section 2.02</w:t>
      </w:r>
      <w:r>
        <w:rPr>
          <w:rFonts w:ascii="Arial" w:cs="Arial" w:eastAsia="Arial" w:hAnsi="Arial"/>
          <w:sz w:val="14"/>
          <w:szCs w:val="14"/>
          <w:color w:val="auto"/>
        </w:rPr>
        <w:t>:</w:t>
      </w:r>
    </w:p>
    <w:p>
      <w:pPr>
        <w:spacing w:after="0" w:line="191" w:lineRule="exact"/>
        <w:rPr>
          <w:rFonts w:ascii="Arial" w:cs="Arial" w:eastAsia="Arial" w:hAnsi="Arial"/>
          <w:sz w:val="14"/>
          <w:szCs w:val="14"/>
          <w:color w:val="auto"/>
        </w:rPr>
      </w:pPr>
    </w:p>
    <w:p>
      <w:pPr>
        <w:ind w:left="2460" w:hanging="791"/>
        <w:spacing w:after="0"/>
        <w:tabs>
          <w:tab w:leader="none" w:pos="2460" w:val="left"/>
        </w:tabs>
        <w:numPr>
          <w:ilvl w:val="0"/>
          <w:numId w:val="48"/>
        </w:numPr>
        <w:rPr>
          <w:rFonts w:ascii="Arial" w:cs="Arial" w:eastAsia="Arial" w:hAnsi="Arial"/>
          <w:sz w:val="14"/>
          <w:szCs w:val="14"/>
          <w:color w:val="auto"/>
        </w:rPr>
      </w:pPr>
      <w:r>
        <w:rPr>
          <w:rFonts w:ascii="Arial" w:cs="Arial" w:eastAsia="Arial" w:hAnsi="Arial"/>
          <w:sz w:val="14"/>
          <w:szCs w:val="14"/>
          <w:color w:val="auto"/>
        </w:rPr>
        <w:t>whether such Borrowing is to be made under the Dollar Commitments or the Multicurrency Commitments;</w:t>
      </w:r>
    </w:p>
    <w:p>
      <w:pPr>
        <w:spacing w:after="0" w:line="203" w:lineRule="exact"/>
        <w:rPr>
          <w:rFonts w:ascii="Arial" w:cs="Arial" w:eastAsia="Arial" w:hAnsi="Arial"/>
          <w:sz w:val="14"/>
          <w:szCs w:val="14"/>
          <w:color w:val="auto"/>
        </w:rPr>
      </w:pPr>
    </w:p>
    <w:p>
      <w:pPr>
        <w:ind w:left="2500" w:hanging="831"/>
        <w:spacing w:after="0"/>
        <w:tabs>
          <w:tab w:leader="none" w:pos="2500" w:val="left"/>
        </w:tabs>
        <w:numPr>
          <w:ilvl w:val="0"/>
          <w:numId w:val="48"/>
        </w:numPr>
        <w:rPr>
          <w:rFonts w:ascii="Arial" w:cs="Arial" w:eastAsia="Arial" w:hAnsi="Arial"/>
          <w:sz w:val="14"/>
          <w:szCs w:val="14"/>
          <w:color w:val="auto"/>
        </w:rPr>
      </w:pPr>
      <w:r>
        <w:rPr>
          <w:rFonts w:ascii="Arial" w:cs="Arial" w:eastAsia="Arial" w:hAnsi="Arial"/>
          <w:sz w:val="14"/>
          <w:szCs w:val="14"/>
          <w:color w:val="auto"/>
        </w:rPr>
        <w:t>the aggregate amount and Currency of the requested Borrowing;</w:t>
      </w:r>
    </w:p>
    <w:p>
      <w:pPr>
        <w:spacing w:after="0" w:line="203" w:lineRule="exact"/>
        <w:rPr>
          <w:rFonts w:ascii="Arial" w:cs="Arial" w:eastAsia="Arial" w:hAnsi="Arial"/>
          <w:sz w:val="14"/>
          <w:szCs w:val="14"/>
          <w:color w:val="auto"/>
        </w:rPr>
      </w:pPr>
    </w:p>
    <w:p>
      <w:pPr>
        <w:ind w:left="2540" w:hanging="871"/>
        <w:spacing w:after="0"/>
        <w:tabs>
          <w:tab w:leader="none" w:pos="2540" w:val="left"/>
        </w:tabs>
        <w:numPr>
          <w:ilvl w:val="0"/>
          <w:numId w:val="48"/>
        </w:numPr>
        <w:rPr>
          <w:rFonts w:ascii="Arial" w:cs="Arial" w:eastAsia="Arial" w:hAnsi="Arial"/>
          <w:sz w:val="14"/>
          <w:szCs w:val="14"/>
          <w:color w:val="auto"/>
        </w:rPr>
      </w:pPr>
      <w:r>
        <w:rPr>
          <w:rFonts w:ascii="Arial" w:cs="Arial" w:eastAsia="Arial" w:hAnsi="Arial"/>
          <w:sz w:val="14"/>
          <w:szCs w:val="14"/>
          <w:color w:val="auto"/>
        </w:rPr>
        <w:t>the date of such Borrowing, which shall be a Business Day;</w:t>
      </w:r>
    </w:p>
    <w:p>
      <w:pPr>
        <w:spacing w:after="0" w:line="203" w:lineRule="exact"/>
        <w:rPr>
          <w:rFonts w:ascii="Arial" w:cs="Arial" w:eastAsia="Arial" w:hAnsi="Arial"/>
          <w:sz w:val="14"/>
          <w:szCs w:val="14"/>
          <w:color w:val="auto"/>
        </w:rPr>
      </w:pPr>
    </w:p>
    <w:p>
      <w:pPr>
        <w:ind w:left="2520" w:hanging="851"/>
        <w:spacing w:after="0"/>
        <w:tabs>
          <w:tab w:leader="none" w:pos="2520" w:val="left"/>
        </w:tabs>
        <w:numPr>
          <w:ilvl w:val="0"/>
          <w:numId w:val="48"/>
        </w:numPr>
        <w:rPr>
          <w:rFonts w:ascii="Arial" w:cs="Arial" w:eastAsia="Arial" w:hAnsi="Arial"/>
          <w:sz w:val="13"/>
          <w:szCs w:val="13"/>
          <w:color w:val="auto"/>
        </w:rPr>
      </w:pPr>
      <w:r>
        <w:rPr>
          <w:rFonts w:ascii="Arial" w:cs="Arial" w:eastAsia="Arial" w:hAnsi="Arial"/>
          <w:sz w:val="13"/>
          <w:szCs w:val="13"/>
          <w:color w:val="auto"/>
        </w:rPr>
        <w:t>in the case of a Syndicated Borrowing denominated in Dollars, whether such Borrowing is to be an ABR Borrowing or a Eurocurrency Borrowing;</w:t>
      </w:r>
    </w:p>
    <w:p>
      <w:pPr>
        <w:spacing w:after="0" w:line="215" w:lineRule="exact"/>
        <w:rPr>
          <w:rFonts w:ascii="Arial" w:cs="Arial" w:eastAsia="Arial" w:hAnsi="Arial"/>
          <w:sz w:val="13"/>
          <w:szCs w:val="13"/>
          <w:color w:val="auto"/>
        </w:rPr>
      </w:pPr>
    </w:p>
    <w:p>
      <w:pPr>
        <w:ind w:left="880" w:right="20" w:firstLine="789"/>
        <w:spacing w:after="0" w:line="253" w:lineRule="auto"/>
        <w:tabs>
          <w:tab w:leader="none" w:pos="2493" w:val="left"/>
        </w:tabs>
        <w:numPr>
          <w:ilvl w:val="0"/>
          <w:numId w:val="48"/>
        </w:numPr>
        <w:rPr>
          <w:rFonts w:ascii="Arial" w:cs="Arial" w:eastAsia="Arial" w:hAnsi="Arial"/>
          <w:sz w:val="14"/>
          <w:szCs w:val="14"/>
          <w:color w:val="auto"/>
        </w:rPr>
      </w:pPr>
      <w:r>
        <w:rPr>
          <w:rFonts w:ascii="Arial" w:cs="Arial" w:eastAsia="Arial" w:hAnsi="Arial"/>
          <w:sz w:val="14"/>
          <w:szCs w:val="14"/>
          <w:color w:val="auto"/>
        </w:rPr>
        <w:t xml:space="preserve">in the case of a Eurocurrency Borrowing, the Interest Period therefor, which shall be a period contemplated by the definition of the term “Interest Period” and permitted under </w:t>
      </w:r>
      <w:r>
        <w:rPr>
          <w:rFonts w:ascii="Arial" w:cs="Arial" w:eastAsia="Arial" w:hAnsi="Arial"/>
          <w:sz w:val="14"/>
          <w:szCs w:val="14"/>
          <w:u w:val="single" w:color="auto"/>
          <w:color w:val="auto"/>
        </w:rPr>
        <w:t>Section 2.02(d)</w:t>
      </w:r>
      <w:r>
        <w:rPr>
          <w:rFonts w:ascii="Arial" w:cs="Arial" w:eastAsia="Arial" w:hAnsi="Arial"/>
          <w:sz w:val="14"/>
          <w:szCs w:val="14"/>
          <w:color w:val="auto"/>
        </w:rPr>
        <w:t>; and</w:t>
      </w:r>
    </w:p>
    <w:p>
      <w:pPr>
        <w:spacing w:after="0" w:line="200" w:lineRule="exact"/>
        <w:rPr>
          <w:sz w:val="20"/>
          <w:szCs w:val="20"/>
          <w:color w:val="auto"/>
        </w:rPr>
      </w:pPr>
    </w:p>
    <w:p>
      <w:pPr>
        <w:spacing w:after="0" w:line="39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7580" w:type="dxa"/>
            <w:vAlign w:val="bottom"/>
          </w:tcPr>
          <w:p>
            <w:pPr>
              <w:jc w:val="right"/>
              <w:ind w:right="1808"/>
              <w:spacing w:after="0"/>
              <w:rPr>
                <w:sz w:val="20"/>
                <w:szCs w:val="20"/>
                <w:color w:val="auto"/>
              </w:rPr>
            </w:pPr>
            <w:r>
              <w:rPr>
                <w:rFonts w:ascii="Arial" w:cs="Arial" w:eastAsia="Arial" w:hAnsi="Arial"/>
                <w:sz w:val="14"/>
                <w:szCs w:val="14"/>
                <w:color w:val="auto"/>
              </w:rPr>
              <w:t>21</w:t>
            </w:r>
          </w:p>
        </w:tc>
        <w:tc>
          <w:tcPr>
            <w:tcW w:w="3680" w:type="dxa"/>
            <w:vAlign w:val="bottom"/>
          </w:tcPr>
          <w:p>
            <w:pPr>
              <w:jc w:val="right"/>
              <w:spacing w:after="0"/>
              <w:rPr>
                <w:sz w:val="20"/>
                <w:szCs w:val="20"/>
                <w:color w:val="auto"/>
              </w:rPr>
            </w:pPr>
            <w:r>
              <w:rPr>
                <w:rFonts w:ascii="Arial" w:cs="Arial" w:eastAsia="Arial" w:hAnsi="Arial"/>
                <w:sz w:val="14"/>
                <w:szCs w:val="14"/>
                <w:i w:val="1"/>
                <w:iCs w:val="1"/>
                <w:color w:val="auto"/>
              </w:rPr>
              <w:t>Second Amended and Restated</w:t>
            </w:r>
          </w:p>
        </w:tc>
      </w:tr>
      <w:tr>
        <w:trPr>
          <w:trHeight w:val="182"/>
        </w:trPr>
        <w:tc>
          <w:tcPr>
            <w:tcW w:w="7580" w:type="dxa"/>
            <w:vAlign w:val="bottom"/>
          </w:tcPr>
          <w:p>
            <w:pPr>
              <w:spacing w:after="0"/>
              <w:rPr>
                <w:sz w:val="15"/>
                <w:szCs w:val="15"/>
                <w:color w:val="auto"/>
              </w:rPr>
            </w:pPr>
          </w:p>
        </w:tc>
        <w:tc>
          <w:tcPr>
            <w:tcW w:w="3680" w:type="dxa"/>
            <w:vAlign w:val="bottom"/>
          </w:tcPr>
          <w:p>
            <w:pPr>
              <w:jc w:val="right"/>
              <w:spacing w:after="0"/>
              <w:rPr>
                <w:sz w:val="20"/>
                <w:szCs w:val="20"/>
                <w:color w:val="auto"/>
              </w:rPr>
            </w:pPr>
            <w:r>
              <w:rPr>
                <w:rFonts w:ascii="Arial" w:cs="Arial" w:eastAsia="Arial" w:hAnsi="Arial"/>
                <w:sz w:val="14"/>
                <w:szCs w:val="14"/>
                <w:i w:val="1"/>
                <w:iCs w:val="1"/>
                <w:color w:val="auto"/>
              </w:rPr>
              <w:t>Revolving Credit Agreement</w:t>
            </w:r>
          </w:p>
        </w:tc>
      </w:tr>
      <w:tr>
        <w:trPr>
          <w:trHeight w:val="316"/>
        </w:trPr>
        <w:tc>
          <w:tcPr>
            <w:tcW w:w="7580" w:type="dxa"/>
            <w:vAlign w:val="bottom"/>
            <w:tcBorders>
              <w:bottom w:val="single" w:sz="8" w:color="9A9A9A"/>
            </w:tcBorders>
          </w:tcPr>
          <w:p>
            <w:pPr>
              <w:spacing w:after="0"/>
              <w:rPr>
                <w:sz w:val="24"/>
                <w:szCs w:val="24"/>
                <w:color w:val="auto"/>
              </w:rPr>
            </w:pPr>
          </w:p>
        </w:tc>
        <w:tc>
          <w:tcPr>
            <w:tcW w:w="368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7145655</wp:posOffset>
            </wp:positionH>
            <wp:positionV relativeFrom="paragraph">
              <wp:posOffset>-8255</wp:posOffset>
            </wp:positionV>
            <wp:extent cx="8255" cy="8890"/>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154">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-16510</wp:posOffset>
            </wp:positionV>
            <wp:extent cx="8890" cy="17145"/>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155">
                      <a:extLst>
                        <a:ext uri="{28A0092B-C50C-407E-A947-70E740481C1C}"/>
                      </a:extLst>
                    </a:blip>
                    <a:srcRect/>
                    <a:stretch>
                      <a:fillRect/>
                    </a:stretch>
                  </pic:blipFill>
                  <pic:spPr bwMode="auto">
                    <a:xfrm>
                      <a:off x="0" y="0"/>
                      <a:ext cx="8890" cy="17145"/>
                    </a:xfrm>
                    <a:prstGeom prst="rect">
                      <a:avLst/>
                    </a:prstGeom>
                    <a:noFill/>
                  </pic:spPr>
                </pic:pic>
              </a:graphicData>
            </a:graphic>
          </wp:anchor>
        </w:drawing>
      </w:r>
    </w:p>
    <w:p>
      <w:pPr>
        <w:sectPr>
          <w:pgSz w:w="11900" w:h="16838" w:orient="portrait"/>
          <w:cols w:equalWidth="0" w:num="1">
            <w:col w:w="11260"/>
          </w:cols>
          <w:pgMar w:left="320" w:top="337" w:right="319" w:bottom="1440" w:gutter="0" w:footer="0" w:header="0"/>
        </w:sectPr>
      </w:pPr>
    </w:p>
    <w:bookmarkStart w:id="84" w:name="page85"/>
    <w:bookmarkEnd w:id="84"/>
    <w:p>
      <w:pPr>
        <w:ind w:left="2520" w:hanging="851"/>
        <w:spacing w:after="0"/>
        <w:tabs>
          <w:tab w:leader="none" w:pos="2520" w:val="left"/>
        </w:tabs>
        <w:numPr>
          <w:ilvl w:val="0"/>
          <w:numId w:val="49"/>
        </w:numPr>
        <w:rPr>
          <w:rFonts w:ascii="Arial" w:cs="Arial" w:eastAsia="Arial" w:hAnsi="Arial"/>
          <w:sz w:val="13"/>
          <w:szCs w:val="13"/>
          <w:color w:val="auto"/>
        </w:rPr>
      </w:pPr>
      <w:r>
        <w:rPr>
          <w:rFonts w:ascii="Arial" w:cs="Arial" w:eastAsia="Arial" w:hAnsi="Arial"/>
          <w:sz w:val="13"/>
          <w:szCs w:val="13"/>
          <w:color w:val="auto"/>
        </w:rPr>
        <w:t xml:space="preserve">the location and number of the Borrower’s account to which funds are to be disbursed, which shall comply with the requirements of </w:t>
      </w:r>
      <w:r>
        <w:rPr>
          <w:rFonts w:ascii="Arial" w:cs="Arial" w:eastAsia="Arial" w:hAnsi="Arial"/>
          <w:sz w:val="13"/>
          <w:szCs w:val="13"/>
          <w:u w:val="single" w:color="auto"/>
          <w:color w:val="auto"/>
        </w:rPr>
        <w:t>Section 2.06</w:t>
      </w:r>
      <w:r>
        <w:rPr>
          <w:rFonts w:ascii="Arial" w:cs="Arial" w:eastAsia="Arial" w:hAnsi="Arial"/>
          <w:sz w:val="13"/>
          <w:szCs w:val="13"/>
          <w:color w:val="auto"/>
        </w:rPr>
        <w:t>.</w:t>
      </w:r>
    </w:p>
    <w:p>
      <w:pPr>
        <w:spacing w:after="0" w:line="215" w:lineRule="exact"/>
        <w:rPr>
          <w:rFonts w:ascii="Arial" w:cs="Arial" w:eastAsia="Arial" w:hAnsi="Arial"/>
          <w:sz w:val="13"/>
          <w:szCs w:val="13"/>
          <w:color w:val="auto"/>
        </w:rPr>
      </w:pPr>
    </w:p>
    <w:p>
      <w:pPr>
        <w:ind w:right="20" w:firstLine="1735"/>
        <w:spacing w:after="0" w:line="253" w:lineRule="auto"/>
        <w:tabs>
          <w:tab w:leader="none" w:pos="2535" w:val="left"/>
        </w:tabs>
        <w:numPr>
          <w:ilvl w:val="1"/>
          <w:numId w:val="49"/>
        </w:numPr>
        <w:rPr>
          <w:rFonts w:ascii="Arial" w:cs="Arial" w:eastAsia="Arial" w:hAnsi="Arial"/>
          <w:sz w:val="14"/>
          <w:szCs w:val="14"/>
          <w:color w:val="auto"/>
        </w:rPr>
      </w:pPr>
      <w:r>
        <w:rPr>
          <w:rFonts w:ascii="Arial" w:cs="Arial" w:eastAsia="Arial" w:hAnsi="Arial"/>
          <w:sz w:val="14"/>
          <w:szCs w:val="14"/>
          <w:u w:val="single" w:color="auto"/>
          <w:color w:val="auto"/>
        </w:rPr>
        <w:t>Notice by the Administrative Agent to the Lenders</w:t>
      </w:r>
      <w:r>
        <w:rPr>
          <w:rFonts w:ascii="Arial" w:cs="Arial" w:eastAsia="Arial" w:hAnsi="Arial"/>
          <w:sz w:val="14"/>
          <w:szCs w:val="14"/>
          <w:color w:val="auto"/>
        </w:rPr>
        <w:t>. Promptly following receipt of a Borrowing Request in accordance with this Section, the Administrative Agent shall advise each applicable Lender of the details thereof and of the amounts of such Lender’s Loan to be made as part of the requested Borrowing.</w:t>
      </w:r>
    </w:p>
    <w:p>
      <w:pPr>
        <w:spacing w:after="0" w:line="173" w:lineRule="exact"/>
        <w:rPr>
          <w:rFonts w:ascii="Arial" w:cs="Arial" w:eastAsia="Arial" w:hAnsi="Arial"/>
          <w:sz w:val="14"/>
          <w:szCs w:val="14"/>
          <w:color w:val="auto"/>
        </w:rPr>
      </w:pPr>
    </w:p>
    <w:p>
      <w:pPr>
        <w:jc w:val="both"/>
        <w:ind w:right="20" w:firstLine="1735"/>
        <w:spacing w:after="0" w:line="247" w:lineRule="auto"/>
        <w:tabs>
          <w:tab w:leader="none" w:pos="2543" w:val="left"/>
        </w:tabs>
        <w:numPr>
          <w:ilvl w:val="1"/>
          <w:numId w:val="49"/>
        </w:numPr>
        <w:rPr>
          <w:rFonts w:ascii="Arial" w:cs="Arial" w:eastAsia="Arial" w:hAnsi="Arial"/>
          <w:sz w:val="13"/>
          <w:szCs w:val="13"/>
          <w:color w:val="auto"/>
        </w:rPr>
      </w:pPr>
      <w:r>
        <w:rPr>
          <w:rFonts w:ascii="Arial" w:cs="Arial" w:eastAsia="Arial" w:hAnsi="Arial"/>
          <w:sz w:val="13"/>
          <w:szCs w:val="13"/>
          <w:u w:val="single" w:color="auto"/>
          <w:color w:val="auto"/>
        </w:rPr>
        <w:t>Failure to Elect</w:t>
      </w:r>
      <w:r>
        <w:rPr>
          <w:rFonts w:ascii="Arial" w:cs="Arial" w:eastAsia="Arial" w:hAnsi="Arial"/>
          <w:sz w:val="13"/>
          <w:szCs w:val="13"/>
          <w:color w:val="auto"/>
        </w:rPr>
        <w:t>. If no election as to the Class of a Syndicated Borrowing is specified, then the requested Syndicated Borrowing shall be deemed to be under the Multicurrency Commitments. If no election as to the Currency of a Syndicated Borrowing is specified, then the requested Syndicated Borrowing shall be denominated in Dollars. If no election as to the Type of a Syndicated Borrowing is specified, then the requested Borrowing shall be a Eurocurrency Borrowing having an Interest Period of one month and, if an Agreed Foreign Currency has been specified, the requested Syndicated Borrowing shall be a Eurocurrency Borrowing denominated in such Agreed Foreign Currency and having an Interest Period of one month. If a Eurocurrency Borrowing is requested but no Interest Period is specified, (i) if the Currency specified for such Borrowing is Dollars (or if no Currency has been so specified), the requested Borrowing shall be a Eurocurrency Borrowing denominated in Dollars having an Interest Period of one month’s duration, and (ii) if the Currency specified for such Borrowing is an Agreed Foreign Currency, the Borrower shall be deemed to have selected an Interest Period of one month’s duration.</w:t>
      </w:r>
    </w:p>
    <w:p>
      <w:pPr>
        <w:spacing w:after="0" w:line="179" w:lineRule="exact"/>
        <w:rPr>
          <w:sz w:val="20"/>
          <w:szCs w:val="20"/>
          <w:color w:val="auto"/>
        </w:rPr>
      </w:pPr>
    </w:p>
    <w:p>
      <w:pPr>
        <w:ind w:left="1740"/>
        <w:spacing w:after="0"/>
        <w:rPr>
          <w:sz w:val="20"/>
          <w:szCs w:val="20"/>
          <w:color w:val="auto"/>
        </w:rPr>
      </w:pPr>
      <w:r>
        <w:rPr>
          <w:rFonts w:ascii="Arial" w:cs="Arial" w:eastAsia="Arial" w:hAnsi="Arial"/>
          <w:sz w:val="14"/>
          <w:szCs w:val="14"/>
          <w:color w:val="auto"/>
        </w:rPr>
        <w:t xml:space="preserve">SECTION 2.04. </w:t>
      </w:r>
      <w:r>
        <w:rPr>
          <w:rFonts w:ascii="Arial" w:cs="Arial" w:eastAsia="Arial" w:hAnsi="Arial"/>
          <w:sz w:val="14"/>
          <w:szCs w:val="14"/>
          <w:u w:val="single" w:color="auto"/>
          <w:color w:val="auto"/>
        </w:rPr>
        <w:t>Swingline Loans</w:t>
      </w:r>
      <w:r>
        <w:rPr>
          <w:rFonts w:ascii="Arial" w:cs="Arial" w:eastAsia="Arial" w:hAnsi="Arial"/>
          <w:sz w:val="14"/>
          <w:szCs w:val="14"/>
          <w:color w:val="auto"/>
        </w:rPr>
        <w:t>.</w:t>
      </w:r>
    </w:p>
    <w:p>
      <w:pPr>
        <w:spacing w:after="0" w:line="204" w:lineRule="exact"/>
        <w:rPr>
          <w:sz w:val="20"/>
          <w:szCs w:val="20"/>
          <w:color w:val="auto"/>
        </w:rPr>
      </w:pPr>
    </w:p>
    <w:p>
      <w:pPr>
        <w:jc w:val="both"/>
        <w:ind w:right="20" w:firstLine="1735"/>
        <w:spacing w:after="0" w:line="229" w:lineRule="auto"/>
        <w:tabs>
          <w:tab w:leader="none" w:pos="2535" w:val="left"/>
        </w:tabs>
        <w:numPr>
          <w:ilvl w:val="0"/>
          <w:numId w:val="50"/>
        </w:numPr>
        <w:rPr>
          <w:rFonts w:ascii="Arial" w:cs="Arial" w:eastAsia="Arial" w:hAnsi="Arial"/>
          <w:sz w:val="14"/>
          <w:szCs w:val="14"/>
          <w:color w:val="auto"/>
        </w:rPr>
      </w:pPr>
      <w:r>
        <w:rPr>
          <w:rFonts w:ascii="Arial" w:cs="Arial" w:eastAsia="Arial" w:hAnsi="Arial"/>
          <w:sz w:val="14"/>
          <w:szCs w:val="14"/>
          <w:u w:val="single" w:color="auto"/>
          <w:color w:val="auto"/>
        </w:rPr>
        <w:t>Agreement to Make Swingline Loans</w:t>
      </w:r>
      <w:r>
        <w:rPr>
          <w:rFonts w:ascii="Arial" w:cs="Arial" w:eastAsia="Arial" w:hAnsi="Arial"/>
          <w:sz w:val="14"/>
          <w:szCs w:val="14"/>
          <w:color w:val="auto"/>
        </w:rPr>
        <w:t xml:space="preserve">. Subject to the terms and conditions set forth herein, the Swingline Lender agrees to make Swingline Loans under each Commitment to the Borrower from time to time during the Availability Period in Dollars, in an aggregate principal amount at any time outstanding that will not result in (i) the aggregate principal amount of outstanding Swingline Loans of both Classes exceeding $70,000,000, (ii) the total Revolving Dollar Credit Exposures exceeding the aggregate Dollar Commitments, (iii) the total Revolving Multicurrency Credit Exposures exceeding the aggregate Multicurrency Commitments or (iv) the total Covered Debt Amount exceeding the Borrowing Base then in effect; </w:t>
      </w:r>
      <w:r>
        <w:rPr>
          <w:rFonts w:ascii="Arial" w:cs="Arial" w:eastAsia="Arial" w:hAnsi="Arial"/>
          <w:sz w:val="14"/>
          <w:szCs w:val="14"/>
          <w:u w:val="single" w:color="auto"/>
          <w:color w:val="auto"/>
        </w:rPr>
        <w:t>provided</w:t>
      </w:r>
      <w:r>
        <w:rPr>
          <w:rFonts w:ascii="Arial" w:cs="Arial" w:eastAsia="Arial" w:hAnsi="Arial"/>
          <w:sz w:val="14"/>
          <w:szCs w:val="14"/>
          <w:color w:val="auto"/>
        </w:rPr>
        <w:t xml:space="preserve"> that the Swingline Lender shall not be required to make a Swingline Loan to refinance an outstanding Swingline Loan. Within the foregoing limits and subject to the terms and conditions set forth herein, the Borrower may borrow, prepay and reborrow Swingline Loans.</w:t>
      </w:r>
    </w:p>
    <w:p>
      <w:pPr>
        <w:spacing w:after="0" w:line="185" w:lineRule="exact"/>
        <w:rPr>
          <w:rFonts w:ascii="Arial" w:cs="Arial" w:eastAsia="Arial" w:hAnsi="Arial"/>
          <w:sz w:val="14"/>
          <w:szCs w:val="14"/>
          <w:color w:val="auto"/>
        </w:rPr>
      </w:pPr>
    </w:p>
    <w:p>
      <w:pPr>
        <w:jc w:val="both"/>
        <w:ind w:right="20" w:firstLine="1735"/>
        <w:spacing w:after="0" w:line="229" w:lineRule="auto"/>
        <w:tabs>
          <w:tab w:leader="none" w:pos="2543" w:val="left"/>
        </w:tabs>
        <w:numPr>
          <w:ilvl w:val="0"/>
          <w:numId w:val="50"/>
        </w:numPr>
        <w:rPr>
          <w:rFonts w:ascii="Arial" w:cs="Arial" w:eastAsia="Arial" w:hAnsi="Arial"/>
          <w:sz w:val="14"/>
          <w:szCs w:val="14"/>
          <w:color w:val="auto"/>
        </w:rPr>
      </w:pPr>
      <w:r>
        <w:rPr>
          <w:rFonts w:ascii="Arial" w:cs="Arial" w:eastAsia="Arial" w:hAnsi="Arial"/>
          <w:sz w:val="14"/>
          <w:szCs w:val="14"/>
          <w:u w:val="single" w:color="auto"/>
          <w:color w:val="auto"/>
        </w:rPr>
        <w:t>Notice of Swingline Loans by the Borrower</w:t>
      </w:r>
      <w:r>
        <w:rPr>
          <w:rFonts w:ascii="Arial" w:cs="Arial" w:eastAsia="Arial" w:hAnsi="Arial"/>
          <w:sz w:val="14"/>
          <w:szCs w:val="14"/>
          <w:color w:val="auto"/>
        </w:rPr>
        <w:t xml:space="preserve">. To request a Swingline Loan, the Borrower shall notify the Administrative Agent of such request by telephone (confirmed by telecopy) not later than 2:00 p.m., Atlanta, Georgia time, on the day of such proposed Swingline Loan. Each such notice shall be irrevocable and shall specify the requested date (which shall be a Business Day) and the amount of the requested Swingline Loan. The Administrative Agent will promptly advise the Swingline Lender of any such notice received from the Borrower. The Swingline Lender shall make each Swingline Loan available to the Borrower by means of a credit to the general deposit account of the Borrower with the Swingline Lender (or, in the case of a Swingline Loan made to finance the reimbursement of an LC Disbursement as provided in </w:t>
      </w:r>
      <w:r>
        <w:rPr>
          <w:rFonts w:ascii="Arial" w:cs="Arial" w:eastAsia="Arial" w:hAnsi="Arial"/>
          <w:sz w:val="14"/>
          <w:szCs w:val="14"/>
          <w:u w:val="single" w:color="auto"/>
          <w:color w:val="auto"/>
        </w:rPr>
        <w:t>Section 2.05(f)</w:t>
      </w:r>
      <w:r>
        <w:rPr>
          <w:rFonts w:ascii="Arial" w:cs="Arial" w:eastAsia="Arial" w:hAnsi="Arial"/>
          <w:sz w:val="14"/>
          <w:szCs w:val="14"/>
          <w:color w:val="auto"/>
        </w:rPr>
        <w:t>, by remittance to the Issuing Bank) by 3:00 p.m., Atlanta, Georgia time, on the requested date of such Swingline Loan.</w:t>
      </w:r>
    </w:p>
    <w:p>
      <w:pPr>
        <w:spacing w:after="0" w:line="185" w:lineRule="exact"/>
        <w:rPr>
          <w:rFonts w:ascii="Arial" w:cs="Arial" w:eastAsia="Arial" w:hAnsi="Arial"/>
          <w:sz w:val="14"/>
          <w:szCs w:val="14"/>
          <w:color w:val="auto"/>
        </w:rPr>
      </w:pPr>
    </w:p>
    <w:p>
      <w:pPr>
        <w:jc w:val="both"/>
        <w:ind w:right="20" w:firstLine="1735"/>
        <w:spacing w:after="0" w:line="226" w:lineRule="auto"/>
        <w:tabs>
          <w:tab w:leader="none" w:pos="2535" w:val="left"/>
        </w:tabs>
        <w:numPr>
          <w:ilvl w:val="0"/>
          <w:numId w:val="50"/>
        </w:numPr>
        <w:rPr>
          <w:rFonts w:ascii="Arial" w:cs="Arial" w:eastAsia="Arial" w:hAnsi="Arial"/>
          <w:sz w:val="14"/>
          <w:szCs w:val="14"/>
          <w:color w:val="auto"/>
        </w:rPr>
      </w:pPr>
      <w:r>
        <w:rPr>
          <w:rFonts w:ascii="Arial" w:cs="Arial" w:eastAsia="Arial" w:hAnsi="Arial"/>
          <w:sz w:val="14"/>
          <w:szCs w:val="14"/>
          <w:u w:val="single" w:color="auto"/>
          <w:color w:val="auto"/>
        </w:rPr>
        <w:t>Participations by Lenders in Swingline Loans</w:t>
      </w:r>
      <w:r>
        <w:rPr>
          <w:rFonts w:ascii="Arial" w:cs="Arial" w:eastAsia="Arial" w:hAnsi="Arial"/>
          <w:sz w:val="14"/>
          <w:szCs w:val="14"/>
          <w:color w:val="auto"/>
        </w:rPr>
        <w:t xml:space="preserve">. The Swingline Lender may by written notice given to the Administrative Agent not later than 10:00 a.m., Atlanta, Georgia time on any Business Day, require the Lenders of the applicable Class to acquire participations on such Business Day in all or a portion of the Swingline Loans of such Class outstanding. Such notice to the Administrative Agent shall specify the aggregate amount of Swingline Loans in which the applicable Lenders will participate. Promptly upon receipt of such notice, the Administrative Agent will give notice thereof to each applicable Lender, specifying in such notice such Lender’s Applicable Percentage of such Swingline Loan or Loans. Each Lender hereby absolutely and unconditionally agrees, upon receipt of notice as provided above in this paragraph, to pay to the Administrative Agent, for account of the Swingline Lender, such Lender’s Applicable Percentage, as the case may be, of such Swingline Loan or Loans; </w:t>
      </w:r>
      <w:r>
        <w:rPr>
          <w:rFonts w:ascii="Arial" w:cs="Arial" w:eastAsia="Arial" w:hAnsi="Arial"/>
          <w:sz w:val="14"/>
          <w:szCs w:val="14"/>
          <w:u w:val="single" w:color="auto"/>
          <w:color w:val="auto"/>
        </w:rPr>
        <w:t>provided</w:t>
      </w:r>
      <w:r>
        <w:rPr>
          <w:rFonts w:ascii="Arial" w:cs="Arial" w:eastAsia="Arial" w:hAnsi="Arial"/>
          <w:sz w:val="14"/>
          <w:szCs w:val="14"/>
          <w:color w:val="auto"/>
        </w:rPr>
        <w:t xml:space="preserve"> that no Lender shall be required to purchase a participation in a Swingline Loan pursuant to this </w:t>
      </w:r>
      <w:r>
        <w:rPr>
          <w:rFonts w:ascii="Arial" w:cs="Arial" w:eastAsia="Arial" w:hAnsi="Arial"/>
          <w:sz w:val="14"/>
          <w:szCs w:val="14"/>
          <w:u w:val="single" w:color="auto"/>
          <w:color w:val="auto"/>
        </w:rPr>
        <w:t>Section 2.04(c)</w:t>
      </w:r>
      <w:r>
        <w:rPr>
          <w:rFonts w:ascii="Arial" w:cs="Arial" w:eastAsia="Arial" w:hAnsi="Arial"/>
          <w:sz w:val="14"/>
          <w:szCs w:val="14"/>
          <w:color w:val="auto"/>
        </w:rPr>
        <w:t xml:space="preserve"> if (x) the conditions set forth in </w:t>
      </w:r>
      <w:r>
        <w:rPr>
          <w:rFonts w:ascii="Arial" w:cs="Arial" w:eastAsia="Arial" w:hAnsi="Arial"/>
          <w:sz w:val="14"/>
          <w:szCs w:val="14"/>
          <w:u w:val="single" w:color="auto"/>
          <w:color w:val="auto"/>
        </w:rPr>
        <w:t>Section 4.02</w:t>
      </w:r>
      <w:r>
        <w:rPr>
          <w:rFonts w:ascii="Arial" w:cs="Arial" w:eastAsia="Arial" w:hAnsi="Arial"/>
          <w:sz w:val="14"/>
          <w:szCs w:val="14"/>
          <w:color w:val="auto"/>
        </w:rPr>
        <w:t xml:space="preserve"> would not be satisfied in respect of a Borrowing at the time such Swingline Loan was made and (y) the Required Lenders of the respective Class shall have so notified the Swingline Lender in writing and shall not have subsequently determined that the circumstances giving rise to such conditions not being satisfied no longer exist.</w:t>
      </w:r>
    </w:p>
    <w:p>
      <w:pPr>
        <w:spacing w:after="0" w:line="188" w:lineRule="exact"/>
        <w:rPr>
          <w:sz w:val="20"/>
          <w:szCs w:val="20"/>
          <w:color w:val="auto"/>
        </w:rPr>
      </w:pPr>
    </w:p>
    <w:p>
      <w:pPr>
        <w:jc w:val="both"/>
        <w:ind w:right="20" w:firstLine="1727"/>
        <w:spacing w:after="0" w:line="244" w:lineRule="auto"/>
        <w:rPr>
          <w:sz w:val="20"/>
          <w:szCs w:val="20"/>
          <w:color w:val="auto"/>
        </w:rPr>
      </w:pPr>
      <w:r>
        <w:rPr>
          <w:rFonts w:ascii="Arial" w:cs="Arial" w:eastAsia="Arial" w:hAnsi="Arial"/>
          <w:sz w:val="13"/>
          <w:szCs w:val="13"/>
          <w:color w:val="auto"/>
        </w:rPr>
        <w:t xml:space="preserve">Subject to the foregoing, each Lender acknowledges and agrees that its obligation to acquire participations in Swingline Loans pursuant to this </w:t>
      </w:r>
      <w:r>
        <w:rPr>
          <w:rFonts w:ascii="Arial" w:cs="Arial" w:eastAsia="Arial" w:hAnsi="Arial"/>
          <w:sz w:val="13"/>
          <w:szCs w:val="13"/>
          <w:u w:val="single" w:color="auto"/>
          <w:color w:val="auto"/>
        </w:rPr>
        <w:t>paragraph (c)</w:t>
      </w:r>
      <w:r>
        <w:rPr>
          <w:rFonts w:ascii="Arial" w:cs="Arial" w:eastAsia="Arial" w:hAnsi="Arial"/>
          <w:sz w:val="13"/>
          <w:szCs w:val="13"/>
          <w:color w:val="auto"/>
        </w:rPr>
        <w:t xml:space="preserve"> is absolute and unconditional and shall not be affected by any circumstance whatsoever, including the occurrence and continuance of a Default or reduction or termination of the Commitments of the respective Class, and that each such payment shall be made without any offset, abatement, withholding or reduction whatsoever. Each Lender shall comply with its obligation under this paragraph by wire transfer of immediately available funds, in the same manner as provided in </w:t>
      </w:r>
      <w:r>
        <w:rPr>
          <w:rFonts w:ascii="Arial" w:cs="Arial" w:eastAsia="Arial" w:hAnsi="Arial"/>
          <w:sz w:val="13"/>
          <w:szCs w:val="13"/>
          <w:u w:val="single" w:color="auto"/>
          <w:color w:val="auto"/>
        </w:rPr>
        <w:t>Section 2.06</w:t>
      </w:r>
      <w:r>
        <w:rPr>
          <w:rFonts w:ascii="Arial" w:cs="Arial" w:eastAsia="Arial" w:hAnsi="Arial"/>
          <w:sz w:val="13"/>
          <w:szCs w:val="13"/>
          <w:color w:val="auto"/>
        </w:rPr>
        <w:t xml:space="preserve"> with respect to Loans made by such Lender (and </w:t>
      </w:r>
      <w:r>
        <w:rPr>
          <w:rFonts w:ascii="Arial" w:cs="Arial" w:eastAsia="Arial" w:hAnsi="Arial"/>
          <w:sz w:val="13"/>
          <w:szCs w:val="13"/>
          <w:u w:val="single" w:color="auto"/>
          <w:color w:val="auto"/>
        </w:rPr>
        <w:t>Section 2.06</w:t>
      </w:r>
      <w:r>
        <w:rPr>
          <w:rFonts w:ascii="Arial" w:cs="Arial" w:eastAsia="Arial" w:hAnsi="Arial"/>
          <w:sz w:val="13"/>
          <w:szCs w:val="13"/>
          <w:color w:val="auto"/>
        </w:rPr>
        <w:t xml:space="preserve"> shall apply, </w:t>
      </w:r>
      <w:r>
        <w:rPr>
          <w:rFonts w:ascii="Arial" w:cs="Arial" w:eastAsia="Arial" w:hAnsi="Arial"/>
          <w:sz w:val="13"/>
          <w:szCs w:val="13"/>
          <w:u w:val="single" w:color="auto"/>
          <w:color w:val="auto"/>
        </w:rPr>
        <w:t>mutatis</w:t>
      </w:r>
      <w:r>
        <w:rPr>
          <w:rFonts w:ascii="Arial" w:cs="Arial" w:eastAsia="Arial" w:hAnsi="Arial"/>
          <w:sz w:val="13"/>
          <w:szCs w:val="13"/>
          <w:color w:val="auto"/>
        </w:rPr>
        <w:t xml:space="preserve"> </w:t>
      </w:r>
      <w:r>
        <w:rPr>
          <w:rFonts w:ascii="Arial" w:cs="Arial" w:eastAsia="Arial" w:hAnsi="Arial"/>
          <w:sz w:val="13"/>
          <w:szCs w:val="13"/>
          <w:u w:val="single" w:color="auto"/>
          <w:color w:val="auto"/>
        </w:rPr>
        <w:t>mutandis</w:t>
      </w:r>
      <w:r>
        <w:rPr>
          <w:rFonts w:ascii="Arial" w:cs="Arial" w:eastAsia="Arial" w:hAnsi="Arial"/>
          <w:sz w:val="13"/>
          <w:szCs w:val="13"/>
          <w:color w:val="auto"/>
        </w:rPr>
        <w:t>, to the payment obligations of the Lenders), and the Administrative Agent shall promptly pay to the Swingline Lender the amounts so received by it from the Lenders. The Administrative Agent shall notify the Borrower of any participations in any Swingline Loan acquired pursuant to this paragraph, and thereafter payments in respect of such Swingline Loan shall be made to the Administrative Agent and not to the Swingline Lender. Any amounts received by the Swingline Lender from the Borrower (or other party on behalf of the Borrower) in respect of a Swingline Loan after receipt by the Swingline Lender of the proceeds of a sale of participations therein shall be promptly remitted to the Administrative Agent; any such amounts received by the Administrative Agent shall be promptly remitted by the Administrative Agent to the Lenders that shall have made their payments pursuant to this paragraph and to the Swingline Lender, as their interests may appear. The purchase of participations in a Swingline Loan pursuant to this paragraph shall not relieve the Borrower of any default in the payment thereof.</w:t>
      </w:r>
    </w:p>
    <w:p>
      <w:pPr>
        <w:spacing w:after="0" w:line="181" w:lineRule="exact"/>
        <w:rPr>
          <w:sz w:val="20"/>
          <w:szCs w:val="20"/>
          <w:color w:val="auto"/>
        </w:rPr>
      </w:pPr>
    </w:p>
    <w:p>
      <w:pPr>
        <w:ind w:right="20" w:firstLine="1735"/>
        <w:spacing w:after="0" w:line="253" w:lineRule="auto"/>
        <w:tabs>
          <w:tab w:leader="none" w:pos="2543" w:val="left"/>
        </w:tabs>
        <w:numPr>
          <w:ilvl w:val="0"/>
          <w:numId w:val="51"/>
        </w:numPr>
        <w:rPr>
          <w:rFonts w:ascii="Arial" w:cs="Arial" w:eastAsia="Arial" w:hAnsi="Arial"/>
          <w:sz w:val="14"/>
          <w:szCs w:val="14"/>
          <w:color w:val="auto"/>
        </w:rPr>
      </w:pPr>
      <w:r>
        <w:rPr>
          <w:rFonts w:ascii="Arial" w:cs="Arial" w:eastAsia="Arial" w:hAnsi="Arial"/>
          <w:sz w:val="14"/>
          <w:szCs w:val="14"/>
          <w:u w:val="single" w:color="auto"/>
          <w:color w:val="auto"/>
        </w:rPr>
        <w:t>Resignation and Replacement of Swingline Lender</w:t>
      </w:r>
      <w:r>
        <w:rPr>
          <w:rFonts w:ascii="Arial" w:cs="Arial" w:eastAsia="Arial" w:hAnsi="Arial"/>
          <w:sz w:val="14"/>
          <w:szCs w:val="14"/>
          <w:color w:val="auto"/>
        </w:rPr>
        <w:t>. The Swingline Lender may resign and be replaced at any time by written agreement among the Borrower, the Administrative Agent, the resigning Swingline Lender and the successor Swingline Lender.</w:t>
      </w:r>
    </w:p>
    <w:p>
      <w:pPr>
        <w:spacing w:after="0" w:line="200" w:lineRule="exact"/>
        <w:rPr>
          <w:sz w:val="20"/>
          <w:szCs w:val="20"/>
          <w:color w:val="auto"/>
        </w:rPr>
      </w:pPr>
    </w:p>
    <w:p>
      <w:pPr>
        <w:spacing w:after="0" w:line="39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7580" w:type="dxa"/>
            <w:vAlign w:val="bottom"/>
          </w:tcPr>
          <w:p>
            <w:pPr>
              <w:jc w:val="right"/>
              <w:ind w:right="1808"/>
              <w:spacing w:after="0"/>
              <w:rPr>
                <w:sz w:val="20"/>
                <w:szCs w:val="20"/>
                <w:color w:val="auto"/>
              </w:rPr>
            </w:pPr>
            <w:r>
              <w:rPr>
                <w:rFonts w:ascii="Arial" w:cs="Arial" w:eastAsia="Arial" w:hAnsi="Arial"/>
                <w:sz w:val="14"/>
                <w:szCs w:val="14"/>
                <w:color w:val="auto"/>
              </w:rPr>
              <w:t>22</w:t>
            </w:r>
          </w:p>
        </w:tc>
        <w:tc>
          <w:tcPr>
            <w:tcW w:w="3680" w:type="dxa"/>
            <w:vAlign w:val="bottom"/>
          </w:tcPr>
          <w:p>
            <w:pPr>
              <w:jc w:val="right"/>
              <w:spacing w:after="0"/>
              <w:rPr>
                <w:sz w:val="20"/>
                <w:szCs w:val="20"/>
                <w:color w:val="auto"/>
              </w:rPr>
            </w:pPr>
            <w:r>
              <w:rPr>
                <w:rFonts w:ascii="Arial" w:cs="Arial" w:eastAsia="Arial" w:hAnsi="Arial"/>
                <w:sz w:val="14"/>
                <w:szCs w:val="14"/>
                <w:i w:val="1"/>
                <w:iCs w:val="1"/>
                <w:color w:val="auto"/>
              </w:rPr>
              <w:t>Second Amended and Restated</w:t>
            </w:r>
          </w:p>
        </w:tc>
      </w:tr>
      <w:tr>
        <w:trPr>
          <w:trHeight w:val="182"/>
        </w:trPr>
        <w:tc>
          <w:tcPr>
            <w:tcW w:w="7580" w:type="dxa"/>
            <w:vAlign w:val="bottom"/>
          </w:tcPr>
          <w:p>
            <w:pPr>
              <w:spacing w:after="0"/>
              <w:rPr>
                <w:sz w:val="15"/>
                <w:szCs w:val="15"/>
                <w:color w:val="auto"/>
              </w:rPr>
            </w:pPr>
          </w:p>
        </w:tc>
        <w:tc>
          <w:tcPr>
            <w:tcW w:w="3680" w:type="dxa"/>
            <w:vAlign w:val="bottom"/>
          </w:tcPr>
          <w:p>
            <w:pPr>
              <w:jc w:val="right"/>
              <w:spacing w:after="0"/>
              <w:rPr>
                <w:sz w:val="20"/>
                <w:szCs w:val="20"/>
                <w:color w:val="auto"/>
              </w:rPr>
            </w:pPr>
            <w:r>
              <w:rPr>
                <w:rFonts w:ascii="Arial" w:cs="Arial" w:eastAsia="Arial" w:hAnsi="Arial"/>
                <w:sz w:val="14"/>
                <w:szCs w:val="14"/>
                <w:i w:val="1"/>
                <w:iCs w:val="1"/>
                <w:color w:val="auto"/>
              </w:rPr>
              <w:t>Revolving Credit Agreement</w:t>
            </w:r>
          </w:p>
        </w:tc>
      </w:tr>
      <w:tr>
        <w:trPr>
          <w:trHeight w:val="316"/>
        </w:trPr>
        <w:tc>
          <w:tcPr>
            <w:tcW w:w="7580" w:type="dxa"/>
            <w:vAlign w:val="bottom"/>
            <w:tcBorders>
              <w:bottom w:val="single" w:sz="8" w:color="9A9A9A"/>
            </w:tcBorders>
          </w:tcPr>
          <w:p>
            <w:pPr>
              <w:spacing w:after="0"/>
              <w:rPr>
                <w:sz w:val="24"/>
                <w:szCs w:val="24"/>
                <w:color w:val="auto"/>
              </w:rPr>
            </w:pPr>
          </w:p>
        </w:tc>
        <w:tc>
          <w:tcPr>
            <w:tcW w:w="368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7145655</wp:posOffset>
            </wp:positionH>
            <wp:positionV relativeFrom="paragraph">
              <wp:posOffset>-7620</wp:posOffset>
            </wp:positionV>
            <wp:extent cx="8255" cy="8255"/>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156">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-16510</wp:posOffset>
            </wp:positionV>
            <wp:extent cx="8890" cy="17145"/>
            <wp:wrapNone/>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157">
                      <a:extLst>
                        <a:ext uri="{28A0092B-C50C-407E-A947-70E740481C1C}"/>
                      </a:extLst>
                    </a:blip>
                    <a:srcRect/>
                    <a:stretch>
                      <a:fillRect/>
                    </a:stretch>
                  </pic:blipFill>
                  <pic:spPr bwMode="auto">
                    <a:xfrm>
                      <a:off x="0" y="0"/>
                      <a:ext cx="8890" cy="17145"/>
                    </a:xfrm>
                    <a:prstGeom prst="rect">
                      <a:avLst/>
                    </a:prstGeom>
                    <a:noFill/>
                  </pic:spPr>
                </pic:pic>
              </a:graphicData>
            </a:graphic>
          </wp:anchor>
        </w:drawing>
      </w:r>
    </w:p>
    <w:p>
      <w:pPr>
        <w:sectPr>
          <w:pgSz w:w="11900" w:h="16838" w:orient="portrait"/>
          <w:cols w:equalWidth="0" w:num="1">
            <w:col w:w="11260"/>
          </w:cols>
          <w:pgMar w:left="320" w:top="337" w:right="319" w:bottom="1440" w:gutter="0" w:footer="0" w:header="0"/>
        </w:sectPr>
      </w:pPr>
    </w:p>
    <w:bookmarkStart w:id="85" w:name="page86"/>
    <w:bookmarkEnd w:id="85"/>
    <w:p>
      <w:pPr>
        <w:jc w:val="both"/>
        <w:ind w:right="20"/>
        <w:spacing w:after="0" w:line="226" w:lineRule="auto"/>
        <w:rPr>
          <w:sz w:val="20"/>
          <w:szCs w:val="20"/>
          <w:color w:val="auto"/>
        </w:rPr>
      </w:pPr>
      <w:r>
        <w:rPr>
          <w:rFonts w:ascii="Arial" w:cs="Arial" w:eastAsia="Arial" w:hAnsi="Arial"/>
          <w:sz w:val="14"/>
          <w:szCs w:val="14"/>
          <w:color w:val="auto"/>
        </w:rPr>
        <w:t xml:space="preserve">The Administrative Agent shall notify the Lenders of any such resignation and replacement of the Swingline Lender. In addition to the foregoing, if a Lender becomes, and during the period it remains, a Defaulting Lender, and if any Default has arisen from a failure of the Borrower to comply with </w:t>
      </w:r>
      <w:r>
        <w:rPr>
          <w:rFonts w:ascii="Arial" w:cs="Arial" w:eastAsia="Arial" w:hAnsi="Arial"/>
          <w:sz w:val="14"/>
          <w:szCs w:val="14"/>
          <w:u w:val="single" w:color="auto"/>
          <w:color w:val="auto"/>
        </w:rPr>
        <w:t>Section 2.19(a)</w:t>
      </w:r>
      <w:r>
        <w:rPr>
          <w:rFonts w:ascii="Arial" w:cs="Arial" w:eastAsia="Arial" w:hAnsi="Arial"/>
          <w:sz w:val="14"/>
          <w:szCs w:val="14"/>
          <w:color w:val="auto"/>
        </w:rPr>
        <w:t>, then the Swingline Lender may, upon prior written notice to the Borrower and the Administrative Agent, resign as Swingline Lender, effective at the close of business Atlanta, Georgia time on a date specified in such notice (which date may not be less than five (5) Business Days after the date of such notice). On or after the effective date of any such resignation, the Borrower and the Administrative Agent may, by written agreement, appoint a successor Swingline Lender. The Administrative Agent shall notify the Lenders of any such appointment of a successor Swingline Lender. Upon the effectiveness of any resignation of the Swingline Lender, the Borrower shall repay in full all outstanding Swingline Loans together with all accrued interest thereon. From and after the effective date of the appointment of a successor Swingline Lender, (i) the successor Swingline Lender shall have all the rights and obligations of the replaced Swingline Lender under this Agreement with respect to Swingline Loans to be made thereafter and (ii) references herein to the term “Swingline Lender” shall be deemed to refer to such successor or to any previous Swingline Lender, or to such successor and all previous Swingline Lenders, as the context shall require. After the replacement of the Swingline Lender hereunder, the replaced Swingline Lender shall have no obligation to make additional Swingline Loans.</w:t>
      </w:r>
    </w:p>
    <w:p>
      <w:pPr>
        <w:spacing w:after="0" w:line="185" w:lineRule="exact"/>
        <w:rPr>
          <w:sz w:val="20"/>
          <w:szCs w:val="20"/>
          <w:color w:val="auto"/>
        </w:rPr>
      </w:pPr>
    </w:p>
    <w:p>
      <w:pPr>
        <w:ind w:left="1740"/>
        <w:spacing w:after="0"/>
        <w:rPr>
          <w:sz w:val="20"/>
          <w:szCs w:val="20"/>
          <w:color w:val="auto"/>
        </w:rPr>
      </w:pPr>
      <w:r>
        <w:rPr>
          <w:rFonts w:ascii="Arial" w:cs="Arial" w:eastAsia="Arial" w:hAnsi="Arial"/>
          <w:sz w:val="14"/>
          <w:szCs w:val="14"/>
          <w:color w:val="auto"/>
        </w:rPr>
        <w:t xml:space="preserve">SECTION 2.05. </w:t>
      </w:r>
      <w:r>
        <w:rPr>
          <w:rFonts w:ascii="Arial" w:cs="Arial" w:eastAsia="Arial" w:hAnsi="Arial"/>
          <w:sz w:val="14"/>
          <w:szCs w:val="14"/>
          <w:u w:val="single" w:color="auto"/>
          <w:color w:val="auto"/>
        </w:rPr>
        <w:t>Letters of Credit</w:t>
      </w:r>
      <w:r>
        <w:rPr>
          <w:rFonts w:ascii="Arial" w:cs="Arial" w:eastAsia="Arial" w:hAnsi="Arial"/>
          <w:sz w:val="14"/>
          <w:szCs w:val="14"/>
          <w:color w:val="auto"/>
        </w:rPr>
        <w:t>.</w:t>
      </w:r>
    </w:p>
    <w:p>
      <w:pPr>
        <w:spacing w:after="0" w:line="204" w:lineRule="exact"/>
        <w:rPr>
          <w:sz w:val="20"/>
          <w:szCs w:val="20"/>
          <w:color w:val="auto"/>
        </w:rPr>
      </w:pPr>
    </w:p>
    <w:p>
      <w:pPr>
        <w:jc w:val="both"/>
        <w:ind w:right="20" w:firstLine="1735"/>
        <w:spacing w:after="0" w:line="255" w:lineRule="auto"/>
        <w:tabs>
          <w:tab w:leader="none" w:pos="2535" w:val="left"/>
        </w:tabs>
        <w:numPr>
          <w:ilvl w:val="0"/>
          <w:numId w:val="52"/>
        </w:numPr>
        <w:rPr>
          <w:rFonts w:ascii="Arial" w:cs="Arial" w:eastAsia="Arial" w:hAnsi="Arial"/>
          <w:sz w:val="13"/>
          <w:szCs w:val="13"/>
          <w:color w:val="auto"/>
        </w:rPr>
      </w:pPr>
      <w:r>
        <w:rPr>
          <w:rFonts w:ascii="Arial" w:cs="Arial" w:eastAsia="Arial" w:hAnsi="Arial"/>
          <w:sz w:val="13"/>
          <w:szCs w:val="13"/>
          <w:u w:val="single" w:color="auto"/>
          <w:color w:val="auto"/>
        </w:rPr>
        <w:t>General</w:t>
      </w:r>
      <w:r>
        <w:rPr>
          <w:rFonts w:ascii="Arial" w:cs="Arial" w:eastAsia="Arial" w:hAnsi="Arial"/>
          <w:sz w:val="13"/>
          <w:szCs w:val="13"/>
          <w:color w:val="auto"/>
        </w:rPr>
        <w:t xml:space="preserve">. Subject to the terms and conditions set forth herein, in addition to the Loans provided for in </w:t>
      </w:r>
      <w:r>
        <w:rPr>
          <w:rFonts w:ascii="Arial" w:cs="Arial" w:eastAsia="Arial" w:hAnsi="Arial"/>
          <w:sz w:val="13"/>
          <w:szCs w:val="13"/>
          <w:u w:val="single" w:color="auto"/>
          <w:color w:val="auto"/>
        </w:rPr>
        <w:t>Section 2.01</w:t>
      </w:r>
      <w:r>
        <w:rPr>
          <w:rFonts w:ascii="Arial" w:cs="Arial" w:eastAsia="Arial" w:hAnsi="Arial"/>
          <w:sz w:val="13"/>
          <w:szCs w:val="13"/>
          <w:color w:val="auto"/>
        </w:rPr>
        <w:t>, the Borrower may request the Issuing Bank to issue, at any time and from time to time during the Availability Period and under either the Dollar Commitments or Multicurrency Commitments, Letters of Credit denominated in Dollars or (in the case of Letters of Credit under the Multicurrency Commitments) in any Agreed Foreign Currency for its own account in such form as is acceptable to the Issuing Bank in its reasonable determination. Letters of Credit issued hereunder shall constitute utilization of the Commitments up to the aggregate amount available to be drawn thereunder.</w:t>
      </w:r>
    </w:p>
    <w:p>
      <w:pPr>
        <w:spacing w:after="0" w:line="174" w:lineRule="exact"/>
        <w:rPr>
          <w:rFonts w:ascii="Arial" w:cs="Arial" w:eastAsia="Arial" w:hAnsi="Arial"/>
          <w:sz w:val="13"/>
          <w:szCs w:val="13"/>
          <w:color w:val="auto"/>
        </w:rPr>
      </w:pPr>
    </w:p>
    <w:p>
      <w:pPr>
        <w:jc w:val="both"/>
        <w:ind w:right="20" w:firstLine="1735"/>
        <w:spacing w:after="0" w:line="244" w:lineRule="auto"/>
        <w:tabs>
          <w:tab w:leader="none" w:pos="2543" w:val="left"/>
        </w:tabs>
        <w:numPr>
          <w:ilvl w:val="0"/>
          <w:numId w:val="52"/>
        </w:numPr>
        <w:rPr>
          <w:rFonts w:ascii="Arial" w:cs="Arial" w:eastAsia="Arial" w:hAnsi="Arial"/>
          <w:sz w:val="13"/>
          <w:szCs w:val="13"/>
          <w:color w:val="auto"/>
        </w:rPr>
      </w:pPr>
      <w:r>
        <w:rPr>
          <w:rFonts w:ascii="Arial" w:cs="Arial" w:eastAsia="Arial" w:hAnsi="Arial"/>
          <w:sz w:val="13"/>
          <w:szCs w:val="13"/>
          <w:u w:val="single" w:color="auto"/>
          <w:color w:val="auto"/>
        </w:rPr>
        <w:t>Notice of Issuance, Amendment, Renewal or Extension</w:t>
      </w:r>
      <w:r>
        <w:rPr>
          <w:rFonts w:ascii="Arial" w:cs="Arial" w:eastAsia="Arial" w:hAnsi="Arial"/>
          <w:sz w:val="13"/>
          <w:szCs w:val="13"/>
          <w:color w:val="auto"/>
        </w:rPr>
        <w:t xml:space="preserve">. To request the issuance of a Letter of Credit (or the amendment, renewal or extension of an outstanding Letter of Credit), the Borrower shall hand deliver or telecopy (or transmit by electronic communication, if arrangements for doing so have been approved by the Issuing Bank) to the Issuing Bank and the Administrative Agent (reasonably in advance of the requested date of issuance, amendment, renewal or extension) a notice requesting the issuance of a Letter of Credit, or identifying the Letter of Credit to be amended, renewed or extended, and specifying the date of issuance, amendment, renewal or extension (which shall be a Business Day), the date on which such Letter of Credit is to expire (which shall comply with </w:t>
      </w:r>
      <w:r>
        <w:rPr>
          <w:rFonts w:ascii="Arial" w:cs="Arial" w:eastAsia="Arial" w:hAnsi="Arial"/>
          <w:sz w:val="13"/>
          <w:szCs w:val="13"/>
          <w:u w:val="single" w:color="auto"/>
          <w:color w:val="auto"/>
        </w:rPr>
        <w:t>paragraph (d)</w:t>
      </w:r>
      <w:r>
        <w:rPr>
          <w:rFonts w:ascii="Arial" w:cs="Arial" w:eastAsia="Arial" w:hAnsi="Arial"/>
          <w:sz w:val="13"/>
          <w:szCs w:val="13"/>
          <w:color w:val="auto"/>
        </w:rPr>
        <w:t xml:space="preserve"> of this Section), the amount and Currency of such Letter of Credit, whether such Letter of Credit is to be issued under the Dollar Commitments or the Multicurrency Commitments, the name and address of the beneficiary thereof and such other information as shall be necessary to prepare, amend, renew or extend such Letter of Credit. If requested by the Issuing Bank, the Borrower also shall submit a letter of credit application on the Issuing Bank’s standard form in connection with any request for a Letter of Credit. In the event of any inconsistency between the terms and conditions of this Agreement and the terms and conditions of any form of letter of credit application or other agreement submitted by the Borrower to, or entered into by the Borrower with, the Issuing Bank relating to any Letter of Credit, the terms and conditions of this Agreement shall control.</w:t>
      </w:r>
    </w:p>
    <w:p>
      <w:pPr>
        <w:spacing w:after="0" w:line="184" w:lineRule="exact"/>
        <w:rPr>
          <w:rFonts w:ascii="Arial" w:cs="Arial" w:eastAsia="Arial" w:hAnsi="Arial"/>
          <w:sz w:val="13"/>
          <w:szCs w:val="13"/>
          <w:color w:val="auto"/>
        </w:rPr>
      </w:pPr>
    </w:p>
    <w:p>
      <w:pPr>
        <w:jc w:val="both"/>
        <w:ind w:right="20" w:firstLine="1735"/>
        <w:spacing w:after="0" w:line="231" w:lineRule="auto"/>
        <w:tabs>
          <w:tab w:leader="none" w:pos="2535" w:val="left"/>
        </w:tabs>
        <w:numPr>
          <w:ilvl w:val="0"/>
          <w:numId w:val="52"/>
        </w:numPr>
        <w:rPr>
          <w:rFonts w:ascii="Arial" w:cs="Arial" w:eastAsia="Arial" w:hAnsi="Arial"/>
          <w:sz w:val="14"/>
          <w:szCs w:val="14"/>
          <w:color w:val="auto"/>
        </w:rPr>
      </w:pPr>
      <w:r>
        <w:rPr>
          <w:rFonts w:ascii="Arial" w:cs="Arial" w:eastAsia="Arial" w:hAnsi="Arial"/>
          <w:sz w:val="14"/>
          <w:szCs w:val="14"/>
          <w:u w:val="single" w:color="auto"/>
          <w:color w:val="auto"/>
        </w:rPr>
        <w:t>Limitations on Amounts</w:t>
      </w:r>
      <w:r>
        <w:rPr>
          <w:rFonts w:ascii="Arial" w:cs="Arial" w:eastAsia="Arial" w:hAnsi="Arial"/>
          <w:sz w:val="14"/>
          <w:szCs w:val="14"/>
          <w:color w:val="auto"/>
        </w:rPr>
        <w:t xml:space="preserve">. A Letter of Credit shall be issued, amended, renewed or extended only if (and upon issuance, amendment, renewal or extension of each Letter of Credit the Borrower shall be deemed to represent and warrant that), after giving effect to such issuance, amendment, renewal or extension (i) the aggregate LC Exposure of the Issuing Bank (determined for these purposes without giving effect to the participations therein of the Lenders pursuant to </w:t>
      </w:r>
      <w:r>
        <w:rPr>
          <w:rFonts w:ascii="Arial" w:cs="Arial" w:eastAsia="Arial" w:hAnsi="Arial"/>
          <w:sz w:val="14"/>
          <w:szCs w:val="14"/>
          <w:u w:val="single" w:color="auto"/>
          <w:color w:val="auto"/>
        </w:rPr>
        <w:t>paragraph (e)</w:t>
      </w:r>
      <w:r>
        <w:rPr>
          <w:rFonts w:ascii="Arial" w:cs="Arial" w:eastAsia="Arial" w:hAnsi="Arial"/>
          <w:sz w:val="14"/>
          <w:szCs w:val="14"/>
          <w:color w:val="auto"/>
        </w:rPr>
        <w:t xml:space="preserve"> of this Section) shall not exceed $50,000,000; (ii) the total Revolving Dollar Credit Exposure shall not exceed the aggregate Dollar Commitments; (iii) the total Revolving Multicurrency Credit Exposure shall not exceed the aggregate Multicurrency Commitments; and (iv) the total Covered Debt Amount shall not exceed the Borrowing Base then in effect.</w:t>
      </w:r>
    </w:p>
    <w:p>
      <w:pPr>
        <w:spacing w:after="0" w:line="183" w:lineRule="exact"/>
        <w:rPr>
          <w:rFonts w:ascii="Arial" w:cs="Arial" w:eastAsia="Arial" w:hAnsi="Arial"/>
          <w:sz w:val="14"/>
          <w:szCs w:val="14"/>
          <w:color w:val="auto"/>
        </w:rPr>
      </w:pPr>
    </w:p>
    <w:p>
      <w:pPr>
        <w:jc w:val="both"/>
        <w:ind w:right="20" w:firstLine="1735"/>
        <w:spacing w:after="0" w:line="229" w:lineRule="auto"/>
        <w:tabs>
          <w:tab w:leader="none" w:pos="2543" w:val="left"/>
        </w:tabs>
        <w:numPr>
          <w:ilvl w:val="0"/>
          <w:numId w:val="52"/>
        </w:numPr>
        <w:rPr>
          <w:rFonts w:ascii="Arial" w:cs="Arial" w:eastAsia="Arial" w:hAnsi="Arial"/>
          <w:sz w:val="14"/>
          <w:szCs w:val="14"/>
          <w:color w:val="auto"/>
        </w:rPr>
      </w:pPr>
      <w:r>
        <w:rPr>
          <w:rFonts w:ascii="Arial" w:cs="Arial" w:eastAsia="Arial" w:hAnsi="Arial"/>
          <w:sz w:val="14"/>
          <w:szCs w:val="14"/>
          <w:u w:val="single" w:color="auto"/>
          <w:color w:val="auto"/>
        </w:rPr>
        <w:t>Expiration Date</w:t>
      </w:r>
      <w:r>
        <w:rPr>
          <w:rFonts w:ascii="Arial" w:cs="Arial" w:eastAsia="Arial" w:hAnsi="Arial"/>
          <w:sz w:val="14"/>
          <w:szCs w:val="14"/>
          <w:color w:val="auto"/>
        </w:rPr>
        <w:t xml:space="preserve">. Each Letter of Credit shall expire at or prior to the close of business on the date twelve months after the date of the issuance of such Letter of Credit (or, in the case of any renewal or extension thereof, twelve months after the then-current expiration date of such Letter of Credit, so long as such renewal or extension occurs within three months of such then-current expiration date); </w:t>
      </w:r>
      <w:r>
        <w:rPr>
          <w:rFonts w:ascii="Arial" w:cs="Arial" w:eastAsia="Arial" w:hAnsi="Arial"/>
          <w:sz w:val="14"/>
          <w:szCs w:val="14"/>
          <w:u w:val="single" w:color="auto"/>
          <w:color w:val="auto"/>
        </w:rPr>
        <w:t>provided</w:t>
      </w:r>
      <w:r>
        <w:rPr>
          <w:rFonts w:ascii="Arial" w:cs="Arial" w:eastAsia="Arial" w:hAnsi="Arial"/>
          <w:sz w:val="14"/>
          <w:szCs w:val="14"/>
          <w:color w:val="auto"/>
        </w:rPr>
        <w:t xml:space="preserve"> that any Letter of Credit with a one-year term may provide for the renewal thereof for additional one-year periods. No Letter of Credit may be renewed following the earlier to occur of the Commitment Termination Date and the Termination Date, except to the extent that the relevant Letter of Credit is Cash Collateralized no later than five (5) Business Days prior to the Commitment Termination Date or Termination Date, as applicable, or supported by another letter of credit, in each case pursuant to arrangements reasonably satisfactory to the Issuing Bank and the Administrative Agent.</w:t>
      </w:r>
    </w:p>
    <w:p>
      <w:pPr>
        <w:spacing w:after="0" w:line="185" w:lineRule="exact"/>
        <w:rPr>
          <w:rFonts w:ascii="Arial" w:cs="Arial" w:eastAsia="Arial" w:hAnsi="Arial"/>
          <w:sz w:val="14"/>
          <w:szCs w:val="14"/>
          <w:color w:val="auto"/>
        </w:rPr>
      </w:pPr>
    </w:p>
    <w:p>
      <w:pPr>
        <w:jc w:val="both"/>
        <w:ind w:right="20" w:firstLine="1735"/>
        <w:spacing w:after="0" w:line="226" w:lineRule="auto"/>
        <w:tabs>
          <w:tab w:leader="none" w:pos="2535" w:val="left"/>
        </w:tabs>
        <w:numPr>
          <w:ilvl w:val="0"/>
          <w:numId w:val="52"/>
        </w:numPr>
        <w:rPr>
          <w:rFonts w:ascii="Arial" w:cs="Arial" w:eastAsia="Arial" w:hAnsi="Arial"/>
          <w:sz w:val="14"/>
          <w:szCs w:val="14"/>
          <w:color w:val="auto"/>
        </w:rPr>
      </w:pPr>
      <w:r>
        <w:rPr>
          <w:rFonts w:ascii="Arial" w:cs="Arial" w:eastAsia="Arial" w:hAnsi="Arial"/>
          <w:sz w:val="14"/>
          <w:szCs w:val="14"/>
          <w:u w:val="single" w:color="auto"/>
          <w:color w:val="auto"/>
        </w:rPr>
        <w:t>Participations</w:t>
      </w:r>
      <w:r>
        <w:rPr>
          <w:rFonts w:ascii="Arial" w:cs="Arial" w:eastAsia="Arial" w:hAnsi="Arial"/>
          <w:sz w:val="14"/>
          <w:szCs w:val="14"/>
          <w:color w:val="auto"/>
        </w:rPr>
        <w:t xml:space="preserve">. By the issuance of a Letter of Credit of a Class (or an amendment to a Letter of Credit increasing the amount thereof) by the Issuing Bank, and without any further action on the part of the Issuing Bank or the Lenders, the Issuing Bank hereby grants to each Lender of such Class, and each Lender of such Class hereby acquires from the Issuing Bank, a participation in such Letter of Credit equal to such Lender’s Applicable Dollar Percentage or Applicable Multicurrency Percentage, as the case may be, of the aggregate amount available to be drawn under such Letter of Credit. Each Lender acknowledges and agrees that its obligation to acquire participations pursuant to this paragraph in respect of Letters of Credit is absolute and unconditional and shall not be affected by any circumstance whatsoever, including any amendment, renewal or extension of any Letter of Credit or the occurrence and continuance of a Default or reduction or termination of the applicable Commitments; </w:t>
      </w:r>
      <w:r>
        <w:rPr>
          <w:rFonts w:ascii="Arial" w:cs="Arial" w:eastAsia="Arial" w:hAnsi="Arial"/>
          <w:sz w:val="14"/>
          <w:szCs w:val="14"/>
          <w:u w:val="single" w:color="auto"/>
          <w:color w:val="auto"/>
        </w:rPr>
        <w:t>provided</w:t>
      </w:r>
      <w:r>
        <w:rPr>
          <w:rFonts w:ascii="Arial" w:cs="Arial" w:eastAsia="Arial" w:hAnsi="Arial"/>
          <w:sz w:val="14"/>
          <w:szCs w:val="14"/>
          <w:color w:val="auto"/>
        </w:rPr>
        <w:t xml:space="preserve"> that no Lender shall be required to purchase a participation in a Letter of Credit pursuant to this </w:t>
      </w:r>
      <w:r>
        <w:rPr>
          <w:rFonts w:ascii="Arial" w:cs="Arial" w:eastAsia="Arial" w:hAnsi="Arial"/>
          <w:sz w:val="14"/>
          <w:szCs w:val="14"/>
          <w:u w:val="single" w:color="auto"/>
          <w:color w:val="auto"/>
        </w:rPr>
        <w:t>Section 2.05(e)</w:t>
      </w:r>
      <w:r>
        <w:rPr>
          <w:rFonts w:ascii="Arial" w:cs="Arial" w:eastAsia="Arial" w:hAnsi="Arial"/>
          <w:sz w:val="14"/>
          <w:szCs w:val="14"/>
          <w:color w:val="auto"/>
        </w:rPr>
        <w:t xml:space="preserve"> if (x) the conditions set forth in </w:t>
      </w:r>
      <w:r>
        <w:rPr>
          <w:rFonts w:ascii="Arial" w:cs="Arial" w:eastAsia="Arial" w:hAnsi="Arial"/>
          <w:sz w:val="14"/>
          <w:szCs w:val="14"/>
          <w:u w:val="single" w:color="auto"/>
          <w:color w:val="auto"/>
        </w:rPr>
        <w:t>Section 4.02</w:t>
      </w:r>
      <w:r>
        <w:rPr>
          <w:rFonts w:ascii="Arial" w:cs="Arial" w:eastAsia="Arial" w:hAnsi="Arial"/>
          <w:sz w:val="14"/>
          <w:szCs w:val="14"/>
          <w:color w:val="auto"/>
        </w:rPr>
        <w:t xml:space="preserve"> would not be satisfied in respect of a Borrowing at the time such Letter of Credit was issued and (y) the Required Lenders of the respective Class shall have so notified the Issuing Bank in writing and shall not have subsequently determined that the circumstances giving rise to such conditions not being satisfied no longer exist.</w:t>
      </w:r>
    </w:p>
    <w:p>
      <w:pPr>
        <w:spacing w:after="0" w:line="188" w:lineRule="exact"/>
        <w:rPr>
          <w:sz w:val="20"/>
          <w:szCs w:val="20"/>
          <w:color w:val="auto"/>
        </w:rPr>
      </w:pPr>
    </w:p>
    <w:p>
      <w:pPr>
        <w:jc w:val="both"/>
        <w:ind w:right="20" w:firstLine="1727"/>
        <w:spacing w:after="0" w:line="238" w:lineRule="auto"/>
        <w:rPr>
          <w:sz w:val="20"/>
          <w:szCs w:val="20"/>
          <w:color w:val="auto"/>
        </w:rPr>
      </w:pPr>
      <w:r>
        <w:rPr>
          <w:rFonts w:ascii="Arial" w:cs="Arial" w:eastAsia="Arial" w:hAnsi="Arial"/>
          <w:sz w:val="14"/>
          <w:szCs w:val="14"/>
          <w:color w:val="auto"/>
        </w:rPr>
        <w:t>In consideration and in furtherance of the foregoing, each Lender of a Class hereby absolutely and unconditionally agrees to pay to the Administrative Agent, for account of the Issuing Bank, such Lender’s Applicable Dollar Percentage or Applicable Multicurrency Percentage, as the case may be, of each LC Disbursement made by the Issuing Bank in respect of Letters of Credit of such Class promptly upon</w:t>
      </w:r>
    </w:p>
    <w:p>
      <w:pPr>
        <w:spacing w:after="0" w:line="200" w:lineRule="exact"/>
        <w:rPr>
          <w:sz w:val="20"/>
          <w:szCs w:val="20"/>
          <w:color w:val="auto"/>
        </w:rPr>
      </w:pPr>
    </w:p>
    <w:p>
      <w:pPr>
        <w:spacing w:after="0" w:line="200" w:lineRule="exact"/>
        <w:rPr>
          <w:sz w:val="20"/>
          <w:szCs w:val="20"/>
          <w:color w:val="auto"/>
        </w:rPr>
      </w:pPr>
    </w:p>
    <w:p>
      <w:pPr>
        <w:spacing w:after="0" w:line="20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7580" w:type="dxa"/>
            <w:vAlign w:val="bottom"/>
          </w:tcPr>
          <w:p>
            <w:pPr>
              <w:jc w:val="right"/>
              <w:ind w:right="1808"/>
              <w:spacing w:after="0"/>
              <w:rPr>
                <w:sz w:val="20"/>
                <w:szCs w:val="20"/>
                <w:color w:val="auto"/>
              </w:rPr>
            </w:pPr>
            <w:r>
              <w:rPr>
                <w:rFonts w:ascii="Arial" w:cs="Arial" w:eastAsia="Arial" w:hAnsi="Arial"/>
                <w:sz w:val="14"/>
                <w:szCs w:val="14"/>
                <w:color w:val="auto"/>
              </w:rPr>
              <w:t>23</w:t>
            </w:r>
          </w:p>
        </w:tc>
        <w:tc>
          <w:tcPr>
            <w:tcW w:w="3680" w:type="dxa"/>
            <w:vAlign w:val="bottom"/>
          </w:tcPr>
          <w:p>
            <w:pPr>
              <w:jc w:val="right"/>
              <w:spacing w:after="0"/>
              <w:rPr>
                <w:sz w:val="20"/>
                <w:szCs w:val="20"/>
                <w:color w:val="auto"/>
              </w:rPr>
            </w:pPr>
            <w:r>
              <w:rPr>
                <w:rFonts w:ascii="Arial" w:cs="Arial" w:eastAsia="Arial" w:hAnsi="Arial"/>
                <w:sz w:val="14"/>
                <w:szCs w:val="14"/>
                <w:i w:val="1"/>
                <w:iCs w:val="1"/>
                <w:color w:val="auto"/>
              </w:rPr>
              <w:t>Second Amended and Restated</w:t>
            </w:r>
          </w:p>
        </w:tc>
      </w:tr>
      <w:tr>
        <w:trPr>
          <w:trHeight w:val="182"/>
        </w:trPr>
        <w:tc>
          <w:tcPr>
            <w:tcW w:w="7580" w:type="dxa"/>
            <w:vAlign w:val="bottom"/>
          </w:tcPr>
          <w:p>
            <w:pPr>
              <w:spacing w:after="0"/>
              <w:rPr>
                <w:sz w:val="15"/>
                <w:szCs w:val="15"/>
                <w:color w:val="auto"/>
              </w:rPr>
            </w:pPr>
          </w:p>
        </w:tc>
        <w:tc>
          <w:tcPr>
            <w:tcW w:w="3680" w:type="dxa"/>
            <w:vAlign w:val="bottom"/>
          </w:tcPr>
          <w:p>
            <w:pPr>
              <w:jc w:val="right"/>
              <w:spacing w:after="0"/>
              <w:rPr>
                <w:sz w:val="20"/>
                <w:szCs w:val="20"/>
                <w:color w:val="auto"/>
              </w:rPr>
            </w:pPr>
            <w:r>
              <w:rPr>
                <w:rFonts w:ascii="Arial" w:cs="Arial" w:eastAsia="Arial" w:hAnsi="Arial"/>
                <w:sz w:val="14"/>
                <w:szCs w:val="14"/>
                <w:i w:val="1"/>
                <w:iCs w:val="1"/>
                <w:color w:val="auto"/>
              </w:rPr>
              <w:t>Revolving Credit Agreement</w:t>
            </w:r>
          </w:p>
        </w:tc>
      </w:tr>
      <w:tr>
        <w:trPr>
          <w:trHeight w:val="316"/>
        </w:trPr>
        <w:tc>
          <w:tcPr>
            <w:tcW w:w="7580" w:type="dxa"/>
            <w:vAlign w:val="bottom"/>
            <w:tcBorders>
              <w:bottom w:val="single" w:sz="8" w:color="9A9A9A"/>
            </w:tcBorders>
          </w:tcPr>
          <w:p>
            <w:pPr>
              <w:spacing w:after="0"/>
              <w:rPr>
                <w:sz w:val="24"/>
                <w:szCs w:val="24"/>
                <w:color w:val="auto"/>
              </w:rPr>
            </w:pPr>
          </w:p>
        </w:tc>
        <w:tc>
          <w:tcPr>
            <w:tcW w:w="368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7145655</wp:posOffset>
            </wp:positionH>
            <wp:positionV relativeFrom="paragraph">
              <wp:posOffset>-7620</wp:posOffset>
            </wp:positionV>
            <wp:extent cx="8255" cy="8255"/>
            <wp:wrapNone/>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158">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-16510</wp:posOffset>
            </wp:positionV>
            <wp:extent cx="8890" cy="17145"/>
            <wp:wrapNone/>
            <wp:docPr id="152"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pic:cNvPicPr>
                      <a:picLocks noChangeAspect="1" noChangeArrowheads="1"/>
                    </pic:cNvPicPr>
                  </pic:nvPicPr>
                  <pic:blipFill>
                    <a:blip r:embed="rId159">
                      <a:extLst>
                        <a:ext uri="{28A0092B-C50C-407E-A947-70E740481C1C}"/>
                      </a:extLst>
                    </a:blip>
                    <a:srcRect/>
                    <a:stretch>
                      <a:fillRect/>
                    </a:stretch>
                  </pic:blipFill>
                  <pic:spPr bwMode="auto">
                    <a:xfrm>
                      <a:off x="0" y="0"/>
                      <a:ext cx="8890" cy="17145"/>
                    </a:xfrm>
                    <a:prstGeom prst="rect">
                      <a:avLst/>
                    </a:prstGeom>
                    <a:noFill/>
                  </pic:spPr>
                </pic:pic>
              </a:graphicData>
            </a:graphic>
          </wp:anchor>
        </w:drawing>
      </w:r>
    </w:p>
    <w:p>
      <w:pPr>
        <w:sectPr>
          <w:pgSz w:w="11900" w:h="16838" w:orient="portrait"/>
          <w:cols w:equalWidth="0" w:num="1">
            <w:col w:w="11260"/>
          </w:cols>
          <w:pgMar w:left="320" w:top="337" w:right="319" w:bottom="1440" w:gutter="0" w:footer="0" w:header="0"/>
        </w:sectPr>
      </w:pPr>
    </w:p>
    <w:bookmarkStart w:id="86" w:name="page87"/>
    <w:bookmarkEnd w:id="86"/>
    <w:p>
      <w:pPr>
        <w:jc w:val="both"/>
        <w:ind w:right="20"/>
        <w:spacing w:after="0" w:line="247" w:lineRule="auto"/>
        <w:rPr>
          <w:sz w:val="20"/>
          <w:szCs w:val="20"/>
          <w:color w:val="auto"/>
        </w:rPr>
      </w:pPr>
      <w:r>
        <w:rPr>
          <w:rFonts w:ascii="Arial" w:cs="Arial" w:eastAsia="Arial" w:hAnsi="Arial"/>
          <w:sz w:val="13"/>
          <w:szCs w:val="13"/>
          <w:color w:val="auto"/>
        </w:rPr>
        <w:t xml:space="preserve">the request of the Issuing Bank at any time from the time of such LC Disbursement until such LC Disbursement is reimbursed by the Borrower or at any time after any reimbursement payment is required to be refunded to the Borrower for any reason. Such payment shall be made without any offset, abatement, withholding or reduction whatsoever. Each such payment shall be made in the same manner as provided in </w:t>
      </w:r>
      <w:r>
        <w:rPr>
          <w:rFonts w:ascii="Arial" w:cs="Arial" w:eastAsia="Arial" w:hAnsi="Arial"/>
          <w:sz w:val="13"/>
          <w:szCs w:val="13"/>
          <w:u w:val="single" w:color="auto"/>
          <w:color w:val="auto"/>
        </w:rPr>
        <w:t>Section 2.06</w:t>
      </w:r>
      <w:r>
        <w:rPr>
          <w:rFonts w:ascii="Arial" w:cs="Arial" w:eastAsia="Arial" w:hAnsi="Arial"/>
          <w:sz w:val="13"/>
          <w:szCs w:val="13"/>
          <w:color w:val="auto"/>
        </w:rPr>
        <w:t xml:space="preserve"> with respect to Loans made by such Lender (and </w:t>
      </w:r>
      <w:r>
        <w:rPr>
          <w:rFonts w:ascii="Arial" w:cs="Arial" w:eastAsia="Arial" w:hAnsi="Arial"/>
          <w:sz w:val="13"/>
          <w:szCs w:val="13"/>
          <w:u w:val="single" w:color="auto"/>
          <w:color w:val="auto"/>
        </w:rPr>
        <w:t>Section 2.06</w:t>
      </w:r>
      <w:r>
        <w:rPr>
          <w:rFonts w:ascii="Arial" w:cs="Arial" w:eastAsia="Arial" w:hAnsi="Arial"/>
          <w:sz w:val="13"/>
          <w:szCs w:val="13"/>
          <w:color w:val="auto"/>
        </w:rPr>
        <w:t xml:space="preserve"> shall apply, </w:t>
      </w:r>
      <w:r>
        <w:rPr>
          <w:rFonts w:ascii="Arial" w:cs="Arial" w:eastAsia="Arial" w:hAnsi="Arial"/>
          <w:sz w:val="13"/>
          <w:szCs w:val="13"/>
          <w:u w:val="single" w:color="auto"/>
          <w:color w:val="auto"/>
        </w:rPr>
        <w:t>mutatis mutandis</w:t>
      </w:r>
      <w:r>
        <w:rPr>
          <w:rFonts w:ascii="Arial" w:cs="Arial" w:eastAsia="Arial" w:hAnsi="Arial"/>
          <w:sz w:val="13"/>
          <w:szCs w:val="13"/>
          <w:color w:val="auto"/>
        </w:rPr>
        <w:t>, to the payment obligations of the Lenders), and the Administrative Agent shall promptly pay to the Issuing Bank the amounts so received by it from the Lenders. Promptly following receipt by the Administrative Agent of any payment from the Borrower pursuant to the next following paragraph, the Administrative Agent shall distribute such payment to the Issuing Bank or, to the extent that the Lenders have made payments pursuant to this paragraph to reimburse the Issuing Bank, then to such Lenders and the Issuing Bank as their interests may appear. Any payment made by a Lender pursuant to this paragraph to reimburse the Issuing Bank for any LC Disbursement shall not constitute a Loan and shall not relieve the Borrower of its obligation to reimburse such LC Disbursement.</w:t>
      </w:r>
    </w:p>
    <w:p>
      <w:pPr>
        <w:spacing w:after="0" w:line="179" w:lineRule="exact"/>
        <w:rPr>
          <w:sz w:val="20"/>
          <w:szCs w:val="20"/>
          <w:color w:val="auto"/>
        </w:rPr>
      </w:pPr>
    </w:p>
    <w:p>
      <w:pPr>
        <w:jc w:val="both"/>
        <w:ind w:right="20" w:firstLine="1735"/>
        <w:spacing w:after="0" w:line="228" w:lineRule="auto"/>
        <w:tabs>
          <w:tab w:leader="none" w:pos="2519" w:val="left"/>
        </w:tabs>
        <w:numPr>
          <w:ilvl w:val="0"/>
          <w:numId w:val="53"/>
        </w:numPr>
        <w:rPr>
          <w:rFonts w:ascii="Arial" w:cs="Arial" w:eastAsia="Arial" w:hAnsi="Arial"/>
          <w:sz w:val="14"/>
          <w:szCs w:val="14"/>
          <w:color w:val="auto"/>
        </w:rPr>
      </w:pPr>
      <w:r>
        <w:rPr>
          <w:rFonts w:ascii="Arial" w:cs="Arial" w:eastAsia="Arial" w:hAnsi="Arial"/>
          <w:sz w:val="14"/>
          <w:szCs w:val="14"/>
          <w:u w:val="single" w:color="auto"/>
          <w:color w:val="auto"/>
        </w:rPr>
        <w:t>Reimbursement</w:t>
      </w:r>
      <w:r>
        <w:rPr>
          <w:rFonts w:ascii="Arial" w:cs="Arial" w:eastAsia="Arial" w:hAnsi="Arial"/>
          <w:sz w:val="14"/>
          <w:szCs w:val="14"/>
          <w:color w:val="auto"/>
        </w:rPr>
        <w:t xml:space="preserve">. If the Issuing Bank shall make any LC Disbursement in respect of a Letter of Credit, the Borrower shall reimburse the Issuing Bank in respect of such LC Disbursement by paying to the Administrative Agent an amount equal to such LC Disbursement not later than 11:00 a.m., Atlanta, Georgia time, on (i) the Business Day that the Borrower receives notice of such LC Disbursement, if such notice is received prior to 10:00 a.m., Atlanta, Georgia time, or (ii) the Business Day immediately following the day that the Borrower receives such notice, if such notice is not received prior to such time; </w:t>
      </w:r>
      <w:r>
        <w:rPr>
          <w:rFonts w:ascii="Arial" w:cs="Arial" w:eastAsia="Arial" w:hAnsi="Arial"/>
          <w:sz w:val="14"/>
          <w:szCs w:val="14"/>
          <w:u w:val="single" w:color="auto"/>
          <w:color w:val="auto"/>
        </w:rPr>
        <w:t>provided</w:t>
      </w:r>
      <w:r>
        <w:rPr>
          <w:rFonts w:ascii="Arial" w:cs="Arial" w:eastAsia="Arial" w:hAnsi="Arial"/>
          <w:sz w:val="14"/>
          <w:szCs w:val="14"/>
          <w:color w:val="auto"/>
        </w:rPr>
        <w:t xml:space="preserve"> that, if such LC Disbursement is not less than $1,000,000 and is denominated in Dollars, the Borrower may, subject to the conditions to borrowing set forth herein, request in accordance with </w:t>
      </w:r>
      <w:r>
        <w:rPr>
          <w:rFonts w:ascii="Arial" w:cs="Arial" w:eastAsia="Arial" w:hAnsi="Arial"/>
          <w:sz w:val="14"/>
          <w:szCs w:val="14"/>
          <w:u w:val="single" w:color="auto"/>
          <w:color w:val="auto"/>
        </w:rPr>
        <w:t>Section 2.03</w:t>
      </w:r>
      <w:r>
        <w:rPr>
          <w:rFonts w:ascii="Arial" w:cs="Arial" w:eastAsia="Arial" w:hAnsi="Arial"/>
          <w:sz w:val="14"/>
          <w:szCs w:val="14"/>
          <w:color w:val="auto"/>
        </w:rPr>
        <w:t xml:space="preserve"> or </w:t>
      </w:r>
      <w:r>
        <w:rPr>
          <w:rFonts w:ascii="Arial" w:cs="Arial" w:eastAsia="Arial" w:hAnsi="Arial"/>
          <w:sz w:val="14"/>
          <w:szCs w:val="14"/>
          <w:u w:val="single" w:color="auto"/>
          <w:color w:val="auto"/>
        </w:rPr>
        <w:t>2.04</w:t>
      </w:r>
      <w:r>
        <w:rPr>
          <w:rFonts w:ascii="Arial" w:cs="Arial" w:eastAsia="Arial" w:hAnsi="Arial"/>
          <w:sz w:val="14"/>
          <w:szCs w:val="14"/>
          <w:color w:val="auto"/>
        </w:rPr>
        <w:t xml:space="preserve"> that such payment be financed with a Syndicated ABR Borrowing or a Swingline Loan of the respective Class in an equivalent amount and, to the extent so financed, the Borrower’s obligation to make such payment shall be discharged and replaced by the resulting Syndicated ABR Borrowing or Swingline Loan.</w:t>
      </w:r>
    </w:p>
    <w:p>
      <w:pPr>
        <w:spacing w:after="0" w:line="185" w:lineRule="exact"/>
        <w:rPr>
          <w:sz w:val="20"/>
          <w:szCs w:val="20"/>
          <w:color w:val="auto"/>
        </w:rPr>
      </w:pPr>
    </w:p>
    <w:p>
      <w:pPr>
        <w:ind w:right="20" w:firstLine="1727"/>
        <w:spacing w:after="0" w:line="253" w:lineRule="auto"/>
        <w:rPr>
          <w:sz w:val="20"/>
          <w:szCs w:val="20"/>
          <w:color w:val="auto"/>
        </w:rPr>
      </w:pPr>
      <w:r>
        <w:rPr>
          <w:rFonts w:ascii="Arial" w:cs="Arial" w:eastAsia="Arial" w:hAnsi="Arial"/>
          <w:sz w:val="14"/>
          <w:szCs w:val="14"/>
          <w:color w:val="auto"/>
        </w:rPr>
        <w:t>If the Borrower fails to make such payment when due, the Administrative Agent shall notify each applicable Lender of the applicable LC Disbursement, the payment then due from the Borrower in respect thereof and such Lender’s Applicable Dollar Percentage or Applicable Multicurrency Percentage, as the case may be, thereof.</w:t>
      </w:r>
    </w:p>
    <w:p>
      <w:pPr>
        <w:spacing w:after="0" w:line="174" w:lineRule="exact"/>
        <w:rPr>
          <w:sz w:val="20"/>
          <w:szCs w:val="20"/>
          <w:color w:val="auto"/>
        </w:rPr>
      </w:pPr>
    </w:p>
    <w:p>
      <w:pPr>
        <w:jc w:val="both"/>
        <w:ind w:right="20" w:firstLine="1735"/>
        <w:spacing w:after="0" w:line="229" w:lineRule="auto"/>
        <w:tabs>
          <w:tab w:leader="none" w:pos="2543" w:val="left"/>
        </w:tabs>
        <w:numPr>
          <w:ilvl w:val="0"/>
          <w:numId w:val="54"/>
        </w:numPr>
        <w:rPr>
          <w:rFonts w:ascii="Arial" w:cs="Arial" w:eastAsia="Arial" w:hAnsi="Arial"/>
          <w:sz w:val="14"/>
          <w:szCs w:val="14"/>
          <w:color w:val="auto"/>
        </w:rPr>
      </w:pPr>
      <w:r>
        <w:rPr>
          <w:rFonts w:ascii="Arial" w:cs="Arial" w:eastAsia="Arial" w:hAnsi="Arial"/>
          <w:sz w:val="14"/>
          <w:szCs w:val="14"/>
          <w:u w:val="single" w:color="auto"/>
          <w:color w:val="auto"/>
        </w:rPr>
        <w:t>Obligations Absolute</w:t>
      </w:r>
      <w:r>
        <w:rPr>
          <w:rFonts w:ascii="Arial" w:cs="Arial" w:eastAsia="Arial" w:hAnsi="Arial"/>
          <w:sz w:val="14"/>
          <w:szCs w:val="14"/>
          <w:color w:val="auto"/>
        </w:rPr>
        <w:t xml:space="preserve">. The Borrower’s obligation to reimburse LC Disbursements as provided in </w:t>
      </w:r>
      <w:r>
        <w:rPr>
          <w:rFonts w:ascii="Arial" w:cs="Arial" w:eastAsia="Arial" w:hAnsi="Arial"/>
          <w:sz w:val="14"/>
          <w:szCs w:val="14"/>
          <w:u w:val="single" w:color="auto"/>
          <w:color w:val="auto"/>
        </w:rPr>
        <w:t>paragraph (f)</w:t>
      </w:r>
      <w:r>
        <w:rPr>
          <w:rFonts w:ascii="Arial" w:cs="Arial" w:eastAsia="Arial" w:hAnsi="Arial"/>
          <w:sz w:val="14"/>
          <w:szCs w:val="14"/>
          <w:color w:val="auto"/>
        </w:rPr>
        <w:t xml:space="preserve"> of this Section shall be absolute, unconditional and irrevocable, and shall be performed strictly in accordance with the terms of this Agreement under any and all circumstances whatsoever and irrespective of (i) any lack of validity or enforceability of any Letter of Credit, or any term or provision therein, (ii) any draft or other document presented under a Letter of Credit proving to be forged, fraudulent or invalid in any respect or any statement therein being untrue or inaccurate in any respect, (iii) payment by the Issuing Bank under a Letter of Credit against presentation of a draft or other document that does not comply strictly with the terms of such Letter of Credit, and (iv) any other event or circumstance whatsoever, whether or not similar to any of the foregoing, that might, but for the provisions of this Section, constitute a legal or equitable discharge of the Borrower’s obligations hereunder.</w:t>
      </w:r>
    </w:p>
    <w:p>
      <w:pPr>
        <w:spacing w:after="0" w:line="185" w:lineRule="exact"/>
        <w:rPr>
          <w:sz w:val="20"/>
          <w:szCs w:val="20"/>
          <w:color w:val="auto"/>
        </w:rPr>
      </w:pPr>
    </w:p>
    <w:p>
      <w:pPr>
        <w:jc w:val="both"/>
        <w:ind w:right="20" w:firstLine="1727"/>
        <w:spacing w:after="0" w:line="247" w:lineRule="auto"/>
        <w:rPr>
          <w:sz w:val="20"/>
          <w:szCs w:val="20"/>
          <w:color w:val="auto"/>
        </w:rPr>
      </w:pPr>
      <w:r>
        <w:rPr>
          <w:rFonts w:ascii="Arial" w:cs="Arial" w:eastAsia="Arial" w:hAnsi="Arial"/>
          <w:sz w:val="13"/>
          <w:szCs w:val="13"/>
          <w:color w:val="auto"/>
        </w:rPr>
        <w:t xml:space="preserve">Neither the Administrative Agent, the Lenders nor the Issuing Bank, nor any of their Related Parties, shall have any liability or responsibility by reason of or in connection with the issuance or transfer of any Letter of Credit by the Issuing Bank or any payment or failure to make any payment thereunder (irrespective of any of the circumstances referred to in the preceding sentence), or any error, omission, interruption, loss or delay in transmission or delivery of any draft, notice or other communication under or relating to any Letter of Credit (including any document required to make a drawing thereunder), any error in interpretation of technical terms or any consequence arising from causes beyond the control of the Issuing Bank; </w:t>
      </w:r>
      <w:r>
        <w:rPr>
          <w:rFonts w:ascii="Arial" w:cs="Arial" w:eastAsia="Arial" w:hAnsi="Arial"/>
          <w:sz w:val="13"/>
          <w:szCs w:val="13"/>
          <w:u w:val="single" w:color="auto"/>
          <w:color w:val="auto"/>
        </w:rPr>
        <w:t>provided</w:t>
      </w:r>
      <w:r>
        <w:rPr>
          <w:rFonts w:ascii="Arial" w:cs="Arial" w:eastAsia="Arial" w:hAnsi="Arial"/>
          <w:sz w:val="13"/>
          <w:szCs w:val="13"/>
          <w:color w:val="auto"/>
        </w:rPr>
        <w:t xml:space="preserve"> that the foregoing shall not be construed to excuse the Issuing Bank from liability to the Borrower to the extent of any direct damages (as opposed to consequential damages, claims in respect of which are hereby waived by the Borrower to the extent permitted by applicable law) suffered by the Borrower that are caused by the Issuing Bank’s gross negligence or willful misconduct when determining whether drafts and other documents presented under a Letter of Credit comply with the terms thereof. The parties hereto expressly agree that:</w:t>
      </w:r>
    </w:p>
    <w:p>
      <w:pPr>
        <w:spacing w:after="0" w:line="179" w:lineRule="exact"/>
        <w:rPr>
          <w:sz w:val="20"/>
          <w:szCs w:val="20"/>
          <w:color w:val="auto"/>
        </w:rPr>
      </w:pPr>
    </w:p>
    <w:p>
      <w:pPr>
        <w:jc w:val="both"/>
        <w:ind w:left="880" w:right="20" w:firstLine="789"/>
        <w:spacing w:after="0" w:line="238" w:lineRule="auto"/>
        <w:tabs>
          <w:tab w:leader="none" w:pos="2461" w:val="left"/>
        </w:tabs>
        <w:numPr>
          <w:ilvl w:val="0"/>
          <w:numId w:val="55"/>
        </w:numPr>
        <w:rPr>
          <w:rFonts w:ascii="Arial" w:cs="Arial" w:eastAsia="Arial" w:hAnsi="Arial"/>
          <w:sz w:val="14"/>
          <w:szCs w:val="14"/>
          <w:color w:val="auto"/>
        </w:rPr>
      </w:pPr>
      <w:r>
        <w:rPr>
          <w:rFonts w:ascii="Arial" w:cs="Arial" w:eastAsia="Arial" w:hAnsi="Arial"/>
          <w:sz w:val="14"/>
          <w:szCs w:val="14"/>
          <w:color w:val="auto"/>
        </w:rPr>
        <w:t>the Issuing Bank may accept documents that appear on their face to be in substantial compliance with the terms of a Letter of Credit without responsibility for further investigation, regardless of any notice or information to the contrary, and may make payment upon presentation of documents that appear on their face to be in substantial compliance with the terms of such Letter of Credit;</w:t>
      </w:r>
    </w:p>
    <w:p>
      <w:pPr>
        <w:spacing w:after="0" w:line="182" w:lineRule="exact"/>
        <w:rPr>
          <w:rFonts w:ascii="Arial" w:cs="Arial" w:eastAsia="Arial" w:hAnsi="Arial"/>
          <w:sz w:val="14"/>
          <w:szCs w:val="14"/>
          <w:color w:val="auto"/>
        </w:rPr>
      </w:pPr>
    </w:p>
    <w:p>
      <w:pPr>
        <w:ind w:left="880" w:right="20" w:firstLine="789"/>
        <w:spacing w:after="0" w:line="253" w:lineRule="auto"/>
        <w:tabs>
          <w:tab w:leader="none" w:pos="2501" w:val="left"/>
        </w:tabs>
        <w:numPr>
          <w:ilvl w:val="0"/>
          <w:numId w:val="55"/>
        </w:numPr>
        <w:rPr>
          <w:rFonts w:ascii="Arial" w:cs="Arial" w:eastAsia="Arial" w:hAnsi="Arial"/>
          <w:sz w:val="14"/>
          <w:szCs w:val="14"/>
          <w:color w:val="auto"/>
        </w:rPr>
      </w:pPr>
      <w:r>
        <w:rPr>
          <w:rFonts w:ascii="Arial" w:cs="Arial" w:eastAsia="Arial" w:hAnsi="Arial"/>
          <w:sz w:val="14"/>
          <w:szCs w:val="14"/>
          <w:color w:val="auto"/>
        </w:rPr>
        <w:t>the Issuing Bank shall have the right, in its sole discretion, to decline to accept such documents and to make such payment if such documents are not in strict compliance with the terms of such Letter of Credit; and</w:t>
      </w:r>
    </w:p>
    <w:p>
      <w:pPr>
        <w:spacing w:after="0" w:line="173" w:lineRule="exact"/>
        <w:rPr>
          <w:rFonts w:ascii="Arial" w:cs="Arial" w:eastAsia="Arial" w:hAnsi="Arial"/>
          <w:sz w:val="14"/>
          <w:szCs w:val="14"/>
          <w:color w:val="auto"/>
        </w:rPr>
      </w:pPr>
    </w:p>
    <w:p>
      <w:pPr>
        <w:jc w:val="both"/>
        <w:ind w:left="880" w:right="20" w:firstLine="789"/>
        <w:spacing w:after="0" w:line="238" w:lineRule="auto"/>
        <w:tabs>
          <w:tab w:leader="none" w:pos="2541" w:val="left"/>
        </w:tabs>
        <w:numPr>
          <w:ilvl w:val="0"/>
          <w:numId w:val="55"/>
        </w:numPr>
        <w:rPr>
          <w:rFonts w:ascii="Arial" w:cs="Arial" w:eastAsia="Arial" w:hAnsi="Arial"/>
          <w:sz w:val="14"/>
          <w:szCs w:val="14"/>
          <w:color w:val="auto"/>
        </w:rPr>
      </w:pPr>
      <w:r>
        <w:rPr>
          <w:rFonts w:ascii="Arial" w:cs="Arial" w:eastAsia="Arial" w:hAnsi="Arial"/>
          <w:sz w:val="14"/>
          <w:szCs w:val="14"/>
          <w:color w:val="auto"/>
        </w:rPr>
        <w:t>this sentence shall establish the standard of care to be exercised by the Issuing Bank when determining whether drafts and other documents presented under a Letter of Credit comply with the terms thereof (and the parties hereto hereby waive, to the extent permitted by applicable law, any standard of care inconsistent with the foregoing).</w:t>
      </w:r>
    </w:p>
    <w:p>
      <w:pPr>
        <w:spacing w:after="0" w:line="182" w:lineRule="exact"/>
        <w:rPr>
          <w:rFonts w:ascii="Arial" w:cs="Arial" w:eastAsia="Arial" w:hAnsi="Arial"/>
          <w:sz w:val="14"/>
          <w:szCs w:val="14"/>
          <w:color w:val="auto"/>
        </w:rPr>
      </w:pPr>
    </w:p>
    <w:p>
      <w:pPr>
        <w:jc w:val="both"/>
        <w:ind w:right="20" w:firstLine="1735"/>
        <w:spacing w:after="0" w:line="233" w:lineRule="auto"/>
        <w:tabs>
          <w:tab w:leader="none" w:pos="2543" w:val="left"/>
        </w:tabs>
        <w:numPr>
          <w:ilvl w:val="1"/>
          <w:numId w:val="55"/>
        </w:numPr>
        <w:rPr>
          <w:rFonts w:ascii="Arial" w:cs="Arial" w:eastAsia="Arial" w:hAnsi="Arial"/>
          <w:sz w:val="14"/>
          <w:szCs w:val="14"/>
          <w:color w:val="auto"/>
        </w:rPr>
      </w:pPr>
      <w:r>
        <w:rPr>
          <w:rFonts w:ascii="Arial" w:cs="Arial" w:eastAsia="Arial" w:hAnsi="Arial"/>
          <w:sz w:val="14"/>
          <w:szCs w:val="14"/>
          <w:u w:val="single" w:color="auto"/>
          <w:color w:val="auto"/>
        </w:rPr>
        <w:t>Disbursement Procedures</w:t>
      </w:r>
      <w:r>
        <w:rPr>
          <w:rFonts w:ascii="Arial" w:cs="Arial" w:eastAsia="Arial" w:hAnsi="Arial"/>
          <w:sz w:val="14"/>
          <w:szCs w:val="14"/>
          <w:color w:val="auto"/>
        </w:rPr>
        <w:t xml:space="preserve">. The Issuing Bank shall, within a reasonable time following its receipt thereof, examine all documents purporting to represent a demand for payment under a Letter of Credit. The Issuing Bank shall promptly after such examination notify the Administrative Agent and the Borrower by telephone (confirmed by telecopy) of such demand for payment and whether the Issuing Bank has made or will make an LC Disbursement thereunder; </w:t>
      </w:r>
      <w:r>
        <w:rPr>
          <w:rFonts w:ascii="Arial" w:cs="Arial" w:eastAsia="Arial" w:hAnsi="Arial"/>
          <w:sz w:val="14"/>
          <w:szCs w:val="14"/>
          <w:u w:val="single" w:color="auto"/>
          <w:color w:val="auto"/>
        </w:rPr>
        <w:t>provided</w:t>
      </w:r>
      <w:r>
        <w:rPr>
          <w:rFonts w:ascii="Arial" w:cs="Arial" w:eastAsia="Arial" w:hAnsi="Arial"/>
          <w:sz w:val="14"/>
          <w:szCs w:val="14"/>
          <w:color w:val="auto"/>
        </w:rPr>
        <w:t xml:space="preserve"> that any failure to give or delay in giving such notice shall not relieve the Borrower of its obligation to reimburse the Issuing Bank and the applicable Lenders with respect to any such LC Disbursement.</w:t>
      </w:r>
    </w:p>
    <w:p>
      <w:pPr>
        <w:spacing w:after="0" w:line="184" w:lineRule="exact"/>
        <w:rPr>
          <w:rFonts w:ascii="Arial" w:cs="Arial" w:eastAsia="Arial" w:hAnsi="Arial"/>
          <w:sz w:val="14"/>
          <w:szCs w:val="14"/>
          <w:color w:val="auto"/>
        </w:rPr>
      </w:pPr>
    </w:p>
    <w:p>
      <w:pPr>
        <w:jc w:val="both"/>
        <w:ind w:right="20" w:firstLine="1735"/>
        <w:spacing w:after="0" w:line="264" w:lineRule="auto"/>
        <w:tabs>
          <w:tab w:leader="none" w:pos="2511" w:val="left"/>
        </w:tabs>
        <w:numPr>
          <w:ilvl w:val="1"/>
          <w:numId w:val="55"/>
        </w:numPr>
        <w:rPr>
          <w:rFonts w:ascii="Arial" w:cs="Arial" w:eastAsia="Arial" w:hAnsi="Arial"/>
          <w:sz w:val="13"/>
          <w:szCs w:val="13"/>
          <w:color w:val="auto"/>
        </w:rPr>
      </w:pPr>
      <w:r>
        <w:rPr>
          <w:rFonts w:ascii="Arial" w:cs="Arial" w:eastAsia="Arial" w:hAnsi="Arial"/>
          <w:sz w:val="13"/>
          <w:szCs w:val="13"/>
          <w:u w:val="single" w:color="auto"/>
          <w:color w:val="auto"/>
        </w:rPr>
        <w:t>Interim Interest</w:t>
      </w:r>
      <w:r>
        <w:rPr>
          <w:rFonts w:ascii="Arial" w:cs="Arial" w:eastAsia="Arial" w:hAnsi="Arial"/>
          <w:sz w:val="13"/>
          <w:szCs w:val="13"/>
          <w:color w:val="auto"/>
        </w:rPr>
        <w:t xml:space="preserve">. If the Issuing Bank shall make any LC Disbursement, then, unless the Borrower shall reimburse such LC Disbursement in full on the date such LC Disbursement is made, the unpaid amount thereof shall bear interest, for each day from and including the date such LC Disbursement is made to but excluding the date that the Borrower reimburses such LC Disbursement, at the rate per annum then applicable to Syndicated ABR Loans; </w:t>
      </w:r>
      <w:r>
        <w:rPr>
          <w:rFonts w:ascii="Arial" w:cs="Arial" w:eastAsia="Arial" w:hAnsi="Arial"/>
          <w:sz w:val="13"/>
          <w:szCs w:val="13"/>
          <w:u w:val="single" w:color="auto"/>
          <w:color w:val="auto"/>
        </w:rPr>
        <w:t>provided</w:t>
      </w:r>
      <w:r>
        <w:rPr>
          <w:rFonts w:ascii="Arial" w:cs="Arial" w:eastAsia="Arial" w:hAnsi="Arial"/>
          <w:sz w:val="13"/>
          <w:szCs w:val="13"/>
          <w:color w:val="auto"/>
        </w:rPr>
        <w:t xml:space="preserve"> that, if the Borrower fails to reimburse such LC Disbursement within two</w:t>
      </w:r>
    </w:p>
    <w:p>
      <w:pPr>
        <w:spacing w:after="0" w:line="200" w:lineRule="exact"/>
        <w:rPr>
          <w:sz w:val="20"/>
          <w:szCs w:val="20"/>
          <w:color w:val="auto"/>
        </w:rPr>
      </w:pPr>
    </w:p>
    <w:p>
      <w:pPr>
        <w:spacing w:after="0" w:line="38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7580" w:type="dxa"/>
            <w:vAlign w:val="bottom"/>
          </w:tcPr>
          <w:p>
            <w:pPr>
              <w:jc w:val="right"/>
              <w:ind w:right="1808"/>
              <w:spacing w:after="0"/>
              <w:rPr>
                <w:sz w:val="20"/>
                <w:szCs w:val="20"/>
                <w:color w:val="auto"/>
              </w:rPr>
            </w:pPr>
            <w:r>
              <w:rPr>
                <w:rFonts w:ascii="Arial" w:cs="Arial" w:eastAsia="Arial" w:hAnsi="Arial"/>
                <w:sz w:val="14"/>
                <w:szCs w:val="14"/>
                <w:color w:val="auto"/>
              </w:rPr>
              <w:t>24</w:t>
            </w:r>
          </w:p>
        </w:tc>
        <w:tc>
          <w:tcPr>
            <w:tcW w:w="3680" w:type="dxa"/>
            <w:vAlign w:val="bottom"/>
          </w:tcPr>
          <w:p>
            <w:pPr>
              <w:jc w:val="right"/>
              <w:spacing w:after="0"/>
              <w:rPr>
                <w:sz w:val="20"/>
                <w:szCs w:val="20"/>
                <w:color w:val="auto"/>
              </w:rPr>
            </w:pPr>
            <w:r>
              <w:rPr>
                <w:rFonts w:ascii="Arial" w:cs="Arial" w:eastAsia="Arial" w:hAnsi="Arial"/>
                <w:sz w:val="14"/>
                <w:szCs w:val="14"/>
                <w:i w:val="1"/>
                <w:iCs w:val="1"/>
                <w:color w:val="auto"/>
              </w:rPr>
              <w:t>Second Amended and Restated</w:t>
            </w:r>
          </w:p>
        </w:tc>
      </w:tr>
      <w:tr>
        <w:trPr>
          <w:trHeight w:val="182"/>
        </w:trPr>
        <w:tc>
          <w:tcPr>
            <w:tcW w:w="7580" w:type="dxa"/>
            <w:vAlign w:val="bottom"/>
          </w:tcPr>
          <w:p>
            <w:pPr>
              <w:spacing w:after="0"/>
              <w:rPr>
                <w:sz w:val="15"/>
                <w:szCs w:val="15"/>
                <w:color w:val="auto"/>
              </w:rPr>
            </w:pPr>
          </w:p>
        </w:tc>
        <w:tc>
          <w:tcPr>
            <w:tcW w:w="3680" w:type="dxa"/>
            <w:vAlign w:val="bottom"/>
          </w:tcPr>
          <w:p>
            <w:pPr>
              <w:jc w:val="right"/>
              <w:spacing w:after="0"/>
              <w:rPr>
                <w:sz w:val="20"/>
                <w:szCs w:val="20"/>
                <w:color w:val="auto"/>
              </w:rPr>
            </w:pPr>
            <w:r>
              <w:rPr>
                <w:rFonts w:ascii="Arial" w:cs="Arial" w:eastAsia="Arial" w:hAnsi="Arial"/>
                <w:sz w:val="14"/>
                <w:szCs w:val="14"/>
                <w:i w:val="1"/>
                <w:iCs w:val="1"/>
                <w:color w:val="auto"/>
              </w:rPr>
              <w:t>Revolving Credit Agreement</w:t>
            </w:r>
          </w:p>
        </w:tc>
      </w:tr>
      <w:tr>
        <w:trPr>
          <w:trHeight w:val="316"/>
        </w:trPr>
        <w:tc>
          <w:tcPr>
            <w:tcW w:w="7580" w:type="dxa"/>
            <w:vAlign w:val="bottom"/>
            <w:tcBorders>
              <w:bottom w:val="single" w:sz="8" w:color="9A9A9A"/>
            </w:tcBorders>
          </w:tcPr>
          <w:p>
            <w:pPr>
              <w:spacing w:after="0"/>
              <w:rPr>
                <w:sz w:val="24"/>
                <w:szCs w:val="24"/>
                <w:color w:val="auto"/>
              </w:rPr>
            </w:pPr>
          </w:p>
        </w:tc>
        <w:tc>
          <w:tcPr>
            <w:tcW w:w="368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7145655</wp:posOffset>
            </wp:positionH>
            <wp:positionV relativeFrom="paragraph">
              <wp:posOffset>-8255</wp:posOffset>
            </wp:positionV>
            <wp:extent cx="8255" cy="8890"/>
            <wp:wrapNone/>
            <wp:docPr id="153" name="Picture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pic:cNvPicPr>
                      <a:picLocks noChangeAspect="1" noChangeArrowheads="1"/>
                    </pic:cNvPicPr>
                  </pic:nvPicPr>
                  <pic:blipFill>
                    <a:blip r:embed="rId160">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-16510</wp:posOffset>
            </wp:positionV>
            <wp:extent cx="8890" cy="17145"/>
            <wp:wrapNone/>
            <wp:docPr id="154" name="Picture 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
                    <pic:cNvPicPr>
                      <a:picLocks noChangeAspect="1" noChangeArrowheads="1"/>
                    </pic:cNvPicPr>
                  </pic:nvPicPr>
                  <pic:blipFill>
                    <a:blip r:embed="rId161">
                      <a:extLst>
                        <a:ext uri="{28A0092B-C50C-407E-A947-70E740481C1C}"/>
                      </a:extLst>
                    </a:blip>
                    <a:srcRect/>
                    <a:stretch>
                      <a:fillRect/>
                    </a:stretch>
                  </pic:blipFill>
                  <pic:spPr bwMode="auto">
                    <a:xfrm>
                      <a:off x="0" y="0"/>
                      <a:ext cx="8890" cy="17145"/>
                    </a:xfrm>
                    <a:prstGeom prst="rect">
                      <a:avLst/>
                    </a:prstGeom>
                    <a:noFill/>
                  </pic:spPr>
                </pic:pic>
              </a:graphicData>
            </a:graphic>
          </wp:anchor>
        </w:drawing>
      </w:r>
    </w:p>
    <w:p>
      <w:pPr>
        <w:sectPr>
          <w:pgSz w:w="11900" w:h="16838" w:orient="portrait"/>
          <w:cols w:equalWidth="0" w:num="1">
            <w:col w:w="11260"/>
          </w:cols>
          <w:pgMar w:left="320" w:top="337" w:right="319" w:bottom="1440" w:gutter="0" w:footer="0" w:header="0"/>
        </w:sectPr>
      </w:pPr>
    </w:p>
    <w:bookmarkStart w:id="87" w:name="page88"/>
    <w:bookmarkEnd w:id="87"/>
    <w:p>
      <w:pPr>
        <w:jc w:val="both"/>
        <w:ind w:right="20"/>
        <w:spacing w:after="0" w:line="238" w:lineRule="auto"/>
        <w:rPr>
          <w:sz w:val="20"/>
          <w:szCs w:val="20"/>
          <w:color w:val="auto"/>
        </w:rPr>
      </w:pPr>
      <w:r>
        <w:rPr>
          <w:rFonts w:ascii="Arial" w:cs="Arial" w:eastAsia="Arial" w:hAnsi="Arial"/>
          <w:sz w:val="14"/>
          <w:szCs w:val="14"/>
          <w:color w:val="auto"/>
        </w:rPr>
        <w:t xml:space="preserve">Business Days following the date when due pursuant to </w:t>
      </w:r>
      <w:r>
        <w:rPr>
          <w:rFonts w:ascii="Arial" w:cs="Arial" w:eastAsia="Arial" w:hAnsi="Arial"/>
          <w:sz w:val="14"/>
          <w:szCs w:val="14"/>
          <w:u w:val="single" w:color="auto"/>
          <w:color w:val="auto"/>
        </w:rPr>
        <w:t>paragraph (f)</w:t>
      </w:r>
      <w:r>
        <w:rPr>
          <w:rFonts w:ascii="Arial" w:cs="Arial" w:eastAsia="Arial" w:hAnsi="Arial"/>
          <w:sz w:val="14"/>
          <w:szCs w:val="14"/>
          <w:color w:val="auto"/>
        </w:rPr>
        <w:t xml:space="preserve"> of this Section, then the provisions of </w:t>
      </w:r>
      <w:r>
        <w:rPr>
          <w:rFonts w:ascii="Arial" w:cs="Arial" w:eastAsia="Arial" w:hAnsi="Arial"/>
          <w:sz w:val="14"/>
          <w:szCs w:val="14"/>
          <w:u w:val="single" w:color="auto"/>
          <w:color w:val="auto"/>
        </w:rPr>
        <w:t>Section 2.12(c)</w:t>
      </w:r>
      <w:r>
        <w:rPr>
          <w:rFonts w:ascii="Arial" w:cs="Arial" w:eastAsia="Arial" w:hAnsi="Arial"/>
          <w:sz w:val="14"/>
          <w:szCs w:val="14"/>
          <w:color w:val="auto"/>
        </w:rPr>
        <w:t xml:space="preserve"> shall apply. Interest accrued pursuant to this paragraph shall be for account of the Issuing Bank, except that interest accrued on and after the date of payment by any Lender pursuant to </w:t>
      </w:r>
      <w:r>
        <w:rPr>
          <w:rFonts w:ascii="Arial" w:cs="Arial" w:eastAsia="Arial" w:hAnsi="Arial"/>
          <w:sz w:val="14"/>
          <w:szCs w:val="14"/>
          <w:u w:val="single" w:color="auto"/>
          <w:color w:val="auto"/>
        </w:rPr>
        <w:t>paragraph (f)</w:t>
      </w:r>
      <w:r>
        <w:rPr>
          <w:rFonts w:ascii="Arial" w:cs="Arial" w:eastAsia="Arial" w:hAnsi="Arial"/>
          <w:sz w:val="14"/>
          <w:szCs w:val="14"/>
          <w:color w:val="auto"/>
        </w:rPr>
        <w:t xml:space="preserve"> of this Section to reimburse the Issuing Bank shall be for account of such Lender to the extent of such payment.</w:t>
      </w:r>
    </w:p>
    <w:p>
      <w:pPr>
        <w:spacing w:after="0" w:line="183" w:lineRule="exact"/>
        <w:rPr>
          <w:sz w:val="20"/>
          <w:szCs w:val="20"/>
          <w:color w:val="auto"/>
        </w:rPr>
      </w:pPr>
    </w:p>
    <w:p>
      <w:pPr>
        <w:jc w:val="both"/>
        <w:ind w:right="20" w:firstLine="1735"/>
        <w:spacing w:after="0" w:line="245" w:lineRule="auto"/>
        <w:tabs>
          <w:tab w:leader="none" w:pos="2511" w:val="left"/>
        </w:tabs>
        <w:numPr>
          <w:ilvl w:val="0"/>
          <w:numId w:val="56"/>
        </w:numPr>
        <w:rPr>
          <w:rFonts w:ascii="Arial" w:cs="Arial" w:eastAsia="Arial" w:hAnsi="Arial"/>
          <w:sz w:val="13"/>
          <w:szCs w:val="13"/>
          <w:color w:val="auto"/>
        </w:rPr>
      </w:pPr>
      <w:r>
        <w:rPr>
          <w:rFonts w:ascii="Arial" w:cs="Arial" w:eastAsia="Arial" w:hAnsi="Arial"/>
          <w:sz w:val="13"/>
          <w:szCs w:val="13"/>
          <w:u w:val="single" w:color="auto"/>
          <w:color w:val="auto"/>
        </w:rPr>
        <w:t>Resignation and/or Replacement of Issuing Bank</w:t>
      </w:r>
      <w:r>
        <w:rPr>
          <w:rFonts w:ascii="Arial" w:cs="Arial" w:eastAsia="Arial" w:hAnsi="Arial"/>
          <w:sz w:val="13"/>
          <w:szCs w:val="13"/>
          <w:color w:val="auto"/>
        </w:rPr>
        <w:t xml:space="preserve">. The Issuing Bank may resign and be replaced at any time by written agreement among the Borrower, the Administrative Agent, the resigning Issuing Bank and the successor Issuing Bank. The Administrative Agent shall notify the Lenders of any such resignation and replacement of the Issuing Bank. Upon the effectiveness of any resignation or replacement of the Issuing Bank, the Borrower shall pay all unpaid fees accrued for account of the resigning or replaced Issuing Bank pursuant to </w:t>
      </w:r>
      <w:r>
        <w:rPr>
          <w:rFonts w:ascii="Arial" w:cs="Arial" w:eastAsia="Arial" w:hAnsi="Arial"/>
          <w:sz w:val="13"/>
          <w:szCs w:val="13"/>
          <w:u w:val="single" w:color="auto"/>
          <w:color w:val="auto"/>
        </w:rPr>
        <w:t>Section 2.11(b)</w:t>
      </w:r>
      <w:r>
        <w:rPr>
          <w:rFonts w:ascii="Arial" w:cs="Arial" w:eastAsia="Arial" w:hAnsi="Arial"/>
          <w:sz w:val="13"/>
          <w:szCs w:val="13"/>
          <w:color w:val="auto"/>
        </w:rPr>
        <w:t>. From and after the effective date of the appointment of a successor Issuing Bank, (i) the successor Issuing Bank shall have all the rights and obligations of the replaced Issuing Bank under this Agreement with respect to Letters of Credit to be issued thereafter and (ii) references herein to the term “Issuing Bank” shall be deemed to refer to such successor or to any previous Issuing Bank, or to such successor and all previous Issuing Banks, as the context shall require. After the effective replacement or resignation of the Issuing Bank hereunder, the replaced or resigning Issuing Bank, as the case may be, shall remain a party hereto and shall continue to have all the rights and obligations of the Issuing Bank under this Agreement with respect to Letters of Credit issued by it prior to such resignation or replacement, but shall not be required to issue additional Letters of Credit.</w:t>
      </w:r>
    </w:p>
    <w:p>
      <w:pPr>
        <w:spacing w:after="0" w:line="183" w:lineRule="exact"/>
        <w:rPr>
          <w:rFonts w:ascii="Arial" w:cs="Arial" w:eastAsia="Arial" w:hAnsi="Arial"/>
          <w:sz w:val="13"/>
          <w:szCs w:val="13"/>
          <w:color w:val="auto"/>
        </w:rPr>
      </w:pPr>
    </w:p>
    <w:p>
      <w:pPr>
        <w:jc w:val="both"/>
        <w:ind w:right="20" w:firstLine="1735"/>
        <w:spacing w:after="0" w:line="228" w:lineRule="auto"/>
        <w:tabs>
          <w:tab w:leader="none" w:pos="2543" w:val="left"/>
        </w:tabs>
        <w:numPr>
          <w:ilvl w:val="0"/>
          <w:numId w:val="56"/>
        </w:numPr>
        <w:rPr>
          <w:rFonts w:ascii="Arial" w:cs="Arial" w:eastAsia="Arial" w:hAnsi="Arial"/>
          <w:sz w:val="14"/>
          <w:szCs w:val="14"/>
          <w:color w:val="auto"/>
        </w:rPr>
      </w:pPr>
      <w:r>
        <w:rPr>
          <w:rFonts w:ascii="Arial" w:cs="Arial" w:eastAsia="Arial" w:hAnsi="Arial"/>
          <w:sz w:val="14"/>
          <w:szCs w:val="14"/>
          <w:u w:val="single" w:color="auto"/>
          <w:color w:val="auto"/>
        </w:rPr>
        <w:t>Cash Collateralization</w:t>
      </w:r>
      <w:r>
        <w:rPr>
          <w:rFonts w:ascii="Arial" w:cs="Arial" w:eastAsia="Arial" w:hAnsi="Arial"/>
          <w:sz w:val="14"/>
          <w:szCs w:val="14"/>
          <w:color w:val="auto"/>
        </w:rPr>
        <w:t xml:space="preserve">. If the Borrower shall be required to provide Cash Collateral for LC Exposure pursuant to </w:t>
      </w:r>
      <w:r>
        <w:rPr>
          <w:rFonts w:ascii="Arial" w:cs="Arial" w:eastAsia="Arial" w:hAnsi="Arial"/>
          <w:sz w:val="14"/>
          <w:szCs w:val="14"/>
          <w:u w:val="single" w:color="auto"/>
          <w:color w:val="auto"/>
        </w:rPr>
        <w:t>Section 2.05(d)</w:t>
      </w:r>
      <w:r>
        <w:rPr>
          <w:rFonts w:ascii="Arial" w:cs="Arial" w:eastAsia="Arial" w:hAnsi="Arial"/>
          <w:sz w:val="14"/>
          <w:szCs w:val="14"/>
          <w:color w:val="auto"/>
        </w:rPr>
        <w:t xml:space="preserve">, </w:t>
      </w:r>
      <w:r>
        <w:rPr>
          <w:rFonts w:ascii="Arial" w:cs="Arial" w:eastAsia="Arial" w:hAnsi="Arial"/>
          <w:sz w:val="14"/>
          <w:szCs w:val="14"/>
          <w:u w:val="single" w:color="auto"/>
          <w:color w:val="auto"/>
        </w:rPr>
        <w:t>Section 2.09(a)</w:t>
      </w:r>
      <w:r>
        <w:rPr>
          <w:rFonts w:ascii="Arial" w:cs="Arial" w:eastAsia="Arial" w:hAnsi="Arial"/>
          <w:sz w:val="14"/>
          <w:szCs w:val="14"/>
          <w:color w:val="auto"/>
        </w:rPr>
        <w:t xml:space="preserve">, </w:t>
      </w:r>
      <w:r>
        <w:rPr>
          <w:rFonts w:ascii="Arial" w:cs="Arial" w:eastAsia="Arial" w:hAnsi="Arial"/>
          <w:sz w:val="14"/>
          <w:szCs w:val="14"/>
          <w:u w:val="single" w:color="auto"/>
          <w:color w:val="auto"/>
        </w:rPr>
        <w:t>Section 2.10(b)</w:t>
      </w:r>
      <w:r>
        <w:rPr>
          <w:rFonts w:ascii="Arial" w:cs="Arial" w:eastAsia="Arial" w:hAnsi="Arial"/>
          <w:sz w:val="14"/>
          <w:szCs w:val="14"/>
          <w:color w:val="auto"/>
        </w:rPr>
        <w:t xml:space="preserve"> or </w:t>
      </w:r>
      <w:r>
        <w:rPr>
          <w:rFonts w:ascii="Arial" w:cs="Arial" w:eastAsia="Arial" w:hAnsi="Arial"/>
          <w:sz w:val="14"/>
          <w:szCs w:val="14"/>
          <w:u w:val="single" w:color="auto"/>
          <w:color w:val="auto"/>
        </w:rPr>
        <w:t>(c)</w:t>
      </w:r>
      <w:r>
        <w:rPr>
          <w:rFonts w:ascii="Arial" w:cs="Arial" w:eastAsia="Arial" w:hAnsi="Arial"/>
          <w:sz w:val="14"/>
          <w:szCs w:val="14"/>
          <w:color w:val="auto"/>
        </w:rPr>
        <w:t xml:space="preserve"> or the penultimate paragraph of </w:t>
      </w:r>
      <w:r>
        <w:rPr>
          <w:rFonts w:ascii="Arial" w:cs="Arial" w:eastAsia="Arial" w:hAnsi="Arial"/>
          <w:sz w:val="14"/>
          <w:szCs w:val="14"/>
          <w:u w:val="single" w:color="auto"/>
          <w:color w:val="auto"/>
        </w:rPr>
        <w:t>Article VII</w:t>
      </w:r>
      <w:r>
        <w:rPr>
          <w:rFonts w:ascii="Arial" w:cs="Arial" w:eastAsia="Arial" w:hAnsi="Arial"/>
          <w:sz w:val="14"/>
          <w:szCs w:val="14"/>
          <w:color w:val="auto"/>
        </w:rPr>
        <w:t>, the Borrower shall immediately deposit into a segregated collateral account or accounts (herein, collectively, the “</w:t>
      </w:r>
      <w:r>
        <w:rPr>
          <w:rFonts w:ascii="Arial" w:cs="Arial" w:eastAsia="Arial" w:hAnsi="Arial"/>
          <w:sz w:val="14"/>
          <w:szCs w:val="14"/>
          <w:u w:val="single" w:color="auto"/>
          <w:color w:val="auto"/>
        </w:rPr>
        <w:t>Letter of</w:t>
      </w:r>
      <w:r>
        <w:rPr>
          <w:rFonts w:ascii="Arial" w:cs="Arial" w:eastAsia="Arial" w:hAnsi="Arial"/>
          <w:sz w:val="14"/>
          <w:szCs w:val="14"/>
          <w:color w:val="auto"/>
        </w:rPr>
        <w:t xml:space="preserve"> </w:t>
      </w:r>
      <w:r>
        <w:rPr>
          <w:rFonts w:ascii="Arial" w:cs="Arial" w:eastAsia="Arial" w:hAnsi="Arial"/>
          <w:sz w:val="14"/>
          <w:szCs w:val="14"/>
          <w:u w:val="single" w:color="auto"/>
          <w:color w:val="auto"/>
        </w:rPr>
        <w:t>Credit Collateral Account</w:t>
      </w:r>
      <w:r>
        <w:rPr>
          <w:rFonts w:ascii="Arial" w:cs="Arial" w:eastAsia="Arial" w:hAnsi="Arial"/>
          <w:sz w:val="14"/>
          <w:szCs w:val="14"/>
          <w:color w:val="auto"/>
        </w:rPr>
        <w:t xml:space="preserve">”) in the name and under the dominion and control of the Administrative Agent Cash denominated in the Currency of the Letter of Credit under which such LC Exposure arises in an amount equal to the amount required under </w:t>
      </w:r>
      <w:r>
        <w:rPr>
          <w:rFonts w:ascii="Arial" w:cs="Arial" w:eastAsia="Arial" w:hAnsi="Arial"/>
          <w:sz w:val="14"/>
          <w:szCs w:val="14"/>
          <w:u w:val="single" w:color="auto"/>
          <w:color w:val="auto"/>
        </w:rPr>
        <w:t>Section 2.05(d)</w:t>
      </w:r>
      <w:r>
        <w:rPr>
          <w:rFonts w:ascii="Arial" w:cs="Arial" w:eastAsia="Arial" w:hAnsi="Arial"/>
          <w:sz w:val="14"/>
          <w:szCs w:val="14"/>
          <w:color w:val="auto"/>
        </w:rPr>
        <w:t xml:space="preserve">, </w:t>
      </w:r>
      <w:r>
        <w:rPr>
          <w:rFonts w:ascii="Arial" w:cs="Arial" w:eastAsia="Arial" w:hAnsi="Arial"/>
          <w:sz w:val="14"/>
          <w:szCs w:val="14"/>
          <w:u w:val="single" w:color="auto"/>
          <w:color w:val="auto"/>
        </w:rPr>
        <w:t>Section 2.09(a)</w:t>
      </w:r>
      <w:r>
        <w:rPr>
          <w:rFonts w:ascii="Arial" w:cs="Arial" w:eastAsia="Arial" w:hAnsi="Arial"/>
          <w:sz w:val="14"/>
          <w:szCs w:val="14"/>
          <w:color w:val="auto"/>
        </w:rPr>
        <w:t xml:space="preserve">, </w:t>
      </w:r>
      <w:r>
        <w:rPr>
          <w:rFonts w:ascii="Arial" w:cs="Arial" w:eastAsia="Arial" w:hAnsi="Arial"/>
          <w:sz w:val="14"/>
          <w:szCs w:val="14"/>
          <w:u w:val="single" w:color="auto"/>
          <w:color w:val="auto"/>
        </w:rPr>
        <w:t>Section 2.10(b)</w:t>
      </w:r>
      <w:r>
        <w:rPr>
          <w:rFonts w:ascii="Arial" w:cs="Arial" w:eastAsia="Arial" w:hAnsi="Arial"/>
          <w:sz w:val="14"/>
          <w:szCs w:val="14"/>
          <w:color w:val="auto"/>
        </w:rPr>
        <w:t xml:space="preserve"> or </w:t>
      </w:r>
      <w:r>
        <w:rPr>
          <w:rFonts w:ascii="Arial" w:cs="Arial" w:eastAsia="Arial" w:hAnsi="Arial"/>
          <w:sz w:val="14"/>
          <w:szCs w:val="14"/>
          <w:u w:val="single" w:color="auto"/>
          <w:color w:val="auto"/>
        </w:rPr>
        <w:t>(c)</w:t>
      </w:r>
      <w:r>
        <w:rPr>
          <w:rFonts w:ascii="Arial" w:cs="Arial" w:eastAsia="Arial" w:hAnsi="Arial"/>
          <w:sz w:val="14"/>
          <w:szCs w:val="14"/>
          <w:color w:val="auto"/>
        </w:rPr>
        <w:t xml:space="preserve"> or the penultimate paragraph of </w:t>
      </w:r>
      <w:r>
        <w:rPr>
          <w:rFonts w:ascii="Arial" w:cs="Arial" w:eastAsia="Arial" w:hAnsi="Arial"/>
          <w:sz w:val="14"/>
          <w:szCs w:val="14"/>
          <w:u w:val="single" w:color="auto"/>
          <w:color w:val="auto"/>
        </w:rPr>
        <w:t>Article VII</w:t>
      </w:r>
      <w:r>
        <w:rPr>
          <w:rFonts w:ascii="Arial" w:cs="Arial" w:eastAsia="Arial" w:hAnsi="Arial"/>
          <w:sz w:val="14"/>
          <w:szCs w:val="14"/>
          <w:color w:val="auto"/>
        </w:rPr>
        <w:t>, as applicable. Such deposit shall be held by the Administrative Agent as collateral in the first instance for the LC Exposure under this Agreement and thereafter for the payment of the “Secured Obligations” under and as defined in the Guarantee and Security Agreement, and for these purposes the Borrower hereby grants a security interest to the Administrative Agent for the benefit of the Lenders in the Letter of Credit Collateral Account and in any financial assets (as defined in the Uniform Commercial Code) or other property held therein.</w:t>
      </w:r>
    </w:p>
    <w:p>
      <w:pPr>
        <w:spacing w:after="0" w:line="185" w:lineRule="exact"/>
        <w:rPr>
          <w:sz w:val="20"/>
          <w:szCs w:val="20"/>
          <w:color w:val="auto"/>
        </w:rPr>
      </w:pPr>
    </w:p>
    <w:p>
      <w:pPr>
        <w:ind w:left="1740"/>
        <w:spacing w:after="0"/>
        <w:rPr>
          <w:sz w:val="20"/>
          <w:szCs w:val="20"/>
          <w:color w:val="auto"/>
        </w:rPr>
      </w:pPr>
      <w:r>
        <w:rPr>
          <w:rFonts w:ascii="Arial" w:cs="Arial" w:eastAsia="Arial" w:hAnsi="Arial"/>
          <w:sz w:val="14"/>
          <w:szCs w:val="14"/>
          <w:color w:val="auto"/>
        </w:rPr>
        <w:t xml:space="preserve">SECTION 2.06. </w:t>
      </w:r>
      <w:r>
        <w:rPr>
          <w:rFonts w:ascii="Arial" w:cs="Arial" w:eastAsia="Arial" w:hAnsi="Arial"/>
          <w:sz w:val="14"/>
          <w:szCs w:val="14"/>
          <w:u w:val="single" w:color="auto"/>
          <w:color w:val="auto"/>
        </w:rPr>
        <w:t>Funding of Borrowings</w:t>
      </w:r>
      <w:r>
        <w:rPr>
          <w:rFonts w:ascii="Arial" w:cs="Arial" w:eastAsia="Arial" w:hAnsi="Arial"/>
          <w:sz w:val="14"/>
          <w:szCs w:val="14"/>
          <w:color w:val="auto"/>
        </w:rPr>
        <w:t>.</w:t>
      </w:r>
    </w:p>
    <w:p>
      <w:pPr>
        <w:spacing w:after="0" w:line="204" w:lineRule="exact"/>
        <w:rPr>
          <w:sz w:val="20"/>
          <w:szCs w:val="20"/>
          <w:color w:val="auto"/>
        </w:rPr>
      </w:pPr>
    </w:p>
    <w:p>
      <w:pPr>
        <w:jc w:val="both"/>
        <w:ind w:right="20" w:firstLine="1735"/>
        <w:spacing w:after="0" w:line="231" w:lineRule="auto"/>
        <w:tabs>
          <w:tab w:leader="none" w:pos="2535" w:val="left"/>
        </w:tabs>
        <w:numPr>
          <w:ilvl w:val="0"/>
          <w:numId w:val="57"/>
        </w:numPr>
        <w:rPr>
          <w:rFonts w:ascii="Arial" w:cs="Arial" w:eastAsia="Arial" w:hAnsi="Arial"/>
          <w:sz w:val="14"/>
          <w:szCs w:val="14"/>
          <w:color w:val="auto"/>
        </w:rPr>
      </w:pPr>
      <w:r>
        <w:rPr>
          <w:rFonts w:ascii="Arial" w:cs="Arial" w:eastAsia="Arial" w:hAnsi="Arial"/>
          <w:sz w:val="14"/>
          <w:szCs w:val="14"/>
          <w:u w:val="single" w:color="auto"/>
          <w:color w:val="auto"/>
        </w:rPr>
        <w:t>Funding by Lenders</w:t>
      </w:r>
      <w:r>
        <w:rPr>
          <w:rFonts w:ascii="Arial" w:cs="Arial" w:eastAsia="Arial" w:hAnsi="Arial"/>
          <w:sz w:val="14"/>
          <w:szCs w:val="14"/>
          <w:color w:val="auto"/>
        </w:rPr>
        <w:t xml:space="preserve">. Each Lender shall make each Loan to be made by it hereunder on the proposed date thereof by wire transfer of immediately available funds by 11:00 a.m., Atlanta, Georgia time, to the account of the Administrative Agent most recently designated by it for such purpose by notice to the Lenders; </w:t>
      </w:r>
      <w:r>
        <w:rPr>
          <w:rFonts w:ascii="Arial" w:cs="Arial" w:eastAsia="Arial" w:hAnsi="Arial"/>
          <w:sz w:val="14"/>
          <w:szCs w:val="14"/>
          <w:u w:val="single" w:color="auto"/>
          <w:color w:val="auto"/>
        </w:rPr>
        <w:t>provided</w:t>
      </w:r>
      <w:r>
        <w:rPr>
          <w:rFonts w:ascii="Arial" w:cs="Arial" w:eastAsia="Arial" w:hAnsi="Arial"/>
          <w:sz w:val="14"/>
          <w:szCs w:val="14"/>
          <w:color w:val="auto"/>
        </w:rPr>
        <w:t xml:space="preserve"> that Swingline Loans shall be made as provided in </w:t>
      </w:r>
      <w:r>
        <w:rPr>
          <w:rFonts w:ascii="Arial" w:cs="Arial" w:eastAsia="Arial" w:hAnsi="Arial"/>
          <w:sz w:val="14"/>
          <w:szCs w:val="14"/>
          <w:u w:val="single" w:color="auto"/>
          <w:color w:val="auto"/>
        </w:rPr>
        <w:t>Section 2.04</w:t>
      </w:r>
      <w:r>
        <w:rPr>
          <w:rFonts w:ascii="Arial" w:cs="Arial" w:eastAsia="Arial" w:hAnsi="Arial"/>
          <w:sz w:val="14"/>
          <w:szCs w:val="14"/>
          <w:color w:val="auto"/>
        </w:rPr>
        <w:t xml:space="preserve">. The Administrative Agent will make such Loans available to the Borrower by promptly crediting the amounts so received, in like funds, to an account of the Borrower designated by the Borrower in the applicable Borrowing Request; </w:t>
      </w:r>
      <w:r>
        <w:rPr>
          <w:rFonts w:ascii="Arial" w:cs="Arial" w:eastAsia="Arial" w:hAnsi="Arial"/>
          <w:sz w:val="14"/>
          <w:szCs w:val="14"/>
          <w:u w:val="single" w:color="auto"/>
          <w:color w:val="auto"/>
        </w:rPr>
        <w:t>provided</w:t>
      </w:r>
      <w:r>
        <w:rPr>
          <w:rFonts w:ascii="Arial" w:cs="Arial" w:eastAsia="Arial" w:hAnsi="Arial"/>
          <w:sz w:val="14"/>
          <w:szCs w:val="14"/>
          <w:color w:val="auto"/>
        </w:rPr>
        <w:t xml:space="preserve"> that Syndicated ABR Borrowings made to finance the reimbursement of an LC Disbursement as provided in </w:t>
      </w:r>
      <w:r>
        <w:rPr>
          <w:rFonts w:ascii="Arial" w:cs="Arial" w:eastAsia="Arial" w:hAnsi="Arial"/>
          <w:sz w:val="14"/>
          <w:szCs w:val="14"/>
          <w:u w:val="single" w:color="auto"/>
          <w:color w:val="auto"/>
        </w:rPr>
        <w:t>Section 2.05(f)</w:t>
      </w:r>
      <w:r>
        <w:rPr>
          <w:rFonts w:ascii="Arial" w:cs="Arial" w:eastAsia="Arial" w:hAnsi="Arial"/>
          <w:sz w:val="14"/>
          <w:szCs w:val="14"/>
          <w:color w:val="auto"/>
        </w:rPr>
        <w:t xml:space="preserve"> shall be remitted by the Administrative Agent to the Issuing Bank.</w:t>
      </w:r>
    </w:p>
    <w:p>
      <w:pPr>
        <w:spacing w:after="0" w:line="183" w:lineRule="exact"/>
        <w:rPr>
          <w:rFonts w:ascii="Arial" w:cs="Arial" w:eastAsia="Arial" w:hAnsi="Arial"/>
          <w:sz w:val="14"/>
          <w:szCs w:val="14"/>
          <w:color w:val="auto"/>
        </w:rPr>
      </w:pPr>
    </w:p>
    <w:p>
      <w:pPr>
        <w:jc w:val="both"/>
        <w:ind w:right="20" w:firstLine="1735"/>
        <w:spacing w:after="0" w:line="226" w:lineRule="auto"/>
        <w:tabs>
          <w:tab w:leader="none" w:pos="2543" w:val="left"/>
        </w:tabs>
        <w:numPr>
          <w:ilvl w:val="0"/>
          <w:numId w:val="57"/>
        </w:numPr>
        <w:rPr>
          <w:rFonts w:ascii="Arial" w:cs="Arial" w:eastAsia="Arial" w:hAnsi="Arial"/>
          <w:sz w:val="14"/>
          <w:szCs w:val="14"/>
          <w:color w:val="auto"/>
        </w:rPr>
      </w:pPr>
      <w:r>
        <w:rPr>
          <w:rFonts w:ascii="Arial" w:cs="Arial" w:eastAsia="Arial" w:hAnsi="Arial"/>
          <w:sz w:val="14"/>
          <w:szCs w:val="14"/>
          <w:u w:val="single" w:color="auto"/>
          <w:color w:val="auto"/>
        </w:rPr>
        <w:t>Presumption by the Administrative Agent</w:t>
      </w:r>
      <w:r>
        <w:rPr>
          <w:rFonts w:ascii="Arial" w:cs="Arial" w:eastAsia="Arial" w:hAnsi="Arial"/>
          <w:sz w:val="14"/>
          <w:szCs w:val="14"/>
          <w:color w:val="auto"/>
        </w:rPr>
        <w:t xml:space="preserve">. Unless the Administrative Agent shall have received notice from a Lender prior to the proposed date of any Borrowing that such Lender will not make available to the Administrative Agent such Lender’s share of such Borrowing, the Administrative Agent may assume that such Lender has made such share available on such date in accordance with </w:t>
      </w:r>
      <w:r>
        <w:rPr>
          <w:rFonts w:ascii="Arial" w:cs="Arial" w:eastAsia="Arial" w:hAnsi="Arial"/>
          <w:sz w:val="14"/>
          <w:szCs w:val="14"/>
          <w:u w:val="single" w:color="auto"/>
          <w:color w:val="auto"/>
        </w:rPr>
        <w:t>paragraph (a)</w:t>
      </w:r>
      <w:r>
        <w:rPr>
          <w:rFonts w:ascii="Arial" w:cs="Arial" w:eastAsia="Arial" w:hAnsi="Arial"/>
          <w:sz w:val="14"/>
          <w:szCs w:val="14"/>
          <w:color w:val="auto"/>
        </w:rPr>
        <w:t xml:space="preserve"> of this Section and may, in reliance upon such assumption, make available to the Borrower a corresponding amount. In such event, if a Lender has not in fact made its share of the applicable Borrowing available to the Administrative Agent, then the applicable Lender and the Borrower severally agree to pay to the Administrative Agent forthwith on demand such corresponding amount with interest thereon, for each day from and including the date such amount is made available to the Borrower to but excluding the date of payment to the Administrative Agent, at (i) in the case of such Lender, the Federal Funds Effective Rate or (ii) in the case of the Borrower, the interest rate applicable to ABR Loans. If such Lender pays such amount to the Administrative Agent, then such amount shall constitute such Lender’s Loan included in such Borrowing. Nothing in this paragraph shall relieve any Lender of its obligation to fulfill its commitments hereunder, and this paragraph shall be without prejudice to any claim the Borrower may have against a Lender that shall have failed to make such payment to the Administrative Agent.</w:t>
      </w:r>
    </w:p>
    <w:p>
      <w:pPr>
        <w:spacing w:after="0" w:line="188" w:lineRule="exact"/>
        <w:rPr>
          <w:sz w:val="20"/>
          <w:szCs w:val="20"/>
          <w:color w:val="auto"/>
        </w:rPr>
      </w:pPr>
    </w:p>
    <w:p>
      <w:pPr>
        <w:ind w:left="1740"/>
        <w:spacing w:after="0"/>
        <w:rPr>
          <w:sz w:val="20"/>
          <w:szCs w:val="20"/>
          <w:color w:val="auto"/>
        </w:rPr>
      </w:pPr>
      <w:r>
        <w:rPr>
          <w:rFonts w:ascii="Arial" w:cs="Arial" w:eastAsia="Arial" w:hAnsi="Arial"/>
          <w:sz w:val="14"/>
          <w:szCs w:val="14"/>
          <w:color w:val="auto"/>
        </w:rPr>
        <w:t xml:space="preserve">SECTION 2.07. </w:t>
      </w:r>
      <w:r>
        <w:rPr>
          <w:rFonts w:ascii="Arial" w:cs="Arial" w:eastAsia="Arial" w:hAnsi="Arial"/>
          <w:sz w:val="14"/>
          <w:szCs w:val="14"/>
          <w:u w:val="single" w:color="auto"/>
          <w:color w:val="auto"/>
        </w:rPr>
        <w:t>Interest Elections</w:t>
      </w:r>
      <w:r>
        <w:rPr>
          <w:rFonts w:ascii="Arial" w:cs="Arial" w:eastAsia="Arial" w:hAnsi="Arial"/>
          <w:sz w:val="14"/>
          <w:szCs w:val="14"/>
          <w:color w:val="auto"/>
        </w:rPr>
        <w:t>.</w:t>
      </w:r>
    </w:p>
    <w:p>
      <w:pPr>
        <w:spacing w:after="0" w:line="204" w:lineRule="exact"/>
        <w:rPr>
          <w:sz w:val="20"/>
          <w:szCs w:val="20"/>
          <w:color w:val="auto"/>
        </w:rPr>
      </w:pPr>
    </w:p>
    <w:p>
      <w:pPr>
        <w:jc w:val="both"/>
        <w:ind w:right="20" w:firstLine="1735"/>
        <w:spacing w:after="0" w:line="226" w:lineRule="auto"/>
        <w:tabs>
          <w:tab w:leader="none" w:pos="2535" w:val="left"/>
        </w:tabs>
        <w:numPr>
          <w:ilvl w:val="0"/>
          <w:numId w:val="58"/>
        </w:numPr>
        <w:rPr>
          <w:rFonts w:ascii="Arial" w:cs="Arial" w:eastAsia="Arial" w:hAnsi="Arial"/>
          <w:sz w:val="14"/>
          <w:szCs w:val="14"/>
          <w:color w:val="auto"/>
        </w:rPr>
      </w:pPr>
      <w:r>
        <w:rPr>
          <w:rFonts w:ascii="Arial" w:cs="Arial" w:eastAsia="Arial" w:hAnsi="Arial"/>
          <w:sz w:val="14"/>
          <w:szCs w:val="14"/>
          <w:u w:val="single" w:color="auto"/>
          <w:color w:val="auto"/>
        </w:rPr>
        <w:t>Elections by the Borrower for Syndicated Borrowings</w:t>
      </w:r>
      <w:r>
        <w:rPr>
          <w:rFonts w:ascii="Arial" w:cs="Arial" w:eastAsia="Arial" w:hAnsi="Arial"/>
          <w:sz w:val="14"/>
          <w:szCs w:val="14"/>
          <w:color w:val="auto"/>
        </w:rPr>
        <w:t xml:space="preserve">. Subject to </w:t>
      </w:r>
      <w:r>
        <w:rPr>
          <w:rFonts w:ascii="Arial" w:cs="Arial" w:eastAsia="Arial" w:hAnsi="Arial"/>
          <w:sz w:val="14"/>
          <w:szCs w:val="14"/>
          <w:u w:val="single" w:color="auto"/>
          <w:color w:val="auto"/>
        </w:rPr>
        <w:t>Section 2.03(d)</w:t>
      </w:r>
      <w:r>
        <w:rPr>
          <w:rFonts w:ascii="Arial" w:cs="Arial" w:eastAsia="Arial" w:hAnsi="Arial"/>
          <w:sz w:val="14"/>
          <w:szCs w:val="14"/>
          <w:color w:val="auto"/>
        </w:rPr>
        <w:t xml:space="preserve">, the Loans constituting each Syndicated Borrowing initially shall be of the Type specified in the applicable Borrowing Request and, in the case of a Eurocurrency Borrowing, shall have the Interest Period specified in such Borrowing Request. Thereafter, the Borrower may elect to convert such Borrowing to a Borrowing of a different Type or to continue such Borrowing as a Borrowing of the same Type and, in the case of a Eurocurrency Borrowing, may elect the Interest Period therefor, all as provided in this Section; </w:t>
      </w:r>
      <w:r>
        <w:rPr>
          <w:rFonts w:ascii="Arial" w:cs="Arial" w:eastAsia="Arial" w:hAnsi="Arial"/>
          <w:sz w:val="14"/>
          <w:szCs w:val="14"/>
          <w:u w:val="single" w:color="auto"/>
          <w:color w:val="auto"/>
        </w:rPr>
        <w:t>provided</w:t>
      </w:r>
      <w:r>
        <w:rPr>
          <w:rFonts w:ascii="Arial" w:cs="Arial" w:eastAsia="Arial" w:hAnsi="Arial"/>
          <w:sz w:val="14"/>
          <w:szCs w:val="14"/>
          <w:color w:val="auto"/>
        </w:rPr>
        <w:t xml:space="preserve">, </w:t>
      </w:r>
      <w:r>
        <w:rPr>
          <w:rFonts w:ascii="Arial" w:cs="Arial" w:eastAsia="Arial" w:hAnsi="Arial"/>
          <w:sz w:val="14"/>
          <w:szCs w:val="14"/>
          <w:u w:val="single" w:color="auto"/>
          <w:color w:val="auto"/>
        </w:rPr>
        <w:t>however</w:t>
      </w:r>
      <w:r>
        <w:rPr>
          <w:rFonts w:ascii="Arial" w:cs="Arial" w:eastAsia="Arial" w:hAnsi="Arial"/>
          <w:sz w:val="14"/>
          <w:szCs w:val="14"/>
          <w:color w:val="auto"/>
        </w:rPr>
        <w:t>, that (i) a Syndicated Borrowing of a Class may only be continued or converted into a Syndicated Borrowing of the same Class, (ii) a Syndicated Borrowing denominated in one Currency may not be continued as, or converted to, a Syndicated Borrowing in a different Currency, (iii) no Eurocurrency Borrowing denominated in a Foreign Currency may be continued if, after giving effect thereto, the aggregate Revolving Multicurrency Credit Exposures would exceed the aggregate Multicurrency Commitments, and (iv) a Eurocurrency Borrowing denominated in a Foreign Currency may not be converted to a Borrowing of a different Type. The Borrower may elect different options with respect to different portions of the affected Borrowing, in which case each such portion shall be allocated ratably among the Lenders of the respective Class holding the Loans constituting such Borrowing, and the Loans constituting each such portion shall be considered a separate Borrowing. This Section shall not apply to Swingline Borrowings, which may not be converted or continued.</w:t>
      </w:r>
    </w:p>
    <w:p>
      <w:pPr>
        <w:spacing w:after="0" w:line="184" w:lineRule="exact"/>
        <w:rPr>
          <w:rFonts w:ascii="Arial" w:cs="Arial" w:eastAsia="Arial" w:hAnsi="Arial"/>
          <w:sz w:val="14"/>
          <w:szCs w:val="14"/>
          <w:color w:val="auto"/>
        </w:rPr>
      </w:pPr>
    </w:p>
    <w:p>
      <w:pPr>
        <w:ind w:right="20" w:firstLine="1735"/>
        <w:spacing w:after="0" w:line="253" w:lineRule="auto"/>
        <w:tabs>
          <w:tab w:leader="none" w:pos="2543" w:val="left"/>
        </w:tabs>
        <w:numPr>
          <w:ilvl w:val="0"/>
          <w:numId w:val="58"/>
        </w:numPr>
        <w:rPr>
          <w:rFonts w:ascii="Arial" w:cs="Arial" w:eastAsia="Arial" w:hAnsi="Arial"/>
          <w:sz w:val="14"/>
          <w:szCs w:val="14"/>
          <w:color w:val="auto"/>
        </w:rPr>
      </w:pPr>
      <w:r>
        <w:rPr>
          <w:rFonts w:ascii="Arial" w:cs="Arial" w:eastAsia="Arial" w:hAnsi="Arial"/>
          <w:sz w:val="14"/>
          <w:szCs w:val="14"/>
          <w:u w:val="single" w:color="auto"/>
          <w:color w:val="auto"/>
        </w:rPr>
        <w:t>Notice of Elections</w:t>
      </w:r>
      <w:r>
        <w:rPr>
          <w:rFonts w:ascii="Arial" w:cs="Arial" w:eastAsia="Arial" w:hAnsi="Arial"/>
          <w:sz w:val="14"/>
          <w:szCs w:val="14"/>
          <w:color w:val="auto"/>
        </w:rPr>
        <w:t xml:space="preserve">. To make an election pursuant to this Section, the Borrower shall notify the Administrative Agent of such election by telephone by the time that a Borrowing Request would be required under </w:t>
      </w:r>
      <w:r>
        <w:rPr>
          <w:rFonts w:ascii="Arial" w:cs="Arial" w:eastAsia="Arial" w:hAnsi="Arial"/>
          <w:sz w:val="14"/>
          <w:szCs w:val="14"/>
          <w:u w:val="single" w:color="auto"/>
          <w:color w:val="auto"/>
        </w:rPr>
        <w:t>Section 2.03</w:t>
      </w:r>
      <w:r>
        <w:rPr>
          <w:rFonts w:ascii="Arial" w:cs="Arial" w:eastAsia="Arial" w:hAnsi="Arial"/>
          <w:sz w:val="14"/>
          <w:szCs w:val="14"/>
          <w:color w:val="auto"/>
        </w:rPr>
        <w:t xml:space="preserve"> if the Borrower were requesting</w:t>
      </w:r>
    </w:p>
    <w:p>
      <w:pPr>
        <w:spacing w:after="0" w:line="200" w:lineRule="exact"/>
        <w:rPr>
          <w:sz w:val="20"/>
          <w:szCs w:val="20"/>
          <w:color w:val="auto"/>
        </w:rPr>
      </w:pPr>
    </w:p>
    <w:p>
      <w:pPr>
        <w:spacing w:after="0" w:line="39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7580" w:type="dxa"/>
            <w:vAlign w:val="bottom"/>
          </w:tcPr>
          <w:p>
            <w:pPr>
              <w:jc w:val="right"/>
              <w:ind w:right="1808"/>
              <w:spacing w:after="0"/>
              <w:rPr>
                <w:sz w:val="20"/>
                <w:szCs w:val="20"/>
                <w:color w:val="auto"/>
              </w:rPr>
            </w:pPr>
            <w:r>
              <w:rPr>
                <w:rFonts w:ascii="Arial" w:cs="Arial" w:eastAsia="Arial" w:hAnsi="Arial"/>
                <w:sz w:val="14"/>
                <w:szCs w:val="14"/>
                <w:color w:val="auto"/>
              </w:rPr>
              <w:t>25</w:t>
            </w:r>
          </w:p>
        </w:tc>
        <w:tc>
          <w:tcPr>
            <w:tcW w:w="3680" w:type="dxa"/>
            <w:vAlign w:val="bottom"/>
          </w:tcPr>
          <w:p>
            <w:pPr>
              <w:jc w:val="right"/>
              <w:spacing w:after="0"/>
              <w:rPr>
                <w:sz w:val="20"/>
                <w:szCs w:val="20"/>
                <w:color w:val="auto"/>
              </w:rPr>
            </w:pPr>
            <w:r>
              <w:rPr>
                <w:rFonts w:ascii="Arial" w:cs="Arial" w:eastAsia="Arial" w:hAnsi="Arial"/>
                <w:sz w:val="14"/>
                <w:szCs w:val="14"/>
                <w:i w:val="1"/>
                <w:iCs w:val="1"/>
                <w:color w:val="auto"/>
              </w:rPr>
              <w:t>Second Amended and Restated</w:t>
            </w:r>
          </w:p>
        </w:tc>
      </w:tr>
      <w:tr>
        <w:trPr>
          <w:trHeight w:val="182"/>
        </w:trPr>
        <w:tc>
          <w:tcPr>
            <w:tcW w:w="7580" w:type="dxa"/>
            <w:vAlign w:val="bottom"/>
          </w:tcPr>
          <w:p>
            <w:pPr>
              <w:spacing w:after="0"/>
              <w:rPr>
                <w:sz w:val="15"/>
                <w:szCs w:val="15"/>
                <w:color w:val="auto"/>
              </w:rPr>
            </w:pPr>
          </w:p>
        </w:tc>
        <w:tc>
          <w:tcPr>
            <w:tcW w:w="3680" w:type="dxa"/>
            <w:vAlign w:val="bottom"/>
          </w:tcPr>
          <w:p>
            <w:pPr>
              <w:jc w:val="right"/>
              <w:spacing w:after="0"/>
              <w:rPr>
                <w:sz w:val="20"/>
                <w:szCs w:val="20"/>
                <w:color w:val="auto"/>
              </w:rPr>
            </w:pPr>
            <w:r>
              <w:rPr>
                <w:rFonts w:ascii="Arial" w:cs="Arial" w:eastAsia="Arial" w:hAnsi="Arial"/>
                <w:sz w:val="14"/>
                <w:szCs w:val="14"/>
                <w:i w:val="1"/>
                <w:iCs w:val="1"/>
                <w:color w:val="auto"/>
              </w:rPr>
              <w:t>Revolving Credit Agreement</w:t>
            </w:r>
          </w:p>
        </w:tc>
      </w:tr>
      <w:tr>
        <w:trPr>
          <w:trHeight w:val="316"/>
        </w:trPr>
        <w:tc>
          <w:tcPr>
            <w:tcW w:w="7580" w:type="dxa"/>
            <w:vAlign w:val="bottom"/>
            <w:tcBorders>
              <w:bottom w:val="single" w:sz="8" w:color="9A9A9A"/>
            </w:tcBorders>
          </w:tcPr>
          <w:p>
            <w:pPr>
              <w:spacing w:after="0"/>
              <w:rPr>
                <w:sz w:val="24"/>
                <w:szCs w:val="24"/>
                <w:color w:val="auto"/>
              </w:rPr>
            </w:pPr>
          </w:p>
        </w:tc>
        <w:tc>
          <w:tcPr>
            <w:tcW w:w="368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7145655</wp:posOffset>
            </wp:positionH>
            <wp:positionV relativeFrom="paragraph">
              <wp:posOffset>-7620</wp:posOffset>
            </wp:positionV>
            <wp:extent cx="8255" cy="8255"/>
            <wp:wrapNone/>
            <wp:docPr id="155" name="Picture 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
                    <pic:cNvPicPr>
                      <a:picLocks noChangeAspect="1" noChangeArrowheads="1"/>
                    </pic:cNvPicPr>
                  </pic:nvPicPr>
                  <pic:blipFill>
                    <a:blip r:embed="rId162">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-16510</wp:posOffset>
            </wp:positionV>
            <wp:extent cx="8890" cy="17145"/>
            <wp:wrapNone/>
            <wp:docPr id="156" name="Picture 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
                    <pic:cNvPicPr>
                      <a:picLocks noChangeAspect="1" noChangeArrowheads="1"/>
                    </pic:cNvPicPr>
                  </pic:nvPicPr>
                  <pic:blipFill>
                    <a:blip r:embed="rId163">
                      <a:extLst>
                        <a:ext uri="{28A0092B-C50C-407E-A947-70E740481C1C}"/>
                      </a:extLst>
                    </a:blip>
                    <a:srcRect/>
                    <a:stretch>
                      <a:fillRect/>
                    </a:stretch>
                  </pic:blipFill>
                  <pic:spPr bwMode="auto">
                    <a:xfrm>
                      <a:off x="0" y="0"/>
                      <a:ext cx="8890" cy="17145"/>
                    </a:xfrm>
                    <a:prstGeom prst="rect">
                      <a:avLst/>
                    </a:prstGeom>
                    <a:noFill/>
                  </pic:spPr>
                </pic:pic>
              </a:graphicData>
            </a:graphic>
          </wp:anchor>
        </w:drawing>
      </w:r>
    </w:p>
    <w:p>
      <w:pPr>
        <w:sectPr>
          <w:pgSz w:w="11900" w:h="16838" w:orient="portrait"/>
          <w:cols w:equalWidth="0" w:num="1">
            <w:col w:w="11260"/>
          </w:cols>
          <w:pgMar w:left="320" w:top="337" w:right="319" w:bottom="1440" w:gutter="0" w:footer="0" w:header="0"/>
        </w:sectPr>
      </w:pPr>
    </w:p>
    <w:bookmarkStart w:id="88" w:name="page89"/>
    <w:bookmarkEnd w:id="88"/>
    <w:p>
      <w:pPr>
        <w:jc w:val="both"/>
        <w:ind w:right="20"/>
        <w:spacing w:after="0" w:line="238" w:lineRule="auto"/>
        <w:rPr>
          <w:sz w:val="20"/>
          <w:szCs w:val="20"/>
          <w:color w:val="auto"/>
        </w:rPr>
      </w:pPr>
      <w:r>
        <w:rPr>
          <w:rFonts w:ascii="Arial" w:cs="Arial" w:eastAsia="Arial" w:hAnsi="Arial"/>
          <w:sz w:val="14"/>
          <w:szCs w:val="14"/>
          <w:color w:val="auto"/>
        </w:rPr>
        <w:t>a Syndicated Borrowing of the Type resulting from such election to be made on the effective date of such election. Each such telephonic Interest Election Request shall be irrevocable and shall be confirmed promptly (but no later than the close of business on the date of such request) by hand delivery or telecopy to the Administrative Agent of a written Interest Election Request in a form approved by the Administrative Agent and signed by the Borrower.</w:t>
      </w:r>
    </w:p>
    <w:p>
      <w:pPr>
        <w:spacing w:after="0" w:line="183" w:lineRule="exact"/>
        <w:rPr>
          <w:sz w:val="20"/>
          <w:szCs w:val="20"/>
          <w:color w:val="auto"/>
        </w:rPr>
      </w:pPr>
    </w:p>
    <w:p>
      <w:pPr>
        <w:ind w:left="2540" w:hanging="805"/>
        <w:spacing w:after="0"/>
        <w:tabs>
          <w:tab w:leader="none" w:pos="2540" w:val="left"/>
        </w:tabs>
        <w:numPr>
          <w:ilvl w:val="0"/>
          <w:numId w:val="59"/>
        </w:numPr>
        <w:rPr>
          <w:rFonts w:ascii="Arial" w:cs="Arial" w:eastAsia="Arial" w:hAnsi="Arial"/>
          <w:sz w:val="13"/>
          <w:szCs w:val="13"/>
          <w:color w:val="auto"/>
        </w:rPr>
      </w:pPr>
      <w:r>
        <w:rPr>
          <w:rFonts w:ascii="Arial" w:cs="Arial" w:eastAsia="Arial" w:hAnsi="Arial"/>
          <w:sz w:val="13"/>
          <w:szCs w:val="13"/>
          <w:u w:val="single" w:color="auto"/>
          <w:color w:val="auto"/>
        </w:rPr>
        <w:t>Content of Interest Election Requests</w:t>
      </w:r>
      <w:r>
        <w:rPr>
          <w:rFonts w:ascii="Arial" w:cs="Arial" w:eastAsia="Arial" w:hAnsi="Arial"/>
          <w:sz w:val="13"/>
          <w:szCs w:val="13"/>
          <w:color w:val="auto"/>
        </w:rPr>
        <w:t>.  Each telephonic and written Interest Election Request shall specify the following information in compliance</w:t>
      </w:r>
    </w:p>
    <w:p>
      <w:pPr>
        <w:spacing w:after="0" w:line="11" w:lineRule="exact"/>
        <w:rPr>
          <w:sz w:val="20"/>
          <w:szCs w:val="20"/>
          <w:color w:val="auto"/>
        </w:rPr>
      </w:pPr>
    </w:p>
    <w:p>
      <w:pPr>
        <w:spacing w:after="0"/>
        <w:rPr>
          <w:sz w:val="20"/>
          <w:szCs w:val="20"/>
          <w:color w:val="auto"/>
        </w:rPr>
      </w:pPr>
      <w:r>
        <w:rPr>
          <w:rFonts w:ascii="Arial" w:cs="Arial" w:eastAsia="Arial" w:hAnsi="Arial"/>
          <w:sz w:val="14"/>
          <w:szCs w:val="14"/>
          <w:color w:val="auto"/>
        </w:rPr>
        <w:t xml:space="preserve">with </w:t>
      </w:r>
      <w:r>
        <w:rPr>
          <w:rFonts w:ascii="Arial" w:cs="Arial" w:eastAsia="Arial" w:hAnsi="Arial"/>
          <w:sz w:val="14"/>
          <w:szCs w:val="14"/>
          <w:u w:val="single" w:color="auto"/>
          <w:color w:val="auto"/>
        </w:rPr>
        <w:t>Section 2.02</w:t>
      </w:r>
      <w:r>
        <w:rPr>
          <w:rFonts w:ascii="Arial" w:cs="Arial" w:eastAsia="Arial" w:hAnsi="Arial"/>
          <w:sz w:val="14"/>
          <w:szCs w:val="14"/>
          <w:color w:val="auto"/>
        </w:rPr>
        <w:t>:</w:t>
      </w:r>
    </w:p>
    <w:p>
      <w:pPr>
        <w:spacing w:after="0" w:line="192" w:lineRule="exact"/>
        <w:rPr>
          <w:sz w:val="20"/>
          <w:szCs w:val="20"/>
          <w:color w:val="auto"/>
        </w:rPr>
      </w:pPr>
    </w:p>
    <w:p>
      <w:pPr>
        <w:jc w:val="both"/>
        <w:ind w:left="880" w:right="20" w:firstLine="789"/>
        <w:spacing w:after="0" w:line="238" w:lineRule="auto"/>
        <w:tabs>
          <w:tab w:leader="none" w:pos="2461" w:val="left"/>
        </w:tabs>
        <w:numPr>
          <w:ilvl w:val="0"/>
          <w:numId w:val="60"/>
        </w:numPr>
        <w:rPr>
          <w:rFonts w:ascii="Arial" w:cs="Arial" w:eastAsia="Arial" w:hAnsi="Arial"/>
          <w:sz w:val="14"/>
          <w:szCs w:val="14"/>
          <w:color w:val="auto"/>
        </w:rPr>
      </w:pPr>
      <w:r>
        <w:rPr>
          <w:rFonts w:ascii="Arial" w:cs="Arial" w:eastAsia="Arial" w:hAnsi="Arial"/>
          <w:sz w:val="14"/>
          <w:szCs w:val="14"/>
          <w:color w:val="auto"/>
        </w:rPr>
        <w:t xml:space="preserve">the Borrowing (including the Class) to which such Interest Election Request applies and, if different options are being elected with respect to different portions thereof, the portions thereof to be allocated to each resulting Borrowing (in which case the information to be specified pursuant to </w:t>
      </w:r>
      <w:r>
        <w:rPr>
          <w:rFonts w:ascii="Arial" w:cs="Arial" w:eastAsia="Arial" w:hAnsi="Arial"/>
          <w:sz w:val="14"/>
          <w:szCs w:val="14"/>
          <w:u w:val="single" w:color="auto"/>
          <w:color w:val="auto"/>
        </w:rPr>
        <w:t>clauses (iii)</w:t>
      </w:r>
      <w:r>
        <w:rPr>
          <w:rFonts w:ascii="Arial" w:cs="Arial" w:eastAsia="Arial" w:hAnsi="Arial"/>
          <w:sz w:val="14"/>
          <w:szCs w:val="14"/>
          <w:color w:val="auto"/>
        </w:rPr>
        <w:t xml:space="preserve"> and </w:t>
      </w:r>
      <w:r>
        <w:rPr>
          <w:rFonts w:ascii="Arial" w:cs="Arial" w:eastAsia="Arial" w:hAnsi="Arial"/>
          <w:sz w:val="14"/>
          <w:szCs w:val="14"/>
          <w:u w:val="single" w:color="auto"/>
          <w:color w:val="auto"/>
        </w:rPr>
        <w:t>(iv)</w:t>
      </w:r>
      <w:r>
        <w:rPr>
          <w:rFonts w:ascii="Arial" w:cs="Arial" w:eastAsia="Arial" w:hAnsi="Arial"/>
          <w:sz w:val="14"/>
          <w:szCs w:val="14"/>
          <w:color w:val="auto"/>
        </w:rPr>
        <w:t xml:space="preserve"> of this paragraph shall be specified for each resulting Borrowing);</w:t>
      </w:r>
    </w:p>
    <w:p>
      <w:pPr>
        <w:spacing w:after="0" w:line="182" w:lineRule="exact"/>
        <w:rPr>
          <w:rFonts w:ascii="Arial" w:cs="Arial" w:eastAsia="Arial" w:hAnsi="Arial"/>
          <w:sz w:val="14"/>
          <w:szCs w:val="14"/>
          <w:color w:val="auto"/>
        </w:rPr>
      </w:pPr>
    </w:p>
    <w:p>
      <w:pPr>
        <w:ind w:left="2500" w:hanging="831"/>
        <w:spacing w:after="0"/>
        <w:tabs>
          <w:tab w:leader="none" w:pos="2500" w:val="left"/>
        </w:tabs>
        <w:numPr>
          <w:ilvl w:val="0"/>
          <w:numId w:val="60"/>
        </w:numPr>
        <w:rPr>
          <w:rFonts w:ascii="Arial" w:cs="Arial" w:eastAsia="Arial" w:hAnsi="Arial"/>
          <w:sz w:val="14"/>
          <w:szCs w:val="14"/>
          <w:color w:val="auto"/>
        </w:rPr>
      </w:pPr>
      <w:r>
        <w:rPr>
          <w:rFonts w:ascii="Arial" w:cs="Arial" w:eastAsia="Arial" w:hAnsi="Arial"/>
          <w:sz w:val="14"/>
          <w:szCs w:val="14"/>
          <w:color w:val="auto"/>
        </w:rPr>
        <w:t>the effective date of the election made pursuant to such Interest Election Request, which shall be a Business Day;</w:t>
      </w:r>
    </w:p>
    <w:p>
      <w:pPr>
        <w:spacing w:after="0" w:line="203" w:lineRule="exact"/>
        <w:rPr>
          <w:rFonts w:ascii="Arial" w:cs="Arial" w:eastAsia="Arial" w:hAnsi="Arial"/>
          <w:sz w:val="14"/>
          <w:szCs w:val="14"/>
          <w:color w:val="auto"/>
        </w:rPr>
      </w:pPr>
    </w:p>
    <w:p>
      <w:pPr>
        <w:ind w:left="2540" w:hanging="871"/>
        <w:spacing w:after="0"/>
        <w:tabs>
          <w:tab w:leader="none" w:pos="2540" w:val="left"/>
        </w:tabs>
        <w:numPr>
          <w:ilvl w:val="0"/>
          <w:numId w:val="60"/>
        </w:numPr>
        <w:rPr>
          <w:rFonts w:ascii="Arial" w:cs="Arial" w:eastAsia="Arial" w:hAnsi="Arial"/>
          <w:sz w:val="13"/>
          <w:szCs w:val="13"/>
          <w:color w:val="auto"/>
        </w:rPr>
      </w:pPr>
      <w:r>
        <w:rPr>
          <w:rFonts w:ascii="Arial" w:cs="Arial" w:eastAsia="Arial" w:hAnsi="Arial"/>
          <w:sz w:val="13"/>
          <w:szCs w:val="13"/>
          <w:color w:val="auto"/>
        </w:rPr>
        <w:t>whether, in the case of a Borrowing denominated in Dollars, the resulting Borrowing is to be an ABR Borrowing or a Eurocurrency Borrowing; and</w:t>
      </w:r>
    </w:p>
    <w:p>
      <w:pPr>
        <w:spacing w:after="0" w:line="215" w:lineRule="exact"/>
        <w:rPr>
          <w:rFonts w:ascii="Arial" w:cs="Arial" w:eastAsia="Arial" w:hAnsi="Arial"/>
          <w:sz w:val="13"/>
          <w:szCs w:val="13"/>
          <w:color w:val="auto"/>
        </w:rPr>
      </w:pPr>
    </w:p>
    <w:p>
      <w:pPr>
        <w:ind w:left="880" w:right="20" w:firstLine="789"/>
        <w:spacing w:after="0" w:line="253" w:lineRule="auto"/>
        <w:tabs>
          <w:tab w:leader="none" w:pos="2533" w:val="left"/>
        </w:tabs>
        <w:numPr>
          <w:ilvl w:val="0"/>
          <w:numId w:val="60"/>
        </w:numPr>
        <w:rPr>
          <w:rFonts w:ascii="Arial" w:cs="Arial" w:eastAsia="Arial" w:hAnsi="Arial"/>
          <w:sz w:val="14"/>
          <w:szCs w:val="14"/>
          <w:color w:val="auto"/>
        </w:rPr>
      </w:pPr>
      <w:r>
        <w:rPr>
          <w:rFonts w:ascii="Arial" w:cs="Arial" w:eastAsia="Arial" w:hAnsi="Arial"/>
          <w:sz w:val="14"/>
          <w:szCs w:val="14"/>
          <w:color w:val="auto"/>
        </w:rPr>
        <w:t xml:space="preserve">if the resulting Borrowing is a Eurocurrency Borrowing, the Interest Period therefor after giving effect to such election, which shall be a period contemplated by the definition of the term “Interest Period” and permitted under </w:t>
      </w:r>
      <w:r>
        <w:rPr>
          <w:rFonts w:ascii="Arial" w:cs="Arial" w:eastAsia="Arial" w:hAnsi="Arial"/>
          <w:sz w:val="14"/>
          <w:szCs w:val="14"/>
          <w:u w:val="single" w:color="auto"/>
          <w:color w:val="auto"/>
        </w:rPr>
        <w:t>Section 2.02(d)</w:t>
      </w:r>
      <w:r>
        <w:rPr>
          <w:rFonts w:ascii="Arial" w:cs="Arial" w:eastAsia="Arial" w:hAnsi="Arial"/>
          <w:sz w:val="14"/>
          <w:szCs w:val="14"/>
          <w:color w:val="auto"/>
        </w:rPr>
        <w:t>.</w:t>
      </w:r>
    </w:p>
    <w:p>
      <w:pPr>
        <w:spacing w:after="0" w:line="173" w:lineRule="exact"/>
        <w:rPr>
          <w:rFonts w:ascii="Arial" w:cs="Arial" w:eastAsia="Arial" w:hAnsi="Arial"/>
          <w:sz w:val="14"/>
          <w:szCs w:val="14"/>
          <w:color w:val="auto"/>
        </w:rPr>
      </w:pPr>
    </w:p>
    <w:p>
      <w:pPr>
        <w:ind w:right="20" w:firstLine="1735"/>
        <w:spacing w:after="0" w:line="253" w:lineRule="auto"/>
        <w:tabs>
          <w:tab w:leader="none" w:pos="2543" w:val="left"/>
        </w:tabs>
        <w:numPr>
          <w:ilvl w:val="1"/>
          <w:numId w:val="60"/>
        </w:numPr>
        <w:rPr>
          <w:rFonts w:ascii="Arial" w:cs="Arial" w:eastAsia="Arial" w:hAnsi="Arial"/>
          <w:sz w:val="14"/>
          <w:szCs w:val="14"/>
          <w:color w:val="auto"/>
        </w:rPr>
      </w:pPr>
      <w:r>
        <w:rPr>
          <w:rFonts w:ascii="Arial" w:cs="Arial" w:eastAsia="Arial" w:hAnsi="Arial"/>
          <w:sz w:val="14"/>
          <w:szCs w:val="14"/>
          <w:u w:val="single" w:color="auto"/>
          <w:color w:val="auto"/>
        </w:rPr>
        <w:t>Notice by the Administrative Agent to the Lenders</w:t>
      </w:r>
      <w:r>
        <w:rPr>
          <w:rFonts w:ascii="Arial" w:cs="Arial" w:eastAsia="Arial" w:hAnsi="Arial"/>
          <w:sz w:val="14"/>
          <w:szCs w:val="14"/>
          <w:color w:val="auto"/>
        </w:rPr>
        <w:t>. Promptly following receipt of an Interest Election Request, the Administrative Agent shall advise each applicable Lender of the details thereof and of such Lender’s portion of each resulting Borrowing.</w:t>
      </w:r>
    </w:p>
    <w:p>
      <w:pPr>
        <w:spacing w:after="0" w:line="173" w:lineRule="exact"/>
        <w:rPr>
          <w:rFonts w:ascii="Arial" w:cs="Arial" w:eastAsia="Arial" w:hAnsi="Arial"/>
          <w:sz w:val="14"/>
          <w:szCs w:val="14"/>
          <w:color w:val="auto"/>
        </w:rPr>
      </w:pPr>
    </w:p>
    <w:p>
      <w:pPr>
        <w:jc w:val="both"/>
        <w:ind w:right="20" w:firstLine="1735"/>
        <w:spacing w:after="0" w:line="228" w:lineRule="auto"/>
        <w:tabs>
          <w:tab w:leader="none" w:pos="2535" w:val="left"/>
        </w:tabs>
        <w:numPr>
          <w:ilvl w:val="1"/>
          <w:numId w:val="60"/>
        </w:numPr>
        <w:rPr>
          <w:rFonts w:ascii="Arial" w:cs="Arial" w:eastAsia="Arial" w:hAnsi="Arial"/>
          <w:sz w:val="14"/>
          <w:szCs w:val="14"/>
          <w:color w:val="auto"/>
        </w:rPr>
      </w:pPr>
      <w:r>
        <w:rPr>
          <w:rFonts w:ascii="Arial" w:cs="Arial" w:eastAsia="Arial" w:hAnsi="Arial"/>
          <w:sz w:val="14"/>
          <w:szCs w:val="14"/>
          <w:u w:val="single" w:color="auto"/>
          <w:color w:val="auto"/>
        </w:rPr>
        <w:t>Failure to Elect; Events of Default</w:t>
      </w:r>
      <w:r>
        <w:rPr>
          <w:rFonts w:ascii="Arial" w:cs="Arial" w:eastAsia="Arial" w:hAnsi="Arial"/>
          <w:sz w:val="14"/>
          <w:szCs w:val="14"/>
          <w:color w:val="auto"/>
        </w:rPr>
        <w:t>. If the Borrower fails to deliver a timely and complete Interest Election Request with respect to a Eurocurrency Borrowing prior to the end of the Interest Period therefor, then, unless such Borrowing is repaid as provided herein, (i) if such Borrowing is denominated in Dollars, at the end of such Interest Period such Borrowing shall be converted to a Syndicated Eurocurrency Borrowing of the same Class having an Interest Period of one month, and (ii) if such Borrowing is denominated in a Foreign Currency, the Borrower shall be deemed to have selected an Interest Period of one month’s duration. Notwithstanding any contrary provision hereof, if an Event of Default has occurred and is continuing and the Administrative Agent, at the request of the Required Lenders, so notifies the Borrower, (i) any Eurocurrency Borrowing denominated in Dollars shall, at the end of the applicable Interest Period for such Eurocurrency Borrowing, be automatically converted to an ABR Borrowing and (ii) any Eurocurrency Borrowing denominated in a Foreign Currency shall not have an Interest Period of more than one month’s duration.</w:t>
      </w:r>
    </w:p>
    <w:p>
      <w:pPr>
        <w:spacing w:after="0" w:line="185" w:lineRule="exact"/>
        <w:rPr>
          <w:sz w:val="20"/>
          <w:szCs w:val="20"/>
          <w:color w:val="auto"/>
        </w:rPr>
      </w:pPr>
    </w:p>
    <w:p>
      <w:pPr>
        <w:ind w:left="1740"/>
        <w:spacing w:after="0"/>
        <w:rPr>
          <w:sz w:val="20"/>
          <w:szCs w:val="20"/>
          <w:color w:val="auto"/>
        </w:rPr>
      </w:pPr>
      <w:r>
        <w:rPr>
          <w:rFonts w:ascii="Arial" w:cs="Arial" w:eastAsia="Arial" w:hAnsi="Arial"/>
          <w:sz w:val="14"/>
          <w:szCs w:val="14"/>
          <w:color w:val="auto"/>
        </w:rPr>
        <w:t xml:space="preserve">SECTION 2.08. </w:t>
      </w:r>
      <w:r>
        <w:rPr>
          <w:rFonts w:ascii="Arial" w:cs="Arial" w:eastAsia="Arial" w:hAnsi="Arial"/>
          <w:sz w:val="14"/>
          <w:szCs w:val="14"/>
          <w:u w:val="single" w:color="auto"/>
          <w:color w:val="auto"/>
        </w:rPr>
        <w:t>Termination, Reduction or Increase of the Commitments</w:t>
      </w:r>
      <w:r>
        <w:rPr>
          <w:rFonts w:ascii="Arial" w:cs="Arial" w:eastAsia="Arial" w:hAnsi="Arial"/>
          <w:sz w:val="14"/>
          <w:szCs w:val="14"/>
          <w:color w:val="auto"/>
        </w:rPr>
        <w:t>.</w:t>
      </w:r>
    </w:p>
    <w:p>
      <w:pPr>
        <w:spacing w:after="0" w:line="204" w:lineRule="exact"/>
        <w:rPr>
          <w:sz w:val="20"/>
          <w:szCs w:val="20"/>
          <w:color w:val="auto"/>
        </w:rPr>
      </w:pPr>
    </w:p>
    <w:p>
      <w:pPr>
        <w:ind w:left="2540" w:hanging="805"/>
        <w:spacing w:after="0"/>
        <w:tabs>
          <w:tab w:leader="none" w:pos="2540" w:val="left"/>
        </w:tabs>
        <w:numPr>
          <w:ilvl w:val="1"/>
          <w:numId w:val="61"/>
        </w:numPr>
        <w:rPr>
          <w:rFonts w:ascii="Arial" w:cs="Arial" w:eastAsia="Arial" w:hAnsi="Arial"/>
          <w:sz w:val="13"/>
          <w:szCs w:val="13"/>
          <w:color w:val="auto"/>
        </w:rPr>
      </w:pPr>
      <w:r>
        <w:rPr>
          <w:rFonts w:ascii="Arial" w:cs="Arial" w:eastAsia="Arial" w:hAnsi="Arial"/>
          <w:sz w:val="13"/>
          <w:szCs w:val="13"/>
          <w:u w:val="single" w:color="auto"/>
          <w:color w:val="auto"/>
        </w:rPr>
        <w:t>Scheduled Termination</w:t>
      </w:r>
      <w:r>
        <w:rPr>
          <w:rFonts w:ascii="Arial" w:cs="Arial" w:eastAsia="Arial" w:hAnsi="Arial"/>
          <w:sz w:val="13"/>
          <w:szCs w:val="13"/>
          <w:color w:val="auto"/>
        </w:rPr>
        <w:t>. Unless previously terminated, the Commitments of each Class shall terminate on the Commitment Termination Date.</w:t>
      </w:r>
    </w:p>
    <w:p>
      <w:pPr>
        <w:spacing w:after="0" w:line="215" w:lineRule="exact"/>
        <w:rPr>
          <w:rFonts w:ascii="Arial" w:cs="Arial" w:eastAsia="Arial" w:hAnsi="Arial"/>
          <w:sz w:val="13"/>
          <w:szCs w:val="13"/>
          <w:color w:val="auto"/>
        </w:rPr>
      </w:pPr>
    </w:p>
    <w:p>
      <w:pPr>
        <w:jc w:val="both"/>
        <w:ind w:right="20" w:firstLine="1735"/>
        <w:spacing w:after="0" w:line="251" w:lineRule="auto"/>
        <w:tabs>
          <w:tab w:leader="none" w:pos="2543" w:val="left"/>
        </w:tabs>
        <w:numPr>
          <w:ilvl w:val="1"/>
          <w:numId w:val="61"/>
        </w:numPr>
        <w:rPr>
          <w:rFonts w:ascii="Arial" w:cs="Arial" w:eastAsia="Arial" w:hAnsi="Arial"/>
          <w:sz w:val="13"/>
          <w:szCs w:val="13"/>
          <w:color w:val="auto"/>
        </w:rPr>
      </w:pPr>
      <w:r>
        <w:rPr>
          <w:rFonts w:ascii="Arial" w:cs="Arial" w:eastAsia="Arial" w:hAnsi="Arial"/>
          <w:sz w:val="13"/>
          <w:szCs w:val="13"/>
          <w:u w:val="single" w:color="auto"/>
          <w:color w:val="auto"/>
        </w:rPr>
        <w:t>Voluntary Termination or Reduction</w:t>
      </w:r>
      <w:r>
        <w:rPr>
          <w:rFonts w:ascii="Arial" w:cs="Arial" w:eastAsia="Arial" w:hAnsi="Arial"/>
          <w:sz w:val="13"/>
          <w:szCs w:val="13"/>
          <w:color w:val="auto"/>
        </w:rPr>
        <w:t xml:space="preserve">. The Borrower may at any time terminate, or from time to time reduce, the Commitments of either Class; </w:t>
      </w:r>
      <w:r>
        <w:rPr>
          <w:rFonts w:ascii="Arial" w:cs="Arial" w:eastAsia="Arial" w:hAnsi="Arial"/>
          <w:sz w:val="13"/>
          <w:szCs w:val="13"/>
          <w:u w:val="single" w:color="auto"/>
          <w:color w:val="auto"/>
        </w:rPr>
        <w:t>provided</w:t>
      </w:r>
      <w:r>
        <w:rPr>
          <w:rFonts w:ascii="Arial" w:cs="Arial" w:eastAsia="Arial" w:hAnsi="Arial"/>
          <w:sz w:val="13"/>
          <w:szCs w:val="13"/>
          <w:color w:val="auto"/>
        </w:rPr>
        <w:t xml:space="preserve"> that (i) each reduction of the Commitments of a Class shall be in an amount that is $25,000,000 or a larger multiple of $5,000,000 in excess thereof and (ii) the Borrower shall not terminate or reduce the Commitments of either Class if, after giving effect to any concurrent prepayment of the Syndicated Loans of such Class in accordance with </w:t>
      </w:r>
      <w:r>
        <w:rPr>
          <w:rFonts w:ascii="Arial" w:cs="Arial" w:eastAsia="Arial" w:hAnsi="Arial"/>
          <w:sz w:val="13"/>
          <w:szCs w:val="13"/>
          <w:u w:val="single" w:color="auto"/>
          <w:color w:val="auto"/>
        </w:rPr>
        <w:t>Section 2.10</w:t>
      </w:r>
      <w:r>
        <w:rPr>
          <w:rFonts w:ascii="Arial" w:cs="Arial" w:eastAsia="Arial" w:hAnsi="Arial"/>
          <w:sz w:val="13"/>
          <w:szCs w:val="13"/>
          <w:color w:val="auto"/>
        </w:rPr>
        <w:t xml:space="preserve">, the total Revolving Credit Exposures of such Class would exceed the total Commitments of such Class. Any such reduction of the Commitments below the principal amount of the Swingline Loans permitted under </w:t>
      </w:r>
      <w:r>
        <w:rPr>
          <w:rFonts w:ascii="Arial" w:cs="Arial" w:eastAsia="Arial" w:hAnsi="Arial"/>
          <w:sz w:val="13"/>
          <w:szCs w:val="13"/>
          <w:u w:val="single" w:color="auto"/>
          <w:color w:val="auto"/>
        </w:rPr>
        <w:t>Section 2.04(a)(i)</w:t>
      </w:r>
      <w:r>
        <w:rPr>
          <w:rFonts w:ascii="Arial" w:cs="Arial" w:eastAsia="Arial" w:hAnsi="Arial"/>
          <w:sz w:val="13"/>
          <w:szCs w:val="13"/>
          <w:color w:val="auto"/>
        </w:rPr>
        <w:t xml:space="preserve"> and the Letters of Credit permitted under </w:t>
      </w:r>
      <w:r>
        <w:rPr>
          <w:rFonts w:ascii="Arial" w:cs="Arial" w:eastAsia="Arial" w:hAnsi="Arial"/>
          <w:sz w:val="13"/>
          <w:szCs w:val="13"/>
          <w:u w:val="single" w:color="auto"/>
          <w:color w:val="auto"/>
        </w:rPr>
        <w:t>Section 2.05(c)(i)</w:t>
      </w:r>
      <w:r>
        <w:rPr>
          <w:rFonts w:ascii="Arial" w:cs="Arial" w:eastAsia="Arial" w:hAnsi="Arial"/>
          <w:sz w:val="13"/>
          <w:szCs w:val="13"/>
          <w:color w:val="auto"/>
        </w:rPr>
        <w:t xml:space="preserve"> shall result in a dollar-for-dollar reduction of such amounts as applicable.</w:t>
      </w:r>
    </w:p>
    <w:p>
      <w:pPr>
        <w:spacing w:after="0" w:line="176" w:lineRule="exact"/>
        <w:rPr>
          <w:rFonts w:ascii="Arial" w:cs="Arial" w:eastAsia="Arial" w:hAnsi="Arial"/>
          <w:sz w:val="13"/>
          <w:szCs w:val="13"/>
          <w:color w:val="auto"/>
        </w:rPr>
      </w:pPr>
    </w:p>
    <w:p>
      <w:pPr>
        <w:jc w:val="both"/>
        <w:ind w:right="20" w:firstLine="1735"/>
        <w:spacing w:after="0" w:line="229" w:lineRule="auto"/>
        <w:tabs>
          <w:tab w:leader="none" w:pos="2535" w:val="left"/>
        </w:tabs>
        <w:numPr>
          <w:ilvl w:val="1"/>
          <w:numId w:val="61"/>
        </w:numPr>
        <w:rPr>
          <w:rFonts w:ascii="Arial" w:cs="Arial" w:eastAsia="Arial" w:hAnsi="Arial"/>
          <w:sz w:val="14"/>
          <w:szCs w:val="14"/>
          <w:color w:val="auto"/>
        </w:rPr>
      </w:pPr>
      <w:r>
        <w:rPr>
          <w:rFonts w:ascii="Arial" w:cs="Arial" w:eastAsia="Arial" w:hAnsi="Arial"/>
          <w:sz w:val="14"/>
          <w:szCs w:val="14"/>
          <w:u w:val="single" w:color="auto"/>
          <w:color w:val="auto"/>
        </w:rPr>
        <w:t>Notice of Voluntary Termination or Reduction</w:t>
      </w:r>
      <w:r>
        <w:rPr>
          <w:rFonts w:ascii="Arial" w:cs="Arial" w:eastAsia="Arial" w:hAnsi="Arial"/>
          <w:sz w:val="14"/>
          <w:szCs w:val="14"/>
          <w:color w:val="auto"/>
        </w:rPr>
        <w:t xml:space="preserve">. The Borrower shall notify the Administrative Agent of any election to terminate or reduce the Commitments under </w:t>
      </w:r>
      <w:r>
        <w:rPr>
          <w:rFonts w:ascii="Arial" w:cs="Arial" w:eastAsia="Arial" w:hAnsi="Arial"/>
          <w:sz w:val="14"/>
          <w:szCs w:val="14"/>
          <w:u w:val="single" w:color="auto"/>
          <w:color w:val="auto"/>
        </w:rPr>
        <w:t>paragraph (b)</w:t>
      </w:r>
      <w:r>
        <w:rPr>
          <w:rFonts w:ascii="Arial" w:cs="Arial" w:eastAsia="Arial" w:hAnsi="Arial"/>
          <w:sz w:val="14"/>
          <w:szCs w:val="14"/>
          <w:color w:val="auto"/>
        </w:rPr>
        <w:t xml:space="preserve"> of this Section at least two Business Days prior to the effective date of such termination or reduction, specifying such election and the effective date thereof. Promptly following receipt of any notice, the Administrative Agent shall advise the applicable Lenders of the contents thereof. Each notice delivered by the Borrower pursuant to this Section shall be irrevocable; </w:t>
      </w:r>
      <w:r>
        <w:rPr>
          <w:rFonts w:ascii="Arial" w:cs="Arial" w:eastAsia="Arial" w:hAnsi="Arial"/>
          <w:sz w:val="14"/>
          <w:szCs w:val="14"/>
          <w:u w:val="single" w:color="auto"/>
          <w:color w:val="auto"/>
        </w:rPr>
        <w:t>provided</w:t>
      </w:r>
      <w:r>
        <w:rPr>
          <w:rFonts w:ascii="Arial" w:cs="Arial" w:eastAsia="Arial" w:hAnsi="Arial"/>
          <w:sz w:val="14"/>
          <w:szCs w:val="14"/>
          <w:color w:val="auto"/>
        </w:rPr>
        <w:t xml:space="preserve"> that a notice of termination of the Commitments of a Class delivered by the Borrower may state that such notice is conditioned upon the effectiveness of other credit facilities, in which case such notice may be revoked by the Borrower (by notice to the Administrative Agent on or prior to the specified effective date) if such condition is not satisfied.</w:t>
      </w:r>
    </w:p>
    <w:p>
      <w:pPr>
        <w:spacing w:after="0" w:line="185" w:lineRule="exact"/>
        <w:rPr>
          <w:rFonts w:ascii="Arial" w:cs="Arial" w:eastAsia="Arial" w:hAnsi="Arial"/>
          <w:sz w:val="14"/>
          <w:szCs w:val="14"/>
          <w:color w:val="auto"/>
        </w:rPr>
      </w:pPr>
    </w:p>
    <w:p>
      <w:pPr>
        <w:ind w:right="20" w:firstLine="1735"/>
        <w:spacing w:after="0" w:line="253" w:lineRule="auto"/>
        <w:tabs>
          <w:tab w:leader="none" w:pos="2543" w:val="left"/>
        </w:tabs>
        <w:numPr>
          <w:ilvl w:val="1"/>
          <w:numId w:val="61"/>
        </w:numPr>
        <w:rPr>
          <w:rFonts w:ascii="Arial" w:cs="Arial" w:eastAsia="Arial" w:hAnsi="Arial"/>
          <w:sz w:val="14"/>
          <w:szCs w:val="14"/>
          <w:color w:val="auto"/>
        </w:rPr>
      </w:pPr>
      <w:r>
        <w:rPr>
          <w:rFonts w:ascii="Arial" w:cs="Arial" w:eastAsia="Arial" w:hAnsi="Arial"/>
          <w:sz w:val="14"/>
          <w:szCs w:val="14"/>
          <w:u w:val="single" w:color="auto"/>
          <w:color w:val="auto"/>
        </w:rPr>
        <w:t>Effect of Termination or Reduction</w:t>
      </w:r>
      <w:r>
        <w:rPr>
          <w:rFonts w:ascii="Arial" w:cs="Arial" w:eastAsia="Arial" w:hAnsi="Arial"/>
          <w:sz w:val="14"/>
          <w:szCs w:val="14"/>
          <w:color w:val="auto"/>
        </w:rPr>
        <w:t>. Any termination or reduction of the Commitments of a Class shall be permanent. Each reduction of the Commitments of a Class shall be made ratably among the Lenders of such Class in accordance with their respective Commitments.</w:t>
      </w:r>
    </w:p>
    <w:p>
      <w:pPr>
        <w:spacing w:after="0" w:line="173" w:lineRule="exact"/>
        <w:rPr>
          <w:rFonts w:ascii="Arial" w:cs="Arial" w:eastAsia="Arial" w:hAnsi="Arial"/>
          <w:sz w:val="14"/>
          <w:szCs w:val="14"/>
          <w:color w:val="auto"/>
        </w:rPr>
      </w:pPr>
    </w:p>
    <w:p>
      <w:pPr>
        <w:ind w:left="2540" w:hanging="805"/>
        <w:spacing w:after="0"/>
        <w:tabs>
          <w:tab w:leader="none" w:pos="2540" w:val="left"/>
        </w:tabs>
        <w:numPr>
          <w:ilvl w:val="1"/>
          <w:numId w:val="61"/>
        </w:numPr>
        <w:rPr>
          <w:rFonts w:ascii="Arial" w:cs="Arial" w:eastAsia="Arial" w:hAnsi="Arial"/>
          <w:sz w:val="14"/>
          <w:szCs w:val="14"/>
          <w:color w:val="auto"/>
        </w:rPr>
      </w:pPr>
      <w:r>
        <w:rPr>
          <w:rFonts w:ascii="Arial" w:cs="Arial" w:eastAsia="Arial" w:hAnsi="Arial"/>
          <w:sz w:val="14"/>
          <w:szCs w:val="14"/>
          <w:u w:val="single" w:color="auto"/>
          <w:color w:val="auto"/>
        </w:rPr>
        <w:t>Increase of the Commitments</w:t>
      </w:r>
      <w:r>
        <w:rPr>
          <w:rFonts w:ascii="Arial" w:cs="Arial" w:eastAsia="Arial" w:hAnsi="Arial"/>
          <w:sz w:val="14"/>
          <w:szCs w:val="14"/>
          <w:color w:val="auto"/>
        </w:rPr>
        <w:t>.</w:t>
      </w:r>
    </w:p>
    <w:p>
      <w:pPr>
        <w:spacing w:after="0" w:line="203" w:lineRule="exact"/>
        <w:rPr>
          <w:rFonts w:ascii="Arial" w:cs="Arial" w:eastAsia="Arial" w:hAnsi="Arial"/>
          <w:sz w:val="14"/>
          <w:szCs w:val="14"/>
          <w:color w:val="auto"/>
        </w:rPr>
      </w:pPr>
    </w:p>
    <w:p>
      <w:pPr>
        <w:jc w:val="both"/>
        <w:ind w:left="880" w:right="20" w:firstLine="789"/>
        <w:spacing w:after="0" w:line="264" w:lineRule="auto"/>
        <w:tabs>
          <w:tab w:leader="none" w:pos="2461" w:val="left"/>
        </w:tabs>
        <w:numPr>
          <w:ilvl w:val="0"/>
          <w:numId w:val="62"/>
        </w:numPr>
        <w:rPr>
          <w:rFonts w:ascii="Arial" w:cs="Arial" w:eastAsia="Arial" w:hAnsi="Arial"/>
          <w:sz w:val="13"/>
          <w:szCs w:val="13"/>
          <w:color w:val="auto"/>
        </w:rPr>
      </w:pPr>
      <w:r>
        <w:rPr>
          <w:rFonts w:ascii="Arial" w:cs="Arial" w:eastAsia="Arial" w:hAnsi="Arial"/>
          <w:sz w:val="13"/>
          <w:szCs w:val="13"/>
          <w:u w:val="single" w:color="auto"/>
          <w:color w:val="auto"/>
        </w:rPr>
        <w:t>Requests for Increase by Borrower</w:t>
      </w:r>
      <w:r>
        <w:rPr>
          <w:rFonts w:ascii="Arial" w:cs="Arial" w:eastAsia="Arial" w:hAnsi="Arial"/>
          <w:sz w:val="13"/>
          <w:szCs w:val="13"/>
          <w:color w:val="auto"/>
        </w:rPr>
        <w:t>. The Borrower may, at any time, request that the Commitments hereunder of a Class be increased (each such proposed increase being a “</w:t>
      </w:r>
      <w:r>
        <w:rPr>
          <w:rFonts w:ascii="Arial" w:cs="Arial" w:eastAsia="Arial" w:hAnsi="Arial"/>
          <w:sz w:val="13"/>
          <w:szCs w:val="13"/>
          <w:u w:val="single" w:color="auto"/>
          <w:color w:val="auto"/>
        </w:rPr>
        <w:t>Commitment Increase</w:t>
      </w:r>
      <w:r>
        <w:rPr>
          <w:rFonts w:ascii="Arial" w:cs="Arial" w:eastAsia="Arial" w:hAnsi="Arial"/>
          <w:sz w:val="13"/>
          <w:szCs w:val="13"/>
          <w:color w:val="auto"/>
        </w:rPr>
        <w:t>”), upon notice to the Administrative Agent (who shall promptly notify the Lenders), which notice shall specify each existing Lender (each an “</w:t>
      </w:r>
      <w:r>
        <w:rPr>
          <w:rFonts w:ascii="Arial" w:cs="Arial" w:eastAsia="Arial" w:hAnsi="Arial"/>
          <w:sz w:val="13"/>
          <w:szCs w:val="13"/>
          <w:u w:val="single" w:color="auto"/>
          <w:color w:val="auto"/>
        </w:rPr>
        <w:t>Increasing Lender</w:t>
      </w:r>
      <w:r>
        <w:rPr>
          <w:rFonts w:ascii="Arial" w:cs="Arial" w:eastAsia="Arial" w:hAnsi="Arial"/>
          <w:sz w:val="13"/>
          <w:szCs w:val="13"/>
          <w:color w:val="auto"/>
        </w:rPr>
        <w:t>”) and/or each additional lender (each an “</w:t>
      </w:r>
      <w:r>
        <w:rPr>
          <w:rFonts w:ascii="Arial" w:cs="Arial" w:eastAsia="Arial" w:hAnsi="Arial"/>
          <w:sz w:val="13"/>
          <w:szCs w:val="13"/>
          <w:u w:val="single" w:color="auto"/>
          <w:color w:val="auto"/>
        </w:rPr>
        <w:t>Assuming Lender</w:t>
      </w:r>
      <w:r>
        <w:rPr>
          <w:rFonts w:ascii="Arial" w:cs="Arial" w:eastAsia="Arial" w:hAnsi="Arial"/>
          <w:sz w:val="13"/>
          <w:szCs w:val="13"/>
          <w:color w:val="auto"/>
        </w:rPr>
        <w:t>”) that shall have agreed to an additional Commitment and the date on which such</w:t>
      </w:r>
    </w:p>
    <w:p>
      <w:pPr>
        <w:spacing w:after="0" w:line="200" w:lineRule="exact"/>
        <w:rPr>
          <w:sz w:val="20"/>
          <w:szCs w:val="20"/>
          <w:color w:val="auto"/>
        </w:rPr>
      </w:pPr>
    </w:p>
    <w:p>
      <w:pPr>
        <w:spacing w:after="0" w:line="38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7580" w:type="dxa"/>
            <w:vAlign w:val="bottom"/>
          </w:tcPr>
          <w:p>
            <w:pPr>
              <w:jc w:val="right"/>
              <w:ind w:right="1808"/>
              <w:spacing w:after="0"/>
              <w:rPr>
                <w:sz w:val="20"/>
                <w:szCs w:val="20"/>
                <w:color w:val="auto"/>
              </w:rPr>
            </w:pPr>
            <w:r>
              <w:rPr>
                <w:rFonts w:ascii="Arial" w:cs="Arial" w:eastAsia="Arial" w:hAnsi="Arial"/>
                <w:sz w:val="14"/>
                <w:szCs w:val="14"/>
                <w:color w:val="auto"/>
              </w:rPr>
              <w:t>26</w:t>
            </w:r>
          </w:p>
        </w:tc>
        <w:tc>
          <w:tcPr>
            <w:tcW w:w="3680" w:type="dxa"/>
            <w:vAlign w:val="bottom"/>
          </w:tcPr>
          <w:p>
            <w:pPr>
              <w:jc w:val="right"/>
              <w:spacing w:after="0"/>
              <w:rPr>
                <w:sz w:val="20"/>
                <w:szCs w:val="20"/>
                <w:color w:val="auto"/>
              </w:rPr>
            </w:pPr>
            <w:r>
              <w:rPr>
                <w:rFonts w:ascii="Arial" w:cs="Arial" w:eastAsia="Arial" w:hAnsi="Arial"/>
                <w:sz w:val="14"/>
                <w:szCs w:val="14"/>
                <w:i w:val="1"/>
                <w:iCs w:val="1"/>
                <w:color w:val="auto"/>
              </w:rPr>
              <w:t>Second Amended and Restated</w:t>
            </w:r>
          </w:p>
        </w:tc>
      </w:tr>
      <w:tr>
        <w:trPr>
          <w:trHeight w:val="182"/>
        </w:trPr>
        <w:tc>
          <w:tcPr>
            <w:tcW w:w="7580" w:type="dxa"/>
            <w:vAlign w:val="bottom"/>
          </w:tcPr>
          <w:p>
            <w:pPr>
              <w:spacing w:after="0"/>
              <w:rPr>
                <w:sz w:val="15"/>
                <w:szCs w:val="15"/>
                <w:color w:val="auto"/>
              </w:rPr>
            </w:pPr>
          </w:p>
        </w:tc>
        <w:tc>
          <w:tcPr>
            <w:tcW w:w="3680" w:type="dxa"/>
            <w:vAlign w:val="bottom"/>
          </w:tcPr>
          <w:p>
            <w:pPr>
              <w:jc w:val="right"/>
              <w:spacing w:after="0"/>
              <w:rPr>
                <w:sz w:val="20"/>
                <w:szCs w:val="20"/>
                <w:color w:val="auto"/>
              </w:rPr>
            </w:pPr>
            <w:r>
              <w:rPr>
                <w:rFonts w:ascii="Arial" w:cs="Arial" w:eastAsia="Arial" w:hAnsi="Arial"/>
                <w:sz w:val="14"/>
                <w:szCs w:val="14"/>
                <w:i w:val="1"/>
                <w:iCs w:val="1"/>
                <w:color w:val="auto"/>
              </w:rPr>
              <w:t>Revolving Credit Agreement</w:t>
            </w:r>
          </w:p>
        </w:tc>
      </w:tr>
      <w:tr>
        <w:trPr>
          <w:trHeight w:val="316"/>
        </w:trPr>
        <w:tc>
          <w:tcPr>
            <w:tcW w:w="7580" w:type="dxa"/>
            <w:vAlign w:val="bottom"/>
            <w:tcBorders>
              <w:bottom w:val="single" w:sz="8" w:color="9A9A9A"/>
            </w:tcBorders>
          </w:tcPr>
          <w:p>
            <w:pPr>
              <w:spacing w:after="0"/>
              <w:rPr>
                <w:sz w:val="24"/>
                <w:szCs w:val="24"/>
                <w:color w:val="auto"/>
              </w:rPr>
            </w:pPr>
          </w:p>
        </w:tc>
        <w:tc>
          <w:tcPr>
            <w:tcW w:w="368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7145655</wp:posOffset>
            </wp:positionH>
            <wp:positionV relativeFrom="paragraph">
              <wp:posOffset>-7620</wp:posOffset>
            </wp:positionV>
            <wp:extent cx="8255" cy="8255"/>
            <wp:wrapNone/>
            <wp:docPr id="157" name="Picture 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
                    <pic:cNvPicPr>
                      <a:picLocks noChangeAspect="1" noChangeArrowheads="1"/>
                    </pic:cNvPicPr>
                  </pic:nvPicPr>
                  <pic:blipFill>
                    <a:blip r:embed="rId164">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-16510</wp:posOffset>
            </wp:positionV>
            <wp:extent cx="8890" cy="17145"/>
            <wp:wrapNone/>
            <wp:docPr id="158" name="Picture 1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
                    <pic:cNvPicPr>
                      <a:picLocks noChangeAspect="1" noChangeArrowheads="1"/>
                    </pic:cNvPicPr>
                  </pic:nvPicPr>
                  <pic:blipFill>
                    <a:blip r:embed="rId165">
                      <a:extLst>
                        <a:ext uri="{28A0092B-C50C-407E-A947-70E740481C1C}"/>
                      </a:extLst>
                    </a:blip>
                    <a:srcRect/>
                    <a:stretch>
                      <a:fillRect/>
                    </a:stretch>
                  </pic:blipFill>
                  <pic:spPr bwMode="auto">
                    <a:xfrm>
                      <a:off x="0" y="0"/>
                      <a:ext cx="8890" cy="17145"/>
                    </a:xfrm>
                    <a:prstGeom prst="rect">
                      <a:avLst/>
                    </a:prstGeom>
                    <a:noFill/>
                  </pic:spPr>
                </pic:pic>
              </a:graphicData>
            </a:graphic>
          </wp:anchor>
        </w:drawing>
      </w:r>
    </w:p>
    <w:p>
      <w:pPr>
        <w:sectPr>
          <w:pgSz w:w="11900" w:h="16838" w:orient="portrait"/>
          <w:cols w:equalWidth="0" w:num="1">
            <w:col w:w="11260"/>
          </w:cols>
          <w:pgMar w:left="320" w:top="337" w:right="319" w:bottom="1440" w:gutter="0" w:footer="0" w:header="0"/>
        </w:sectPr>
      </w:pPr>
    </w:p>
    <w:bookmarkStart w:id="89" w:name="page90"/>
    <w:bookmarkEnd w:id="89"/>
    <w:p>
      <w:pPr>
        <w:ind w:left="880" w:right="20"/>
        <w:spacing w:after="0" w:line="253" w:lineRule="auto"/>
        <w:rPr>
          <w:sz w:val="20"/>
          <w:szCs w:val="20"/>
          <w:color w:val="auto"/>
        </w:rPr>
      </w:pPr>
      <w:r>
        <w:rPr>
          <w:rFonts w:ascii="Arial" w:cs="Arial" w:eastAsia="Arial" w:hAnsi="Arial"/>
          <w:sz w:val="14"/>
          <w:szCs w:val="14"/>
          <w:color w:val="auto"/>
        </w:rPr>
        <w:t>increase is to be effective (the “</w:t>
      </w:r>
      <w:r>
        <w:rPr>
          <w:rFonts w:ascii="Arial" w:cs="Arial" w:eastAsia="Arial" w:hAnsi="Arial"/>
          <w:sz w:val="14"/>
          <w:szCs w:val="14"/>
          <w:u w:val="single" w:color="auto"/>
          <w:color w:val="auto"/>
        </w:rPr>
        <w:t>Commitment Increase Date</w:t>
      </w:r>
      <w:r>
        <w:rPr>
          <w:rFonts w:ascii="Arial" w:cs="Arial" w:eastAsia="Arial" w:hAnsi="Arial"/>
          <w:sz w:val="14"/>
          <w:szCs w:val="14"/>
          <w:color w:val="auto"/>
        </w:rPr>
        <w:t xml:space="preserve">”), which shall be a Business Day at least three Business Days (or such lesser period as the Administrative Agent may reasonably agree) after delivery of such notice and 30 days prior to the Commitment Termination Date; </w:t>
      </w:r>
      <w:r>
        <w:rPr>
          <w:rFonts w:ascii="Arial" w:cs="Arial" w:eastAsia="Arial" w:hAnsi="Arial"/>
          <w:sz w:val="14"/>
          <w:szCs w:val="14"/>
          <w:u w:val="single" w:color="auto"/>
          <w:color w:val="auto"/>
        </w:rPr>
        <w:t>provided</w:t>
      </w:r>
      <w:r>
        <w:rPr>
          <w:rFonts w:ascii="Arial" w:cs="Arial" w:eastAsia="Arial" w:hAnsi="Arial"/>
          <w:sz w:val="14"/>
          <w:szCs w:val="14"/>
          <w:color w:val="auto"/>
        </w:rPr>
        <w:t xml:space="preserve"> that:</w:t>
      </w:r>
    </w:p>
    <w:p>
      <w:pPr>
        <w:spacing w:after="0" w:line="174" w:lineRule="exact"/>
        <w:rPr>
          <w:sz w:val="20"/>
          <w:szCs w:val="20"/>
          <w:color w:val="auto"/>
        </w:rPr>
      </w:pPr>
    </w:p>
    <w:p>
      <w:pPr>
        <w:jc w:val="both"/>
        <w:ind w:left="1740" w:right="20" w:firstLine="726"/>
        <w:spacing w:after="0" w:line="238" w:lineRule="auto"/>
        <w:tabs>
          <w:tab w:leader="none" w:pos="3318" w:val="left"/>
        </w:tabs>
        <w:numPr>
          <w:ilvl w:val="0"/>
          <w:numId w:val="63"/>
        </w:numPr>
        <w:rPr>
          <w:rFonts w:ascii="Arial" w:cs="Arial" w:eastAsia="Arial" w:hAnsi="Arial"/>
          <w:sz w:val="14"/>
          <w:szCs w:val="14"/>
          <w:color w:val="auto"/>
        </w:rPr>
      </w:pPr>
      <w:r>
        <w:rPr>
          <w:rFonts w:ascii="Arial" w:cs="Arial" w:eastAsia="Arial" w:hAnsi="Arial"/>
          <w:sz w:val="14"/>
          <w:szCs w:val="14"/>
          <w:color w:val="auto"/>
        </w:rPr>
        <w:t>the minimum amount of the Commitment of any Assuming Lender, and the minimum amount of the increase of the Commitment of any Increasing Lender, as part of such Commitment Increase shall be $10,000,000 or a larger multiple of $5,000,000 in excess thereof (or such lesser amount as the Administrative Agent may reasonably agree);</w:t>
      </w:r>
    </w:p>
    <w:p>
      <w:pPr>
        <w:spacing w:after="0" w:line="182" w:lineRule="exact"/>
        <w:rPr>
          <w:rFonts w:ascii="Arial" w:cs="Arial" w:eastAsia="Arial" w:hAnsi="Arial"/>
          <w:sz w:val="14"/>
          <w:szCs w:val="14"/>
          <w:color w:val="auto"/>
        </w:rPr>
      </w:pPr>
    </w:p>
    <w:p>
      <w:pPr>
        <w:ind w:left="3300" w:hanging="834"/>
        <w:spacing w:after="0"/>
        <w:tabs>
          <w:tab w:leader="none" w:pos="3300" w:val="left"/>
        </w:tabs>
        <w:numPr>
          <w:ilvl w:val="0"/>
          <w:numId w:val="63"/>
        </w:numPr>
        <w:rPr>
          <w:rFonts w:ascii="Arial" w:cs="Arial" w:eastAsia="Arial" w:hAnsi="Arial"/>
          <w:sz w:val="13"/>
          <w:szCs w:val="13"/>
          <w:color w:val="auto"/>
        </w:rPr>
      </w:pPr>
      <w:r>
        <w:rPr>
          <w:rFonts w:ascii="Arial" w:cs="Arial" w:eastAsia="Arial" w:hAnsi="Arial"/>
          <w:sz w:val="13"/>
          <w:szCs w:val="13"/>
          <w:color w:val="auto"/>
        </w:rPr>
        <w:t>immediately after giving effect to such Commitment Increase, the total Commitments of all of the Lenders hereunder shall not exceed</w:t>
      </w:r>
    </w:p>
    <w:p>
      <w:pPr>
        <w:spacing w:after="0" w:line="11" w:lineRule="exact"/>
        <w:rPr>
          <w:rFonts w:ascii="Arial" w:cs="Arial" w:eastAsia="Arial" w:hAnsi="Arial"/>
          <w:sz w:val="13"/>
          <w:szCs w:val="13"/>
          <w:color w:val="auto"/>
        </w:rPr>
      </w:pPr>
    </w:p>
    <w:p>
      <w:pPr>
        <w:ind w:left="1740"/>
        <w:spacing w:after="0"/>
        <w:rPr>
          <w:rFonts w:ascii="Arial" w:cs="Arial" w:eastAsia="Arial" w:hAnsi="Arial"/>
          <w:sz w:val="13"/>
          <w:szCs w:val="13"/>
          <w:color w:val="auto"/>
        </w:rPr>
      </w:pPr>
      <w:r>
        <w:rPr>
          <w:rFonts w:ascii="Arial" w:cs="Arial" w:eastAsia="Arial" w:hAnsi="Arial"/>
          <w:sz w:val="14"/>
          <w:szCs w:val="14"/>
          <w:color w:val="auto"/>
        </w:rPr>
        <w:t>$750,000,000;</w:t>
      </w:r>
    </w:p>
    <w:p>
      <w:pPr>
        <w:spacing w:after="0" w:line="191" w:lineRule="exact"/>
        <w:rPr>
          <w:rFonts w:ascii="Arial" w:cs="Arial" w:eastAsia="Arial" w:hAnsi="Arial"/>
          <w:sz w:val="13"/>
          <w:szCs w:val="13"/>
          <w:color w:val="auto"/>
        </w:rPr>
      </w:pPr>
    </w:p>
    <w:p>
      <w:pPr>
        <w:ind w:left="3300" w:hanging="834"/>
        <w:spacing w:after="0"/>
        <w:tabs>
          <w:tab w:leader="none" w:pos="3300" w:val="left"/>
        </w:tabs>
        <w:numPr>
          <w:ilvl w:val="0"/>
          <w:numId w:val="63"/>
        </w:numPr>
        <w:rPr>
          <w:rFonts w:ascii="Arial" w:cs="Arial" w:eastAsia="Arial" w:hAnsi="Arial"/>
          <w:sz w:val="13"/>
          <w:szCs w:val="13"/>
          <w:color w:val="auto"/>
        </w:rPr>
      </w:pPr>
      <w:r>
        <w:rPr>
          <w:rFonts w:ascii="Arial" w:cs="Arial" w:eastAsia="Arial" w:hAnsi="Arial"/>
          <w:sz w:val="13"/>
          <w:szCs w:val="13"/>
          <w:color w:val="auto"/>
        </w:rPr>
        <w:t>each Assuming Lender shall be consented to by the Administrative Agent and the Issuing Bank (such consent not to be unreasonably</w:t>
      </w:r>
    </w:p>
    <w:p>
      <w:pPr>
        <w:spacing w:after="0" w:line="11" w:lineRule="exact"/>
        <w:rPr>
          <w:rFonts w:ascii="Arial" w:cs="Arial" w:eastAsia="Arial" w:hAnsi="Arial"/>
          <w:sz w:val="13"/>
          <w:szCs w:val="13"/>
          <w:color w:val="auto"/>
        </w:rPr>
      </w:pPr>
    </w:p>
    <w:p>
      <w:pPr>
        <w:ind w:left="1740"/>
        <w:spacing w:after="0"/>
        <w:rPr>
          <w:rFonts w:ascii="Arial" w:cs="Arial" w:eastAsia="Arial" w:hAnsi="Arial"/>
          <w:sz w:val="13"/>
          <w:szCs w:val="13"/>
          <w:color w:val="auto"/>
        </w:rPr>
      </w:pPr>
      <w:r>
        <w:rPr>
          <w:rFonts w:ascii="Arial" w:cs="Arial" w:eastAsia="Arial" w:hAnsi="Arial"/>
          <w:sz w:val="14"/>
          <w:szCs w:val="14"/>
          <w:color w:val="auto"/>
        </w:rPr>
        <w:t>withheld);</w:t>
      </w:r>
    </w:p>
    <w:p>
      <w:pPr>
        <w:spacing w:after="0" w:line="191" w:lineRule="exact"/>
        <w:rPr>
          <w:rFonts w:ascii="Arial" w:cs="Arial" w:eastAsia="Arial" w:hAnsi="Arial"/>
          <w:sz w:val="13"/>
          <w:szCs w:val="13"/>
          <w:color w:val="auto"/>
        </w:rPr>
      </w:pPr>
    </w:p>
    <w:p>
      <w:pPr>
        <w:ind w:left="3320" w:hanging="854"/>
        <w:spacing w:after="0"/>
        <w:tabs>
          <w:tab w:leader="none" w:pos="3320" w:val="left"/>
        </w:tabs>
        <w:numPr>
          <w:ilvl w:val="0"/>
          <w:numId w:val="63"/>
        </w:numPr>
        <w:rPr>
          <w:rFonts w:ascii="Arial" w:cs="Arial" w:eastAsia="Arial" w:hAnsi="Arial"/>
          <w:sz w:val="13"/>
          <w:szCs w:val="13"/>
          <w:color w:val="auto"/>
        </w:rPr>
      </w:pPr>
      <w:r>
        <w:rPr>
          <w:rFonts w:ascii="Arial" w:cs="Arial" w:eastAsia="Arial" w:hAnsi="Arial"/>
          <w:sz w:val="13"/>
          <w:szCs w:val="13"/>
          <w:color w:val="auto"/>
        </w:rPr>
        <w:t>no Default shall have occurred and be continuing on such Commitment Increase Date or shall result from the proposed Commitment</w:t>
      </w:r>
    </w:p>
    <w:p>
      <w:pPr>
        <w:spacing w:after="0" w:line="11" w:lineRule="exact"/>
        <w:rPr>
          <w:rFonts w:ascii="Arial" w:cs="Arial" w:eastAsia="Arial" w:hAnsi="Arial"/>
          <w:sz w:val="13"/>
          <w:szCs w:val="13"/>
          <w:color w:val="auto"/>
        </w:rPr>
      </w:pPr>
    </w:p>
    <w:p>
      <w:pPr>
        <w:ind w:left="1740"/>
        <w:spacing w:after="0"/>
        <w:rPr>
          <w:rFonts w:ascii="Arial" w:cs="Arial" w:eastAsia="Arial" w:hAnsi="Arial"/>
          <w:sz w:val="13"/>
          <w:szCs w:val="13"/>
          <w:color w:val="auto"/>
        </w:rPr>
      </w:pPr>
      <w:r>
        <w:rPr>
          <w:rFonts w:ascii="Arial" w:cs="Arial" w:eastAsia="Arial" w:hAnsi="Arial"/>
          <w:sz w:val="14"/>
          <w:szCs w:val="14"/>
          <w:color w:val="auto"/>
        </w:rPr>
        <w:t>Increase; and</w:t>
      </w:r>
    </w:p>
    <w:p>
      <w:pPr>
        <w:spacing w:after="0" w:line="191" w:lineRule="exact"/>
        <w:rPr>
          <w:rFonts w:ascii="Arial" w:cs="Arial" w:eastAsia="Arial" w:hAnsi="Arial"/>
          <w:sz w:val="13"/>
          <w:szCs w:val="13"/>
          <w:color w:val="auto"/>
        </w:rPr>
      </w:pPr>
    </w:p>
    <w:p>
      <w:pPr>
        <w:jc w:val="both"/>
        <w:ind w:left="1740" w:right="20" w:firstLine="726"/>
        <w:spacing w:after="0" w:line="264" w:lineRule="auto"/>
        <w:tabs>
          <w:tab w:leader="none" w:pos="3302" w:val="left"/>
        </w:tabs>
        <w:numPr>
          <w:ilvl w:val="0"/>
          <w:numId w:val="63"/>
        </w:numPr>
        <w:rPr>
          <w:rFonts w:ascii="Arial" w:cs="Arial" w:eastAsia="Arial" w:hAnsi="Arial"/>
          <w:sz w:val="13"/>
          <w:szCs w:val="13"/>
          <w:color w:val="auto"/>
        </w:rPr>
      </w:pPr>
      <w:r>
        <w:rPr>
          <w:rFonts w:ascii="Arial" w:cs="Arial" w:eastAsia="Arial" w:hAnsi="Arial"/>
          <w:sz w:val="13"/>
          <w:szCs w:val="13"/>
          <w:color w:val="auto"/>
        </w:rPr>
        <w:t>the representations and warranties contained in this Agreement shall be true and correct in all material respects (or, in the case of any portion of the representations and warranties already subject to a materiality qualifier, true and correct in all respects) on and as of the Commitment Increase Date as if made on and as of such date (or, if any such representation or warranty is expressly stated to have been made as of a specific date, as of such specific date).</w:t>
      </w:r>
    </w:p>
    <w:p>
      <w:pPr>
        <w:spacing w:after="0" w:line="168" w:lineRule="exact"/>
        <w:rPr>
          <w:sz w:val="20"/>
          <w:szCs w:val="20"/>
          <w:color w:val="auto"/>
        </w:rPr>
      </w:pPr>
    </w:p>
    <w:p>
      <w:pPr>
        <w:ind w:left="880" w:right="20" w:firstLine="789"/>
        <w:spacing w:after="0" w:line="290" w:lineRule="auto"/>
        <w:tabs>
          <w:tab w:leader="none" w:pos="2501" w:val="left"/>
        </w:tabs>
        <w:numPr>
          <w:ilvl w:val="0"/>
          <w:numId w:val="64"/>
        </w:numPr>
        <w:rPr>
          <w:rFonts w:ascii="Arial" w:cs="Arial" w:eastAsia="Arial" w:hAnsi="Arial"/>
          <w:sz w:val="13"/>
          <w:szCs w:val="13"/>
          <w:color w:val="auto"/>
        </w:rPr>
      </w:pPr>
      <w:r>
        <w:rPr>
          <w:rFonts w:ascii="Arial" w:cs="Arial" w:eastAsia="Arial" w:hAnsi="Arial"/>
          <w:sz w:val="13"/>
          <w:szCs w:val="13"/>
          <w:u w:val="single" w:color="auto"/>
          <w:color w:val="auto"/>
        </w:rPr>
        <w:t>Effectiveness of Commitment Increase by Borrower</w:t>
      </w:r>
      <w:r>
        <w:rPr>
          <w:rFonts w:ascii="Arial" w:cs="Arial" w:eastAsia="Arial" w:hAnsi="Arial"/>
          <w:sz w:val="13"/>
          <w:szCs w:val="13"/>
          <w:color w:val="auto"/>
        </w:rPr>
        <w:t xml:space="preserve">. An Assuming Lender, if any, shall become a Lender hereunder as of such Commitment Increase Date and the Commitment of the respective Class of any Increasing Lender and such Assuming Lender shall be increased as of such Commitment Increase Date; </w:t>
      </w:r>
      <w:r>
        <w:rPr>
          <w:rFonts w:ascii="Arial" w:cs="Arial" w:eastAsia="Arial" w:hAnsi="Arial"/>
          <w:sz w:val="13"/>
          <w:szCs w:val="13"/>
          <w:u w:val="single" w:color="auto"/>
          <w:color w:val="auto"/>
        </w:rPr>
        <w:t>provided</w:t>
      </w:r>
      <w:r>
        <w:rPr>
          <w:rFonts w:ascii="Arial" w:cs="Arial" w:eastAsia="Arial" w:hAnsi="Arial"/>
          <w:sz w:val="13"/>
          <w:szCs w:val="13"/>
          <w:color w:val="auto"/>
        </w:rPr>
        <w:t xml:space="preserve"> that:</w:t>
      </w:r>
    </w:p>
    <w:p>
      <w:pPr>
        <w:spacing w:after="0" w:line="152" w:lineRule="exact"/>
        <w:rPr>
          <w:sz w:val="20"/>
          <w:szCs w:val="20"/>
          <w:color w:val="auto"/>
        </w:rPr>
      </w:pPr>
    </w:p>
    <w:p>
      <w:pPr>
        <w:ind w:left="880" w:right="180" w:firstLine="789"/>
        <w:spacing w:after="0" w:line="238" w:lineRule="auto"/>
        <w:tabs>
          <w:tab w:leader="none" w:pos="2493" w:val="left"/>
        </w:tabs>
        <w:numPr>
          <w:ilvl w:val="0"/>
          <w:numId w:val="65"/>
        </w:numPr>
        <w:rPr>
          <w:rFonts w:ascii="Arial" w:cs="Arial" w:eastAsia="Arial" w:hAnsi="Arial"/>
          <w:sz w:val="14"/>
          <w:szCs w:val="14"/>
          <w:color w:val="auto"/>
        </w:rPr>
      </w:pPr>
      <w:r>
        <w:rPr>
          <w:rFonts w:ascii="Arial" w:cs="Arial" w:eastAsia="Arial" w:hAnsi="Arial"/>
          <w:sz w:val="14"/>
          <w:szCs w:val="14"/>
          <w:color w:val="auto"/>
        </w:rPr>
        <w:t>the Administrative Agent shall have received on or prior to 11:00 a.m., Atlanta, Georgia time, on such Commitment Increase Date (or on or prior to a time on an earlier date specified by the Administrative Agent) a certificate of a duly authorized officer of the Borrower stating that each of the applicable conditions to such Commitment Increase set forth in the foregoing paragraph (i) has been satisfied; and</w:t>
      </w:r>
    </w:p>
    <w:p>
      <w:pPr>
        <w:spacing w:after="0" w:line="182" w:lineRule="exact"/>
        <w:rPr>
          <w:rFonts w:ascii="Arial" w:cs="Arial" w:eastAsia="Arial" w:hAnsi="Arial"/>
          <w:sz w:val="14"/>
          <w:szCs w:val="14"/>
          <w:color w:val="auto"/>
        </w:rPr>
      </w:pPr>
    </w:p>
    <w:p>
      <w:pPr>
        <w:ind w:left="880" w:right="40" w:firstLine="789"/>
        <w:spacing w:after="0" w:line="255" w:lineRule="auto"/>
        <w:tabs>
          <w:tab w:leader="none" w:pos="2493" w:val="left"/>
        </w:tabs>
        <w:numPr>
          <w:ilvl w:val="0"/>
          <w:numId w:val="65"/>
        </w:numPr>
        <w:rPr>
          <w:rFonts w:ascii="Arial" w:cs="Arial" w:eastAsia="Arial" w:hAnsi="Arial"/>
          <w:sz w:val="13"/>
          <w:szCs w:val="13"/>
          <w:color w:val="auto"/>
        </w:rPr>
      </w:pPr>
      <w:r>
        <w:rPr>
          <w:rFonts w:ascii="Arial" w:cs="Arial" w:eastAsia="Arial" w:hAnsi="Arial"/>
          <w:sz w:val="13"/>
          <w:szCs w:val="13"/>
          <w:color w:val="auto"/>
        </w:rPr>
        <w:t>each Assuming Lender or Increasing Lender shall have delivered to the Administrative Agent, on or prior to 11:00 a.m., Atlanta, Georgia time on such Commitment Increase Date (or on or prior to a time on an earlier date specified by the Administrative Agent), an agreement, in form and substance satisfactory to the Borrower and the Administrative Agent, pursuant to which such Lender shall, effective as of such Commitment Increase Date, undertake a Commitment or an increase of Commitment in each case of the respective Class, duly executed by such Assuming Lender and the Borrower and acknowledged by the Administrative Agent.</w:t>
      </w:r>
    </w:p>
    <w:p>
      <w:pPr>
        <w:spacing w:after="0" w:line="175" w:lineRule="exact"/>
        <w:rPr>
          <w:sz w:val="20"/>
          <w:szCs w:val="20"/>
          <w:color w:val="auto"/>
        </w:rPr>
      </w:pPr>
    </w:p>
    <w:p>
      <w:pPr>
        <w:ind w:left="880" w:right="20"/>
        <w:spacing w:after="0" w:line="253" w:lineRule="auto"/>
        <w:rPr>
          <w:sz w:val="20"/>
          <w:szCs w:val="20"/>
          <w:color w:val="auto"/>
        </w:rPr>
      </w:pPr>
      <w:r>
        <w:rPr>
          <w:rFonts w:ascii="Arial" w:cs="Arial" w:eastAsia="Arial" w:hAnsi="Arial"/>
          <w:sz w:val="14"/>
          <w:szCs w:val="14"/>
          <w:color w:val="auto"/>
        </w:rPr>
        <w:t>Promptly following satisfaction of such conditions, the Administrative Agent shall notify the Lenders of such Class (including any Assuming Lenders) thereof and of the occurrence of the Commitment Increase Date by facsimile transmission or electronic messaging system.</w:t>
      </w:r>
    </w:p>
    <w:p>
      <w:pPr>
        <w:spacing w:after="0" w:line="174" w:lineRule="exact"/>
        <w:rPr>
          <w:sz w:val="20"/>
          <w:szCs w:val="20"/>
          <w:color w:val="auto"/>
        </w:rPr>
      </w:pPr>
    </w:p>
    <w:p>
      <w:pPr>
        <w:jc w:val="both"/>
        <w:ind w:left="880" w:right="20" w:firstLine="789"/>
        <w:spacing w:after="0" w:line="238" w:lineRule="auto"/>
        <w:tabs>
          <w:tab w:leader="none" w:pos="2541" w:val="left"/>
        </w:tabs>
        <w:numPr>
          <w:ilvl w:val="0"/>
          <w:numId w:val="66"/>
        </w:numPr>
        <w:rPr>
          <w:rFonts w:ascii="Arial" w:cs="Arial" w:eastAsia="Arial" w:hAnsi="Arial"/>
          <w:sz w:val="14"/>
          <w:szCs w:val="14"/>
          <w:color w:val="auto"/>
        </w:rPr>
      </w:pPr>
      <w:r>
        <w:rPr>
          <w:rFonts w:ascii="Arial" w:cs="Arial" w:eastAsia="Arial" w:hAnsi="Arial"/>
          <w:sz w:val="14"/>
          <w:szCs w:val="14"/>
          <w:u w:val="single" w:color="auto"/>
          <w:color w:val="auto"/>
        </w:rPr>
        <w:t>Recordation into Register</w:t>
      </w:r>
      <w:r>
        <w:rPr>
          <w:rFonts w:ascii="Arial" w:cs="Arial" w:eastAsia="Arial" w:hAnsi="Arial"/>
          <w:sz w:val="14"/>
          <w:szCs w:val="14"/>
          <w:color w:val="auto"/>
        </w:rPr>
        <w:t xml:space="preserve">. Upon its receipt of an agreement referred to in </w:t>
      </w:r>
      <w:r>
        <w:rPr>
          <w:rFonts w:ascii="Arial" w:cs="Arial" w:eastAsia="Arial" w:hAnsi="Arial"/>
          <w:sz w:val="14"/>
          <w:szCs w:val="14"/>
          <w:u w:val="single" w:color="auto"/>
          <w:color w:val="auto"/>
        </w:rPr>
        <w:t>clause (ii)(y)</w:t>
      </w:r>
      <w:r>
        <w:rPr>
          <w:rFonts w:ascii="Arial" w:cs="Arial" w:eastAsia="Arial" w:hAnsi="Arial"/>
          <w:sz w:val="14"/>
          <w:szCs w:val="14"/>
          <w:color w:val="auto"/>
        </w:rPr>
        <w:t xml:space="preserve"> above executed by an Assuming Lender or any Increasing Lender, together with the certificate referred to in </w:t>
      </w:r>
      <w:r>
        <w:rPr>
          <w:rFonts w:ascii="Arial" w:cs="Arial" w:eastAsia="Arial" w:hAnsi="Arial"/>
          <w:sz w:val="14"/>
          <w:szCs w:val="14"/>
          <w:u w:val="single" w:color="auto"/>
          <w:color w:val="auto"/>
        </w:rPr>
        <w:t>clause (ii)(x)</w:t>
      </w:r>
      <w:r>
        <w:rPr>
          <w:rFonts w:ascii="Arial" w:cs="Arial" w:eastAsia="Arial" w:hAnsi="Arial"/>
          <w:sz w:val="14"/>
          <w:szCs w:val="14"/>
          <w:color w:val="auto"/>
        </w:rPr>
        <w:t xml:space="preserve"> above, the Administrative Agent shall, if such agreement has been completed, (x) accept such agreement, (y) record the information contained therein in the Register and (z) give prompt notice thereof to the Borrower.</w:t>
      </w:r>
    </w:p>
    <w:p>
      <w:pPr>
        <w:spacing w:after="0" w:line="182" w:lineRule="exact"/>
        <w:rPr>
          <w:rFonts w:ascii="Arial" w:cs="Arial" w:eastAsia="Arial" w:hAnsi="Arial"/>
          <w:sz w:val="14"/>
          <w:szCs w:val="14"/>
          <w:color w:val="auto"/>
        </w:rPr>
      </w:pPr>
    </w:p>
    <w:p>
      <w:pPr>
        <w:jc w:val="both"/>
        <w:ind w:left="880" w:right="20" w:firstLine="789"/>
        <w:spacing w:after="0" w:line="245" w:lineRule="auto"/>
        <w:tabs>
          <w:tab w:leader="none" w:pos="2533" w:val="left"/>
        </w:tabs>
        <w:numPr>
          <w:ilvl w:val="0"/>
          <w:numId w:val="66"/>
        </w:numPr>
        <w:rPr>
          <w:rFonts w:ascii="Arial" w:cs="Arial" w:eastAsia="Arial" w:hAnsi="Arial"/>
          <w:sz w:val="13"/>
          <w:szCs w:val="13"/>
          <w:color w:val="auto"/>
        </w:rPr>
      </w:pPr>
      <w:r>
        <w:rPr>
          <w:rFonts w:ascii="Arial" w:cs="Arial" w:eastAsia="Arial" w:hAnsi="Arial"/>
          <w:sz w:val="13"/>
          <w:szCs w:val="13"/>
          <w:u w:val="single" w:color="auto"/>
          <w:color w:val="auto"/>
        </w:rPr>
        <w:t>Adjustments of Borrowings upon Effectiveness of Increase</w:t>
      </w:r>
      <w:r>
        <w:rPr>
          <w:rFonts w:ascii="Arial" w:cs="Arial" w:eastAsia="Arial" w:hAnsi="Arial"/>
          <w:sz w:val="13"/>
          <w:szCs w:val="13"/>
          <w:color w:val="auto"/>
        </w:rPr>
        <w:t xml:space="preserve">. On the Commitment Increase Date, the Borrower shall (A) prepay the outstanding Loans (if any) of the affected Class in full, (B) simultaneously borrow new Loans of such Class hereunder in an amount equal to such prepayment; </w:t>
      </w:r>
      <w:r>
        <w:rPr>
          <w:rFonts w:ascii="Arial" w:cs="Arial" w:eastAsia="Arial" w:hAnsi="Arial"/>
          <w:sz w:val="13"/>
          <w:szCs w:val="13"/>
          <w:u w:val="single" w:color="auto"/>
          <w:color w:val="auto"/>
        </w:rPr>
        <w:t>provided</w:t>
      </w:r>
      <w:r>
        <w:rPr>
          <w:rFonts w:ascii="Arial" w:cs="Arial" w:eastAsia="Arial" w:hAnsi="Arial"/>
          <w:sz w:val="13"/>
          <w:szCs w:val="13"/>
          <w:color w:val="auto"/>
        </w:rPr>
        <w:t xml:space="preserve"> that with respect to </w:t>
      </w:r>
      <w:r>
        <w:rPr>
          <w:rFonts w:ascii="Arial" w:cs="Arial" w:eastAsia="Arial" w:hAnsi="Arial"/>
          <w:sz w:val="13"/>
          <w:szCs w:val="13"/>
          <w:u w:val="single" w:color="auto"/>
          <w:color w:val="auto"/>
        </w:rPr>
        <w:t>subclauses (A)</w:t>
      </w:r>
      <w:r>
        <w:rPr>
          <w:rFonts w:ascii="Arial" w:cs="Arial" w:eastAsia="Arial" w:hAnsi="Arial"/>
          <w:sz w:val="13"/>
          <w:szCs w:val="13"/>
          <w:color w:val="auto"/>
        </w:rPr>
        <w:t xml:space="preserve"> and </w:t>
      </w:r>
      <w:r>
        <w:rPr>
          <w:rFonts w:ascii="Arial" w:cs="Arial" w:eastAsia="Arial" w:hAnsi="Arial"/>
          <w:sz w:val="13"/>
          <w:szCs w:val="13"/>
          <w:u w:val="single" w:color="auto"/>
          <w:color w:val="auto"/>
        </w:rPr>
        <w:t>(B)</w:t>
      </w:r>
      <w:r>
        <w:rPr>
          <w:rFonts w:ascii="Arial" w:cs="Arial" w:eastAsia="Arial" w:hAnsi="Arial"/>
          <w:sz w:val="13"/>
          <w:szCs w:val="13"/>
          <w:color w:val="auto"/>
        </w:rPr>
        <w:t xml:space="preserve">, (x) the prepayment to, and borrowing from, any existing Lender shall be effected by book entry to the extent that any portion of the amount prepaid to such Lender will be subsequently borrowed from such Lender and (y) the existing Lenders, the Increasing Lenders and the Assuming Lenders shall make and receive payments among themselves, in a manner acceptable to the Administrative Agent, so that, after giving effect thereto, the Loans of such Class are held ratably by the Lenders of such Class in accordance with the respective Commitments of such Class of such Lenders (after giving effect to such Commitment Increase) and (C) pay to the Lenders of such Class the amounts, if any, payable under </w:t>
      </w:r>
      <w:r>
        <w:rPr>
          <w:rFonts w:ascii="Arial" w:cs="Arial" w:eastAsia="Arial" w:hAnsi="Arial"/>
          <w:sz w:val="13"/>
          <w:szCs w:val="13"/>
          <w:u w:val="single" w:color="auto"/>
          <w:color w:val="auto"/>
        </w:rPr>
        <w:t>Section 2.15</w:t>
      </w:r>
      <w:r>
        <w:rPr>
          <w:rFonts w:ascii="Arial" w:cs="Arial" w:eastAsia="Arial" w:hAnsi="Arial"/>
          <w:sz w:val="13"/>
          <w:szCs w:val="13"/>
          <w:color w:val="auto"/>
        </w:rPr>
        <w:t xml:space="preserve"> as a result of any such prepayment. Concurrently therewith, the Lenders of such Class shall be deemed to have adjusted their participation interests in any outstanding Letters of Credit of such Class so that such interests are held ratably in accordance with their commitments of such Class as so increased.</w:t>
      </w:r>
    </w:p>
    <w:p>
      <w:pPr>
        <w:spacing w:after="0" w:line="183" w:lineRule="exact"/>
        <w:rPr>
          <w:sz w:val="20"/>
          <w:szCs w:val="20"/>
          <w:color w:val="auto"/>
        </w:rPr>
      </w:pPr>
    </w:p>
    <w:p>
      <w:pPr>
        <w:ind w:left="1740"/>
        <w:spacing w:after="0"/>
        <w:rPr>
          <w:sz w:val="20"/>
          <w:szCs w:val="20"/>
          <w:color w:val="auto"/>
        </w:rPr>
      </w:pPr>
      <w:r>
        <w:rPr>
          <w:rFonts w:ascii="Arial" w:cs="Arial" w:eastAsia="Arial" w:hAnsi="Arial"/>
          <w:sz w:val="14"/>
          <w:szCs w:val="14"/>
          <w:color w:val="auto"/>
        </w:rPr>
        <w:t xml:space="preserve">SECTION 2.09. </w:t>
      </w:r>
      <w:r>
        <w:rPr>
          <w:rFonts w:ascii="Arial" w:cs="Arial" w:eastAsia="Arial" w:hAnsi="Arial"/>
          <w:sz w:val="14"/>
          <w:szCs w:val="14"/>
          <w:u w:val="single" w:color="auto"/>
          <w:color w:val="auto"/>
        </w:rPr>
        <w:t>Repayment of Loans; Evidence of Debt</w:t>
      </w:r>
      <w:r>
        <w:rPr>
          <w:rFonts w:ascii="Arial" w:cs="Arial" w:eastAsia="Arial" w:hAnsi="Arial"/>
          <w:sz w:val="14"/>
          <w:szCs w:val="14"/>
          <w:color w:val="auto"/>
        </w:rPr>
        <w:t>.</w:t>
      </w:r>
    </w:p>
    <w:p>
      <w:pPr>
        <w:spacing w:after="0" w:line="204" w:lineRule="exact"/>
        <w:rPr>
          <w:sz w:val="20"/>
          <w:szCs w:val="20"/>
          <w:color w:val="auto"/>
        </w:rPr>
      </w:pPr>
    </w:p>
    <w:p>
      <w:pPr>
        <w:ind w:left="2540" w:hanging="805"/>
        <w:spacing w:after="0"/>
        <w:tabs>
          <w:tab w:leader="none" w:pos="2540" w:val="left"/>
        </w:tabs>
        <w:numPr>
          <w:ilvl w:val="0"/>
          <w:numId w:val="67"/>
        </w:numPr>
        <w:rPr>
          <w:rFonts w:ascii="Arial" w:cs="Arial" w:eastAsia="Arial" w:hAnsi="Arial"/>
          <w:sz w:val="14"/>
          <w:szCs w:val="14"/>
          <w:color w:val="auto"/>
        </w:rPr>
      </w:pPr>
      <w:r>
        <w:rPr>
          <w:rFonts w:ascii="Arial" w:cs="Arial" w:eastAsia="Arial" w:hAnsi="Arial"/>
          <w:sz w:val="14"/>
          <w:szCs w:val="14"/>
          <w:u w:val="single" w:color="auto"/>
          <w:color w:val="auto"/>
        </w:rPr>
        <w:t>Repayment</w:t>
      </w:r>
      <w:r>
        <w:rPr>
          <w:rFonts w:ascii="Arial" w:cs="Arial" w:eastAsia="Arial" w:hAnsi="Arial"/>
          <w:sz w:val="14"/>
          <w:szCs w:val="14"/>
          <w:color w:val="auto"/>
        </w:rPr>
        <w:t>. The Borrower hereby unconditionally promises to pay the Loans of each Class as follows:</w:t>
      </w:r>
    </w:p>
    <w:p>
      <w:pPr>
        <w:spacing w:after="0" w:line="200" w:lineRule="exact"/>
        <w:rPr>
          <w:sz w:val="20"/>
          <w:szCs w:val="20"/>
          <w:color w:val="auto"/>
        </w:rPr>
      </w:pPr>
    </w:p>
    <w:p>
      <w:pPr>
        <w:spacing w:after="0" w:line="200" w:lineRule="exact"/>
        <w:rPr>
          <w:sz w:val="20"/>
          <w:szCs w:val="20"/>
          <w:color w:val="auto"/>
        </w:rPr>
      </w:pPr>
    </w:p>
    <w:p>
      <w:pPr>
        <w:spacing w:after="0" w:line="22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7580" w:type="dxa"/>
            <w:vAlign w:val="bottom"/>
          </w:tcPr>
          <w:p>
            <w:pPr>
              <w:jc w:val="right"/>
              <w:ind w:right="1808"/>
              <w:spacing w:after="0"/>
              <w:rPr>
                <w:sz w:val="20"/>
                <w:szCs w:val="20"/>
                <w:color w:val="auto"/>
              </w:rPr>
            </w:pPr>
            <w:r>
              <w:rPr>
                <w:rFonts w:ascii="Arial" w:cs="Arial" w:eastAsia="Arial" w:hAnsi="Arial"/>
                <w:sz w:val="14"/>
                <w:szCs w:val="14"/>
                <w:color w:val="auto"/>
              </w:rPr>
              <w:t>27</w:t>
            </w:r>
          </w:p>
        </w:tc>
        <w:tc>
          <w:tcPr>
            <w:tcW w:w="3680" w:type="dxa"/>
            <w:vAlign w:val="bottom"/>
          </w:tcPr>
          <w:p>
            <w:pPr>
              <w:jc w:val="right"/>
              <w:spacing w:after="0"/>
              <w:rPr>
                <w:sz w:val="20"/>
                <w:szCs w:val="20"/>
                <w:color w:val="auto"/>
              </w:rPr>
            </w:pPr>
            <w:r>
              <w:rPr>
                <w:rFonts w:ascii="Arial" w:cs="Arial" w:eastAsia="Arial" w:hAnsi="Arial"/>
                <w:sz w:val="14"/>
                <w:szCs w:val="14"/>
                <w:i w:val="1"/>
                <w:iCs w:val="1"/>
                <w:color w:val="auto"/>
              </w:rPr>
              <w:t>Second Amended and Restated</w:t>
            </w:r>
          </w:p>
        </w:tc>
      </w:tr>
      <w:tr>
        <w:trPr>
          <w:trHeight w:val="182"/>
        </w:trPr>
        <w:tc>
          <w:tcPr>
            <w:tcW w:w="7580" w:type="dxa"/>
            <w:vAlign w:val="bottom"/>
          </w:tcPr>
          <w:p>
            <w:pPr>
              <w:spacing w:after="0"/>
              <w:rPr>
                <w:sz w:val="15"/>
                <w:szCs w:val="15"/>
                <w:color w:val="auto"/>
              </w:rPr>
            </w:pPr>
          </w:p>
        </w:tc>
        <w:tc>
          <w:tcPr>
            <w:tcW w:w="3680" w:type="dxa"/>
            <w:vAlign w:val="bottom"/>
          </w:tcPr>
          <w:p>
            <w:pPr>
              <w:jc w:val="right"/>
              <w:spacing w:after="0"/>
              <w:rPr>
                <w:sz w:val="20"/>
                <w:szCs w:val="20"/>
                <w:color w:val="auto"/>
              </w:rPr>
            </w:pPr>
            <w:r>
              <w:rPr>
                <w:rFonts w:ascii="Arial" w:cs="Arial" w:eastAsia="Arial" w:hAnsi="Arial"/>
                <w:sz w:val="14"/>
                <w:szCs w:val="14"/>
                <w:i w:val="1"/>
                <w:iCs w:val="1"/>
                <w:color w:val="auto"/>
              </w:rPr>
              <w:t>Revolving Credit Agreement</w:t>
            </w:r>
          </w:p>
        </w:tc>
      </w:tr>
      <w:tr>
        <w:trPr>
          <w:trHeight w:val="316"/>
        </w:trPr>
        <w:tc>
          <w:tcPr>
            <w:tcW w:w="7580" w:type="dxa"/>
            <w:vAlign w:val="bottom"/>
            <w:tcBorders>
              <w:bottom w:val="single" w:sz="8" w:color="9A9A9A"/>
            </w:tcBorders>
          </w:tcPr>
          <w:p>
            <w:pPr>
              <w:spacing w:after="0"/>
              <w:rPr>
                <w:sz w:val="24"/>
                <w:szCs w:val="24"/>
                <w:color w:val="auto"/>
              </w:rPr>
            </w:pPr>
          </w:p>
        </w:tc>
        <w:tc>
          <w:tcPr>
            <w:tcW w:w="368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7145655</wp:posOffset>
            </wp:positionH>
            <wp:positionV relativeFrom="paragraph">
              <wp:posOffset>-7620</wp:posOffset>
            </wp:positionV>
            <wp:extent cx="8255" cy="8255"/>
            <wp:wrapNone/>
            <wp:docPr id="159" name="Picture 1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
                    <pic:cNvPicPr>
                      <a:picLocks noChangeAspect="1" noChangeArrowheads="1"/>
                    </pic:cNvPicPr>
                  </pic:nvPicPr>
                  <pic:blipFill>
                    <a:blip r:embed="rId166">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-16510</wp:posOffset>
            </wp:positionV>
            <wp:extent cx="8890" cy="17145"/>
            <wp:wrapNone/>
            <wp:docPr id="160" name="Picture 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
                    <pic:cNvPicPr>
                      <a:picLocks noChangeAspect="1" noChangeArrowheads="1"/>
                    </pic:cNvPicPr>
                  </pic:nvPicPr>
                  <pic:blipFill>
                    <a:blip r:embed="rId167">
                      <a:extLst>
                        <a:ext uri="{28A0092B-C50C-407E-A947-70E740481C1C}"/>
                      </a:extLst>
                    </a:blip>
                    <a:srcRect/>
                    <a:stretch>
                      <a:fillRect/>
                    </a:stretch>
                  </pic:blipFill>
                  <pic:spPr bwMode="auto">
                    <a:xfrm>
                      <a:off x="0" y="0"/>
                      <a:ext cx="8890" cy="17145"/>
                    </a:xfrm>
                    <a:prstGeom prst="rect">
                      <a:avLst/>
                    </a:prstGeom>
                    <a:noFill/>
                  </pic:spPr>
                </pic:pic>
              </a:graphicData>
            </a:graphic>
          </wp:anchor>
        </w:drawing>
      </w:r>
    </w:p>
    <w:p>
      <w:pPr>
        <w:sectPr>
          <w:pgSz w:w="11900" w:h="16838" w:orient="portrait"/>
          <w:cols w:equalWidth="0" w:num="1">
            <w:col w:w="11260"/>
          </w:cols>
          <w:pgMar w:left="320" w:top="337" w:right="319" w:bottom="1440" w:gutter="0" w:footer="0" w:header="0"/>
        </w:sectPr>
      </w:pPr>
    </w:p>
    <w:bookmarkStart w:id="90" w:name="page91"/>
    <w:bookmarkEnd w:id="90"/>
    <w:p>
      <w:pPr>
        <w:ind w:left="880" w:right="20" w:firstLine="789"/>
        <w:spacing w:after="0" w:line="253" w:lineRule="auto"/>
        <w:tabs>
          <w:tab w:leader="none" w:pos="2461" w:val="left"/>
        </w:tabs>
        <w:numPr>
          <w:ilvl w:val="0"/>
          <w:numId w:val="68"/>
        </w:numPr>
        <w:rPr>
          <w:rFonts w:ascii="Arial" w:cs="Arial" w:eastAsia="Arial" w:hAnsi="Arial"/>
          <w:sz w:val="14"/>
          <w:szCs w:val="14"/>
          <w:color w:val="auto"/>
        </w:rPr>
      </w:pPr>
      <w:r>
        <w:rPr>
          <w:rFonts w:ascii="Arial" w:cs="Arial" w:eastAsia="Arial" w:hAnsi="Arial"/>
          <w:sz w:val="14"/>
          <w:szCs w:val="14"/>
          <w:color w:val="auto"/>
        </w:rPr>
        <w:t>to the Administrative Agent for account of the Lenders of such Class the outstanding principal amount of the Syndicated Loans of such Class and all other amounts due and owing hereunder and under the other Loan Documents on the Final Maturity Date; and</w:t>
      </w:r>
    </w:p>
    <w:p>
      <w:pPr>
        <w:spacing w:after="0" w:line="173" w:lineRule="exact"/>
        <w:rPr>
          <w:rFonts w:ascii="Arial" w:cs="Arial" w:eastAsia="Arial" w:hAnsi="Arial"/>
          <w:sz w:val="14"/>
          <w:szCs w:val="14"/>
          <w:color w:val="auto"/>
        </w:rPr>
      </w:pPr>
    </w:p>
    <w:p>
      <w:pPr>
        <w:jc w:val="both"/>
        <w:ind w:left="880" w:right="20" w:firstLine="789"/>
        <w:spacing w:after="0" w:line="233" w:lineRule="auto"/>
        <w:tabs>
          <w:tab w:leader="none" w:pos="2501" w:val="left"/>
        </w:tabs>
        <w:numPr>
          <w:ilvl w:val="0"/>
          <w:numId w:val="68"/>
        </w:numPr>
        <w:rPr>
          <w:rFonts w:ascii="Arial" w:cs="Arial" w:eastAsia="Arial" w:hAnsi="Arial"/>
          <w:sz w:val="14"/>
          <w:szCs w:val="14"/>
          <w:color w:val="auto"/>
        </w:rPr>
      </w:pPr>
      <w:r>
        <w:rPr>
          <w:rFonts w:ascii="Arial" w:cs="Arial" w:eastAsia="Arial" w:hAnsi="Arial"/>
          <w:sz w:val="14"/>
          <w:szCs w:val="14"/>
          <w:color w:val="auto"/>
        </w:rPr>
        <w:t xml:space="preserve">to the Swingline Lender the then unpaid principal amount of each Swingline Loan of such Class denominated in Dollars, on the earlier of the Commitment Termination Date and the first date after such Swingline Loan is made that is the 15th or last day of a calendar month and is at least ten Business Days after such Swingline Loan is made; </w:t>
      </w:r>
      <w:r>
        <w:rPr>
          <w:rFonts w:ascii="Arial" w:cs="Arial" w:eastAsia="Arial" w:hAnsi="Arial"/>
          <w:sz w:val="14"/>
          <w:szCs w:val="14"/>
          <w:u w:val="single" w:color="auto"/>
          <w:color w:val="auto"/>
        </w:rPr>
        <w:t>provided</w:t>
      </w:r>
      <w:r>
        <w:rPr>
          <w:rFonts w:ascii="Arial" w:cs="Arial" w:eastAsia="Arial" w:hAnsi="Arial"/>
          <w:sz w:val="14"/>
          <w:szCs w:val="14"/>
          <w:color w:val="auto"/>
        </w:rPr>
        <w:t xml:space="preserve"> that on each date that a Syndicated Borrowing of such Class is made, the Borrower shall repay all Swingline Loans of such Class then outstanding.</w:t>
      </w:r>
    </w:p>
    <w:p>
      <w:pPr>
        <w:spacing w:after="0" w:line="185" w:lineRule="exact"/>
        <w:rPr>
          <w:sz w:val="20"/>
          <w:szCs w:val="20"/>
          <w:color w:val="auto"/>
        </w:rPr>
      </w:pPr>
    </w:p>
    <w:p>
      <w:pPr>
        <w:jc w:val="both"/>
        <w:ind w:right="20" w:firstLine="1727"/>
        <w:spacing w:after="0" w:line="264" w:lineRule="auto"/>
        <w:rPr>
          <w:sz w:val="20"/>
          <w:szCs w:val="20"/>
          <w:color w:val="auto"/>
        </w:rPr>
      </w:pPr>
      <w:r>
        <w:rPr>
          <w:rFonts w:ascii="Arial" w:cs="Arial" w:eastAsia="Arial" w:hAnsi="Arial"/>
          <w:sz w:val="13"/>
          <w:szCs w:val="13"/>
          <w:color w:val="auto"/>
        </w:rPr>
        <w:t>In addition, on the Commitment Termination Date, the Borrower shall deposit into the Letter of Credit Collateral Account Cash (denominated in the Currency of the Letter of Credit under which such LC Exposure arises) in an amount equal to 100% of the undrawn face amount of all Letters of Credit outstanding on the close of business on the Commitment Termination Date, such deposit to be held by the Administrative Agent as collateral security for the LC Exposure under this Agreement in respect of the undrawn portion of such Letters of Credit.</w:t>
      </w:r>
    </w:p>
    <w:p>
      <w:pPr>
        <w:spacing w:after="0" w:line="168" w:lineRule="exact"/>
        <w:rPr>
          <w:sz w:val="20"/>
          <w:szCs w:val="20"/>
          <w:color w:val="auto"/>
        </w:rPr>
      </w:pPr>
    </w:p>
    <w:p>
      <w:pPr>
        <w:jc w:val="both"/>
        <w:ind w:right="20" w:firstLine="1735"/>
        <w:spacing w:after="0" w:line="248" w:lineRule="auto"/>
        <w:tabs>
          <w:tab w:leader="none" w:pos="2543" w:val="left"/>
        </w:tabs>
        <w:numPr>
          <w:ilvl w:val="0"/>
          <w:numId w:val="69"/>
        </w:numPr>
        <w:rPr>
          <w:rFonts w:ascii="Arial" w:cs="Arial" w:eastAsia="Arial" w:hAnsi="Arial"/>
          <w:sz w:val="13"/>
          <w:szCs w:val="13"/>
          <w:color w:val="auto"/>
        </w:rPr>
      </w:pPr>
      <w:r>
        <w:rPr>
          <w:rFonts w:ascii="Arial" w:cs="Arial" w:eastAsia="Arial" w:hAnsi="Arial"/>
          <w:sz w:val="13"/>
          <w:szCs w:val="13"/>
          <w:u w:val="single" w:color="auto"/>
          <w:color w:val="auto"/>
        </w:rPr>
        <w:t>Manner of Payment</w:t>
      </w:r>
      <w:r>
        <w:rPr>
          <w:rFonts w:ascii="Arial" w:cs="Arial" w:eastAsia="Arial" w:hAnsi="Arial"/>
          <w:sz w:val="13"/>
          <w:szCs w:val="13"/>
          <w:color w:val="auto"/>
        </w:rPr>
        <w:t xml:space="preserve">. Prior to any repayment or prepayment of any Borrowings of any Class hereunder, the Borrower shall select the Borrowing or Borrowings of such Class to be paid and shall notify the Administrative Agent by telephone (confirmed by telecopy) of such selection not later than the time set forth in </w:t>
      </w:r>
      <w:r>
        <w:rPr>
          <w:rFonts w:ascii="Arial" w:cs="Arial" w:eastAsia="Arial" w:hAnsi="Arial"/>
          <w:sz w:val="13"/>
          <w:szCs w:val="13"/>
          <w:u w:val="single" w:color="auto"/>
          <w:color w:val="auto"/>
        </w:rPr>
        <w:t>Section 2.10(f)</w:t>
      </w:r>
      <w:r>
        <w:rPr>
          <w:rFonts w:ascii="Arial" w:cs="Arial" w:eastAsia="Arial" w:hAnsi="Arial"/>
          <w:sz w:val="13"/>
          <w:szCs w:val="13"/>
          <w:color w:val="auto"/>
        </w:rPr>
        <w:t xml:space="preserve"> prior to the scheduled date of such repayment; </w:t>
      </w:r>
      <w:r>
        <w:rPr>
          <w:rFonts w:ascii="Arial" w:cs="Arial" w:eastAsia="Arial" w:hAnsi="Arial"/>
          <w:sz w:val="13"/>
          <w:szCs w:val="13"/>
          <w:u w:val="single" w:color="auto"/>
          <w:color w:val="auto"/>
        </w:rPr>
        <w:t>provided</w:t>
      </w:r>
      <w:r>
        <w:rPr>
          <w:rFonts w:ascii="Arial" w:cs="Arial" w:eastAsia="Arial" w:hAnsi="Arial"/>
          <w:sz w:val="13"/>
          <w:szCs w:val="13"/>
          <w:color w:val="auto"/>
        </w:rPr>
        <w:t xml:space="preserve"> that each repayment of Borrowings of a Class shall be applied to repay any outstanding ABR Borrowings of such Class before any other Borrowings of such Class. If the Borrower fails to make a timely selection of the Borrowing or Borrowings to be repaid or prepaid, such payment shall be applied, first, to pay any outstanding ABR Borrowings of the applicable Class and, second, to other Borrowings of such Class in the order of the remaining duration of their respective Interest Periods (the Borrowing with the shortest remaining Interest Period to be repaid first). Each payment of a Syndicated Borrowing shall be applied ratably to the Loans included in such Borrowing.</w:t>
      </w:r>
    </w:p>
    <w:p>
      <w:pPr>
        <w:spacing w:after="0" w:line="180" w:lineRule="exact"/>
        <w:rPr>
          <w:rFonts w:ascii="Arial" w:cs="Arial" w:eastAsia="Arial" w:hAnsi="Arial"/>
          <w:sz w:val="13"/>
          <w:szCs w:val="13"/>
          <w:color w:val="auto"/>
        </w:rPr>
      </w:pPr>
    </w:p>
    <w:p>
      <w:pPr>
        <w:jc w:val="both"/>
        <w:ind w:right="20" w:firstLine="1735"/>
        <w:spacing w:after="0" w:line="238" w:lineRule="auto"/>
        <w:tabs>
          <w:tab w:leader="none" w:pos="2535" w:val="left"/>
        </w:tabs>
        <w:numPr>
          <w:ilvl w:val="0"/>
          <w:numId w:val="69"/>
        </w:numPr>
        <w:rPr>
          <w:rFonts w:ascii="Arial" w:cs="Arial" w:eastAsia="Arial" w:hAnsi="Arial"/>
          <w:sz w:val="14"/>
          <w:szCs w:val="14"/>
          <w:color w:val="auto"/>
        </w:rPr>
      </w:pPr>
      <w:r>
        <w:rPr>
          <w:rFonts w:ascii="Arial" w:cs="Arial" w:eastAsia="Arial" w:hAnsi="Arial"/>
          <w:sz w:val="14"/>
          <w:szCs w:val="14"/>
          <w:u w:val="single" w:color="auto"/>
          <w:color w:val="auto"/>
        </w:rPr>
        <w:t>Maintenance of Records by Lenders</w:t>
      </w:r>
      <w:r>
        <w:rPr>
          <w:rFonts w:ascii="Arial" w:cs="Arial" w:eastAsia="Arial" w:hAnsi="Arial"/>
          <w:sz w:val="14"/>
          <w:szCs w:val="14"/>
          <w:color w:val="auto"/>
        </w:rPr>
        <w:t>. Each Lender shall maintain in accordance with its usual practice records evidencing the indebtedness of the Borrower to such Lender resulting from each Loan made by such Lender, including the amounts and Currency of principal and interest payable and paid to such Lender from time to time hereunder.</w:t>
      </w:r>
    </w:p>
    <w:p>
      <w:pPr>
        <w:spacing w:after="0" w:line="182" w:lineRule="exact"/>
        <w:rPr>
          <w:rFonts w:ascii="Arial" w:cs="Arial" w:eastAsia="Arial" w:hAnsi="Arial"/>
          <w:sz w:val="14"/>
          <w:szCs w:val="14"/>
          <w:color w:val="auto"/>
        </w:rPr>
      </w:pPr>
    </w:p>
    <w:p>
      <w:pPr>
        <w:jc w:val="both"/>
        <w:ind w:right="20" w:firstLine="1735"/>
        <w:spacing w:after="0" w:line="233" w:lineRule="auto"/>
        <w:tabs>
          <w:tab w:leader="none" w:pos="2543" w:val="left"/>
        </w:tabs>
        <w:numPr>
          <w:ilvl w:val="0"/>
          <w:numId w:val="69"/>
        </w:numPr>
        <w:rPr>
          <w:rFonts w:ascii="Arial" w:cs="Arial" w:eastAsia="Arial" w:hAnsi="Arial"/>
          <w:sz w:val="14"/>
          <w:szCs w:val="14"/>
          <w:color w:val="auto"/>
        </w:rPr>
      </w:pPr>
      <w:r>
        <w:rPr>
          <w:rFonts w:ascii="Arial" w:cs="Arial" w:eastAsia="Arial" w:hAnsi="Arial"/>
          <w:sz w:val="14"/>
          <w:szCs w:val="14"/>
          <w:u w:val="single" w:color="auto"/>
          <w:color w:val="auto"/>
        </w:rPr>
        <w:t>Maintenance of Records by the Administrative Agent</w:t>
      </w:r>
      <w:r>
        <w:rPr>
          <w:rFonts w:ascii="Arial" w:cs="Arial" w:eastAsia="Arial" w:hAnsi="Arial"/>
          <w:sz w:val="14"/>
          <w:szCs w:val="14"/>
          <w:color w:val="auto"/>
        </w:rPr>
        <w:t>. The Administrative Agent shall maintain records in which it shall record (i) the amount and Currency of each Loan made hereunder, the Class and Type thereof and each Interest Period therefor, (ii) the amount and Currency of any principal or interest due and payable or to become due and payable from the Borrower to each Lender of such Class hereunder and (iii) the amount and Currency of any sum received by the Administrative Agent hereunder for account of the Lenders and each Lender’s share thereof.</w:t>
      </w:r>
    </w:p>
    <w:p>
      <w:pPr>
        <w:spacing w:after="0" w:line="184" w:lineRule="exact"/>
        <w:rPr>
          <w:rFonts w:ascii="Arial" w:cs="Arial" w:eastAsia="Arial" w:hAnsi="Arial"/>
          <w:sz w:val="14"/>
          <w:szCs w:val="14"/>
          <w:color w:val="auto"/>
        </w:rPr>
      </w:pPr>
    </w:p>
    <w:p>
      <w:pPr>
        <w:jc w:val="both"/>
        <w:ind w:right="20" w:firstLine="1735"/>
        <w:spacing w:after="0" w:line="238" w:lineRule="auto"/>
        <w:tabs>
          <w:tab w:leader="none" w:pos="2535" w:val="left"/>
        </w:tabs>
        <w:numPr>
          <w:ilvl w:val="0"/>
          <w:numId w:val="69"/>
        </w:numPr>
        <w:rPr>
          <w:rFonts w:ascii="Arial" w:cs="Arial" w:eastAsia="Arial" w:hAnsi="Arial"/>
          <w:sz w:val="14"/>
          <w:szCs w:val="14"/>
          <w:color w:val="auto"/>
        </w:rPr>
      </w:pPr>
      <w:r>
        <w:rPr>
          <w:rFonts w:ascii="Arial" w:cs="Arial" w:eastAsia="Arial" w:hAnsi="Arial"/>
          <w:sz w:val="14"/>
          <w:szCs w:val="14"/>
          <w:u w:val="single" w:color="auto"/>
          <w:color w:val="auto"/>
        </w:rPr>
        <w:t>Effect of Entries</w:t>
      </w:r>
      <w:r>
        <w:rPr>
          <w:rFonts w:ascii="Arial" w:cs="Arial" w:eastAsia="Arial" w:hAnsi="Arial"/>
          <w:sz w:val="14"/>
          <w:szCs w:val="14"/>
          <w:color w:val="auto"/>
        </w:rPr>
        <w:t xml:space="preserve">. The entries made in the records maintained pursuant to </w:t>
      </w:r>
      <w:r>
        <w:rPr>
          <w:rFonts w:ascii="Arial" w:cs="Arial" w:eastAsia="Arial" w:hAnsi="Arial"/>
          <w:sz w:val="14"/>
          <w:szCs w:val="14"/>
          <w:u w:val="single" w:color="auto"/>
          <w:color w:val="auto"/>
        </w:rPr>
        <w:t>paragraph (c)</w:t>
      </w:r>
      <w:r>
        <w:rPr>
          <w:rFonts w:ascii="Arial" w:cs="Arial" w:eastAsia="Arial" w:hAnsi="Arial"/>
          <w:sz w:val="14"/>
          <w:szCs w:val="14"/>
          <w:color w:val="auto"/>
        </w:rPr>
        <w:t xml:space="preserve"> or </w:t>
      </w:r>
      <w:r>
        <w:rPr>
          <w:rFonts w:ascii="Arial" w:cs="Arial" w:eastAsia="Arial" w:hAnsi="Arial"/>
          <w:sz w:val="14"/>
          <w:szCs w:val="14"/>
          <w:u w:val="single" w:color="auto"/>
          <w:color w:val="auto"/>
        </w:rPr>
        <w:t>(d)</w:t>
      </w:r>
      <w:r>
        <w:rPr>
          <w:rFonts w:ascii="Arial" w:cs="Arial" w:eastAsia="Arial" w:hAnsi="Arial"/>
          <w:sz w:val="14"/>
          <w:szCs w:val="14"/>
          <w:color w:val="auto"/>
        </w:rPr>
        <w:t xml:space="preserve"> of this Section shall be </w:t>
      </w:r>
      <w:r>
        <w:rPr>
          <w:rFonts w:ascii="Arial" w:cs="Arial" w:eastAsia="Arial" w:hAnsi="Arial"/>
          <w:sz w:val="14"/>
          <w:szCs w:val="14"/>
          <w:u w:val="single" w:color="auto"/>
          <w:color w:val="auto"/>
        </w:rPr>
        <w:t>prima facie</w:t>
      </w:r>
      <w:r>
        <w:rPr>
          <w:rFonts w:ascii="Arial" w:cs="Arial" w:eastAsia="Arial" w:hAnsi="Arial"/>
          <w:sz w:val="14"/>
          <w:szCs w:val="14"/>
          <w:color w:val="auto"/>
        </w:rPr>
        <w:t xml:space="preserve"> evidence, absent obvious error, of the existence and amounts of the obligations recorded therein; </w:t>
      </w:r>
      <w:r>
        <w:rPr>
          <w:rFonts w:ascii="Arial" w:cs="Arial" w:eastAsia="Arial" w:hAnsi="Arial"/>
          <w:sz w:val="14"/>
          <w:szCs w:val="14"/>
          <w:u w:val="single" w:color="auto"/>
          <w:color w:val="auto"/>
        </w:rPr>
        <w:t>provided</w:t>
      </w:r>
      <w:r>
        <w:rPr>
          <w:rFonts w:ascii="Arial" w:cs="Arial" w:eastAsia="Arial" w:hAnsi="Arial"/>
          <w:sz w:val="14"/>
          <w:szCs w:val="14"/>
          <w:color w:val="auto"/>
        </w:rPr>
        <w:t xml:space="preserve"> that the failure of any Lender or the Administrative Agent to maintain such records or any error therein shall not in any manner affect the obligation of the Borrower to repay the Loans in accordance with the terms of this Agreement.</w:t>
      </w:r>
    </w:p>
    <w:p>
      <w:pPr>
        <w:spacing w:after="0" w:line="182" w:lineRule="exact"/>
        <w:rPr>
          <w:rFonts w:ascii="Arial" w:cs="Arial" w:eastAsia="Arial" w:hAnsi="Arial"/>
          <w:sz w:val="14"/>
          <w:szCs w:val="14"/>
          <w:color w:val="auto"/>
        </w:rPr>
      </w:pPr>
    </w:p>
    <w:p>
      <w:pPr>
        <w:jc w:val="both"/>
        <w:ind w:right="20" w:firstLine="1735"/>
        <w:spacing w:after="0" w:line="255" w:lineRule="auto"/>
        <w:tabs>
          <w:tab w:leader="none" w:pos="2519" w:val="left"/>
        </w:tabs>
        <w:numPr>
          <w:ilvl w:val="0"/>
          <w:numId w:val="69"/>
        </w:numPr>
        <w:rPr>
          <w:rFonts w:ascii="Arial" w:cs="Arial" w:eastAsia="Arial" w:hAnsi="Arial"/>
          <w:sz w:val="13"/>
          <w:szCs w:val="13"/>
          <w:color w:val="auto"/>
        </w:rPr>
      </w:pPr>
      <w:r>
        <w:rPr>
          <w:rFonts w:ascii="Arial" w:cs="Arial" w:eastAsia="Arial" w:hAnsi="Arial"/>
          <w:sz w:val="13"/>
          <w:szCs w:val="13"/>
          <w:u w:val="single" w:color="auto"/>
          <w:color w:val="auto"/>
        </w:rPr>
        <w:t>Promissory Notes</w:t>
      </w:r>
      <w:r>
        <w:rPr>
          <w:rFonts w:ascii="Arial" w:cs="Arial" w:eastAsia="Arial" w:hAnsi="Arial"/>
          <w:sz w:val="13"/>
          <w:szCs w:val="13"/>
          <w:color w:val="auto"/>
        </w:rPr>
        <w:t xml:space="preserve">. Any Lender may request that Loans of any Class made by it be evidenced by a promissory note; in such event, the Borrower shall prepare, execute and deliver to such Lender a promissory note payable to such Lender (or, if requested by such Lender, to such Lender and its registered assigns) and in a form approved by the Administrative Agent. Thereafter, the Loans evidenced by such promissory note and interest thereon shall at all times (including after assignment pursuant to </w:t>
      </w:r>
      <w:r>
        <w:rPr>
          <w:rFonts w:ascii="Arial" w:cs="Arial" w:eastAsia="Arial" w:hAnsi="Arial"/>
          <w:sz w:val="13"/>
          <w:szCs w:val="13"/>
          <w:u w:val="single" w:color="auto"/>
          <w:color w:val="auto"/>
        </w:rPr>
        <w:t>Section 9.04</w:t>
      </w:r>
      <w:r>
        <w:rPr>
          <w:rFonts w:ascii="Arial" w:cs="Arial" w:eastAsia="Arial" w:hAnsi="Arial"/>
          <w:sz w:val="13"/>
          <w:szCs w:val="13"/>
          <w:color w:val="auto"/>
        </w:rPr>
        <w:t>) be represented by one or more promissory notes in such form payable to the payee named therein (or, if such promissory note is a registered note, to such payee and its registered assigns).</w:t>
      </w:r>
    </w:p>
    <w:p>
      <w:pPr>
        <w:spacing w:after="0" w:line="175" w:lineRule="exact"/>
        <w:rPr>
          <w:sz w:val="20"/>
          <w:szCs w:val="20"/>
          <w:color w:val="auto"/>
        </w:rPr>
      </w:pPr>
    </w:p>
    <w:p>
      <w:pPr>
        <w:ind w:left="1740"/>
        <w:spacing w:after="0"/>
        <w:rPr>
          <w:sz w:val="20"/>
          <w:szCs w:val="20"/>
          <w:color w:val="auto"/>
        </w:rPr>
      </w:pPr>
      <w:r>
        <w:rPr>
          <w:rFonts w:ascii="Arial" w:cs="Arial" w:eastAsia="Arial" w:hAnsi="Arial"/>
          <w:sz w:val="14"/>
          <w:szCs w:val="14"/>
          <w:color w:val="auto"/>
        </w:rPr>
        <w:t xml:space="preserve">SECTION 2.10. </w:t>
      </w:r>
      <w:r>
        <w:rPr>
          <w:rFonts w:ascii="Arial" w:cs="Arial" w:eastAsia="Arial" w:hAnsi="Arial"/>
          <w:sz w:val="14"/>
          <w:szCs w:val="14"/>
          <w:u w:val="single" w:color="auto"/>
          <w:color w:val="auto"/>
        </w:rPr>
        <w:t>Prepayment of Loans</w:t>
      </w:r>
      <w:r>
        <w:rPr>
          <w:rFonts w:ascii="Arial" w:cs="Arial" w:eastAsia="Arial" w:hAnsi="Arial"/>
          <w:sz w:val="14"/>
          <w:szCs w:val="14"/>
          <w:color w:val="auto"/>
        </w:rPr>
        <w:t>.</w:t>
      </w:r>
    </w:p>
    <w:p>
      <w:pPr>
        <w:spacing w:after="0" w:line="204" w:lineRule="exact"/>
        <w:rPr>
          <w:sz w:val="20"/>
          <w:szCs w:val="20"/>
          <w:color w:val="auto"/>
        </w:rPr>
      </w:pPr>
    </w:p>
    <w:p>
      <w:pPr>
        <w:ind w:right="40" w:firstLine="1735"/>
        <w:spacing w:after="0" w:line="253" w:lineRule="auto"/>
        <w:tabs>
          <w:tab w:leader="none" w:pos="2535" w:val="left"/>
        </w:tabs>
        <w:numPr>
          <w:ilvl w:val="1"/>
          <w:numId w:val="70"/>
        </w:numPr>
        <w:rPr>
          <w:rFonts w:ascii="Arial" w:cs="Arial" w:eastAsia="Arial" w:hAnsi="Arial"/>
          <w:sz w:val="14"/>
          <w:szCs w:val="14"/>
          <w:color w:val="auto"/>
        </w:rPr>
      </w:pPr>
      <w:r>
        <w:rPr>
          <w:rFonts w:ascii="Arial" w:cs="Arial" w:eastAsia="Arial" w:hAnsi="Arial"/>
          <w:sz w:val="14"/>
          <w:szCs w:val="14"/>
          <w:u w:val="single" w:color="auto"/>
          <w:color w:val="auto"/>
        </w:rPr>
        <w:t>Optional Prepayments</w:t>
      </w:r>
      <w:r>
        <w:rPr>
          <w:rFonts w:ascii="Arial" w:cs="Arial" w:eastAsia="Arial" w:hAnsi="Arial"/>
          <w:sz w:val="14"/>
          <w:szCs w:val="14"/>
          <w:color w:val="auto"/>
        </w:rPr>
        <w:t xml:space="preserve">. The Borrower shall have the right at any time and from time to time to prepay any Borrowing in whole or in part, without premium or penalty except for payments under </w:t>
      </w:r>
      <w:r>
        <w:rPr>
          <w:rFonts w:ascii="Arial" w:cs="Arial" w:eastAsia="Arial" w:hAnsi="Arial"/>
          <w:sz w:val="14"/>
          <w:szCs w:val="14"/>
          <w:u w:val="single" w:color="auto"/>
          <w:color w:val="auto"/>
        </w:rPr>
        <w:t>Section 2.15</w:t>
      </w:r>
      <w:r>
        <w:rPr>
          <w:rFonts w:ascii="Arial" w:cs="Arial" w:eastAsia="Arial" w:hAnsi="Arial"/>
          <w:sz w:val="14"/>
          <w:szCs w:val="14"/>
          <w:color w:val="auto"/>
        </w:rPr>
        <w:t>, subject to the requirements of this Section.</w:t>
      </w:r>
    </w:p>
    <w:p>
      <w:pPr>
        <w:spacing w:after="0" w:line="173" w:lineRule="exact"/>
        <w:rPr>
          <w:rFonts w:ascii="Arial" w:cs="Arial" w:eastAsia="Arial" w:hAnsi="Arial"/>
          <w:sz w:val="14"/>
          <w:szCs w:val="14"/>
          <w:color w:val="auto"/>
        </w:rPr>
      </w:pPr>
    </w:p>
    <w:p>
      <w:pPr>
        <w:ind w:left="2560" w:hanging="825"/>
        <w:spacing w:after="0"/>
        <w:tabs>
          <w:tab w:leader="none" w:pos="2560" w:val="left"/>
        </w:tabs>
        <w:numPr>
          <w:ilvl w:val="1"/>
          <w:numId w:val="70"/>
        </w:numPr>
        <w:rPr>
          <w:rFonts w:ascii="Arial" w:cs="Arial" w:eastAsia="Arial" w:hAnsi="Arial"/>
          <w:sz w:val="14"/>
          <w:szCs w:val="14"/>
          <w:color w:val="auto"/>
        </w:rPr>
      </w:pPr>
      <w:r>
        <w:rPr>
          <w:rFonts w:ascii="Arial" w:cs="Arial" w:eastAsia="Arial" w:hAnsi="Arial"/>
          <w:sz w:val="14"/>
          <w:szCs w:val="14"/>
          <w:u w:val="single" w:color="auto"/>
          <w:color w:val="auto"/>
        </w:rPr>
        <w:t>Mandatory Prepayments due to Changes in Exchange Rates</w:t>
      </w:r>
      <w:r>
        <w:rPr>
          <w:rFonts w:ascii="Arial" w:cs="Arial" w:eastAsia="Arial" w:hAnsi="Arial"/>
          <w:sz w:val="14"/>
          <w:szCs w:val="14"/>
          <w:color w:val="auto"/>
        </w:rPr>
        <w:t>.</w:t>
      </w:r>
    </w:p>
    <w:p>
      <w:pPr>
        <w:spacing w:after="0" w:line="203" w:lineRule="exact"/>
        <w:rPr>
          <w:rFonts w:ascii="Arial" w:cs="Arial" w:eastAsia="Arial" w:hAnsi="Arial"/>
          <w:sz w:val="14"/>
          <w:szCs w:val="14"/>
          <w:color w:val="auto"/>
        </w:rPr>
      </w:pPr>
    </w:p>
    <w:p>
      <w:pPr>
        <w:jc w:val="both"/>
        <w:ind w:left="880" w:right="20" w:firstLine="789"/>
        <w:spacing w:after="0" w:line="248" w:lineRule="auto"/>
        <w:tabs>
          <w:tab w:leader="none" w:pos="2461" w:val="left"/>
        </w:tabs>
        <w:numPr>
          <w:ilvl w:val="0"/>
          <w:numId w:val="71"/>
        </w:numPr>
        <w:rPr>
          <w:rFonts w:ascii="Arial" w:cs="Arial" w:eastAsia="Arial" w:hAnsi="Arial"/>
          <w:sz w:val="13"/>
          <w:szCs w:val="13"/>
          <w:color w:val="auto"/>
        </w:rPr>
      </w:pPr>
      <w:r>
        <w:rPr>
          <w:rFonts w:ascii="Arial" w:cs="Arial" w:eastAsia="Arial" w:hAnsi="Arial"/>
          <w:sz w:val="13"/>
          <w:szCs w:val="13"/>
          <w:u w:val="single" w:color="auto"/>
          <w:color w:val="auto"/>
        </w:rPr>
        <w:t>Determination of Amount Outstanding</w:t>
      </w:r>
      <w:r>
        <w:rPr>
          <w:rFonts w:ascii="Arial" w:cs="Arial" w:eastAsia="Arial" w:hAnsi="Arial"/>
          <w:sz w:val="13"/>
          <w:szCs w:val="13"/>
          <w:color w:val="auto"/>
        </w:rPr>
        <w:t>. On each Quarterly Date and, in addition, promptly upon the receipt by the Administrative Agent of a Currency Valuation Notice (as defined below), the Administrative Agent shall determine the aggregate Revolving Multicurrency Credit Exposure. For the purpose of this determination, the outstanding principal amount of any Loan that is denominated in any Foreign Currency shall be deemed to be the Dollar Equivalent of the amount in the Foreign Currency of such Loan, determined as of such Quarterly Date or, in the case of a Currency Valuation Notice received by the Administrative Agent prior to 11:00 a.m., Atlanta, Georgia time, on a Business Day, on such Business Day or, in the case of a Currency Valuation Notice otherwise received, on the first Business Day after such Currency Valuation Notice is received. Upon making such determination, the Administrative Agent shall promptly notify the Multicurrency Lenders and the Borrower thereof.</w:t>
      </w:r>
    </w:p>
    <w:p>
      <w:pPr>
        <w:spacing w:after="0" w:line="180" w:lineRule="exact"/>
        <w:rPr>
          <w:rFonts w:ascii="Arial" w:cs="Arial" w:eastAsia="Arial" w:hAnsi="Arial"/>
          <w:sz w:val="13"/>
          <w:szCs w:val="13"/>
          <w:color w:val="auto"/>
        </w:rPr>
      </w:pPr>
    </w:p>
    <w:p>
      <w:pPr>
        <w:jc w:val="both"/>
        <w:ind w:left="880" w:right="20" w:firstLine="789"/>
        <w:spacing w:after="0" w:line="264" w:lineRule="auto"/>
        <w:tabs>
          <w:tab w:leader="none" w:pos="2501" w:val="left"/>
        </w:tabs>
        <w:numPr>
          <w:ilvl w:val="0"/>
          <w:numId w:val="71"/>
        </w:numPr>
        <w:rPr>
          <w:rFonts w:ascii="Arial" w:cs="Arial" w:eastAsia="Arial" w:hAnsi="Arial"/>
          <w:sz w:val="13"/>
          <w:szCs w:val="13"/>
          <w:color w:val="auto"/>
        </w:rPr>
      </w:pPr>
      <w:r>
        <w:rPr>
          <w:rFonts w:ascii="Arial" w:cs="Arial" w:eastAsia="Arial" w:hAnsi="Arial"/>
          <w:sz w:val="13"/>
          <w:szCs w:val="13"/>
          <w:u w:val="single" w:color="auto"/>
          <w:color w:val="auto"/>
        </w:rPr>
        <w:t>Prepayment</w:t>
      </w:r>
      <w:r>
        <w:rPr>
          <w:rFonts w:ascii="Arial" w:cs="Arial" w:eastAsia="Arial" w:hAnsi="Arial"/>
          <w:sz w:val="13"/>
          <w:szCs w:val="13"/>
          <w:color w:val="auto"/>
        </w:rPr>
        <w:t xml:space="preserve">. If on the date of such determination the aggregate Revolving Multicurrency Credit Exposure </w:t>
      </w:r>
      <w:r>
        <w:rPr>
          <w:rFonts w:ascii="Arial" w:cs="Arial" w:eastAsia="Arial" w:hAnsi="Arial"/>
          <w:sz w:val="13"/>
          <w:szCs w:val="13"/>
          <w:u w:val="single" w:color="auto"/>
          <w:color w:val="auto"/>
        </w:rPr>
        <w:t>minus</w:t>
      </w:r>
      <w:r>
        <w:rPr>
          <w:rFonts w:ascii="Arial" w:cs="Arial" w:eastAsia="Arial" w:hAnsi="Arial"/>
          <w:sz w:val="13"/>
          <w:szCs w:val="13"/>
          <w:color w:val="auto"/>
        </w:rPr>
        <w:t xml:space="preserve"> the Multicurrency LC Exposure fully Cash Collateralized on such date exceeds 105% of the aggregate amount of the Multicurrency Commitments as then in effect, the Borrower shall, if requested by the Required Multicurrency Lenders (through the Administrative Agent), prepay the Syndicated Multicurrency Loans and Swingline Multicurrency Loans (and/or provide Cash</w:t>
      </w:r>
    </w:p>
    <w:p>
      <w:pPr>
        <w:spacing w:after="0" w:line="200" w:lineRule="exact"/>
        <w:rPr>
          <w:sz w:val="20"/>
          <w:szCs w:val="20"/>
          <w:color w:val="auto"/>
        </w:rPr>
      </w:pPr>
    </w:p>
    <w:p>
      <w:pPr>
        <w:spacing w:after="0" w:line="38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7580" w:type="dxa"/>
            <w:vAlign w:val="bottom"/>
          </w:tcPr>
          <w:p>
            <w:pPr>
              <w:jc w:val="right"/>
              <w:ind w:right="1808"/>
              <w:spacing w:after="0"/>
              <w:rPr>
                <w:sz w:val="20"/>
                <w:szCs w:val="20"/>
                <w:color w:val="auto"/>
              </w:rPr>
            </w:pPr>
            <w:r>
              <w:rPr>
                <w:rFonts w:ascii="Arial" w:cs="Arial" w:eastAsia="Arial" w:hAnsi="Arial"/>
                <w:sz w:val="14"/>
                <w:szCs w:val="14"/>
                <w:color w:val="auto"/>
              </w:rPr>
              <w:t>28</w:t>
            </w:r>
          </w:p>
        </w:tc>
        <w:tc>
          <w:tcPr>
            <w:tcW w:w="3680" w:type="dxa"/>
            <w:vAlign w:val="bottom"/>
          </w:tcPr>
          <w:p>
            <w:pPr>
              <w:jc w:val="right"/>
              <w:spacing w:after="0"/>
              <w:rPr>
                <w:sz w:val="20"/>
                <w:szCs w:val="20"/>
                <w:color w:val="auto"/>
              </w:rPr>
            </w:pPr>
            <w:r>
              <w:rPr>
                <w:rFonts w:ascii="Arial" w:cs="Arial" w:eastAsia="Arial" w:hAnsi="Arial"/>
                <w:sz w:val="14"/>
                <w:szCs w:val="14"/>
                <w:i w:val="1"/>
                <w:iCs w:val="1"/>
                <w:color w:val="auto"/>
              </w:rPr>
              <w:t>Second Amended and Restated</w:t>
            </w:r>
          </w:p>
        </w:tc>
      </w:tr>
      <w:tr>
        <w:trPr>
          <w:trHeight w:val="182"/>
        </w:trPr>
        <w:tc>
          <w:tcPr>
            <w:tcW w:w="7580" w:type="dxa"/>
            <w:vAlign w:val="bottom"/>
          </w:tcPr>
          <w:p>
            <w:pPr>
              <w:spacing w:after="0"/>
              <w:rPr>
                <w:sz w:val="15"/>
                <w:szCs w:val="15"/>
                <w:color w:val="auto"/>
              </w:rPr>
            </w:pPr>
          </w:p>
        </w:tc>
        <w:tc>
          <w:tcPr>
            <w:tcW w:w="3680" w:type="dxa"/>
            <w:vAlign w:val="bottom"/>
          </w:tcPr>
          <w:p>
            <w:pPr>
              <w:jc w:val="right"/>
              <w:spacing w:after="0"/>
              <w:rPr>
                <w:sz w:val="20"/>
                <w:szCs w:val="20"/>
                <w:color w:val="auto"/>
              </w:rPr>
            </w:pPr>
            <w:r>
              <w:rPr>
                <w:rFonts w:ascii="Arial" w:cs="Arial" w:eastAsia="Arial" w:hAnsi="Arial"/>
                <w:sz w:val="14"/>
                <w:szCs w:val="14"/>
                <w:i w:val="1"/>
                <w:iCs w:val="1"/>
                <w:color w:val="auto"/>
              </w:rPr>
              <w:t>Revolving Credit Agreement</w:t>
            </w:r>
          </w:p>
        </w:tc>
      </w:tr>
      <w:tr>
        <w:trPr>
          <w:trHeight w:val="316"/>
        </w:trPr>
        <w:tc>
          <w:tcPr>
            <w:tcW w:w="7580" w:type="dxa"/>
            <w:vAlign w:val="bottom"/>
            <w:tcBorders>
              <w:bottom w:val="single" w:sz="8" w:color="9A9A9A"/>
            </w:tcBorders>
          </w:tcPr>
          <w:p>
            <w:pPr>
              <w:spacing w:after="0"/>
              <w:rPr>
                <w:sz w:val="24"/>
                <w:szCs w:val="24"/>
                <w:color w:val="auto"/>
              </w:rPr>
            </w:pPr>
          </w:p>
        </w:tc>
        <w:tc>
          <w:tcPr>
            <w:tcW w:w="368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7145655</wp:posOffset>
            </wp:positionH>
            <wp:positionV relativeFrom="paragraph">
              <wp:posOffset>-7620</wp:posOffset>
            </wp:positionV>
            <wp:extent cx="8255" cy="8255"/>
            <wp:wrapNone/>
            <wp:docPr id="161" name="Picture 1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
                    <pic:cNvPicPr>
                      <a:picLocks noChangeAspect="1" noChangeArrowheads="1"/>
                    </pic:cNvPicPr>
                  </pic:nvPicPr>
                  <pic:blipFill>
                    <a:blip r:embed="rId168">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-16510</wp:posOffset>
            </wp:positionV>
            <wp:extent cx="8890" cy="17145"/>
            <wp:wrapNone/>
            <wp:docPr id="162" name="Picture 1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
                    <pic:cNvPicPr>
                      <a:picLocks noChangeAspect="1" noChangeArrowheads="1"/>
                    </pic:cNvPicPr>
                  </pic:nvPicPr>
                  <pic:blipFill>
                    <a:blip r:embed="rId169">
                      <a:extLst>
                        <a:ext uri="{28A0092B-C50C-407E-A947-70E740481C1C}"/>
                      </a:extLst>
                    </a:blip>
                    <a:srcRect/>
                    <a:stretch>
                      <a:fillRect/>
                    </a:stretch>
                  </pic:blipFill>
                  <pic:spPr bwMode="auto">
                    <a:xfrm>
                      <a:off x="0" y="0"/>
                      <a:ext cx="8890" cy="17145"/>
                    </a:xfrm>
                    <a:prstGeom prst="rect">
                      <a:avLst/>
                    </a:prstGeom>
                    <a:noFill/>
                  </pic:spPr>
                </pic:pic>
              </a:graphicData>
            </a:graphic>
          </wp:anchor>
        </w:drawing>
      </w:r>
    </w:p>
    <w:p>
      <w:pPr>
        <w:sectPr>
          <w:pgSz w:w="11900" w:h="16838" w:orient="portrait"/>
          <w:cols w:equalWidth="0" w:num="1">
            <w:col w:w="11260"/>
          </w:cols>
          <w:pgMar w:left="320" w:top="337" w:right="319" w:bottom="1440" w:gutter="0" w:footer="0" w:header="0"/>
        </w:sectPr>
      </w:pPr>
    </w:p>
    <w:bookmarkStart w:id="91" w:name="page92"/>
    <w:bookmarkEnd w:id="91"/>
    <w:p>
      <w:pPr>
        <w:ind w:left="880" w:right="20"/>
        <w:spacing w:after="0" w:line="253" w:lineRule="auto"/>
        <w:rPr>
          <w:sz w:val="20"/>
          <w:szCs w:val="20"/>
          <w:color w:val="auto"/>
        </w:rPr>
      </w:pPr>
      <w:r>
        <w:rPr>
          <w:rFonts w:ascii="Arial" w:cs="Arial" w:eastAsia="Arial" w:hAnsi="Arial"/>
          <w:sz w:val="14"/>
          <w:szCs w:val="14"/>
          <w:color w:val="auto"/>
        </w:rPr>
        <w:t xml:space="preserve">Collateral for Multicurrency LC Exposure as specified in </w:t>
      </w:r>
      <w:r>
        <w:rPr>
          <w:rFonts w:ascii="Arial" w:cs="Arial" w:eastAsia="Arial" w:hAnsi="Arial"/>
          <w:sz w:val="14"/>
          <w:szCs w:val="14"/>
          <w:u w:val="single" w:color="auto"/>
          <w:color w:val="auto"/>
        </w:rPr>
        <w:t>Section 2.05(k)</w:t>
      </w:r>
      <w:r>
        <w:rPr>
          <w:rFonts w:ascii="Arial" w:cs="Arial" w:eastAsia="Arial" w:hAnsi="Arial"/>
          <w:sz w:val="14"/>
          <w:szCs w:val="14"/>
          <w:color w:val="auto"/>
        </w:rPr>
        <w:t>) within 15 Business Days following the Borrower’s receipt of such request in such amounts as shall be necessary so that after giving effect thereto the aggregate Revolving Multicurrency Credit Exposure does not exceed the Multicurrency Commitments.</w:t>
      </w:r>
    </w:p>
    <w:p>
      <w:pPr>
        <w:spacing w:after="0" w:line="174" w:lineRule="exact"/>
        <w:rPr>
          <w:sz w:val="20"/>
          <w:szCs w:val="20"/>
          <w:color w:val="auto"/>
        </w:rPr>
      </w:pPr>
    </w:p>
    <w:p>
      <w:pPr>
        <w:jc w:val="both"/>
        <w:ind w:right="20"/>
        <w:spacing w:after="0" w:line="238" w:lineRule="auto"/>
        <w:rPr>
          <w:sz w:val="20"/>
          <w:szCs w:val="20"/>
          <w:color w:val="auto"/>
        </w:rPr>
      </w:pPr>
      <w:r>
        <w:rPr>
          <w:rFonts w:ascii="Arial" w:cs="Arial" w:eastAsia="Arial" w:hAnsi="Arial"/>
          <w:sz w:val="14"/>
          <w:szCs w:val="14"/>
          <w:color w:val="auto"/>
        </w:rPr>
        <w:t>For purposes hereof “</w:t>
      </w:r>
      <w:r>
        <w:rPr>
          <w:rFonts w:ascii="Arial" w:cs="Arial" w:eastAsia="Arial" w:hAnsi="Arial"/>
          <w:sz w:val="14"/>
          <w:szCs w:val="14"/>
          <w:u w:val="single" w:color="auto"/>
          <w:color w:val="auto"/>
        </w:rPr>
        <w:t>Currency Valuation Notice</w:t>
      </w:r>
      <w:r>
        <w:rPr>
          <w:rFonts w:ascii="Arial" w:cs="Arial" w:eastAsia="Arial" w:hAnsi="Arial"/>
          <w:sz w:val="14"/>
          <w:szCs w:val="14"/>
          <w:color w:val="auto"/>
        </w:rPr>
        <w:t>” means a notice given by the Required Multicurrency Lenders to the Administrative Agent stating that such notice is a “Currency Valuation Notice” and requesting that the Administrative Agent determine the aggregate Revolving Multicurrency Credit Exposure. The Administrative Agent shall not be required to make more than one valuation determination pursuant to Currency Valuation Notices within any rolling three month period.</w:t>
      </w:r>
    </w:p>
    <w:p>
      <w:pPr>
        <w:spacing w:after="0" w:line="183" w:lineRule="exact"/>
        <w:rPr>
          <w:sz w:val="20"/>
          <w:szCs w:val="20"/>
          <w:color w:val="auto"/>
        </w:rPr>
      </w:pPr>
    </w:p>
    <w:p>
      <w:pPr>
        <w:jc w:val="both"/>
        <w:ind w:right="20" w:firstLine="1727"/>
        <w:spacing w:after="0" w:line="253" w:lineRule="auto"/>
        <w:rPr>
          <w:sz w:val="20"/>
          <w:szCs w:val="20"/>
          <w:color w:val="auto"/>
        </w:rPr>
      </w:pPr>
      <w:r>
        <w:rPr>
          <w:rFonts w:ascii="Arial" w:cs="Arial" w:eastAsia="Arial" w:hAnsi="Arial"/>
          <w:sz w:val="14"/>
          <w:szCs w:val="14"/>
          <w:color w:val="auto"/>
        </w:rPr>
        <w:t xml:space="preserve">Any prepayment pursuant to this paragraph shall be applied, </w:t>
      </w:r>
      <w:r>
        <w:rPr>
          <w:rFonts w:ascii="Arial" w:cs="Arial" w:eastAsia="Arial" w:hAnsi="Arial"/>
          <w:sz w:val="14"/>
          <w:szCs w:val="14"/>
          <w:u w:val="single" w:color="auto"/>
          <w:color w:val="auto"/>
        </w:rPr>
        <w:t>first</w:t>
      </w:r>
      <w:r>
        <w:rPr>
          <w:rFonts w:ascii="Arial" w:cs="Arial" w:eastAsia="Arial" w:hAnsi="Arial"/>
          <w:sz w:val="14"/>
          <w:szCs w:val="14"/>
          <w:color w:val="auto"/>
        </w:rPr>
        <w:t xml:space="preserve"> to Swingline Multicurrency Loans outstanding, </w:t>
      </w:r>
      <w:r>
        <w:rPr>
          <w:rFonts w:ascii="Arial" w:cs="Arial" w:eastAsia="Arial" w:hAnsi="Arial"/>
          <w:sz w:val="14"/>
          <w:szCs w:val="14"/>
          <w:u w:val="single" w:color="auto"/>
          <w:color w:val="auto"/>
        </w:rPr>
        <w:t>second</w:t>
      </w:r>
      <w:r>
        <w:rPr>
          <w:rFonts w:ascii="Arial" w:cs="Arial" w:eastAsia="Arial" w:hAnsi="Arial"/>
          <w:sz w:val="14"/>
          <w:szCs w:val="14"/>
          <w:color w:val="auto"/>
        </w:rPr>
        <w:t xml:space="preserve">, to Syndicated Multicurrency Loans outstanding and </w:t>
      </w:r>
      <w:r>
        <w:rPr>
          <w:rFonts w:ascii="Arial" w:cs="Arial" w:eastAsia="Arial" w:hAnsi="Arial"/>
          <w:sz w:val="14"/>
          <w:szCs w:val="14"/>
          <w:u w:val="single" w:color="auto"/>
          <w:color w:val="auto"/>
        </w:rPr>
        <w:t>third</w:t>
      </w:r>
      <w:r>
        <w:rPr>
          <w:rFonts w:ascii="Arial" w:cs="Arial" w:eastAsia="Arial" w:hAnsi="Arial"/>
          <w:sz w:val="14"/>
          <w:szCs w:val="14"/>
          <w:color w:val="auto"/>
        </w:rPr>
        <w:t>, as cover for Multicurrency LC Exposure.</w:t>
      </w:r>
    </w:p>
    <w:p>
      <w:pPr>
        <w:spacing w:after="0" w:line="174" w:lineRule="exact"/>
        <w:rPr>
          <w:sz w:val="20"/>
          <w:szCs w:val="20"/>
          <w:color w:val="auto"/>
        </w:rPr>
      </w:pPr>
    </w:p>
    <w:p>
      <w:pPr>
        <w:jc w:val="both"/>
        <w:ind w:right="20" w:firstLine="1735"/>
        <w:spacing w:after="0" w:line="245" w:lineRule="auto"/>
        <w:tabs>
          <w:tab w:leader="none" w:pos="2535" w:val="left"/>
        </w:tabs>
        <w:numPr>
          <w:ilvl w:val="1"/>
          <w:numId w:val="72"/>
        </w:numPr>
        <w:rPr>
          <w:rFonts w:ascii="Arial" w:cs="Arial" w:eastAsia="Arial" w:hAnsi="Arial"/>
          <w:sz w:val="13"/>
          <w:szCs w:val="13"/>
          <w:color w:val="auto"/>
        </w:rPr>
      </w:pPr>
      <w:r>
        <w:rPr>
          <w:rFonts w:ascii="Arial" w:cs="Arial" w:eastAsia="Arial" w:hAnsi="Arial"/>
          <w:sz w:val="13"/>
          <w:szCs w:val="13"/>
          <w:u w:val="single" w:color="auto"/>
          <w:color w:val="auto"/>
        </w:rPr>
        <w:t>Mandatory Prepayments due to Borrowing Base Deficiency</w:t>
      </w:r>
      <w:r>
        <w:rPr>
          <w:rFonts w:ascii="Arial" w:cs="Arial" w:eastAsia="Arial" w:hAnsi="Arial"/>
          <w:sz w:val="13"/>
          <w:szCs w:val="13"/>
          <w:color w:val="auto"/>
        </w:rPr>
        <w:t xml:space="preserve">. In the event that at any time any Borrowing Base Deficiency shall exist, the Borrower shall, within five Business Days after delivery of the applicable Borrowing Base Certificate, prepay the Loans (or provide Cash Collateral for Letters of Credit as contemplated by </w:t>
      </w:r>
      <w:r>
        <w:rPr>
          <w:rFonts w:ascii="Arial" w:cs="Arial" w:eastAsia="Arial" w:hAnsi="Arial"/>
          <w:sz w:val="13"/>
          <w:szCs w:val="13"/>
          <w:u w:val="single" w:color="auto"/>
          <w:color w:val="auto"/>
        </w:rPr>
        <w:t>Section 2.05(k)</w:t>
      </w:r>
      <w:r>
        <w:rPr>
          <w:rFonts w:ascii="Arial" w:cs="Arial" w:eastAsia="Arial" w:hAnsi="Arial"/>
          <w:sz w:val="13"/>
          <w:szCs w:val="13"/>
          <w:color w:val="auto"/>
        </w:rPr>
        <w:t xml:space="preserve">) or reduce Other Covered Indebtedness in such amounts as shall be necessary so that such Borrowing Base Deficiency is cured; </w:t>
      </w:r>
      <w:r>
        <w:rPr>
          <w:rFonts w:ascii="Arial" w:cs="Arial" w:eastAsia="Arial" w:hAnsi="Arial"/>
          <w:sz w:val="13"/>
          <w:szCs w:val="13"/>
          <w:u w:val="single" w:color="auto"/>
          <w:color w:val="auto"/>
        </w:rPr>
        <w:t>provided</w:t>
      </w:r>
      <w:r>
        <w:rPr>
          <w:rFonts w:ascii="Arial" w:cs="Arial" w:eastAsia="Arial" w:hAnsi="Arial"/>
          <w:sz w:val="13"/>
          <w:szCs w:val="13"/>
          <w:color w:val="auto"/>
        </w:rPr>
        <w:t xml:space="preserve"> that (i) the aggregate amount of such prepayment of Loans (and Cash Collateral for Letters of Credit) shall be at least equal to the Revolving Percentage times the aggregate prepayment of the Covered Debt Amount, and (ii) if, within five Business Days after delivery of a Borrowing Base Certificate demonstrating such Borrowing Base Deficiency, the Borrower shall present the Administrative Agent with a reasonably feasible plan acceptable to the Administrative Agent in its sole discretion to enable such Borrowing Base Deficiency to be cured within 30 Business Days (which 30-Business Day period shall include the five Business Days permitted for delivery of such plan), then such prepayment or reduction shall not be required to be effected immediately but may be effected in accordance with such plan (with such modifications as the Borrower may reasonably determine), so long as such Borrowing Base Deficiency is cured within such 30-Business Day period.</w:t>
      </w:r>
    </w:p>
    <w:p>
      <w:pPr>
        <w:spacing w:after="0" w:line="183" w:lineRule="exact"/>
        <w:rPr>
          <w:rFonts w:ascii="Arial" w:cs="Arial" w:eastAsia="Arial" w:hAnsi="Arial"/>
          <w:sz w:val="13"/>
          <w:szCs w:val="13"/>
          <w:color w:val="auto"/>
        </w:rPr>
      </w:pPr>
    </w:p>
    <w:p>
      <w:pPr>
        <w:ind w:left="2560" w:hanging="825"/>
        <w:spacing w:after="0"/>
        <w:tabs>
          <w:tab w:leader="none" w:pos="2560" w:val="left"/>
        </w:tabs>
        <w:numPr>
          <w:ilvl w:val="1"/>
          <w:numId w:val="72"/>
        </w:numPr>
        <w:rPr>
          <w:rFonts w:ascii="Arial" w:cs="Arial" w:eastAsia="Arial" w:hAnsi="Arial"/>
          <w:sz w:val="14"/>
          <w:szCs w:val="14"/>
          <w:color w:val="auto"/>
        </w:rPr>
      </w:pPr>
      <w:r>
        <w:rPr>
          <w:rFonts w:ascii="Arial" w:cs="Arial" w:eastAsia="Arial" w:hAnsi="Arial"/>
          <w:sz w:val="14"/>
          <w:szCs w:val="14"/>
          <w:color w:val="auto"/>
        </w:rPr>
        <w:t>[Reserved].</w:t>
      </w:r>
    </w:p>
    <w:p>
      <w:pPr>
        <w:spacing w:after="0" w:line="203" w:lineRule="exact"/>
        <w:rPr>
          <w:rFonts w:ascii="Arial" w:cs="Arial" w:eastAsia="Arial" w:hAnsi="Arial"/>
          <w:sz w:val="14"/>
          <w:szCs w:val="14"/>
          <w:color w:val="auto"/>
        </w:rPr>
      </w:pPr>
    </w:p>
    <w:p>
      <w:pPr>
        <w:ind w:right="20" w:firstLine="1735"/>
        <w:spacing w:after="0" w:line="253" w:lineRule="auto"/>
        <w:tabs>
          <w:tab w:leader="none" w:pos="2535" w:val="left"/>
        </w:tabs>
        <w:numPr>
          <w:ilvl w:val="1"/>
          <w:numId w:val="72"/>
        </w:numPr>
        <w:rPr>
          <w:rFonts w:ascii="Arial" w:cs="Arial" w:eastAsia="Arial" w:hAnsi="Arial"/>
          <w:sz w:val="14"/>
          <w:szCs w:val="14"/>
          <w:color w:val="auto"/>
        </w:rPr>
      </w:pPr>
      <w:r>
        <w:rPr>
          <w:rFonts w:ascii="Arial" w:cs="Arial" w:eastAsia="Arial" w:hAnsi="Arial"/>
          <w:sz w:val="14"/>
          <w:szCs w:val="14"/>
          <w:u w:val="single" w:color="auto"/>
          <w:color w:val="auto"/>
        </w:rPr>
        <w:t>Mandatory Prepayments During Amortization Period</w:t>
      </w:r>
      <w:r>
        <w:rPr>
          <w:rFonts w:ascii="Arial" w:cs="Arial" w:eastAsia="Arial" w:hAnsi="Arial"/>
          <w:sz w:val="14"/>
          <w:szCs w:val="14"/>
          <w:color w:val="auto"/>
        </w:rPr>
        <w:t>. During the period commencing on the date immediately following the Commitment Termination Date and ending on the Final Maturity Date:</w:t>
      </w:r>
    </w:p>
    <w:p>
      <w:pPr>
        <w:spacing w:after="0" w:line="173" w:lineRule="exact"/>
        <w:rPr>
          <w:rFonts w:ascii="Arial" w:cs="Arial" w:eastAsia="Arial" w:hAnsi="Arial"/>
          <w:sz w:val="14"/>
          <w:szCs w:val="14"/>
          <w:color w:val="auto"/>
        </w:rPr>
      </w:pPr>
    </w:p>
    <w:p>
      <w:pPr>
        <w:jc w:val="both"/>
        <w:ind w:left="880" w:right="20" w:firstLine="789"/>
        <w:spacing w:after="0" w:line="233" w:lineRule="auto"/>
        <w:tabs>
          <w:tab w:leader="none" w:pos="2461" w:val="left"/>
        </w:tabs>
        <w:numPr>
          <w:ilvl w:val="0"/>
          <w:numId w:val="73"/>
        </w:numPr>
        <w:rPr>
          <w:rFonts w:ascii="Arial" w:cs="Arial" w:eastAsia="Arial" w:hAnsi="Arial"/>
          <w:sz w:val="14"/>
          <w:szCs w:val="14"/>
          <w:color w:val="auto"/>
        </w:rPr>
      </w:pPr>
      <w:r>
        <w:rPr>
          <w:rFonts w:ascii="Arial" w:cs="Arial" w:eastAsia="Arial" w:hAnsi="Arial"/>
          <w:sz w:val="14"/>
          <w:szCs w:val="14"/>
          <w:u w:val="single" w:color="auto"/>
          <w:color w:val="auto"/>
        </w:rPr>
        <w:t>Asset Disposition</w:t>
      </w:r>
      <w:r>
        <w:rPr>
          <w:rFonts w:ascii="Arial" w:cs="Arial" w:eastAsia="Arial" w:hAnsi="Arial"/>
          <w:sz w:val="14"/>
          <w:szCs w:val="14"/>
          <w:color w:val="auto"/>
        </w:rPr>
        <w:t xml:space="preserve">. If the Borrower or any of its Subsidiaries (other than a Financing Subsidiary) Disposes of any property which results in the receipt by such Person of Net Cash Proceeds in excess of $3,000,000 in the aggregate since the Commitment Termination Date, the Borrower shall prepay an aggregate principal amount of Loans equal to 100% of such Net Cash Proceeds no later than the fifth Business Day following the receipt of such Net Cash Proceeds (such prepayments to be applied as set forth in </w:t>
      </w:r>
      <w:r>
        <w:rPr>
          <w:rFonts w:ascii="Arial" w:cs="Arial" w:eastAsia="Arial" w:hAnsi="Arial"/>
          <w:sz w:val="14"/>
          <w:szCs w:val="14"/>
          <w:u w:val="single" w:color="auto"/>
          <w:color w:val="auto"/>
        </w:rPr>
        <w:t>Section 2.09(a)</w:t>
      </w:r>
      <w:r>
        <w:rPr>
          <w:rFonts w:ascii="Arial" w:cs="Arial" w:eastAsia="Arial" w:hAnsi="Arial"/>
          <w:sz w:val="14"/>
          <w:szCs w:val="14"/>
          <w:color w:val="auto"/>
        </w:rPr>
        <w:t>).</w:t>
      </w:r>
    </w:p>
    <w:p>
      <w:pPr>
        <w:spacing w:after="0" w:line="184" w:lineRule="exact"/>
        <w:rPr>
          <w:rFonts w:ascii="Arial" w:cs="Arial" w:eastAsia="Arial" w:hAnsi="Arial"/>
          <w:sz w:val="14"/>
          <w:szCs w:val="14"/>
          <w:color w:val="auto"/>
        </w:rPr>
      </w:pPr>
    </w:p>
    <w:p>
      <w:pPr>
        <w:jc w:val="both"/>
        <w:ind w:left="880" w:right="20" w:firstLine="789"/>
        <w:spacing w:after="0" w:line="233" w:lineRule="auto"/>
        <w:tabs>
          <w:tab w:leader="none" w:pos="2501" w:val="left"/>
        </w:tabs>
        <w:numPr>
          <w:ilvl w:val="0"/>
          <w:numId w:val="73"/>
        </w:numPr>
        <w:rPr>
          <w:rFonts w:ascii="Arial" w:cs="Arial" w:eastAsia="Arial" w:hAnsi="Arial"/>
          <w:sz w:val="14"/>
          <w:szCs w:val="14"/>
          <w:color w:val="auto"/>
        </w:rPr>
      </w:pPr>
      <w:r>
        <w:rPr>
          <w:rFonts w:ascii="Arial" w:cs="Arial" w:eastAsia="Arial" w:hAnsi="Arial"/>
          <w:sz w:val="14"/>
          <w:szCs w:val="14"/>
          <w:u w:val="single" w:color="auto"/>
          <w:color w:val="auto"/>
        </w:rPr>
        <w:t>Equity Issuance</w:t>
      </w:r>
      <w:r>
        <w:rPr>
          <w:rFonts w:ascii="Arial" w:cs="Arial" w:eastAsia="Arial" w:hAnsi="Arial"/>
          <w:sz w:val="14"/>
          <w:szCs w:val="14"/>
          <w:color w:val="auto"/>
        </w:rPr>
        <w:t xml:space="preserve">. Upon the sale or issuance by the Borrower or any of its Subsidiaries (other than a Financing Subsidiary) of any of its Equity Interests (other than any sales or issuances of Equity Interests to the Borrower or any Subsidiary Guarantor), the Borrower shall prepay an aggregate principal amount of Loans equal to 75% of all Net Cash Proceeds received therefrom no later than the fifth Business Day following the receipt of such Net Cash Proceeds (such prepayments to be applied as set forth in </w:t>
      </w:r>
      <w:r>
        <w:rPr>
          <w:rFonts w:ascii="Arial" w:cs="Arial" w:eastAsia="Arial" w:hAnsi="Arial"/>
          <w:sz w:val="14"/>
          <w:szCs w:val="14"/>
          <w:u w:val="single" w:color="auto"/>
          <w:color w:val="auto"/>
        </w:rPr>
        <w:t>Section 2.09(b)</w:t>
      </w:r>
      <w:r>
        <w:rPr>
          <w:rFonts w:ascii="Arial" w:cs="Arial" w:eastAsia="Arial" w:hAnsi="Arial"/>
          <w:sz w:val="14"/>
          <w:szCs w:val="14"/>
          <w:color w:val="auto"/>
        </w:rPr>
        <w:t>).</w:t>
      </w:r>
    </w:p>
    <w:p>
      <w:pPr>
        <w:spacing w:after="0" w:line="184" w:lineRule="exact"/>
        <w:rPr>
          <w:rFonts w:ascii="Arial" w:cs="Arial" w:eastAsia="Arial" w:hAnsi="Arial"/>
          <w:sz w:val="14"/>
          <w:szCs w:val="14"/>
          <w:color w:val="auto"/>
        </w:rPr>
      </w:pPr>
    </w:p>
    <w:p>
      <w:pPr>
        <w:jc w:val="both"/>
        <w:ind w:left="880" w:right="20" w:firstLine="789"/>
        <w:spacing w:after="0" w:line="238" w:lineRule="auto"/>
        <w:tabs>
          <w:tab w:leader="none" w:pos="2541" w:val="left"/>
        </w:tabs>
        <w:numPr>
          <w:ilvl w:val="0"/>
          <w:numId w:val="73"/>
        </w:numPr>
        <w:rPr>
          <w:rFonts w:ascii="Arial" w:cs="Arial" w:eastAsia="Arial" w:hAnsi="Arial"/>
          <w:sz w:val="14"/>
          <w:szCs w:val="14"/>
          <w:color w:val="auto"/>
        </w:rPr>
      </w:pPr>
      <w:r>
        <w:rPr>
          <w:rFonts w:ascii="Arial" w:cs="Arial" w:eastAsia="Arial" w:hAnsi="Arial"/>
          <w:sz w:val="14"/>
          <w:szCs w:val="14"/>
          <w:u w:val="single" w:color="auto"/>
          <w:color w:val="auto"/>
        </w:rPr>
        <w:t>Indebtedness</w:t>
      </w:r>
      <w:r>
        <w:rPr>
          <w:rFonts w:ascii="Arial" w:cs="Arial" w:eastAsia="Arial" w:hAnsi="Arial"/>
          <w:sz w:val="14"/>
          <w:szCs w:val="14"/>
          <w:color w:val="auto"/>
        </w:rPr>
        <w:t xml:space="preserve">. Upon the incurrence or issuance by the Borrower or any of its Subsidiaries (other than a Financing Subsidiary) of any Indebtedness, the Borrower shall prepay an aggregate principal amount of Loans equal to 100% of all Net Cash Proceeds received therefrom no later than the fifth Business Day following the receipt of such Net Cash Proceeds (such prepayments to be applied as set forth in </w:t>
      </w:r>
      <w:r>
        <w:rPr>
          <w:rFonts w:ascii="Arial" w:cs="Arial" w:eastAsia="Arial" w:hAnsi="Arial"/>
          <w:sz w:val="14"/>
          <w:szCs w:val="14"/>
          <w:u w:val="single" w:color="auto"/>
          <w:color w:val="auto"/>
        </w:rPr>
        <w:t>Section 2.09(b)</w:t>
      </w:r>
      <w:r>
        <w:rPr>
          <w:rFonts w:ascii="Arial" w:cs="Arial" w:eastAsia="Arial" w:hAnsi="Arial"/>
          <w:sz w:val="14"/>
          <w:szCs w:val="14"/>
          <w:color w:val="auto"/>
        </w:rPr>
        <w:t>).</w:t>
      </w:r>
    </w:p>
    <w:p>
      <w:pPr>
        <w:spacing w:after="0" w:line="182" w:lineRule="exact"/>
        <w:rPr>
          <w:rFonts w:ascii="Arial" w:cs="Arial" w:eastAsia="Arial" w:hAnsi="Arial"/>
          <w:sz w:val="14"/>
          <w:szCs w:val="14"/>
          <w:color w:val="auto"/>
        </w:rPr>
      </w:pPr>
    </w:p>
    <w:p>
      <w:pPr>
        <w:jc w:val="both"/>
        <w:ind w:left="880" w:right="20" w:firstLine="789"/>
        <w:spacing w:after="0" w:line="255" w:lineRule="auto"/>
        <w:tabs>
          <w:tab w:leader="none" w:pos="2533" w:val="left"/>
        </w:tabs>
        <w:numPr>
          <w:ilvl w:val="0"/>
          <w:numId w:val="73"/>
        </w:numPr>
        <w:rPr>
          <w:rFonts w:ascii="Arial" w:cs="Arial" w:eastAsia="Arial" w:hAnsi="Arial"/>
          <w:sz w:val="13"/>
          <w:szCs w:val="13"/>
          <w:color w:val="auto"/>
        </w:rPr>
      </w:pPr>
      <w:r>
        <w:rPr>
          <w:rFonts w:ascii="Arial" w:cs="Arial" w:eastAsia="Arial" w:hAnsi="Arial"/>
          <w:sz w:val="13"/>
          <w:szCs w:val="13"/>
          <w:u w:val="single" w:color="auto"/>
          <w:color w:val="auto"/>
        </w:rPr>
        <w:t>Extraordinary Receipt</w:t>
      </w:r>
      <w:r>
        <w:rPr>
          <w:rFonts w:ascii="Arial" w:cs="Arial" w:eastAsia="Arial" w:hAnsi="Arial"/>
          <w:sz w:val="13"/>
          <w:szCs w:val="13"/>
          <w:color w:val="auto"/>
        </w:rPr>
        <w:t xml:space="preserve">. Upon any Extraordinary Receipt (which, when taken with all other Extraordinary Receipts received after the Commitment Termination Date, exceeds $7,500,000 in the aggregate) received by or paid to or for the account of the Borrower or any of its Subsidiaries (other than a Financing Subsidiary), and not otherwise included in </w:t>
      </w:r>
      <w:r>
        <w:rPr>
          <w:rFonts w:ascii="Arial" w:cs="Arial" w:eastAsia="Arial" w:hAnsi="Arial"/>
          <w:sz w:val="13"/>
          <w:szCs w:val="13"/>
          <w:u w:val="single" w:color="auto"/>
          <w:color w:val="auto"/>
        </w:rPr>
        <w:t>clauses (i)</w:t>
      </w:r>
      <w:r>
        <w:rPr>
          <w:rFonts w:ascii="Arial" w:cs="Arial" w:eastAsia="Arial" w:hAnsi="Arial"/>
          <w:sz w:val="13"/>
          <w:szCs w:val="13"/>
          <w:color w:val="auto"/>
        </w:rPr>
        <w:t xml:space="preserve">, </w:t>
      </w:r>
      <w:r>
        <w:rPr>
          <w:rFonts w:ascii="Arial" w:cs="Arial" w:eastAsia="Arial" w:hAnsi="Arial"/>
          <w:sz w:val="13"/>
          <w:szCs w:val="13"/>
          <w:u w:val="single" w:color="auto"/>
          <w:color w:val="auto"/>
        </w:rPr>
        <w:t>(ii)</w:t>
      </w:r>
      <w:r>
        <w:rPr>
          <w:rFonts w:ascii="Arial" w:cs="Arial" w:eastAsia="Arial" w:hAnsi="Arial"/>
          <w:sz w:val="13"/>
          <w:szCs w:val="13"/>
          <w:color w:val="auto"/>
        </w:rPr>
        <w:t xml:space="preserve"> or </w:t>
      </w:r>
      <w:r>
        <w:rPr>
          <w:rFonts w:ascii="Arial" w:cs="Arial" w:eastAsia="Arial" w:hAnsi="Arial"/>
          <w:sz w:val="13"/>
          <w:szCs w:val="13"/>
          <w:u w:val="single" w:color="auto"/>
          <w:color w:val="auto"/>
        </w:rPr>
        <w:t>(iii)</w:t>
      </w:r>
      <w:r>
        <w:rPr>
          <w:rFonts w:ascii="Arial" w:cs="Arial" w:eastAsia="Arial" w:hAnsi="Arial"/>
          <w:sz w:val="13"/>
          <w:szCs w:val="13"/>
          <w:color w:val="auto"/>
        </w:rPr>
        <w:t xml:space="preserve"> of this </w:t>
      </w:r>
      <w:r>
        <w:rPr>
          <w:rFonts w:ascii="Arial" w:cs="Arial" w:eastAsia="Arial" w:hAnsi="Arial"/>
          <w:sz w:val="13"/>
          <w:szCs w:val="13"/>
          <w:u w:val="single" w:color="auto"/>
          <w:color w:val="auto"/>
        </w:rPr>
        <w:t>Section 2.10(e)</w:t>
      </w:r>
      <w:r>
        <w:rPr>
          <w:rFonts w:ascii="Arial" w:cs="Arial" w:eastAsia="Arial" w:hAnsi="Arial"/>
          <w:sz w:val="13"/>
          <w:szCs w:val="13"/>
          <w:color w:val="auto"/>
        </w:rPr>
        <w:t xml:space="preserve">, the Borrower shall prepay an aggregate principal amount of Loans equal to 100% of all Net Cash Proceeds received therefrom no later than the fifth Business Day following the receipt of such Net Cash Proceeds (such prepayments to be applied as set forth in </w:t>
      </w:r>
      <w:r>
        <w:rPr>
          <w:rFonts w:ascii="Arial" w:cs="Arial" w:eastAsia="Arial" w:hAnsi="Arial"/>
          <w:sz w:val="13"/>
          <w:szCs w:val="13"/>
          <w:u w:val="single" w:color="auto"/>
          <w:color w:val="auto"/>
        </w:rPr>
        <w:t>Section 2.09(b)</w:t>
      </w:r>
      <w:r>
        <w:rPr>
          <w:rFonts w:ascii="Arial" w:cs="Arial" w:eastAsia="Arial" w:hAnsi="Arial"/>
          <w:sz w:val="13"/>
          <w:szCs w:val="13"/>
          <w:color w:val="auto"/>
        </w:rPr>
        <w:t>).</w:t>
      </w:r>
    </w:p>
    <w:p>
      <w:pPr>
        <w:spacing w:after="0" w:line="174" w:lineRule="exact"/>
        <w:rPr>
          <w:rFonts w:ascii="Arial" w:cs="Arial" w:eastAsia="Arial" w:hAnsi="Arial"/>
          <w:sz w:val="13"/>
          <w:szCs w:val="13"/>
          <w:color w:val="auto"/>
        </w:rPr>
      </w:pPr>
    </w:p>
    <w:p>
      <w:pPr>
        <w:jc w:val="both"/>
        <w:ind w:left="880" w:right="20" w:firstLine="789"/>
        <w:spacing w:after="0" w:line="238" w:lineRule="auto"/>
        <w:tabs>
          <w:tab w:leader="none" w:pos="2493" w:val="left"/>
        </w:tabs>
        <w:numPr>
          <w:ilvl w:val="0"/>
          <w:numId w:val="73"/>
        </w:numPr>
        <w:rPr>
          <w:rFonts w:ascii="Arial" w:cs="Arial" w:eastAsia="Arial" w:hAnsi="Arial"/>
          <w:sz w:val="14"/>
          <w:szCs w:val="14"/>
          <w:color w:val="auto"/>
        </w:rPr>
      </w:pPr>
      <w:r>
        <w:rPr>
          <w:rFonts w:ascii="Arial" w:cs="Arial" w:eastAsia="Arial" w:hAnsi="Arial"/>
          <w:sz w:val="14"/>
          <w:szCs w:val="14"/>
          <w:u w:val="single" w:color="auto"/>
          <w:color w:val="auto"/>
        </w:rPr>
        <w:t>Return of Capital</w:t>
      </w:r>
      <w:r>
        <w:rPr>
          <w:rFonts w:ascii="Arial" w:cs="Arial" w:eastAsia="Arial" w:hAnsi="Arial"/>
          <w:sz w:val="14"/>
          <w:szCs w:val="14"/>
          <w:color w:val="auto"/>
        </w:rPr>
        <w:t xml:space="preserve">. If any Obligor shall receive any Return of Capital (other than from any Financing Subsidiary), the Borrower shall prepay an aggregate principal amount of Loans equal to 90% of such Return of Capital (excluding amounts payable by the Borrower pursuant to </w:t>
      </w:r>
      <w:r>
        <w:rPr>
          <w:rFonts w:ascii="Arial" w:cs="Arial" w:eastAsia="Arial" w:hAnsi="Arial"/>
          <w:sz w:val="14"/>
          <w:szCs w:val="14"/>
          <w:u w:val="single" w:color="auto"/>
          <w:color w:val="auto"/>
        </w:rPr>
        <w:t>Section 2.15</w:t>
      </w:r>
      <w:r>
        <w:rPr>
          <w:rFonts w:ascii="Arial" w:cs="Arial" w:eastAsia="Arial" w:hAnsi="Arial"/>
          <w:sz w:val="14"/>
          <w:szCs w:val="14"/>
          <w:color w:val="auto"/>
        </w:rPr>
        <w:t xml:space="preserve">) no later than the fifth Business Day following the receipt of such Return of Capital (such prepayments to be applied as set forth in </w:t>
      </w:r>
      <w:r>
        <w:rPr>
          <w:rFonts w:ascii="Arial" w:cs="Arial" w:eastAsia="Arial" w:hAnsi="Arial"/>
          <w:sz w:val="14"/>
          <w:szCs w:val="14"/>
          <w:u w:val="single" w:color="auto"/>
          <w:color w:val="auto"/>
        </w:rPr>
        <w:t>Section 2.09(b)</w:t>
      </w:r>
      <w:r>
        <w:rPr>
          <w:rFonts w:ascii="Arial" w:cs="Arial" w:eastAsia="Arial" w:hAnsi="Arial"/>
          <w:sz w:val="14"/>
          <w:szCs w:val="14"/>
          <w:color w:val="auto"/>
        </w:rPr>
        <w:t>).</w:t>
      </w:r>
    </w:p>
    <w:p>
      <w:pPr>
        <w:spacing w:after="0" w:line="183" w:lineRule="exact"/>
        <w:rPr>
          <w:sz w:val="20"/>
          <w:szCs w:val="20"/>
          <w:color w:val="auto"/>
        </w:rPr>
      </w:pPr>
    </w:p>
    <w:p>
      <w:pPr>
        <w:jc w:val="both"/>
        <w:ind w:right="20" w:firstLine="864"/>
        <w:spacing w:after="0" w:line="242" w:lineRule="auto"/>
        <w:rPr>
          <w:sz w:val="20"/>
          <w:szCs w:val="20"/>
          <w:color w:val="auto"/>
        </w:rPr>
      </w:pPr>
      <w:r>
        <w:rPr>
          <w:rFonts w:ascii="Arial" w:cs="Arial" w:eastAsia="Arial" w:hAnsi="Arial"/>
          <w:sz w:val="13"/>
          <w:szCs w:val="13"/>
          <w:color w:val="auto"/>
        </w:rPr>
        <w:t xml:space="preserve">Notwithstanding the foregoing, Net Cash Proceeds and Return of Capital required to be applied to the prepayment of the Loans pursuant to this </w:t>
      </w:r>
      <w:r>
        <w:rPr>
          <w:rFonts w:ascii="Arial" w:cs="Arial" w:eastAsia="Arial" w:hAnsi="Arial"/>
          <w:sz w:val="13"/>
          <w:szCs w:val="13"/>
          <w:u w:val="single" w:color="auto"/>
          <w:color w:val="auto"/>
        </w:rPr>
        <w:t>Section 2.10(e)</w:t>
      </w:r>
      <w:r>
        <w:rPr>
          <w:rFonts w:ascii="Arial" w:cs="Arial" w:eastAsia="Arial" w:hAnsi="Arial"/>
          <w:sz w:val="13"/>
          <w:szCs w:val="13"/>
          <w:color w:val="auto"/>
        </w:rPr>
        <w:t xml:space="preserve"> shall (A) be applied in accordance with the Guarantee and Security Agreement or intercreditor arrangement acceptable to the Administrative Agent in its sole discretion, as applicable, (B) exclude the amount necessary for the Borrower to make all required distributions (which shall be no less than the amount estimated in good faith by Borrower under </w:t>
      </w:r>
      <w:r>
        <w:rPr>
          <w:rFonts w:ascii="Arial" w:cs="Arial" w:eastAsia="Arial" w:hAnsi="Arial"/>
          <w:sz w:val="13"/>
          <w:szCs w:val="13"/>
          <w:u w:val="single" w:color="auto"/>
          <w:color w:val="auto"/>
        </w:rPr>
        <w:t>Section 6.05(b)</w:t>
      </w:r>
      <w:r>
        <w:rPr>
          <w:rFonts w:ascii="Arial" w:cs="Arial" w:eastAsia="Arial" w:hAnsi="Arial"/>
          <w:sz w:val="13"/>
          <w:szCs w:val="13"/>
          <w:color w:val="auto"/>
        </w:rPr>
        <w:t xml:space="preserve"> herein) to maintain its ability to be subject to Tax as a RIC under Section 852 of the Code and its election to be treated as a “business development company” under the Investment Company Act for so long as the Borrower retains such status and to avoid payment by the Borrower of federal excise Taxes imposed by Section 4982 of the Code for so long as the Borrower retains the status of a RIC under the Code and</w:t>
      </w:r>
    </w:p>
    <w:p>
      <w:pPr>
        <w:spacing w:after="0" w:line="1" w:lineRule="exact"/>
        <w:rPr>
          <w:sz w:val="20"/>
          <w:szCs w:val="20"/>
          <w:color w:val="auto"/>
        </w:rPr>
      </w:pPr>
    </w:p>
    <w:p>
      <w:pPr>
        <w:ind w:right="20" w:firstLine="8"/>
        <w:spacing w:after="0" w:line="237" w:lineRule="auto"/>
        <w:tabs>
          <w:tab w:leader="none" w:pos="243" w:val="left"/>
        </w:tabs>
        <w:numPr>
          <w:ilvl w:val="0"/>
          <w:numId w:val="74"/>
        </w:numPr>
        <w:rPr>
          <w:rFonts w:ascii="Arial" w:cs="Arial" w:eastAsia="Arial" w:hAnsi="Arial"/>
          <w:sz w:val="14"/>
          <w:szCs w:val="14"/>
          <w:color w:val="auto"/>
        </w:rPr>
      </w:pPr>
      <w:r>
        <w:rPr>
          <w:rFonts w:ascii="Arial" w:cs="Arial" w:eastAsia="Arial" w:hAnsi="Arial"/>
          <w:sz w:val="14"/>
          <w:szCs w:val="14"/>
          <w:color w:val="auto"/>
        </w:rPr>
        <w:t>if the Loans to be prepaid are Eurocurrency Loans, the Borrower may defer such prepayment until the last day of the Interest Period applicable to such Loans, so long as the Borrower deposits an amount equal to such Net Cash Proceeds, no later than the fifth Business Day following the receipt of such Net Cash</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7580" w:type="dxa"/>
            <w:vAlign w:val="bottom"/>
          </w:tcPr>
          <w:p>
            <w:pPr>
              <w:jc w:val="right"/>
              <w:ind w:right="1808"/>
              <w:spacing w:after="0"/>
              <w:rPr>
                <w:sz w:val="20"/>
                <w:szCs w:val="20"/>
                <w:color w:val="auto"/>
              </w:rPr>
            </w:pPr>
            <w:r>
              <w:rPr>
                <w:rFonts w:ascii="Arial" w:cs="Arial" w:eastAsia="Arial" w:hAnsi="Arial"/>
                <w:sz w:val="14"/>
                <w:szCs w:val="14"/>
                <w:color w:val="auto"/>
              </w:rPr>
              <w:t>29</w:t>
            </w:r>
          </w:p>
        </w:tc>
        <w:tc>
          <w:tcPr>
            <w:tcW w:w="3680" w:type="dxa"/>
            <w:vAlign w:val="bottom"/>
          </w:tcPr>
          <w:p>
            <w:pPr>
              <w:jc w:val="right"/>
              <w:spacing w:after="0"/>
              <w:rPr>
                <w:sz w:val="20"/>
                <w:szCs w:val="20"/>
                <w:color w:val="auto"/>
              </w:rPr>
            </w:pPr>
            <w:r>
              <w:rPr>
                <w:rFonts w:ascii="Arial" w:cs="Arial" w:eastAsia="Arial" w:hAnsi="Arial"/>
                <w:sz w:val="14"/>
                <w:szCs w:val="14"/>
                <w:i w:val="1"/>
                <w:iCs w:val="1"/>
                <w:color w:val="auto"/>
              </w:rPr>
              <w:t>Second Amended and Restated</w:t>
            </w:r>
          </w:p>
        </w:tc>
      </w:tr>
      <w:tr>
        <w:trPr>
          <w:trHeight w:val="182"/>
        </w:trPr>
        <w:tc>
          <w:tcPr>
            <w:tcW w:w="7580" w:type="dxa"/>
            <w:vAlign w:val="bottom"/>
          </w:tcPr>
          <w:p>
            <w:pPr>
              <w:spacing w:after="0"/>
              <w:rPr>
                <w:sz w:val="15"/>
                <w:szCs w:val="15"/>
                <w:color w:val="auto"/>
              </w:rPr>
            </w:pPr>
          </w:p>
        </w:tc>
        <w:tc>
          <w:tcPr>
            <w:tcW w:w="3680" w:type="dxa"/>
            <w:vAlign w:val="bottom"/>
          </w:tcPr>
          <w:p>
            <w:pPr>
              <w:jc w:val="right"/>
              <w:spacing w:after="0"/>
              <w:rPr>
                <w:sz w:val="20"/>
                <w:szCs w:val="20"/>
                <w:color w:val="auto"/>
              </w:rPr>
            </w:pPr>
            <w:r>
              <w:rPr>
                <w:rFonts w:ascii="Arial" w:cs="Arial" w:eastAsia="Arial" w:hAnsi="Arial"/>
                <w:sz w:val="14"/>
                <w:szCs w:val="14"/>
                <w:i w:val="1"/>
                <w:iCs w:val="1"/>
                <w:color w:val="auto"/>
              </w:rPr>
              <w:t>Revolving Credit Agreement</w:t>
            </w:r>
          </w:p>
        </w:tc>
      </w:tr>
      <w:tr>
        <w:trPr>
          <w:trHeight w:val="316"/>
        </w:trPr>
        <w:tc>
          <w:tcPr>
            <w:tcW w:w="7580" w:type="dxa"/>
            <w:vAlign w:val="bottom"/>
            <w:tcBorders>
              <w:bottom w:val="single" w:sz="8" w:color="9A9A9A"/>
            </w:tcBorders>
          </w:tcPr>
          <w:p>
            <w:pPr>
              <w:spacing w:after="0"/>
              <w:rPr>
                <w:sz w:val="24"/>
                <w:szCs w:val="24"/>
                <w:color w:val="auto"/>
              </w:rPr>
            </w:pPr>
          </w:p>
        </w:tc>
        <w:tc>
          <w:tcPr>
            <w:tcW w:w="368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7145655</wp:posOffset>
            </wp:positionH>
            <wp:positionV relativeFrom="paragraph">
              <wp:posOffset>-7620</wp:posOffset>
            </wp:positionV>
            <wp:extent cx="8255" cy="8255"/>
            <wp:wrapNone/>
            <wp:docPr id="163" name="Picture 1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
                    <pic:cNvPicPr>
                      <a:picLocks noChangeAspect="1" noChangeArrowheads="1"/>
                    </pic:cNvPicPr>
                  </pic:nvPicPr>
                  <pic:blipFill>
                    <a:blip r:embed="rId170">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-16510</wp:posOffset>
            </wp:positionV>
            <wp:extent cx="8890" cy="17145"/>
            <wp:wrapNone/>
            <wp:docPr id="164" name="Picture 1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
                    <pic:cNvPicPr>
                      <a:picLocks noChangeAspect="1" noChangeArrowheads="1"/>
                    </pic:cNvPicPr>
                  </pic:nvPicPr>
                  <pic:blipFill>
                    <a:blip r:embed="rId171">
                      <a:extLst>
                        <a:ext uri="{28A0092B-C50C-407E-A947-70E740481C1C}"/>
                      </a:extLst>
                    </a:blip>
                    <a:srcRect/>
                    <a:stretch>
                      <a:fillRect/>
                    </a:stretch>
                  </pic:blipFill>
                  <pic:spPr bwMode="auto">
                    <a:xfrm>
                      <a:off x="0" y="0"/>
                      <a:ext cx="8890" cy="17145"/>
                    </a:xfrm>
                    <a:prstGeom prst="rect">
                      <a:avLst/>
                    </a:prstGeom>
                    <a:noFill/>
                  </pic:spPr>
                </pic:pic>
              </a:graphicData>
            </a:graphic>
          </wp:anchor>
        </w:drawing>
      </w:r>
    </w:p>
    <w:p>
      <w:pPr>
        <w:sectPr>
          <w:pgSz w:w="11900" w:h="16838" w:orient="portrait"/>
          <w:cols w:equalWidth="0" w:num="1">
            <w:col w:w="11260"/>
          </w:cols>
          <w:pgMar w:left="320" w:top="337" w:right="319" w:bottom="1440" w:gutter="0" w:footer="0" w:header="0"/>
        </w:sectPr>
      </w:pPr>
    </w:p>
    <w:bookmarkStart w:id="92" w:name="page93"/>
    <w:bookmarkEnd w:id="92"/>
    <w:p>
      <w:pPr>
        <w:jc w:val="both"/>
        <w:ind w:right="20"/>
        <w:spacing w:after="0" w:line="238" w:lineRule="auto"/>
        <w:rPr>
          <w:sz w:val="20"/>
          <w:szCs w:val="20"/>
          <w:color w:val="auto"/>
        </w:rPr>
      </w:pPr>
      <w:r>
        <w:rPr>
          <w:rFonts w:ascii="Arial" w:cs="Arial" w:eastAsia="Arial" w:hAnsi="Arial"/>
          <w:sz w:val="14"/>
          <w:szCs w:val="14"/>
          <w:color w:val="auto"/>
        </w:rPr>
        <w:t xml:space="preserve">Proceeds, into a segregated collateral account in the name and under the dominion and control of the Administrative Agent, pending application of such amount to the prepayment of the Loans on the last day of such Interest Period; </w:t>
      </w:r>
      <w:r>
        <w:rPr>
          <w:rFonts w:ascii="Arial" w:cs="Arial" w:eastAsia="Arial" w:hAnsi="Arial"/>
          <w:sz w:val="14"/>
          <w:szCs w:val="14"/>
          <w:u w:val="single" w:color="auto"/>
          <w:color w:val="auto"/>
        </w:rPr>
        <w:t>provided</w:t>
      </w:r>
      <w:r>
        <w:rPr>
          <w:rFonts w:ascii="Arial" w:cs="Arial" w:eastAsia="Arial" w:hAnsi="Arial"/>
          <w:sz w:val="14"/>
          <w:szCs w:val="14"/>
          <w:color w:val="auto"/>
        </w:rPr>
        <w:t xml:space="preserve">, </w:t>
      </w:r>
      <w:r>
        <w:rPr>
          <w:rFonts w:ascii="Arial" w:cs="Arial" w:eastAsia="Arial" w:hAnsi="Arial"/>
          <w:sz w:val="14"/>
          <w:szCs w:val="14"/>
          <w:u w:val="single" w:color="auto"/>
          <w:color w:val="auto"/>
        </w:rPr>
        <w:t>further</w:t>
      </w:r>
      <w:r>
        <w:rPr>
          <w:rFonts w:ascii="Arial" w:cs="Arial" w:eastAsia="Arial" w:hAnsi="Arial"/>
          <w:sz w:val="14"/>
          <w:szCs w:val="14"/>
          <w:color w:val="auto"/>
        </w:rPr>
        <w:t xml:space="preserve">, that the Administrative Agent may direct the application of such deposits as set forth in </w:t>
      </w:r>
      <w:r>
        <w:rPr>
          <w:rFonts w:ascii="Arial" w:cs="Arial" w:eastAsia="Arial" w:hAnsi="Arial"/>
          <w:sz w:val="14"/>
          <w:szCs w:val="14"/>
          <w:u w:val="single" w:color="auto"/>
          <w:color w:val="auto"/>
        </w:rPr>
        <w:t>Section 2.09(b)</w:t>
      </w:r>
      <w:r>
        <w:rPr>
          <w:rFonts w:ascii="Arial" w:cs="Arial" w:eastAsia="Arial" w:hAnsi="Arial"/>
          <w:sz w:val="14"/>
          <w:szCs w:val="14"/>
          <w:color w:val="auto"/>
        </w:rPr>
        <w:t xml:space="preserve"> at any time and if the Administrative Agent does so, no amounts will be payable by the Borrower pursuant to </w:t>
      </w:r>
      <w:r>
        <w:rPr>
          <w:rFonts w:ascii="Arial" w:cs="Arial" w:eastAsia="Arial" w:hAnsi="Arial"/>
          <w:sz w:val="14"/>
          <w:szCs w:val="14"/>
          <w:u w:val="single" w:color="auto"/>
          <w:color w:val="auto"/>
        </w:rPr>
        <w:t>Section 2.15</w:t>
      </w:r>
      <w:r>
        <w:rPr>
          <w:rFonts w:ascii="Arial" w:cs="Arial" w:eastAsia="Arial" w:hAnsi="Arial"/>
          <w:sz w:val="14"/>
          <w:szCs w:val="14"/>
          <w:color w:val="auto"/>
        </w:rPr>
        <w:t>.</w:t>
      </w:r>
    </w:p>
    <w:p>
      <w:pPr>
        <w:spacing w:after="0" w:line="183" w:lineRule="exact"/>
        <w:rPr>
          <w:sz w:val="20"/>
          <w:szCs w:val="20"/>
          <w:color w:val="auto"/>
        </w:rPr>
      </w:pPr>
    </w:p>
    <w:p>
      <w:pPr>
        <w:jc w:val="both"/>
        <w:ind w:right="20" w:firstLine="1735"/>
        <w:spacing w:after="0" w:line="241" w:lineRule="auto"/>
        <w:tabs>
          <w:tab w:leader="none" w:pos="2519" w:val="left"/>
        </w:tabs>
        <w:numPr>
          <w:ilvl w:val="0"/>
          <w:numId w:val="75"/>
        </w:numPr>
        <w:rPr>
          <w:rFonts w:ascii="Arial" w:cs="Arial" w:eastAsia="Arial" w:hAnsi="Arial"/>
          <w:sz w:val="13"/>
          <w:szCs w:val="13"/>
          <w:color w:val="auto"/>
        </w:rPr>
      </w:pPr>
      <w:r>
        <w:rPr>
          <w:rFonts w:ascii="Arial" w:cs="Arial" w:eastAsia="Arial" w:hAnsi="Arial"/>
          <w:sz w:val="13"/>
          <w:szCs w:val="13"/>
          <w:u w:val="single" w:color="auto"/>
          <w:color w:val="auto"/>
        </w:rPr>
        <w:t>Notices, Etc</w:t>
      </w:r>
      <w:r>
        <w:rPr>
          <w:rFonts w:ascii="Arial" w:cs="Arial" w:eastAsia="Arial" w:hAnsi="Arial"/>
          <w:sz w:val="13"/>
          <w:szCs w:val="13"/>
          <w:color w:val="auto"/>
        </w:rPr>
        <w:t xml:space="preserve">. The Borrower shall notify the Administrative Agent (and, in the case of prepayment of a Swingline Loan, the Swingline Lender) by telephone (confirmed by telecopy) of any prepayment hereunder (i) in the case of prepayment of a Eurocurrency Borrowing denominated in Dollars (other than in the case of a prepayment pursuant to </w:t>
      </w:r>
      <w:r>
        <w:rPr>
          <w:rFonts w:ascii="Arial" w:cs="Arial" w:eastAsia="Arial" w:hAnsi="Arial"/>
          <w:sz w:val="13"/>
          <w:szCs w:val="13"/>
          <w:u w:val="single" w:color="auto"/>
          <w:color w:val="auto"/>
        </w:rPr>
        <w:t>Section 2.10(e)</w:t>
      </w:r>
      <w:r>
        <w:rPr>
          <w:rFonts w:ascii="Arial" w:cs="Arial" w:eastAsia="Arial" w:hAnsi="Arial"/>
          <w:sz w:val="13"/>
          <w:szCs w:val="13"/>
          <w:color w:val="auto"/>
        </w:rPr>
        <w:t xml:space="preserve">), not later than 11:00 a.m., Atlanta, Georgia time, two Business Days before the date of prepayment, (ii) in the case of prepayment of a Eurocurrency Borrowing denominated in a Foreign Currency (other than in the case of a prepayment pursuant to </w:t>
      </w:r>
      <w:r>
        <w:rPr>
          <w:rFonts w:ascii="Arial" w:cs="Arial" w:eastAsia="Arial" w:hAnsi="Arial"/>
          <w:sz w:val="13"/>
          <w:szCs w:val="13"/>
          <w:u w:val="single" w:color="auto"/>
          <w:color w:val="auto"/>
        </w:rPr>
        <w:t>Section 2.10(e)</w:t>
      </w:r>
      <w:r>
        <w:rPr>
          <w:rFonts w:ascii="Arial" w:cs="Arial" w:eastAsia="Arial" w:hAnsi="Arial"/>
          <w:sz w:val="13"/>
          <w:szCs w:val="13"/>
          <w:color w:val="auto"/>
        </w:rPr>
        <w:t xml:space="preserve">), not later than 11:00 a.m., London time, four Business Days before the date of prepayment, (iii) in the case of prepayment of a Syndicated ABR Borrowing (other than in the case of a prepayment pursuant to </w:t>
      </w:r>
      <w:r>
        <w:rPr>
          <w:rFonts w:ascii="Arial" w:cs="Arial" w:eastAsia="Arial" w:hAnsi="Arial"/>
          <w:sz w:val="13"/>
          <w:szCs w:val="13"/>
          <w:u w:val="single" w:color="auto"/>
          <w:color w:val="auto"/>
        </w:rPr>
        <w:t>Section 2.10(e))</w:t>
      </w:r>
      <w:r>
        <w:rPr>
          <w:rFonts w:ascii="Arial" w:cs="Arial" w:eastAsia="Arial" w:hAnsi="Arial"/>
          <w:sz w:val="13"/>
          <w:szCs w:val="13"/>
          <w:color w:val="auto"/>
        </w:rPr>
        <w:t xml:space="preserve">, not later than 11:00 a.m., Atlanta, Georgia time, one Business Day before the date of prepayment, (iv) in the case of prepayment of a Swingline Loan, not later than 11:00 a.m., Atlanta, Georgia time, on the date of prepayment, or (v) in the case of any prepayment pursuant to </w:t>
      </w:r>
      <w:r>
        <w:rPr>
          <w:rFonts w:ascii="Arial" w:cs="Arial" w:eastAsia="Arial" w:hAnsi="Arial"/>
          <w:sz w:val="13"/>
          <w:szCs w:val="13"/>
          <w:u w:val="single" w:color="auto"/>
          <w:color w:val="auto"/>
        </w:rPr>
        <w:t>Section 2.10(e)</w:t>
      </w:r>
      <w:r>
        <w:rPr>
          <w:rFonts w:ascii="Arial" w:cs="Arial" w:eastAsia="Arial" w:hAnsi="Arial"/>
          <w:sz w:val="13"/>
          <w:szCs w:val="13"/>
          <w:color w:val="auto"/>
        </w:rPr>
        <w:t xml:space="preserve">, not later than 11:00 a.m., Atlanta, Georgia time, one Business Day before the date of prepayment. Each such notice shall be irrevocable and shall specify the prepayment date, the principal amount of each Borrowing or portion thereof to be prepaid and, in the case of a mandatory prepayment, a reasonably detailed calculation of the amount of such prepayment; </w:t>
      </w:r>
      <w:r>
        <w:rPr>
          <w:rFonts w:ascii="Arial" w:cs="Arial" w:eastAsia="Arial" w:hAnsi="Arial"/>
          <w:sz w:val="13"/>
          <w:szCs w:val="13"/>
          <w:u w:val="single" w:color="auto"/>
          <w:color w:val="auto"/>
        </w:rPr>
        <w:t>provided</w:t>
      </w:r>
      <w:r>
        <w:rPr>
          <w:rFonts w:ascii="Arial" w:cs="Arial" w:eastAsia="Arial" w:hAnsi="Arial"/>
          <w:sz w:val="13"/>
          <w:szCs w:val="13"/>
          <w:color w:val="auto"/>
        </w:rPr>
        <w:t xml:space="preserve"> that, if (i) a notice of prepayment is given in connection with a conditional notice of termination of the Commitments of a Class as contemplated by </w:t>
      </w:r>
      <w:r>
        <w:rPr>
          <w:rFonts w:ascii="Arial" w:cs="Arial" w:eastAsia="Arial" w:hAnsi="Arial"/>
          <w:sz w:val="13"/>
          <w:szCs w:val="13"/>
          <w:u w:val="single" w:color="auto"/>
          <w:color w:val="auto"/>
        </w:rPr>
        <w:t>Section 2.08</w:t>
      </w:r>
      <w:r>
        <w:rPr>
          <w:rFonts w:ascii="Arial" w:cs="Arial" w:eastAsia="Arial" w:hAnsi="Arial"/>
          <w:sz w:val="13"/>
          <w:szCs w:val="13"/>
          <w:color w:val="auto"/>
        </w:rPr>
        <w:t xml:space="preserve">, then such notice of prepayment may be revoked if such notice of termination is revoked in accordance with </w:t>
      </w:r>
      <w:r>
        <w:rPr>
          <w:rFonts w:ascii="Arial" w:cs="Arial" w:eastAsia="Arial" w:hAnsi="Arial"/>
          <w:sz w:val="13"/>
          <w:szCs w:val="13"/>
          <w:u w:val="single" w:color="auto"/>
          <w:color w:val="auto"/>
        </w:rPr>
        <w:t>Section 2.08</w:t>
      </w:r>
      <w:r>
        <w:rPr>
          <w:rFonts w:ascii="Arial" w:cs="Arial" w:eastAsia="Arial" w:hAnsi="Arial"/>
          <w:sz w:val="13"/>
          <w:szCs w:val="13"/>
          <w:color w:val="auto"/>
        </w:rPr>
        <w:t xml:space="preserve"> and (ii) any notice given in connection with </w:t>
      </w:r>
      <w:r>
        <w:rPr>
          <w:rFonts w:ascii="Arial" w:cs="Arial" w:eastAsia="Arial" w:hAnsi="Arial"/>
          <w:sz w:val="13"/>
          <w:szCs w:val="13"/>
          <w:u w:val="single" w:color="auto"/>
          <w:color w:val="auto"/>
        </w:rPr>
        <w:t>Section 2.10(e)</w:t>
      </w:r>
      <w:r>
        <w:rPr>
          <w:rFonts w:ascii="Arial" w:cs="Arial" w:eastAsia="Arial" w:hAnsi="Arial"/>
          <w:sz w:val="13"/>
          <w:szCs w:val="13"/>
          <w:color w:val="auto"/>
        </w:rPr>
        <w:t xml:space="preserve"> may be conditioned on the consummation of the applicable transaction contemplated by such Section and the receipt by the Borrower or any such Subsidiary (other than a Financing Subsidiary) of Net Cash Proceeds. Promptly following receipt of any such notice relating to a Syndicated Borrowing, the Administrative Agent shall advise the affected Lenders of the contents thereof. Each partial prepayment of any Borrowing shall be in an amount that would be permitted in the case of a Borrowing of the same Type as provided in </w:t>
      </w:r>
      <w:r>
        <w:rPr>
          <w:rFonts w:ascii="Arial" w:cs="Arial" w:eastAsia="Arial" w:hAnsi="Arial"/>
          <w:sz w:val="13"/>
          <w:szCs w:val="13"/>
          <w:u w:val="single" w:color="auto"/>
          <w:color w:val="auto"/>
        </w:rPr>
        <w:t>Section 2.02</w:t>
      </w:r>
      <w:r>
        <w:rPr>
          <w:rFonts w:ascii="Arial" w:cs="Arial" w:eastAsia="Arial" w:hAnsi="Arial"/>
          <w:sz w:val="13"/>
          <w:szCs w:val="13"/>
          <w:color w:val="auto"/>
        </w:rPr>
        <w:t xml:space="preserve"> or in the case of a Swingline Loan, as provided in </w:t>
      </w:r>
      <w:r>
        <w:rPr>
          <w:rFonts w:ascii="Arial" w:cs="Arial" w:eastAsia="Arial" w:hAnsi="Arial"/>
          <w:sz w:val="13"/>
          <w:szCs w:val="13"/>
          <w:u w:val="single" w:color="auto"/>
          <w:color w:val="auto"/>
        </w:rPr>
        <w:t>Section 2.04</w:t>
      </w:r>
      <w:r>
        <w:rPr>
          <w:rFonts w:ascii="Arial" w:cs="Arial" w:eastAsia="Arial" w:hAnsi="Arial"/>
          <w:sz w:val="13"/>
          <w:szCs w:val="13"/>
          <w:color w:val="auto"/>
        </w:rPr>
        <w:t xml:space="preserve">, except as necessary to apply fully the required amount of a mandatory prepayment. Each prepayment of a Syndicated Borrowing of a Class shall be applied ratably to the Loans of such Class included in the prepaid Borrowing. Prepayments shall be accompanied by accrued interest to the extent required by </w:t>
      </w:r>
      <w:r>
        <w:rPr>
          <w:rFonts w:ascii="Arial" w:cs="Arial" w:eastAsia="Arial" w:hAnsi="Arial"/>
          <w:sz w:val="13"/>
          <w:szCs w:val="13"/>
          <w:u w:val="single" w:color="auto"/>
          <w:color w:val="auto"/>
        </w:rPr>
        <w:t>Section 2.12</w:t>
      </w:r>
      <w:r>
        <w:rPr>
          <w:rFonts w:ascii="Arial" w:cs="Arial" w:eastAsia="Arial" w:hAnsi="Arial"/>
          <w:sz w:val="13"/>
          <w:szCs w:val="13"/>
          <w:color w:val="auto"/>
        </w:rPr>
        <w:t xml:space="preserve"> and shall be made in the manner specified in </w:t>
      </w:r>
      <w:r>
        <w:rPr>
          <w:rFonts w:ascii="Arial" w:cs="Arial" w:eastAsia="Arial" w:hAnsi="Arial"/>
          <w:sz w:val="13"/>
          <w:szCs w:val="13"/>
          <w:u w:val="single" w:color="auto"/>
          <w:color w:val="auto"/>
        </w:rPr>
        <w:t>Section 2.09(b)</w:t>
      </w:r>
      <w:r>
        <w:rPr>
          <w:rFonts w:ascii="Arial" w:cs="Arial" w:eastAsia="Arial" w:hAnsi="Arial"/>
          <w:sz w:val="13"/>
          <w:szCs w:val="13"/>
          <w:color w:val="auto"/>
        </w:rPr>
        <w:t>.</w:t>
      </w:r>
    </w:p>
    <w:p>
      <w:pPr>
        <w:spacing w:after="0" w:line="190" w:lineRule="exact"/>
        <w:rPr>
          <w:sz w:val="20"/>
          <w:szCs w:val="20"/>
          <w:color w:val="auto"/>
        </w:rPr>
      </w:pPr>
    </w:p>
    <w:p>
      <w:pPr>
        <w:ind w:left="1740"/>
        <w:spacing w:after="0"/>
        <w:rPr>
          <w:sz w:val="20"/>
          <w:szCs w:val="20"/>
          <w:color w:val="auto"/>
        </w:rPr>
      </w:pPr>
      <w:r>
        <w:rPr>
          <w:rFonts w:ascii="Arial" w:cs="Arial" w:eastAsia="Arial" w:hAnsi="Arial"/>
          <w:sz w:val="14"/>
          <w:szCs w:val="14"/>
          <w:color w:val="auto"/>
        </w:rPr>
        <w:t xml:space="preserve">SECTION 2.11. </w:t>
      </w:r>
      <w:r>
        <w:rPr>
          <w:rFonts w:ascii="Arial" w:cs="Arial" w:eastAsia="Arial" w:hAnsi="Arial"/>
          <w:sz w:val="14"/>
          <w:szCs w:val="14"/>
          <w:u w:val="single" w:color="auto"/>
          <w:color w:val="auto"/>
        </w:rPr>
        <w:t>Fees</w:t>
      </w:r>
      <w:r>
        <w:rPr>
          <w:rFonts w:ascii="Arial" w:cs="Arial" w:eastAsia="Arial" w:hAnsi="Arial"/>
          <w:sz w:val="14"/>
          <w:szCs w:val="14"/>
          <w:color w:val="auto"/>
        </w:rPr>
        <w:t>.</w:t>
      </w:r>
    </w:p>
    <w:p>
      <w:pPr>
        <w:spacing w:after="0" w:line="204" w:lineRule="exact"/>
        <w:rPr>
          <w:sz w:val="20"/>
          <w:szCs w:val="20"/>
          <w:color w:val="auto"/>
        </w:rPr>
      </w:pPr>
    </w:p>
    <w:p>
      <w:pPr>
        <w:jc w:val="both"/>
        <w:ind w:right="20" w:firstLine="1735"/>
        <w:spacing w:after="0" w:line="247" w:lineRule="auto"/>
        <w:tabs>
          <w:tab w:leader="none" w:pos="2535" w:val="left"/>
        </w:tabs>
        <w:numPr>
          <w:ilvl w:val="0"/>
          <w:numId w:val="76"/>
        </w:numPr>
        <w:rPr>
          <w:rFonts w:ascii="Arial" w:cs="Arial" w:eastAsia="Arial" w:hAnsi="Arial"/>
          <w:sz w:val="13"/>
          <w:szCs w:val="13"/>
          <w:color w:val="auto"/>
        </w:rPr>
      </w:pPr>
      <w:r>
        <w:rPr>
          <w:rFonts w:ascii="Arial" w:cs="Arial" w:eastAsia="Arial" w:hAnsi="Arial"/>
          <w:sz w:val="13"/>
          <w:szCs w:val="13"/>
          <w:u w:val="single" w:color="auto"/>
          <w:color w:val="auto"/>
        </w:rPr>
        <w:t>Commitment Fee</w:t>
      </w:r>
      <w:r>
        <w:rPr>
          <w:rFonts w:ascii="Arial" w:cs="Arial" w:eastAsia="Arial" w:hAnsi="Arial"/>
          <w:sz w:val="13"/>
          <w:szCs w:val="13"/>
          <w:color w:val="auto"/>
        </w:rPr>
        <w:t>. The Borrower agrees to pay to the Administrative Agent for account of each Lender a commitment fee, which shall accrue at a rate per annum equal to 0.375% on the average daily unused amount of the Dollar Commitment and Multicurrency Commitment, as applicable, of such Lender during the period from and including the date hereof to but excluding the earlier of the date such commitment terminates and the Commitment Termination Date. Accrued commitment fees shall be payable within one Business Day after each Quarterly Date and on the earlier of the date the Commitments of the respective Class terminate and the Commitment Termination Date, commencing on the first such date to occur after the date hereof. All commitment fees shall be computed on the basis of a year of 360 days and shall be payable for the actual number of days elapsed (including the first day but excluding the last day). For purposes of computing commitment fees, the Commitment of any Class of a Lender shall be deemed to be used to the extent of the outstanding Syndicated Loans and LC Exposure of such Class of such Lender (and the Swingline Exposure of such Class of such Lender shall be disregarded for such purpose).</w:t>
      </w:r>
    </w:p>
    <w:p>
      <w:pPr>
        <w:spacing w:after="0" w:line="178" w:lineRule="exact"/>
        <w:rPr>
          <w:rFonts w:ascii="Arial" w:cs="Arial" w:eastAsia="Arial" w:hAnsi="Arial"/>
          <w:sz w:val="13"/>
          <w:szCs w:val="13"/>
          <w:color w:val="auto"/>
        </w:rPr>
      </w:pPr>
    </w:p>
    <w:p>
      <w:pPr>
        <w:jc w:val="both"/>
        <w:ind w:right="20" w:firstLine="1735"/>
        <w:spacing w:after="0" w:line="241" w:lineRule="auto"/>
        <w:tabs>
          <w:tab w:leader="none" w:pos="2543" w:val="left"/>
        </w:tabs>
        <w:numPr>
          <w:ilvl w:val="0"/>
          <w:numId w:val="76"/>
        </w:numPr>
        <w:rPr>
          <w:rFonts w:ascii="Arial" w:cs="Arial" w:eastAsia="Arial" w:hAnsi="Arial"/>
          <w:sz w:val="13"/>
          <w:szCs w:val="13"/>
          <w:color w:val="auto"/>
        </w:rPr>
      </w:pPr>
      <w:r>
        <w:rPr>
          <w:rFonts w:ascii="Arial" w:cs="Arial" w:eastAsia="Arial" w:hAnsi="Arial"/>
          <w:sz w:val="13"/>
          <w:szCs w:val="13"/>
          <w:u w:val="single" w:color="auto"/>
          <w:color w:val="auto"/>
        </w:rPr>
        <w:t>Letter of Credit Fees</w:t>
      </w:r>
      <w:r>
        <w:rPr>
          <w:rFonts w:ascii="Arial" w:cs="Arial" w:eastAsia="Arial" w:hAnsi="Arial"/>
          <w:sz w:val="13"/>
          <w:szCs w:val="13"/>
          <w:color w:val="auto"/>
        </w:rPr>
        <w:t xml:space="preserve">. The Borrower agrees to pay (i) to the Administrative Agent for account of each Lender a participation fee with respect to its participations in Letters of Credit of each Class, which shall accrue at a rate per annum equal to the Applicable Margin applicable to interest on Eurocurrency Loans on the average daily amount of such Lender’s LC Exposure of such Class (excluding any portion thereof attributable to unreimbursed LC Disbursements) during the period from and including the Effective Date to but excluding the later of the date on which such Lender’s Commitment of such Class terminates and the date on which such Lender ceases to have any LC Exposure of such Class, and (ii) to the Issuing Bank a fronting fee, which shall accrue at the rate of 0.125% per annum on the average daily amount of the LC Exposure (excluding any portion thereof attributable to unreimbursed LC Disbursements) during the period from and including the Effective Date to but excluding the later of the date of termination of the Commitments and the date on which there ceases to be any LC Exposure, as well as the Issuing Bank’s standard fees with respect to the issuance, amendment, renewal or extension of any Letter of Credit or processing of drawings thereunder. Participation fees and fronting fees accrued through and including each Quarterly Date shall be payable on the third Business Day following such Quarterly Date, commencing on the first such date to occur after the Effective Date; </w:t>
      </w:r>
      <w:r>
        <w:rPr>
          <w:rFonts w:ascii="Arial" w:cs="Arial" w:eastAsia="Arial" w:hAnsi="Arial"/>
          <w:sz w:val="13"/>
          <w:szCs w:val="13"/>
          <w:u w:val="single" w:color="auto"/>
          <w:color w:val="auto"/>
        </w:rPr>
        <w:t>provided</w:t>
      </w:r>
      <w:r>
        <w:rPr>
          <w:rFonts w:ascii="Arial" w:cs="Arial" w:eastAsia="Arial" w:hAnsi="Arial"/>
          <w:sz w:val="13"/>
          <w:szCs w:val="13"/>
          <w:color w:val="auto"/>
        </w:rPr>
        <w:t xml:space="preserve"> that all such fees with respect to the Letters of Credit shall be payable on the Termination Date and the Borrower shall pay any such fees that have accrued and that are unpaid on the Termination Date and, in the event any Letters of Credit shall be outstanding that have expiration dates after the Termination Date, the Borrower shall prepay on the Termination Date the full amount of the participation and fronting fees that will accrue on such Letters of Credit subsequent to the Termination Date through but not including the date such outstanding Letters of Credit are scheduled to expire (and, in that connection, the Lenders agree not later than the date two Business Days after the date upon which the last such Letter of Credit shall expire or be terminated to rebate to the Borrower the excess, if any, of the aggregate participation and fronting fees that have been prepaid by the Borrower over the sum of the amount of such fees that ultimately accrue through the date of such expiration or termination and the aggregate amount of all other unpaid obligations hereunder at such time). Any other fees payable to the Issuing Bank pursuant to this paragraph shall be payable within 10 days after demand. All participation fees and fronting fees shall be computed on the basis of a year of 360 days and shall be payable for the actual number of days elapsed (including the first day but excluding the last day).</w:t>
      </w:r>
    </w:p>
    <w:p>
      <w:pPr>
        <w:spacing w:after="0" w:line="190" w:lineRule="exact"/>
        <w:rPr>
          <w:rFonts w:ascii="Arial" w:cs="Arial" w:eastAsia="Arial" w:hAnsi="Arial"/>
          <w:sz w:val="13"/>
          <w:szCs w:val="13"/>
          <w:color w:val="auto"/>
        </w:rPr>
      </w:pPr>
    </w:p>
    <w:p>
      <w:pPr>
        <w:ind w:right="20" w:firstLine="1735"/>
        <w:spacing w:after="0" w:line="253" w:lineRule="auto"/>
        <w:tabs>
          <w:tab w:leader="none" w:pos="2535" w:val="left"/>
        </w:tabs>
        <w:numPr>
          <w:ilvl w:val="0"/>
          <w:numId w:val="76"/>
        </w:numPr>
        <w:rPr>
          <w:rFonts w:ascii="Arial" w:cs="Arial" w:eastAsia="Arial" w:hAnsi="Arial"/>
          <w:sz w:val="14"/>
          <w:szCs w:val="14"/>
          <w:color w:val="auto"/>
        </w:rPr>
      </w:pPr>
      <w:r>
        <w:rPr>
          <w:rFonts w:ascii="Arial" w:cs="Arial" w:eastAsia="Arial" w:hAnsi="Arial"/>
          <w:sz w:val="14"/>
          <w:szCs w:val="14"/>
          <w:u w:val="single" w:color="auto"/>
          <w:color w:val="auto"/>
        </w:rPr>
        <w:t>Administrative Agent Fees</w:t>
      </w:r>
      <w:r>
        <w:rPr>
          <w:rFonts w:ascii="Arial" w:cs="Arial" w:eastAsia="Arial" w:hAnsi="Arial"/>
          <w:sz w:val="14"/>
          <w:szCs w:val="14"/>
          <w:color w:val="auto"/>
        </w:rPr>
        <w:t>. The Borrower agrees to pay to the Administrative Agent, for its own account, fees payable in the amounts and at the times separately agreed upon between the Borrower and the Administrative Agent.</w:t>
      </w:r>
    </w:p>
    <w:p>
      <w:pPr>
        <w:spacing w:after="0" w:line="200" w:lineRule="exact"/>
        <w:rPr>
          <w:sz w:val="20"/>
          <w:szCs w:val="20"/>
          <w:color w:val="auto"/>
        </w:rPr>
      </w:pPr>
    </w:p>
    <w:p>
      <w:pPr>
        <w:spacing w:after="0" w:line="39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7580" w:type="dxa"/>
            <w:vAlign w:val="bottom"/>
          </w:tcPr>
          <w:p>
            <w:pPr>
              <w:jc w:val="right"/>
              <w:ind w:right="1808"/>
              <w:spacing w:after="0"/>
              <w:rPr>
                <w:sz w:val="20"/>
                <w:szCs w:val="20"/>
                <w:color w:val="auto"/>
              </w:rPr>
            </w:pPr>
            <w:r>
              <w:rPr>
                <w:rFonts w:ascii="Arial" w:cs="Arial" w:eastAsia="Arial" w:hAnsi="Arial"/>
                <w:sz w:val="14"/>
                <w:szCs w:val="14"/>
                <w:color w:val="auto"/>
              </w:rPr>
              <w:t>30</w:t>
            </w:r>
          </w:p>
        </w:tc>
        <w:tc>
          <w:tcPr>
            <w:tcW w:w="3680" w:type="dxa"/>
            <w:vAlign w:val="bottom"/>
          </w:tcPr>
          <w:p>
            <w:pPr>
              <w:jc w:val="right"/>
              <w:spacing w:after="0"/>
              <w:rPr>
                <w:sz w:val="20"/>
                <w:szCs w:val="20"/>
                <w:color w:val="auto"/>
              </w:rPr>
            </w:pPr>
            <w:r>
              <w:rPr>
                <w:rFonts w:ascii="Arial" w:cs="Arial" w:eastAsia="Arial" w:hAnsi="Arial"/>
                <w:sz w:val="14"/>
                <w:szCs w:val="14"/>
                <w:i w:val="1"/>
                <w:iCs w:val="1"/>
                <w:color w:val="auto"/>
              </w:rPr>
              <w:t>Second Amended and Restated</w:t>
            </w:r>
          </w:p>
        </w:tc>
      </w:tr>
      <w:tr>
        <w:trPr>
          <w:trHeight w:val="182"/>
        </w:trPr>
        <w:tc>
          <w:tcPr>
            <w:tcW w:w="7580" w:type="dxa"/>
            <w:vAlign w:val="bottom"/>
          </w:tcPr>
          <w:p>
            <w:pPr>
              <w:spacing w:after="0"/>
              <w:rPr>
                <w:sz w:val="15"/>
                <w:szCs w:val="15"/>
                <w:color w:val="auto"/>
              </w:rPr>
            </w:pPr>
          </w:p>
        </w:tc>
        <w:tc>
          <w:tcPr>
            <w:tcW w:w="3680" w:type="dxa"/>
            <w:vAlign w:val="bottom"/>
          </w:tcPr>
          <w:p>
            <w:pPr>
              <w:jc w:val="right"/>
              <w:spacing w:after="0"/>
              <w:rPr>
                <w:sz w:val="20"/>
                <w:szCs w:val="20"/>
                <w:color w:val="auto"/>
              </w:rPr>
            </w:pPr>
            <w:r>
              <w:rPr>
                <w:rFonts w:ascii="Arial" w:cs="Arial" w:eastAsia="Arial" w:hAnsi="Arial"/>
                <w:sz w:val="14"/>
                <w:szCs w:val="14"/>
                <w:i w:val="1"/>
                <w:iCs w:val="1"/>
                <w:color w:val="auto"/>
              </w:rPr>
              <w:t>Revolving Credit Agreement</w:t>
            </w:r>
          </w:p>
        </w:tc>
      </w:tr>
      <w:tr>
        <w:trPr>
          <w:trHeight w:val="316"/>
        </w:trPr>
        <w:tc>
          <w:tcPr>
            <w:tcW w:w="7580" w:type="dxa"/>
            <w:vAlign w:val="bottom"/>
            <w:tcBorders>
              <w:bottom w:val="single" w:sz="8" w:color="9A9A9A"/>
            </w:tcBorders>
          </w:tcPr>
          <w:p>
            <w:pPr>
              <w:spacing w:after="0"/>
              <w:rPr>
                <w:sz w:val="24"/>
                <w:szCs w:val="24"/>
                <w:color w:val="auto"/>
              </w:rPr>
            </w:pPr>
          </w:p>
        </w:tc>
        <w:tc>
          <w:tcPr>
            <w:tcW w:w="368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7145655</wp:posOffset>
            </wp:positionH>
            <wp:positionV relativeFrom="paragraph">
              <wp:posOffset>-7620</wp:posOffset>
            </wp:positionV>
            <wp:extent cx="8255" cy="8255"/>
            <wp:wrapNone/>
            <wp:docPr id="165" name="Picture 1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
                    <pic:cNvPicPr>
                      <a:picLocks noChangeAspect="1" noChangeArrowheads="1"/>
                    </pic:cNvPicPr>
                  </pic:nvPicPr>
                  <pic:blipFill>
                    <a:blip r:embed="rId172">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-16510</wp:posOffset>
            </wp:positionV>
            <wp:extent cx="8890" cy="17145"/>
            <wp:wrapNone/>
            <wp:docPr id="166" name="Picture 1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
                    <pic:cNvPicPr>
                      <a:picLocks noChangeAspect="1" noChangeArrowheads="1"/>
                    </pic:cNvPicPr>
                  </pic:nvPicPr>
                  <pic:blipFill>
                    <a:blip r:embed="rId173">
                      <a:extLst>
                        <a:ext uri="{28A0092B-C50C-407E-A947-70E740481C1C}"/>
                      </a:extLst>
                    </a:blip>
                    <a:srcRect/>
                    <a:stretch>
                      <a:fillRect/>
                    </a:stretch>
                  </pic:blipFill>
                  <pic:spPr bwMode="auto">
                    <a:xfrm>
                      <a:off x="0" y="0"/>
                      <a:ext cx="8890" cy="17145"/>
                    </a:xfrm>
                    <a:prstGeom prst="rect">
                      <a:avLst/>
                    </a:prstGeom>
                    <a:noFill/>
                  </pic:spPr>
                </pic:pic>
              </a:graphicData>
            </a:graphic>
          </wp:anchor>
        </w:drawing>
      </w:r>
    </w:p>
    <w:p>
      <w:pPr>
        <w:sectPr>
          <w:pgSz w:w="11900" w:h="16838" w:orient="portrait"/>
          <w:cols w:equalWidth="0" w:num="1">
            <w:col w:w="11260"/>
          </w:cols>
          <w:pgMar w:left="320" w:top="337" w:right="319" w:bottom="1440" w:gutter="0" w:footer="0" w:header="0"/>
        </w:sectPr>
      </w:pPr>
    </w:p>
    <w:bookmarkStart w:id="93" w:name="page94"/>
    <w:bookmarkEnd w:id="93"/>
    <w:p>
      <w:pPr>
        <w:jc w:val="both"/>
        <w:ind w:right="20" w:firstLine="1735"/>
        <w:spacing w:after="0" w:line="233" w:lineRule="auto"/>
        <w:tabs>
          <w:tab w:leader="none" w:pos="2543" w:val="left"/>
        </w:tabs>
        <w:numPr>
          <w:ilvl w:val="0"/>
          <w:numId w:val="77"/>
        </w:numPr>
        <w:rPr>
          <w:rFonts w:ascii="Arial" w:cs="Arial" w:eastAsia="Arial" w:hAnsi="Arial"/>
          <w:sz w:val="14"/>
          <w:szCs w:val="14"/>
          <w:color w:val="auto"/>
        </w:rPr>
      </w:pPr>
      <w:r>
        <w:rPr>
          <w:rFonts w:ascii="Arial" w:cs="Arial" w:eastAsia="Arial" w:hAnsi="Arial"/>
          <w:sz w:val="14"/>
          <w:szCs w:val="14"/>
          <w:u w:val="single" w:color="auto"/>
          <w:color w:val="auto"/>
        </w:rPr>
        <w:t>Payment of Fees</w:t>
      </w:r>
      <w:r>
        <w:rPr>
          <w:rFonts w:ascii="Arial" w:cs="Arial" w:eastAsia="Arial" w:hAnsi="Arial"/>
          <w:sz w:val="14"/>
          <w:szCs w:val="14"/>
          <w:color w:val="auto"/>
        </w:rPr>
        <w:t>. All fees payable hereunder shall be paid on the dates due, in Dollars (or, at the election of the Borrower with respect to any fees payable to the Issuing Bank on account of Letters of Credit issued in any Foreign Currency, in such Foreign Currency) and immediately available funds, to the Administrative Agent (or to the Issuing Bank, in the case of fees payable to it) for distribution, in the case of facility fees and participation fees, to the Lenders entitled thereto. Fees paid shall not be refundable under any circumstances absent obvious error.</w:t>
      </w:r>
    </w:p>
    <w:p>
      <w:pPr>
        <w:spacing w:after="0" w:line="185" w:lineRule="exact"/>
        <w:rPr>
          <w:sz w:val="20"/>
          <w:szCs w:val="20"/>
          <w:color w:val="auto"/>
        </w:rPr>
      </w:pPr>
    </w:p>
    <w:p>
      <w:pPr>
        <w:ind w:left="1740"/>
        <w:spacing w:after="0"/>
        <w:rPr>
          <w:sz w:val="20"/>
          <w:szCs w:val="20"/>
          <w:color w:val="auto"/>
        </w:rPr>
      </w:pPr>
      <w:r>
        <w:rPr>
          <w:rFonts w:ascii="Arial" w:cs="Arial" w:eastAsia="Arial" w:hAnsi="Arial"/>
          <w:sz w:val="14"/>
          <w:szCs w:val="14"/>
          <w:color w:val="auto"/>
        </w:rPr>
        <w:t xml:space="preserve">SECTION 2.12. </w:t>
      </w:r>
      <w:r>
        <w:rPr>
          <w:rFonts w:ascii="Arial" w:cs="Arial" w:eastAsia="Arial" w:hAnsi="Arial"/>
          <w:sz w:val="14"/>
          <w:szCs w:val="14"/>
          <w:u w:val="single" w:color="auto"/>
          <w:color w:val="auto"/>
        </w:rPr>
        <w:t>Interest</w:t>
      </w:r>
      <w:r>
        <w:rPr>
          <w:rFonts w:ascii="Arial" w:cs="Arial" w:eastAsia="Arial" w:hAnsi="Arial"/>
          <w:sz w:val="14"/>
          <w:szCs w:val="14"/>
          <w:color w:val="auto"/>
        </w:rPr>
        <w:t>.</w:t>
      </w:r>
    </w:p>
    <w:p>
      <w:pPr>
        <w:spacing w:after="0" w:line="204" w:lineRule="exact"/>
        <w:rPr>
          <w:sz w:val="20"/>
          <w:szCs w:val="20"/>
          <w:color w:val="auto"/>
        </w:rPr>
      </w:pPr>
    </w:p>
    <w:p>
      <w:pPr>
        <w:ind w:right="40" w:firstLine="1735"/>
        <w:spacing w:after="0" w:line="253" w:lineRule="auto"/>
        <w:tabs>
          <w:tab w:leader="none" w:pos="2535" w:val="left"/>
        </w:tabs>
        <w:numPr>
          <w:ilvl w:val="0"/>
          <w:numId w:val="78"/>
        </w:numPr>
        <w:rPr>
          <w:rFonts w:ascii="Arial" w:cs="Arial" w:eastAsia="Arial" w:hAnsi="Arial"/>
          <w:sz w:val="14"/>
          <w:szCs w:val="14"/>
          <w:color w:val="auto"/>
        </w:rPr>
      </w:pPr>
      <w:r>
        <w:rPr>
          <w:rFonts w:ascii="Arial" w:cs="Arial" w:eastAsia="Arial" w:hAnsi="Arial"/>
          <w:sz w:val="14"/>
          <w:szCs w:val="14"/>
          <w:u w:val="single" w:color="auto"/>
          <w:color w:val="auto"/>
        </w:rPr>
        <w:t>ABR Loans</w:t>
      </w:r>
      <w:r>
        <w:rPr>
          <w:rFonts w:ascii="Arial" w:cs="Arial" w:eastAsia="Arial" w:hAnsi="Arial"/>
          <w:sz w:val="14"/>
          <w:szCs w:val="14"/>
          <w:color w:val="auto"/>
        </w:rPr>
        <w:t xml:space="preserve">. The Loans constituting each ABR Borrowing (including each Swingline Loan) shall bear interest at a rate per annum equal to the Alternate Base Rate </w:t>
      </w:r>
      <w:r>
        <w:rPr>
          <w:rFonts w:ascii="Arial" w:cs="Arial" w:eastAsia="Arial" w:hAnsi="Arial"/>
          <w:sz w:val="14"/>
          <w:szCs w:val="14"/>
          <w:u w:val="single" w:color="auto"/>
          <w:color w:val="auto"/>
        </w:rPr>
        <w:t>plus</w:t>
      </w:r>
      <w:r>
        <w:rPr>
          <w:rFonts w:ascii="Arial" w:cs="Arial" w:eastAsia="Arial" w:hAnsi="Arial"/>
          <w:sz w:val="14"/>
          <w:szCs w:val="14"/>
          <w:color w:val="auto"/>
        </w:rPr>
        <w:t xml:space="preserve"> the Applicable Margin.</w:t>
      </w:r>
    </w:p>
    <w:p>
      <w:pPr>
        <w:spacing w:after="0" w:line="173" w:lineRule="exact"/>
        <w:rPr>
          <w:rFonts w:ascii="Arial" w:cs="Arial" w:eastAsia="Arial" w:hAnsi="Arial"/>
          <w:sz w:val="14"/>
          <w:szCs w:val="14"/>
          <w:color w:val="auto"/>
        </w:rPr>
      </w:pPr>
    </w:p>
    <w:p>
      <w:pPr>
        <w:ind w:right="40" w:firstLine="1735"/>
        <w:spacing w:after="0" w:line="253" w:lineRule="auto"/>
        <w:tabs>
          <w:tab w:leader="none" w:pos="2543" w:val="left"/>
        </w:tabs>
        <w:numPr>
          <w:ilvl w:val="0"/>
          <w:numId w:val="78"/>
        </w:numPr>
        <w:rPr>
          <w:rFonts w:ascii="Arial" w:cs="Arial" w:eastAsia="Arial" w:hAnsi="Arial"/>
          <w:sz w:val="14"/>
          <w:szCs w:val="14"/>
          <w:color w:val="auto"/>
        </w:rPr>
      </w:pPr>
      <w:r>
        <w:rPr>
          <w:rFonts w:ascii="Arial" w:cs="Arial" w:eastAsia="Arial" w:hAnsi="Arial"/>
          <w:sz w:val="14"/>
          <w:szCs w:val="14"/>
          <w:u w:val="single" w:color="auto"/>
          <w:color w:val="auto"/>
        </w:rPr>
        <w:t>Eurocurrency Loans</w:t>
      </w:r>
      <w:r>
        <w:rPr>
          <w:rFonts w:ascii="Arial" w:cs="Arial" w:eastAsia="Arial" w:hAnsi="Arial"/>
          <w:sz w:val="14"/>
          <w:szCs w:val="14"/>
          <w:color w:val="auto"/>
        </w:rPr>
        <w:t xml:space="preserve">. The Loans constituting each Eurocurrency Borrowing shall bear interest at a rate per annum equal to the Adjusted LIBO Rate for the related Interest Period for such Borrowing </w:t>
      </w:r>
      <w:r>
        <w:rPr>
          <w:rFonts w:ascii="Arial" w:cs="Arial" w:eastAsia="Arial" w:hAnsi="Arial"/>
          <w:sz w:val="14"/>
          <w:szCs w:val="14"/>
          <w:u w:val="single" w:color="auto"/>
          <w:color w:val="auto"/>
        </w:rPr>
        <w:t>plus</w:t>
      </w:r>
      <w:r>
        <w:rPr>
          <w:rFonts w:ascii="Arial" w:cs="Arial" w:eastAsia="Arial" w:hAnsi="Arial"/>
          <w:sz w:val="14"/>
          <w:szCs w:val="14"/>
          <w:color w:val="auto"/>
        </w:rPr>
        <w:t xml:space="preserve"> the Applicable Margin.</w:t>
      </w:r>
    </w:p>
    <w:p>
      <w:pPr>
        <w:spacing w:after="0" w:line="173" w:lineRule="exact"/>
        <w:rPr>
          <w:rFonts w:ascii="Arial" w:cs="Arial" w:eastAsia="Arial" w:hAnsi="Arial"/>
          <w:sz w:val="14"/>
          <w:szCs w:val="14"/>
          <w:color w:val="auto"/>
        </w:rPr>
      </w:pPr>
    </w:p>
    <w:p>
      <w:pPr>
        <w:jc w:val="both"/>
        <w:ind w:right="20" w:firstLine="1735"/>
        <w:spacing w:after="0" w:line="247" w:lineRule="auto"/>
        <w:tabs>
          <w:tab w:leader="none" w:pos="2535" w:val="left"/>
        </w:tabs>
        <w:numPr>
          <w:ilvl w:val="0"/>
          <w:numId w:val="78"/>
        </w:numPr>
        <w:rPr>
          <w:rFonts w:ascii="Arial" w:cs="Arial" w:eastAsia="Arial" w:hAnsi="Arial"/>
          <w:sz w:val="13"/>
          <w:szCs w:val="13"/>
          <w:color w:val="auto"/>
        </w:rPr>
      </w:pPr>
      <w:r>
        <w:rPr>
          <w:rFonts w:ascii="Arial" w:cs="Arial" w:eastAsia="Arial" w:hAnsi="Arial"/>
          <w:sz w:val="13"/>
          <w:szCs w:val="13"/>
          <w:u w:val="single" w:color="auto"/>
          <w:color w:val="auto"/>
        </w:rPr>
        <w:t>Default Interest</w:t>
      </w:r>
      <w:r>
        <w:rPr>
          <w:rFonts w:ascii="Arial" w:cs="Arial" w:eastAsia="Arial" w:hAnsi="Arial"/>
          <w:sz w:val="13"/>
          <w:szCs w:val="13"/>
          <w:color w:val="auto"/>
        </w:rPr>
        <w:t xml:space="preserve">. Notwithstanding the foregoing, (i) if any amount of principal of any Loan or any fee or other amount payable by the Borrower hereunder is not paid when due (without regard to any applicable grace periods), whether at stated maturity, by acceleration or otherwise, such amount shall thereafter bear interest at a fluctuating interest rate per annum at all times equal to (A) in the case of principal of any Loan, 2% </w:t>
      </w:r>
      <w:r>
        <w:rPr>
          <w:rFonts w:ascii="Arial" w:cs="Arial" w:eastAsia="Arial" w:hAnsi="Arial"/>
          <w:sz w:val="13"/>
          <w:szCs w:val="13"/>
          <w:u w:val="single" w:color="auto"/>
          <w:color w:val="auto"/>
        </w:rPr>
        <w:t>plus</w:t>
      </w:r>
      <w:r>
        <w:rPr>
          <w:rFonts w:ascii="Arial" w:cs="Arial" w:eastAsia="Arial" w:hAnsi="Arial"/>
          <w:sz w:val="13"/>
          <w:szCs w:val="13"/>
          <w:color w:val="auto"/>
        </w:rPr>
        <w:t xml:space="preserve"> the rate otherwise applicable to such Loan as provided above, (B) in the case of any Letter of Credit, 2% </w:t>
      </w:r>
      <w:r>
        <w:rPr>
          <w:rFonts w:ascii="Arial" w:cs="Arial" w:eastAsia="Arial" w:hAnsi="Arial"/>
          <w:sz w:val="13"/>
          <w:szCs w:val="13"/>
          <w:u w:val="single" w:color="auto"/>
          <w:color w:val="auto"/>
        </w:rPr>
        <w:t>plus</w:t>
      </w:r>
      <w:r>
        <w:rPr>
          <w:rFonts w:ascii="Arial" w:cs="Arial" w:eastAsia="Arial" w:hAnsi="Arial"/>
          <w:sz w:val="13"/>
          <w:szCs w:val="13"/>
          <w:color w:val="auto"/>
        </w:rPr>
        <w:t xml:space="preserve"> the fee otherwise applicable to such Letter of Credit as provided in </w:t>
      </w:r>
      <w:r>
        <w:rPr>
          <w:rFonts w:ascii="Arial" w:cs="Arial" w:eastAsia="Arial" w:hAnsi="Arial"/>
          <w:sz w:val="13"/>
          <w:szCs w:val="13"/>
          <w:u w:val="single" w:color="auto"/>
          <w:color w:val="auto"/>
        </w:rPr>
        <w:t>Section 2.11(b)(i)</w:t>
      </w:r>
      <w:r>
        <w:rPr>
          <w:rFonts w:ascii="Arial" w:cs="Arial" w:eastAsia="Arial" w:hAnsi="Arial"/>
          <w:sz w:val="13"/>
          <w:szCs w:val="13"/>
          <w:color w:val="auto"/>
        </w:rPr>
        <w:t xml:space="preserve">, or </w:t>
      </w:r>
      <w:r>
        <w:rPr>
          <w:rFonts w:ascii="Arial" w:cs="Arial" w:eastAsia="Arial" w:hAnsi="Arial"/>
          <w:sz w:val="13"/>
          <w:szCs w:val="13"/>
          <w:u w:val="single" w:color="auto"/>
          <w:color w:val="auto"/>
        </w:rPr>
        <w:t>(C)</w:t>
      </w:r>
      <w:r>
        <w:rPr>
          <w:rFonts w:ascii="Arial" w:cs="Arial" w:eastAsia="Arial" w:hAnsi="Arial"/>
          <w:sz w:val="13"/>
          <w:szCs w:val="13"/>
          <w:color w:val="auto"/>
        </w:rPr>
        <w:t xml:space="preserve"> in the case of any fee or other amount, 2% </w:t>
      </w:r>
      <w:r>
        <w:rPr>
          <w:rFonts w:ascii="Arial" w:cs="Arial" w:eastAsia="Arial" w:hAnsi="Arial"/>
          <w:sz w:val="13"/>
          <w:szCs w:val="13"/>
          <w:u w:val="single" w:color="auto"/>
          <w:color w:val="auto"/>
        </w:rPr>
        <w:t>plus</w:t>
      </w:r>
      <w:r>
        <w:rPr>
          <w:rFonts w:ascii="Arial" w:cs="Arial" w:eastAsia="Arial" w:hAnsi="Arial"/>
          <w:sz w:val="13"/>
          <w:szCs w:val="13"/>
          <w:color w:val="auto"/>
        </w:rPr>
        <w:t xml:space="preserve"> the rate applicable to ABR Loans as provided in </w:t>
      </w:r>
      <w:r>
        <w:rPr>
          <w:rFonts w:ascii="Arial" w:cs="Arial" w:eastAsia="Arial" w:hAnsi="Arial"/>
          <w:sz w:val="13"/>
          <w:szCs w:val="13"/>
          <w:u w:val="single" w:color="auto"/>
          <w:color w:val="auto"/>
        </w:rPr>
        <w:t>paragraph (a)</w:t>
      </w:r>
      <w:r>
        <w:rPr>
          <w:rFonts w:ascii="Arial" w:cs="Arial" w:eastAsia="Arial" w:hAnsi="Arial"/>
          <w:sz w:val="13"/>
          <w:szCs w:val="13"/>
          <w:color w:val="auto"/>
        </w:rPr>
        <w:t xml:space="preserve"> of this Section and (ii) if any Event of Default has occurred and is continuing for any Eurocurrency Loan, at the end of the current applicable Interest Period, interest shall (if requested by the Administrative Agent upon instructions of the Required Lenders) accrue (A) in the case of Dollar Loans, at the Alternate Base Rate plus the Applicable Margin plus 2% per annum and (B) for Loans in any Foreign Currency, at the one month LIBO Rate plus the Applicable Margin plus 2% per annum.</w:t>
      </w:r>
    </w:p>
    <w:p>
      <w:pPr>
        <w:spacing w:after="0" w:line="178" w:lineRule="exact"/>
        <w:rPr>
          <w:rFonts w:ascii="Arial" w:cs="Arial" w:eastAsia="Arial" w:hAnsi="Arial"/>
          <w:sz w:val="13"/>
          <w:szCs w:val="13"/>
          <w:color w:val="auto"/>
        </w:rPr>
      </w:pPr>
    </w:p>
    <w:p>
      <w:pPr>
        <w:jc w:val="both"/>
        <w:ind w:right="20" w:firstLine="1735"/>
        <w:spacing w:after="0" w:line="251" w:lineRule="auto"/>
        <w:tabs>
          <w:tab w:leader="none" w:pos="2543" w:val="left"/>
        </w:tabs>
        <w:numPr>
          <w:ilvl w:val="0"/>
          <w:numId w:val="78"/>
        </w:numPr>
        <w:rPr>
          <w:rFonts w:ascii="Arial" w:cs="Arial" w:eastAsia="Arial" w:hAnsi="Arial"/>
          <w:sz w:val="13"/>
          <w:szCs w:val="13"/>
          <w:color w:val="auto"/>
        </w:rPr>
      </w:pPr>
      <w:r>
        <w:rPr>
          <w:rFonts w:ascii="Arial" w:cs="Arial" w:eastAsia="Arial" w:hAnsi="Arial"/>
          <w:sz w:val="13"/>
          <w:szCs w:val="13"/>
          <w:u w:val="single" w:color="auto"/>
          <w:color w:val="auto"/>
        </w:rPr>
        <w:t>Payment of Interest</w:t>
      </w:r>
      <w:r>
        <w:rPr>
          <w:rFonts w:ascii="Arial" w:cs="Arial" w:eastAsia="Arial" w:hAnsi="Arial"/>
          <w:sz w:val="13"/>
          <w:szCs w:val="13"/>
          <w:color w:val="auto"/>
        </w:rPr>
        <w:t xml:space="preserve">. Accrued interest on each Loan shall be payable in arrears on each Interest Payment Date for such Loan in the Currency in which such Loan is denominated and, in the case of Syndicated Loans, upon the Termination Date; </w:t>
      </w:r>
      <w:r>
        <w:rPr>
          <w:rFonts w:ascii="Arial" w:cs="Arial" w:eastAsia="Arial" w:hAnsi="Arial"/>
          <w:sz w:val="13"/>
          <w:szCs w:val="13"/>
          <w:u w:val="single" w:color="auto"/>
          <w:color w:val="auto"/>
        </w:rPr>
        <w:t>provided</w:t>
      </w:r>
      <w:r>
        <w:rPr>
          <w:rFonts w:ascii="Arial" w:cs="Arial" w:eastAsia="Arial" w:hAnsi="Arial"/>
          <w:sz w:val="13"/>
          <w:szCs w:val="13"/>
          <w:color w:val="auto"/>
        </w:rPr>
        <w:t xml:space="preserve"> that (i) interest accrued pursuant to </w:t>
      </w:r>
      <w:r>
        <w:rPr>
          <w:rFonts w:ascii="Arial" w:cs="Arial" w:eastAsia="Arial" w:hAnsi="Arial"/>
          <w:sz w:val="13"/>
          <w:szCs w:val="13"/>
          <w:u w:val="single" w:color="auto"/>
          <w:color w:val="auto"/>
        </w:rPr>
        <w:t>paragraph (c)</w:t>
      </w:r>
      <w:r>
        <w:rPr>
          <w:rFonts w:ascii="Arial" w:cs="Arial" w:eastAsia="Arial" w:hAnsi="Arial"/>
          <w:sz w:val="13"/>
          <w:szCs w:val="13"/>
          <w:color w:val="auto"/>
        </w:rPr>
        <w:t xml:space="preserve"> of this Section shall be payable on demand, (ii) in the event of any repayment or prepayment of any Loan (other than a prepayment of a Syndicated ABR Loan prior to the Final Maturity Date), accrued interest on the principal amount repaid or prepaid shall be payable on the date of such repayment or prepayment and (iii) in the event of any conversion of any Eurocurrency Borrowing denominated in Dollars prior to the end of the Interest Period therefor, accrued interest on such Borrowing shall be payable on the effective date of such conversion.</w:t>
      </w:r>
    </w:p>
    <w:p>
      <w:pPr>
        <w:spacing w:after="0" w:line="176" w:lineRule="exact"/>
        <w:rPr>
          <w:rFonts w:ascii="Arial" w:cs="Arial" w:eastAsia="Arial" w:hAnsi="Arial"/>
          <w:sz w:val="13"/>
          <w:szCs w:val="13"/>
          <w:color w:val="auto"/>
        </w:rPr>
      </w:pPr>
    </w:p>
    <w:p>
      <w:pPr>
        <w:jc w:val="both"/>
        <w:ind w:right="20" w:firstLine="1735"/>
        <w:spacing w:after="0" w:line="255" w:lineRule="auto"/>
        <w:tabs>
          <w:tab w:leader="none" w:pos="2535" w:val="left"/>
        </w:tabs>
        <w:numPr>
          <w:ilvl w:val="0"/>
          <w:numId w:val="78"/>
        </w:numPr>
        <w:rPr>
          <w:rFonts w:ascii="Arial" w:cs="Arial" w:eastAsia="Arial" w:hAnsi="Arial"/>
          <w:sz w:val="13"/>
          <w:szCs w:val="13"/>
          <w:color w:val="auto"/>
        </w:rPr>
      </w:pPr>
      <w:r>
        <w:rPr>
          <w:rFonts w:ascii="Arial" w:cs="Arial" w:eastAsia="Arial" w:hAnsi="Arial"/>
          <w:sz w:val="13"/>
          <w:szCs w:val="13"/>
          <w:u w:val="single" w:color="auto"/>
          <w:color w:val="auto"/>
        </w:rPr>
        <w:t>Computation</w:t>
      </w:r>
      <w:r>
        <w:rPr>
          <w:rFonts w:ascii="Arial" w:cs="Arial" w:eastAsia="Arial" w:hAnsi="Arial"/>
          <w:sz w:val="13"/>
          <w:szCs w:val="13"/>
          <w:color w:val="auto"/>
        </w:rPr>
        <w:t>. All interest hereunder shall be computed on the basis of a year of 360 days, except that interest computed (i) by reference to the Alternate Base Rate at times when the Alternate Base Rate is based on the Prime Rate and (ii) on Multicurrency Loans denominated in Canadian Dollars or Pounds Sterling shall be computed on the basis of a year of 365 days (or 366 days in a leap year), and in each case shall be payable for the actual number of days elapsed (including the first day but excluding the last day). The applicable Alternate Base Rate or Adjusted LIBO Rate shall be determined by the Administrative Agent and such determination shall be conclusive absent manifest error.</w:t>
      </w:r>
    </w:p>
    <w:p>
      <w:pPr>
        <w:spacing w:after="0" w:line="175" w:lineRule="exact"/>
        <w:rPr>
          <w:sz w:val="20"/>
          <w:szCs w:val="20"/>
          <w:color w:val="auto"/>
        </w:rPr>
      </w:pPr>
    </w:p>
    <w:p>
      <w:pPr>
        <w:ind w:left="1740"/>
        <w:spacing w:after="0"/>
        <w:rPr>
          <w:sz w:val="20"/>
          <w:szCs w:val="20"/>
          <w:color w:val="auto"/>
        </w:rPr>
      </w:pPr>
      <w:r>
        <w:rPr>
          <w:rFonts w:ascii="Arial" w:cs="Arial" w:eastAsia="Arial" w:hAnsi="Arial"/>
          <w:sz w:val="13"/>
          <w:szCs w:val="13"/>
          <w:color w:val="auto"/>
        </w:rPr>
        <w:t xml:space="preserve">SECTION 2.13. </w:t>
      </w:r>
      <w:r>
        <w:rPr>
          <w:rFonts w:ascii="Arial" w:cs="Arial" w:eastAsia="Arial" w:hAnsi="Arial"/>
          <w:sz w:val="13"/>
          <w:szCs w:val="13"/>
          <w:u w:val="single" w:color="auto"/>
          <w:color w:val="auto"/>
        </w:rPr>
        <w:t>Alternate Rate of Interest</w:t>
      </w:r>
      <w:r>
        <w:rPr>
          <w:rFonts w:ascii="Arial" w:cs="Arial" w:eastAsia="Arial" w:hAnsi="Arial"/>
          <w:sz w:val="13"/>
          <w:szCs w:val="13"/>
          <w:color w:val="auto"/>
        </w:rPr>
        <w:t>. If prior to the commencement of the Interest Period for any Eurocurrency Borrowing of a Class (the Currency of such</w:t>
      </w:r>
    </w:p>
    <w:p>
      <w:pPr>
        <w:spacing w:after="0" w:line="11" w:lineRule="exact"/>
        <w:rPr>
          <w:sz w:val="20"/>
          <w:szCs w:val="20"/>
          <w:color w:val="auto"/>
        </w:rPr>
      </w:pPr>
    </w:p>
    <w:p>
      <w:pPr>
        <w:spacing w:after="0"/>
        <w:rPr>
          <w:sz w:val="20"/>
          <w:szCs w:val="20"/>
          <w:color w:val="auto"/>
        </w:rPr>
      </w:pPr>
      <w:r>
        <w:rPr>
          <w:rFonts w:ascii="Arial" w:cs="Arial" w:eastAsia="Arial" w:hAnsi="Arial"/>
          <w:sz w:val="14"/>
          <w:szCs w:val="14"/>
          <w:color w:val="auto"/>
        </w:rPr>
        <w:t>Borrowing herein called the “</w:t>
      </w:r>
      <w:r>
        <w:rPr>
          <w:rFonts w:ascii="Arial" w:cs="Arial" w:eastAsia="Arial" w:hAnsi="Arial"/>
          <w:sz w:val="14"/>
          <w:szCs w:val="14"/>
          <w:u w:val="single" w:color="auto"/>
          <w:color w:val="auto"/>
        </w:rPr>
        <w:t>Affected Currency</w:t>
      </w:r>
      <w:r>
        <w:rPr>
          <w:rFonts w:ascii="Arial" w:cs="Arial" w:eastAsia="Arial" w:hAnsi="Arial"/>
          <w:sz w:val="14"/>
          <w:szCs w:val="14"/>
          <w:color w:val="auto"/>
        </w:rPr>
        <w:t>”):</w:t>
      </w:r>
    </w:p>
    <w:p>
      <w:pPr>
        <w:spacing w:after="0" w:line="192" w:lineRule="exact"/>
        <w:rPr>
          <w:sz w:val="20"/>
          <w:szCs w:val="20"/>
          <w:color w:val="auto"/>
        </w:rPr>
      </w:pPr>
    </w:p>
    <w:p>
      <w:pPr>
        <w:ind w:right="40" w:firstLine="1735"/>
        <w:spacing w:after="0" w:line="253" w:lineRule="auto"/>
        <w:tabs>
          <w:tab w:leader="none" w:pos="2535" w:val="left"/>
        </w:tabs>
        <w:numPr>
          <w:ilvl w:val="0"/>
          <w:numId w:val="79"/>
        </w:numPr>
        <w:rPr>
          <w:rFonts w:ascii="Arial" w:cs="Arial" w:eastAsia="Arial" w:hAnsi="Arial"/>
          <w:sz w:val="14"/>
          <w:szCs w:val="14"/>
          <w:color w:val="auto"/>
        </w:rPr>
      </w:pPr>
      <w:r>
        <w:rPr>
          <w:rFonts w:ascii="Arial" w:cs="Arial" w:eastAsia="Arial" w:hAnsi="Arial"/>
          <w:sz w:val="14"/>
          <w:szCs w:val="14"/>
          <w:color w:val="auto"/>
        </w:rPr>
        <w:t>the Administrative Agent determines (which determination shall be conclusive absent manifest error) that adequate and reasonable means do not exist for ascertaining the Adjusted LIBO Rate for the Affected Currency for such Interest Period; or</w:t>
      </w:r>
    </w:p>
    <w:p>
      <w:pPr>
        <w:spacing w:after="0" w:line="173" w:lineRule="exact"/>
        <w:rPr>
          <w:rFonts w:ascii="Arial" w:cs="Arial" w:eastAsia="Arial" w:hAnsi="Arial"/>
          <w:sz w:val="14"/>
          <w:szCs w:val="14"/>
          <w:color w:val="auto"/>
        </w:rPr>
      </w:pPr>
    </w:p>
    <w:p>
      <w:pPr>
        <w:ind w:right="20" w:firstLine="1735"/>
        <w:spacing w:after="0" w:line="253" w:lineRule="auto"/>
        <w:tabs>
          <w:tab w:leader="none" w:pos="2543" w:val="left"/>
        </w:tabs>
        <w:numPr>
          <w:ilvl w:val="0"/>
          <w:numId w:val="79"/>
        </w:numPr>
        <w:rPr>
          <w:rFonts w:ascii="Arial" w:cs="Arial" w:eastAsia="Arial" w:hAnsi="Arial"/>
          <w:sz w:val="14"/>
          <w:szCs w:val="14"/>
          <w:color w:val="auto"/>
        </w:rPr>
      </w:pPr>
      <w:r>
        <w:rPr>
          <w:rFonts w:ascii="Arial" w:cs="Arial" w:eastAsia="Arial" w:hAnsi="Arial"/>
          <w:sz w:val="14"/>
          <w:szCs w:val="14"/>
          <w:color w:val="auto"/>
        </w:rPr>
        <w:t>the Administrative Agent is advised by the Required Lenders of such Class that the Adjusted LIBO Rate for the Affected Currency for such Interest Period will not adequately and fairly reflect the cost to such Lenders of making or maintaining their respective Loans included in such Borrowing for such Interest Period;</w:t>
      </w:r>
    </w:p>
    <w:p>
      <w:pPr>
        <w:spacing w:after="0" w:line="174" w:lineRule="exact"/>
        <w:rPr>
          <w:sz w:val="20"/>
          <w:szCs w:val="20"/>
          <w:color w:val="auto"/>
        </w:rPr>
      </w:pPr>
    </w:p>
    <w:p>
      <w:pPr>
        <w:jc w:val="both"/>
        <w:ind w:right="20"/>
        <w:spacing w:after="0" w:line="229" w:lineRule="auto"/>
        <w:rPr>
          <w:sz w:val="20"/>
          <w:szCs w:val="20"/>
          <w:color w:val="auto"/>
        </w:rPr>
      </w:pPr>
      <w:r>
        <w:rPr>
          <w:rFonts w:ascii="Arial" w:cs="Arial" w:eastAsia="Arial" w:hAnsi="Arial"/>
          <w:sz w:val="14"/>
          <w:szCs w:val="14"/>
          <w:color w:val="auto"/>
        </w:rPr>
        <w:t>then the Administrative Agent shall give notice thereof to the Borrower and the affected Lenders by telephone or telecopy as promptly as practicable thereafter and, until the Administrative Agent notifies the Borrower and such Lenders that the circumstances giving rise to such notice no longer exist, (i) any Interest Election Request that requests the conversion of any Syndicated Borrowing to, or the continuation of any Syndicated Borrowing as, a Eurocurrency Borrowing denominated in the Affected Currency shall be ineffective and, if the Affected Currency is Dollars, such Syndicated Borrowing (unless prepaid) shall be continued as, or converted to, a Syndicated ABR Borrowing, (ii) if the Affected Currency is Dollars and any Borrowing Request requests a Eurocurrency Borrowing denominated in Dollars, such Borrowing shall be made as a Syndicated ABR Borrowing and (iii) if the Affected Currency is a Foreign Currency, any Borrowing Request that requests a Eurocurrency Borrowing denominated in the Affected Currency shall be ineffective.</w:t>
      </w:r>
    </w:p>
    <w:p>
      <w:pPr>
        <w:spacing w:after="0" w:line="185" w:lineRule="exact"/>
        <w:rPr>
          <w:sz w:val="20"/>
          <w:szCs w:val="20"/>
          <w:color w:val="auto"/>
        </w:rPr>
      </w:pPr>
    </w:p>
    <w:p>
      <w:pPr>
        <w:ind w:left="1740"/>
        <w:spacing w:after="0"/>
        <w:rPr>
          <w:sz w:val="20"/>
          <w:szCs w:val="20"/>
          <w:color w:val="auto"/>
        </w:rPr>
      </w:pPr>
      <w:r>
        <w:rPr>
          <w:rFonts w:ascii="Arial" w:cs="Arial" w:eastAsia="Arial" w:hAnsi="Arial"/>
          <w:sz w:val="14"/>
          <w:szCs w:val="14"/>
          <w:color w:val="auto"/>
        </w:rPr>
        <w:t xml:space="preserve">SECTION 2.14. </w:t>
      </w:r>
      <w:r>
        <w:rPr>
          <w:rFonts w:ascii="Arial" w:cs="Arial" w:eastAsia="Arial" w:hAnsi="Arial"/>
          <w:sz w:val="14"/>
          <w:szCs w:val="14"/>
          <w:u w:val="single" w:color="auto"/>
          <w:color w:val="auto"/>
        </w:rPr>
        <w:t>Increased Costs</w:t>
      </w:r>
      <w:r>
        <w:rPr>
          <w:rFonts w:ascii="Arial" w:cs="Arial" w:eastAsia="Arial" w:hAnsi="Arial"/>
          <w:sz w:val="14"/>
          <w:szCs w:val="14"/>
          <w:color w:val="auto"/>
        </w:rPr>
        <w:t>.</w:t>
      </w:r>
    </w:p>
    <w:p>
      <w:pPr>
        <w:spacing w:after="0" w:line="204" w:lineRule="exact"/>
        <w:rPr>
          <w:sz w:val="20"/>
          <w:szCs w:val="20"/>
          <w:color w:val="auto"/>
        </w:rPr>
      </w:pPr>
    </w:p>
    <w:p>
      <w:pPr>
        <w:ind w:left="2540" w:hanging="805"/>
        <w:spacing w:after="0"/>
        <w:tabs>
          <w:tab w:leader="none" w:pos="2540" w:val="left"/>
        </w:tabs>
        <w:numPr>
          <w:ilvl w:val="1"/>
          <w:numId w:val="80"/>
        </w:numPr>
        <w:rPr>
          <w:rFonts w:ascii="Arial" w:cs="Arial" w:eastAsia="Arial" w:hAnsi="Arial"/>
          <w:sz w:val="14"/>
          <w:szCs w:val="14"/>
          <w:color w:val="auto"/>
        </w:rPr>
      </w:pPr>
      <w:r>
        <w:rPr>
          <w:rFonts w:ascii="Arial" w:cs="Arial" w:eastAsia="Arial" w:hAnsi="Arial"/>
          <w:sz w:val="14"/>
          <w:szCs w:val="14"/>
          <w:u w:val="single" w:color="auto"/>
          <w:color w:val="auto"/>
        </w:rPr>
        <w:t>Increased Costs Generally</w:t>
      </w:r>
      <w:r>
        <w:rPr>
          <w:rFonts w:ascii="Arial" w:cs="Arial" w:eastAsia="Arial" w:hAnsi="Arial"/>
          <w:sz w:val="14"/>
          <w:szCs w:val="14"/>
          <w:color w:val="auto"/>
        </w:rPr>
        <w:t>. If any Change in Law shall:</w:t>
      </w:r>
    </w:p>
    <w:p>
      <w:pPr>
        <w:spacing w:after="0" w:line="203" w:lineRule="exact"/>
        <w:rPr>
          <w:rFonts w:ascii="Arial" w:cs="Arial" w:eastAsia="Arial" w:hAnsi="Arial"/>
          <w:sz w:val="14"/>
          <w:szCs w:val="14"/>
          <w:color w:val="auto"/>
        </w:rPr>
      </w:pPr>
    </w:p>
    <w:p>
      <w:pPr>
        <w:ind w:left="880" w:right="20" w:firstLine="789"/>
        <w:spacing w:after="0" w:line="253" w:lineRule="auto"/>
        <w:tabs>
          <w:tab w:leader="none" w:pos="2461" w:val="left"/>
        </w:tabs>
        <w:numPr>
          <w:ilvl w:val="0"/>
          <w:numId w:val="81"/>
        </w:numPr>
        <w:rPr>
          <w:rFonts w:ascii="Arial" w:cs="Arial" w:eastAsia="Arial" w:hAnsi="Arial"/>
          <w:sz w:val="14"/>
          <w:szCs w:val="14"/>
          <w:color w:val="auto"/>
        </w:rPr>
      </w:pPr>
      <w:r>
        <w:rPr>
          <w:rFonts w:ascii="Arial" w:cs="Arial" w:eastAsia="Arial" w:hAnsi="Arial"/>
          <w:sz w:val="14"/>
          <w:szCs w:val="14"/>
          <w:color w:val="auto"/>
        </w:rPr>
        <w:t>impose, modify or deem applicable any reserve, special deposit or similar requirement against assets of, deposits with or for account of, or credit extended by, any Lender (except any such reserve requirement reflected in the Adjusted LIBO Rate) or the Issuing Bank; or</w:t>
      </w:r>
    </w:p>
    <w:p>
      <w:pPr>
        <w:spacing w:after="0" w:line="200" w:lineRule="exact"/>
        <w:rPr>
          <w:sz w:val="20"/>
          <w:szCs w:val="20"/>
          <w:color w:val="auto"/>
        </w:rPr>
      </w:pPr>
    </w:p>
    <w:p>
      <w:pPr>
        <w:spacing w:after="0" w:line="39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7580" w:type="dxa"/>
            <w:vAlign w:val="bottom"/>
          </w:tcPr>
          <w:p>
            <w:pPr>
              <w:jc w:val="right"/>
              <w:ind w:right="1808"/>
              <w:spacing w:after="0"/>
              <w:rPr>
                <w:sz w:val="20"/>
                <w:szCs w:val="20"/>
                <w:color w:val="auto"/>
              </w:rPr>
            </w:pPr>
            <w:r>
              <w:rPr>
                <w:rFonts w:ascii="Arial" w:cs="Arial" w:eastAsia="Arial" w:hAnsi="Arial"/>
                <w:sz w:val="14"/>
                <w:szCs w:val="14"/>
                <w:color w:val="auto"/>
              </w:rPr>
              <w:t>31</w:t>
            </w:r>
          </w:p>
        </w:tc>
        <w:tc>
          <w:tcPr>
            <w:tcW w:w="3680" w:type="dxa"/>
            <w:vAlign w:val="bottom"/>
          </w:tcPr>
          <w:p>
            <w:pPr>
              <w:jc w:val="right"/>
              <w:spacing w:after="0"/>
              <w:rPr>
                <w:sz w:val="20"/>
                <w:szCs w:val="20"/>
                <w:color w:val="auto"/>
              </w:rPr>
            </w:pPr>
            <w:r>
              <w:rPr>
                <w:rFonts w:ascii="Arial" w:cs="Arial" w:eastAsia="Arial" w:hAnsi="Arial"/>
                <w:sz w:val="14"/>
                <w:szCs w:val="14"/>
                <w:i w:val="1"/>
                <w:iCs w:val="1"/>
                <w:color w:val="auto"/>
              </w:rPr>
              <w:t>Second Amended and Restated</w:t>
            </w:r>
          </w:p>
        </w:tc>
      </w:tr>
      <w:tr>
        <w:trPr>
          <w:trHeight w:val="182"/>
        </w:trPr>
        <w:tc>
          <w:tcPr>
            <w:tcW w:w="7580" w:type="dxa"/>
            <w:vAlign w:val="bottom"/>
          </w:tcPr>
          <w:p>
            <w:pPr>
              <w:spacing w:after="0"/>
              <w:rPr>
                <w:sz w:val="15"/>
                <w:szCs w:val="15"/>
                <w:color w:val="auto"/>
              </w:rPr>
            </w:pPr>
          </w:p>
        </w:tc>
        <w:tc>
          <w:tcPr>
            <w:tcW w:w="3680" w:type="dxa"/>
            <w:vAlign w:val="bottom"/>
          </w:tcPr>
          <w:p>
            <w:pPr>
              <w:jc w:val="right"/>
              <w:spacing w:after="0"/>
              <w:rPr>
                <w:sz w:val="20"/>
                <w:szCs w:val="20"/>
                <w:color w:val="auto"/>
              </w:rPr>
            </w:pPr>
            <w:r>
              <w:rPr>
                <w:rFonts w:ascii="Arial" w:cs="Arial" w:eastAsia="Arial" w:hAnsi="Arial"/>
                <w:sz w:val="14"/>
                <w:szCs w:val="14"/>
                <w:i w:val="1"/>
                <w:iCs w:val="1"/>
                <w:color w:val="auto"/>
              </w:rPr>
              <w:t>Revolving Credit Agreement</w:t>
            </w:r>
          </w:p>
        </w:tc>
      </w:tr>
      <w:tr>
        <w:trPr>
          <w:trHeight w:val="316"/>
        </w:trPr>
        <w:tc>
          <w:tcPr>
            <w:tcW w:w="7580" w:type="dxa"/>
            <w:vAlign w:val="bottom"/>
            <w:tcBorders>
              <w:bottom w:val="single" w:sz="8" w:color="9A9A9A"/>
            </w:tcBorders>
          </w:tcPr>
          <w:p>
            <w:pPr>
              <w:spacing w:after="0"/>
              <w:rPr>
                <w:sz w:val="24"/>
                <w:szCs w:val="24"/>
                <w:color w:val="auto"/>
              </w:rPr>
            </w:pPr>
          </w:p>
        </w:tc>
        <w:tc>
          <w:tcPr>
            <w:tcW w:w="368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7145655</wp:posOffset>
            </wp:positionH>
            <wp:positionV relativeFrom="paragraph">
              <wp:posOffset>-7620</wp:posOffset>
            </wp:positionV>
            <wp:extent cx="8255" cy="8255"/>
            <wp:wrapNone/>
            <wp:docPr id="167" name="Picture 1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
                    <pic:cNvPicPr>
                      <a:picLocks noChangeAspect="1" noChangeArrowheads="1"/>
                    </pic:cNvPicPr>
                  </pic:nvPicPr>
                  <pic:blipFill>
                    <a:blip r:embed="rId174">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-16510</wp:posOffset>
            </wp:positionV>
            <wp:extent cx="8890" cy="17145"/>
            <wp:wrapNone/>
            <wp:docPr id="168" name="Picture 1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
                    <pic:cNvPicPr>
                      <a:picLocks noChangeAspect="1" noChangeArrowheads="1"/>
                    </pic:cNvPicPr>
                  </pic:nvPicPr>
                  <pic:blipFill>
                    <a:blip r:embed="rId175">
                      <a:extLst>
                        <a:ext uri="{28A0092B-C50C-407E-A947-70E740481C1C}"/>
                      </a:extLst>
                    </a:blip>
                    <a:srcRect/>
                    <a:stretch>
                      <a:fillRect/>
                    </a:stretch>
                  </pic:blipFill>
                  <pic:spPr bwMode="auto">
                    <a:xfrm>
                      <a:off x="0" y="0"/>
                      <a:ext cx="8890" cy="17145"/>
                    </a:xfrm>
                    <a:prstGeom prst="rect">
                      <a:avLst/>
                    </a:prstGeom>
                    <a:noFill/>
                  </pic:spPr>
                </pic:pic>
              </a:graphicData>
            </a:graphic>
          </wp:anchor>
        </w:drawing>
      </w:r>
    </w:p>
    <w:p>
      <w:pPr>
        <w:sectPr>
          <w:pgSz w:w="11900" w:h="16838" w:orient="portrait"/>
          <w:cols w:equalWidth="0" w:num="1">
            <w:col w:w="11260"/>
          </w:cols>
          <w:pgMar w:left="320" w:top="337" w:right="319" w:bottom="1440" w:gutter="0" w:footer="0" w:header="0"/>
        </w:sectPr>
      </w:pPr>
    </w:p>
    <w:bookmarkStart w:id="94" w:name="page95"/>
    <w:bookmarkEnd w:id="94"/>
    <w:p>
      <w:pPr>
        <w:ind w:left="880" w:right="40" w:firstLine="789"/>
        <w:spacing w:after="0" w:line="253" w:lineRule="auto"/>
        <w:tabs>
          <w:tab w:leader="none" w:pos="2501" w:val="left"/>
        </w:tabs>
        <w:numPr>
          <w:ilvl w:val="0"/>
          <w:numId w:val="82"/>
        </w:numPr>
        <w:rPr>
          <w:rFonts w:ascii="Arial" w:cs="Arial" w:eastAsia="Arial" w:hAnsi="Arial"/>
          <w:sz w:val="14"/>
          <w:szCs w:val="14"/>
          <w:color w:val="auto"/>
        </w:rPr>
      </w:pPr>
      <w:r>
        <w:rPr>
          <w:rFonts w:ascii="Arial" w:cs="Arial" w:eastAsia="Arial" w:hAnsi="Arial"/>
          <w:sz w:val="14"/>
          <w:szCs w:val="14"/>
          <w:color w:val="auto"/>
        </w:rPr>
        <w:t>impose on any Lender or the Issuing Bank or the London interbank market any other condition, cost or expense (other than Taxes) affecting this Agreement or Eurocurrency Loans made by such Lender or any Letter of Credit or participation therein;</w:t>
      </w:r>
    </w:p>
    <w:p>
      <w:pPr>
        <w:spacing w:after="0" w:line="174" w:lineRule="exact"/>
        <w:rPr>
          <w:sz w:val="20"/>
          <w:szCs w:val="20"/>
          <w:color w:val="auto"/>
        </w:rPr>
      </w:pPr>
    </w:p>
    <w:p>
      <w:pPr>
        <w:jc w:val="both"/>
        <w:ind w:right="20"/>
        <w:spacing w:after="0" w:line="255" w:lineRule="auto"/>
        <w:rPr>
          <w:sz w:val="20"/>
          <w:szCs w:val="20"/>
          <w:color w:val="auto"/>
        </w:rPr>
      </w:pPr>
      <w:r>
        <w:rPr>
          <w:rFonts w:ascii="Arial" w:cs="Arial" w:eastAsia="Arial" w:hAnsi="Arial"/>
          <w:sz w:val="13"/>
          <w:szCs w:val="13"/>
          <w:color w:val="auto"/>
        </w:rPr>
        <w:t>and the result of any of the foregoing shall be to increase the cost to such Lenders of making, converting to, continuing or maintaining any Eurocurrency Loan (or of maintaining its obligation to make any such Loan) or to increase the cost to such Lender or the Issuing Bank of participating in, issuing or maintaining any Letter of Credit or to reduce the amount of any sum received or receivable by such Lender or the Issuing Bank hereunder (whether of principal, interest or otherwise), then the Borrower will pay to such Lender or the Issuing Bank, as the case may be, in Dollars, such additional amount or amounts as will compensate such Lender or the Issuing Bank, as the case may be, for such additional costs incurred or reduction suffered.</w:t>
      </w:r>
    </w:p>
    <w:p>
      <w:pPr>
        <w:spacing w:after="0" w:line="175" w:lineRule="exact"/>
        <w:rPr>
          <w:sz w:val="20"/>
          <w:szCs w:val="20"/>
          <w:color w:val="auto"/>
        </w:rPr>
      </w:pPr>
    </w:p>
    <w:p>
      <w:pPr>
        <w:jc w:val="both"/>
        <w:ind w:right="20" w:firstLine="1735"/>
        <w:spacing w:after="0" w:line="247" w:lineRule="auto"/>
        <w:tabs>
          <w:tab w:leader="none" w:pos="2543" w:val="left"/>
        </w:tabs>
        <w:numPr>
          <w:ilvl w:val="0"/>
          <w:numId w:val="83"/>
        </w:numPr>
        <w:rPr>
          <w:rFonts w:ascii="Arial" w:cs="Arial" w:eastAsia="Arial" w:hAnsi="Arial"/>
          <w:sz w:val="13"/>
          <w:szCs w:val="13"/>
          <w:color w:val="auto"/>
        </w:rPr>
      </w:pPr>
      <w:r>
        <w:rPr>
          <w:rFonts w:ascii="Arial" w:cs="Arial" w:eastAsia="Arial" w:hAnsi="Arial"/>
          <w:sz w:val="13"/>
          <w:szCs w:val="13"/>
          <w:u w:val="single" w:color="auto"/>
          <w:color w:val="auto"/>
        </w:rPr>
        <w:t>Capital or Liquidity Requirements</w:t>
      </w:r>
      <w:r>
        <w:rPr>
          <w:rFonts w:ascii="Arial" w:cs="Arial" w:eastAsia="Arial" w:hAnsi="Arial"/>
          <w:sz w:val="13"/>
          <w:szCs w:val="13"/>
          <w:color w:val="auto"/>
        </w:rPr>
        <w:t>. If any Lender or the Issuing Bank determines that any Change in Law regarding capital or liquidity requirements has or would have the effect of reducing the rate of return on such Lender’s or the Issuing Bank’s capital or on the capital of such Lender’s or the Issuing Bank’s holding company, if any, as a consequence of this Agreement or the Loans made by, or participations in Swingline Loans and Letters of Credit held by, such Lender, or the Letters of Credit issued by the Issuing Bank, to a level below that which such Lender or the Issuing Bank or such Lender’s or the Issuing Bank’s holding company could have achieved but for such Change in Law (taking into consideration such Lender’s or the Issuing Bank’s policies and the policies of such Lender’s or the Issuing Bank’s holding company with respect to capital adequacy), by an amount deemed to be material by such Lender or the Issuing Bank, then from time to time the Borrower will pay to such Lender or the Issuing Bank, as the case may be, in Dollars, such additional amount or amounts as will compensate such Lender or the Issuing Bank or such Lender’s or the Issuing Bank’s holding company for any such reduction suffered.</w:t>
      </w:r>
    </w:p>
    <w:p>
      <w:pPr>
        <w:spacing w:after="0" w:line="178" w:lineRule="exact"/>
        <w:rPr>
          <w:rFonts w:ascii="Arial" w:cs="Arial" w:eastAsia="Arial" w:hAnsi="Arial"/>
          <w:sz w:val="13"/>
          <w:szCs w:val="13"/>
          <w:color w:val="auto"/>
        </w:rPr>
      </w:pPr>
    </w:p>
    <w:p>
      <w:pPr>
        <w:jc w:val="both"/>
        <w:ind w:right="20" w:firstLine="1735"/>
        <w:spacing w:after="0" w:line="231" w:lineRule="auto"/>
        <w:tabs>
          <w:tab w:leader="none" w:pos="2535" w:val="left"/>
        </w:tabs>
        <w:numPr>
          <w:ilvl w:val="0"/>
          <w:numId w:val="83"/>
        </w:numPr>
        <w:rPr>
          <w:rFonts w:ascii="Arial" w:cs="Arial" w:eastAsia="Arial" w:hAnsi="Arial"/>
          <w:sz w:val="14"/>
          <w:szCs w:val="14"/>
          <w:color w:val="auto"/>
        </w:rPr>
      </w:pPr>
      <w:r>
        <w:rPr>
          <w:rFonts w:ascii="Arial" w:cs="Arial" w:eastAsia="Arial" w:hAnsi="Arial"/>
          <w:sz w:val="14"/>
          <w:szCs w:val="14"/>
          <w:u w:val="single" w:color="auto"/>
          <w:color w:val="auto"/>
        </w:rPr>
        <w:t>Certificates from Lenders</w:t>
      </w:r>
      <w:r>
        <w:rPr>
          <w:rFonts w:ascii="Arial" w:cs="Arial" w:eastAsia="Arial" w:hAnsi="Arial"/>
          <w:sz w:val="14"/>
          <w:szCs w:val="14"/>
          <w:color w:val="auto"/>
        </w:rPr>
        <w:t xml:space="preserve">. A certificate of a Lender or the Issuing Bank setting forth in reasonable detail the basis for and the calculation of the amount or amounts, in Dollars, necessary to compensate such Lender or the Issuing Bank or its holding company, as the case may be, as specified in </w:t>
      </w:r>
      <w:r>
        <w:rPr>
          <w:rFonts w:ascii="Arial" w:cs="Arial" w:eastAsia="Arial" w:hAnsi="Arial"/>
          <w:sz w:val="14"/>
          <w:szCs w:val="14"/>
          <w:u w:val="single" w:color="auto"/>
          <w:color w:val="auto"/>
        </w:rPr>
        <w:t>paragraph (a)</w:t>
      </w:r>
      <w:r>
        <w:rPr>
          <w:rFonts w:ascii="Arial" w:cs="Arial" w:eastAsia="Arial" w:hAnsi="Arial"/>
          <w:sz w:val="14"/>
          <w:szCs w:val="14"/>
          <w:color w:val="auto"/>
        </w:rPr>
        <w:t xml:space="preserve"> or </w:t>
      </w:r>
      <w:r>
        <w:rPr>
          <w:rFonts w:ascii="Arial" w:cs="Arial" w:eastAsia="Arial" w:hAnsi="Arial"/>
          <w:sz w:val="14"/>
          <w:szCs w:val="14"/>
          <w:u w:val="single" w:color="auto"/>
          <w:color w:val="auto"/>
        </w:rPr>
        <w:t>(b)</w:t>
      </w:r>
      <w:r>
        <w:rPr>
          <w:rFonts w:ascii="Arial" w:cs="Arial" w:eastAsia="Arial" w:hAnsi="Arial"/>
          <w:sz w:val="14"/>
          <w:szCs w:val="14"/>
          <w:color w:val="auto"/>
        </w:rPr>
        <w:t xml:space="preserve"> of this Section shall be promptly delivered to the Borrower and shall be conclusive absent manifest error (it being understood that no Lender shall be required to disclose (i) any confidential or price sensitive information or (ii) any information to the extent prohibited by applicable law). The Borrower shall pay such Lender or the Issuing Bank, as the case may be, the amount shown as due on any such certificate within 10 days after receipt thereof.</w:t>
      </w:r>
    </w:p>
    <w:p>
      <w:pPr>
        <w:spacing w:after="0" w:line="183" w:lineRule="exact"/>
        <w:rPr>
          <w:rFonts w:ascii="Arial" w:cs="Arial" w:eastAsia="Arial" w:hAnsi="Arial"/>
          <w:sz w:val="14"/>
          <w:szCs w:val="14"/>
          <w:color w:val="auto"/>
        </w:rPr>
      </w:pPr>
    </w:p>
    <w:p>
      <w:pPr>
        <w:jc w:val="both"/>
        <w:ind w:right="20" w:firstLine="1735"/>
        <w:spacing w:after="0" w:line="251" w:lineRule="auto"/>
        <w:tabs>
          <w:tab w:leader="none" w:pos="2543" w:val="left"/>
        </w:tabs>
        <w:numPr>
          <w:ilvl w:val="0"/>
          <w:numId w:val="83"/>
        </w:numPr>
        <w:rPr>
          <w:rFonts w:ascii="Arial" w:cs="Arial" w:eastAsia="Arial" w:hAnsi="Arial"/>
          <w:sz w:val="13"/>
          <w:szCs w:val="13"/>
          <w:color w:val="auto"/>
        </w:rPr>
      </w:pPr>
      <w:r>
        <w:rPr>
          <w:rFonts w:ascii="Arial" w:cs="Arial" w:eastAsia="Arial" w:hAnsi="Arial"/>
          <w:sz w:val="13"/>
          <w:szCs w:val="13"/>
          <w:u w:val="single" w:color="auto"/>
          <w:color w:val="auto"/>
        </w:rPr>
        <w:t>Delay in Requests</w:t>
      </w:r>
      <w:r>
        <w:rPr>
          <w:rFonts w:ascii="Arial" w:cs="Arial" w:eastAsia="Arial" w:hAnsi="Arial"/>
          <w:sz w:val="13"/>
          <w:szCs w:val="13"/>
          <w:color w:val="auto"/>
        </w:rPr>
        <w:t xml:space="preserve">. Failure or delay on the part of any Lender or the Issuing Bank to demand compensation pursuant to this Section shall not constitute a waiver of such Lender’s or the Issuing Bank’s right to demand such compensation; </w:t>
      </w:r>
      <w:r>
        <w:rPr>
          <w:rFonts w:ascii="Arial" w:cs="Arial" w:eastAsia="Arial" w:hAnsi="Arial"/>
          <w:sz w:val="13"/>
          <w:szCs w:val="13"/>
          <w:u w:val="single" w:color="auto"/>
          <w:color w:val="auto"/>
        </w:rPr>
        <w:t>provided</w:t>
      </w:r>
      <w:r>
        <w:rPr>
          <w:rFonts w:ascii="Arial" w:cs="Arial" w:eastAsia="Arial" w:hAnsi="Arial"/>
          <w:sz w:val="13"/>
          <w:szCs w:val="13"/>
          <w:color w:val="auto"/>
        </w:rPr>
        <w:t xml:space="preserve"> that the Borrower shall not be required to compensate a Lender or the Issuing Bank pursuant to this Section for any increased costs or reductions incurred more than six months prior to the date that such Lender or the Issuing Bank, as the case may be, notifies the Borrower of the Change in Law giving rise to such increased costs or reductions and of such Lender’s or the Issuing Bank’s intention to claim compensation therefor; </w:t>
      </w:r>
      <w:r>
        <w:rPr>
          <w:rFonts w:ascii="Arial" w:cs="Arial" w:eastAsia="Arial" w:hAnsi="Arial"/>
          <w:sz w:val="13"/>
          <w:szCs w:val="13"/>
          <w:u w:val="single" w:color="auto"/>
          <w:color w:val="auto"/>
        </w:rPr>
        <w:t>provided</w:t>
      </w:r>
      <w:r>
        <w:rPr>
          <w:rFonts w:ascii="Arial" w:cs="Arial" w:eastAsia="Arial" w:hAnsi="Arial"/>
          <w:sz w:val="13"/>
          <w:szCs w:val="13"/>
          <w:color w:val="auto"/>
        </w:rPr>
        <w:t xml:space="preserve">, </w:t>
      </w:r>
      <w:r>
        <w:rPr>
          <w:rFonts w:ascii="Arial" w:cs="Arial" w:eastAsia="Arial" w:hAnsi="Arial"/>
          <w:sz w:val="13"/>
          <w:szCs w:val="13"/>
          <w:u w:val="single" w:color="auto"/>
          <w:color w:val="auto"/>
        </w:rPr>
        <w:t>further</w:t>
      </w:r>
      <w:r>
        <w:rPr>
          <w:rFonts w:ascii="Arial" w:cs="Arial" w:eastAsia="Arial" w:hAnsi="Arial"/>
          <w:sz w:val="13"/>
          <w:szCs w:val="13"/>
          <w:color w:val="auto"/>
        </w:rPr>
        <w:t>, that, if the Change in Law giving rise to such increased costs or reductions is retroactive, then the six-month period referred to above shall be extended to include the period of retroactive effect thereof.</w:t>
      </w:r>
    </w:p>
    <w:p>
      <w:pPr>
        <w:spacing w:after="0" w:line="177" w:lineRule="exact"/>
        <w:rPr>
          <w:sz w:val="20"/>
          <w:szCs w:val="20"/>
          <w:color w:val="auto"/>
        </w:rPr>
      </w:pPr>
    </w:p>
    <w:p>
      <w:pPr>
        <w:jc w:val="both"/>
        <w:ind w:right="20" w:firstLine="1727"/>
        <w:spacing w:after="0" w:line="247" w:lineRule="auto"/>
        <w:rPr>
          <w:sz w:val="20"/>
          <w:szCs w:val="20"/>
          <w:color w:val="auto"/>
        </w:rPr>
      </w:pPr>
      <w:r>
        <w:rPr>
          <w:rFonts w:ascii="Arial" w:cs="Arial" w:eastAsia="Arial" w:hAnsi="Arial"/>
          <w:sz w:val="13"/>
          <w:szCs w:val="13"/>
          <w:color w:val="auto"/>
        </w:rPr>
        <w:t xml:space="preserve">SECTION 2.15. </w:t>
      </w:r>
      <w:r>
        <w:rPr>
          <w:rFonts w:ascii="Arial" w:cs="Arial" w:eastAsia="Arial" w:hAnsi="Arial"/>
          <w:sz w:val="13"/>
          <w:szCs w:val="13"/>
          <w:u w:val="single" w:color="auto"/>
          <w:color w:val="auto"/>
        </w:rPr>
        <w:t>Break Funding Payments</w:t>
      </w:r>
      <w:r>
        <w:rPr>
          <w:rFonts w:ascii="Arial" w:cs="Arial" w:eastAsia="Arial" w:hAnsi="Arial"/>
          <w:sz w:val="13"/>
          <w:szCs w:val="13"/>
          <w:color w:val="auto"/>
        </w:rPr>
        <w:t xml:space="preserve">. In the event of (a) the payment of any principal of any Eurocurrency Loan other than on the last day of an Interest Period therefor (including as a result of the occurrence of any Commitment Increase Date or an Event of Default), (b) the conversion of any Eurocurrency Loan other than on the last day of an Interest Period therefor, (c) the failure to borrow, convert, continue or prepay any Syndicated Loan on the date specified in any notice delivered pursuant hereto (including, in connection with any Commitment Increase Date, and regardless of whether such notice is permitted to be revocable under </w:t>
      </w:r>
      <w:r>
        <w:rPr>
          <w:rFonts w:ascii="Arial" w:cs="Arial" w:eastAsia="Arial" w:hAnsi="Arial"/>
          <w:sz w:val="13"/>
          <w:szCs w:val="13"/>
          <w:u w:val="single" w:color="auto"/>
          <w:color w:val="auto"/>
        </w:rPr>
        <w:t>Section 2.10(f)</w:t>
      </w:r>
      <w:r>
        <w:rPr>
          <w:rFonts w:ascii="Arial" w:cs="Arial" w:eastAsia="Arial" w:hAnsi="Arial"/>
          <w:sz w:val="13"/>
          <w:szCs w:val="13"/>
          <w:color w:val="auto"/>
        </w:rPr>
        <w:t xml:space="preserve"> and is revoked in accordance herewith), or (d) the assignment as a result of a request by the Borrower pursuant to </w:t>
      </w:r>
      <w:r>
        <w:rPr>
          <w:rFonts w:ascii="Arial" w:cs="Arial" w:eastAsia="Arial" w:hAnsi="Arial"/>
          <w:sz w:val="13"/>
          <w:szCs w:val="13"/>
          <w:u w:val="single" w:color="auto"/>
          <w:color w:val="auto"/>
        </w:rPr>
        <w:t>Section 2.18(b)</w:t>
      </w:r>
      <w:r>
        <w:rPr>
          <w:rFonts w:ascii="Arial" w:cs="Arial" w:eastAsia="Arial" w:hAnsi="Arial"/>
          <w:sz w:val="13"/>
          <w:szCs w:val="13"/>
          <w:color w:val="auto"/>
        </w:rPr>
        <w:t xml:space="preserve"> of any Eurocurrency Loan other than on the last day of an Interest Period therefor, then, in any such event, the Borrower shall compensate each Lender for the loss, cost and reasonable expense attributable to such event (excluding loss of anticipated profits). In the case of a Eurocurrency Loan, the loss to any Lender attributable to any such event shall be deemed to include an amount determined by such Lender to be equal to the excess, if any, of</w:t>
      </w:r>
    </w:p>
    <w:p>
      <w:pPr>
        <w:spacing w:after="0" w:line="179" w:lineRule="exact"/>
        <w:rPr>
          <w:sz w:val="20"/>
          <w:szCs w:val="20"/>
          <w:color w:val="auto"/>
        </w:rPr>
      </w:pPr>
    </w:p>
    <w:p>
      <w:pPr>
        <w:jc w:val="both"/>
        <w:ind w:left="880" w:right="20" w:firstLine="789"/>
        <w:spacing w:after="0" w:line="233" w:lineRule="auto"/>
        <w:tabs>
          <w:tab w:leader="none" w:pos="2461" w:val="left"/>
        </w:tabs>
        <w:numPr>
          <w:ilvl w:val="0"/>
          <w:numId w:val="84"/>
        </w:numPr>
        <w:rPr>
          <w:rFonts w:ascii="Arial" w:cs="Arial" w:eastAsia="Arial" w:hAnsi="Arial"/>
          <w:sz w:val="14"/>
          <w:szCs w:val="14"/>
          <w:color w:val="auto"/>
        </w:rPr>
      </w:pPr>
      <w:r>
        <w:rPr>
          <w:rFonts w:ascii="Arial" w:cs="Arial" w:eastAsia="Arial" w:hAnsi="Arial"/>
          <w:sz w:val="14"/>
          <w:szCs w:val="14"/>
          <w:color w:val="auto"/>
        </w:rPr>
        <w:t xml:space="preserve">the amount of interest that such Lender would pay for a deposit equal to the principal amount of such Loan denominated in the Currency of such Loan for the period from the date of such payment, conversion, failure or assignment to the last day of the then current Interest Period for such Loan (or, in the case of a failure to borrow, convert or continue, the duration of the Interest Period that would have resulted from such borrowing, conversion or continuation) if the interest rate payable on such deposit were equal to the Adjusted LIBO Rate for such Currency for such Interest Period, </w:t>
      </w:r>
      <w:r>
        <w:rPr>
          <w:rFonts w:ascii="Arial" w:cs="Arial" w:eastAsia="Arial" w:hAnsi="Arial"/>
          <w:sz w:val="14"/>
          <w:szCs w:val="14"/>
          <w:u w:val="single" w:color="auto"/>
          <w:color w:val="auto"/>
        </w:rPr>
        <w:t>over</w:t>
      </w:r>
    </w:p>
    <w:p>
      <w:pPr>
        <w:spacing w:after="0" w:line="184" w:lineRule="exact"/>
        <w:rPr>
          <w:rFonts w:ascii="Arial" w:cs="Arial" w:eastAsia="Arial" w:hAnsi="Arial"/>
          <w:sz w:val="14"/>
          <w:szCs w:val="14"/>
          <w:color w:val="auto"/>
        </w:rPr>
      </w:pPr>
    </w:p>
    <w:p>
      <w:pPr>
        <w:jc w:val="both"/>
        <w:ind w:left="880" w:right="20" w:firstLine="789"/>
        <w:spacing w:after="0" w:line="238" w:lineRule="auto"/>
        <w:tabs>
          <w:tab w:leader="none" w:pos="2501" w:val="left"/>
        </w:tabs>
        <w:numPr>
          <w:ilvl w:val="0"/>
          <w:numId w:val="84"/>
        </w:numPr>
        <w:rPr>
          <w:rFonts w:ascii="Arial" w:cs="Arial" w:eastAsia="Arial" w:hAnsi="Arial"/>
          <w:sz w:val="14"/>
          <w:szCs w:val="14"/>
          <w:color w:val="auto"/>
        </w:rPr>
      </w:pPr>
      <w:r>
        <w:rPr>
          <w:rFonts w:ascii="Arial" w:cs="Arial" w:eastAsia="Arial" w:hAnsi="Arial"/>
          <w:sz w:val="14"/>
          <w:szCs w:val="14"/>
          <w:color w:val="auto"/>
        </w:rPr>
        <w:t>the amount of interest that such Lender would earn on such principal amount for such period if such Lender were to invest such principal amount for such period at the interest rate that would be bid by such Lender (or an affiliate of such Lender) for deposits denominated in such Currency from other banks in the Eurocurrency market at the commencement of such period.</w:t>
      </w:r>
    </w:p>
    <w:p>
      <w:pPr>
        <w:spacing w:after="0" w:line="183" w:lineRule="exact"/>
        <w:rPr>
          <w:sz w:val="20"/>
          <w:szCs w:val="20"/>
          <w:color w:val="auto"/>
        </w:rPr>
      </w:pPr>
    </w:p>
    <w:p>
      <w:pPr>
        <w:jc w:val="both"/>
        <w:ind w:right="20"/>
        <w:spacing w:after="0" w:line="233" w:lineRule="auto"/>
        <w:rPr>
          <w:sz w:val="20"/>
          <w:szCs w:val="20"/>
          <w:color w:val="auto"/>
        </w:rPr>
      </w:pPr>
      <w:r>
        <w:rPr>
          <w:rFonts w:ascii="Arial" w:cs="Arial" w:eastAsia="Arial" w:hAnsi="Arial"/>
          <w:sz w:val="14"/>
          <w:szCs w:val="14"/>
          <w:color w:val="auto"/>
        </w:rPr>
        <w:t>Payment under this Section shall be made upon request of a Lender delivered not later than five Business Days following the payment, conversion, or failure to borrow, convert, continue or prepay that gives rise to a claim under this Section accompanied by a certificate of such Lender setting forth in reasonable detail the basis for and the calculation of the amount or amounts that such Lender is entitled to receive pursuant to this Section, which certificate shall be conclusive absent manifest error. The Borrower shall pay such Lender the amount shown as due on any such certificate within 10 days after receipt thereof.</w:t>
      </w:r>
    </w:p>
    <w:p>
      <w:pPr>
        <w:spacing w:after="0" w:line="200" w:lineRule="exact"/>
        <w:rPr>
          <w:sz w:val="20"/>
          <w:szCs w:val="20"/>
          <w:color w:val="auto"/>
        </w:rPr>
      </w:pPr>
    </w:p>
    <w:p>
      <w:pPr>
        <w:spacing w:after="0" w:line="200" w:lineRule="exact"/>
        <w:rPr>
          <w:sz w:val="20"/>
          <w:szCs w:val="20"/>
          <w:color w:val="auto"/>
        </w:rPr>
      </w:pPr>
    </w:p>
    <w:p>
      <w:pPr>
        <w:spacing w:after="0" w:line="20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7580" w:type="dxa"/>
            <w:vAlign w:val="bottom"/>
          </w:tcPr>
          <w:p>
            <w:pPr>
              <w:jc w:val="right"/>
              <w:ind w:right="1808"/>
              <w:spacing w:after="0"/>
              <w:rPr>
                <w:sz w:val="20"/>
                <w:szCs w:val="20"/>
                <w:color w:val="auto"/>
              </w:rPr>
            </w:pPr>
            <w:r>
              <w:rPr>
                <w:rFonts w:ascii="Arial" w:cs="Arial" w:eastAsia="Arial" w:hAnsi="Arial"/>
                <w:sz w:val="14"/>
                <w:szCs w:val="14"/>
                <w:color w:val="auto"/>
              </w:rPr>
              <w:t>32</w:t>
            </w:r>
          </w:p>
        </w:tc>
        <w:tc>
          <w:tcPr>
            <w:tcW w:w="3680" w:type="dxa"/>
            <w:vAlign w:val="bottom"/>
          </w:tcPr>
          <w:p>
            <w:pPr>
              <w:jc w:val="right"/>
              <w:spacing w:after="0"/>
              <w:rPr>
                <w:sz w:val="20"/>
                <w:szCs w:val="20"/>
                <w:color w:val="auto"/>
              </w:rPr>
            </w:pPr>
            <w:r>
              <w:rPr>
                <w:rFonts w:ascii="Arial" w:cs="Arial" w:eastAsia="Arial" w:hAnsi="Arial"/>
                <w:sz w:val="14"/>
                <w:szCs w:val="14"/>
                <w:i w:val="1"/>
                <w:iCs w:val="1"/>
                <w:color w:val="auto"/>
              </w:rPr>
              <w:t>Second Amended and Restated</w:t>
            </w:r>
          </w:p>
        </w:tc>
      </w:tr>
      <w:tr>
        <w:trPr>
          <w:trHeight w:val="182"/>
        </w:trPr>
        <w:tc>
          <w:tcPr>
            <w:tcW w:w="7580" w:type="dxa"/>
            <w:vAlign w:val="bottom"/>
          </w:tcPr>
          <w:p>
            <w:pPr>
              <w:spacing w:after="0"/>
              <w:rPr>
                <w:sz w:val="15"/>
                <w:szCs w:val="15"/>
                <w:color w:val="auto"/>
              </w:rPr>
            </w:pPr>
          </w:p>
        </w:tc>
        <w:tc>
          <w:tcPr>
            <w:tcW w:w="3680" w:type="dxa"/>
            <w:vAlign w:val="bottom"/>
          </w:tcPr>
          <w:p>
            <w:pPr>
              <w:jc w:val="right"/>
              <w:spacing w:after="0"/>
              <w:rPr>
                <w:sz w:val="20"/>
                <w:szCs w:val="20"/>
                <w:color w:val="auto"/>
              </w:rPr>
            </w:pPr>
            <w:r>
              <w:rPr>
                <w:rFonts w:ascii="Arial" w:cs="Arial" w:eastAsia="Arial" w:hAnsi="Arial"/>
                <w:sz w:val="14"/>
                <w:szCs w:val="14"/>
                <w:i w:val="1"/>
                <w:iCs w:val="1"/>
                <w:color w:val="auto"/>
              </w:rPr>
              <w:t>Revolving Credit Agreement</w:t>
            </w:r>
          </w:p>
        </w:tc>
      </w:tr>
      <w:tr>
        <w:trPr>
          <w:trHeight w:val="316"/>
        </w:trPr>
        <w:tc>
          <w:tcPr>
            <w:tcW w:w="7580" w:type="dxa"/>
            <w:vAlign w:val="bottom"/>
            <w:tcBorders>
              <w:bottom w:val="single" w:sz="8" w:color="9A9A9A"/>
            </w:tcBorders>
          </w:tcPr>
          <w:p>
            <w:pPr>
              <w:spacing w:after="0"/>
              <w:rPr>
                <w:sz w:val="24"/>
                <w:szCs w:val="24"/>
                <w:color w:val="auto"/>
              </w:rPr>
            </w:pPr>
          </w:p>
        </w:tc>
        <w:tc>
          <w:tcPr>
            <w:tcW w:w="368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7145655</wp:posOffset>
            </wp:positionH>
            <wp:positionV relativeFrom="paragraph">
              <wp:posOffset>-8255</wp:posOffset>
            </wp:positionV>
            <wp:extent cx="8255" cy="8890"/>
            <wp:wrapNone/>
            <wp:docPr id="169" name="Picture 1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
                    <pic:cNvPicPr>
                      <a:picLocks noChangeAspect="1" noChangeArrowheads="1"/>
                    </pic:cNvPicPr>
                  </pic:nvPicPr>
                  <pic:blipFill>
                    <a:blip r:embed="rId176">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-16510</wp:posOffset>
            </wp:positionV>
            <wp:extent cx="8890" cy="17145"/>
            <wp:wrapNone/>
            <wp:docPr id="170" name="Picture 1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0"/>
                    <pic:cNvPicPr>
                      <a:picLocks noChangeAspect="1" noChangeArrowheads="1"/>
                    </pic:cNvPicPr>
                  </pic:nvPicPr>
                  <pic:blipFill>
                    <a:blip r:embed="rId177">
                      <a:extLst>
                        <a:ext uri="{28A0092B-C50C-407E-A947-70E740481C1C}"/>
                      </a:extLst>
                    </a:blip>
                    <a:srcRect/>
                    <a:stretch>
                      <a:fillRect/>
                    </a:stretch>
                  </pic:blipFill>
                  <pic:spPr bwMode="auto">
                    <a:xfrm>
                      <a:off x="0" y="0"/>
                      <a:ext cx="8890" cy="17145"/>
                    </a:xfrm>
                    <a:prstGeom prst="rect">
                      <a:avLst/>
                    </a:prstGeom>
                    <a:noFill/>
                  </pic:spPr>
                </pic:pic>
              </a:graphicData>
            </a:graphic>
          </wp:anchor>
        </w:drawing>
      </w:r>
    </w:p>
    <w:p>
      <w:pPr>
        <w:sectPr>
          <w:pgSz w:w="11900" w:h="16838" w:orient="portrait"/>
          <w:cols w:equalWidth="0" w:num="1">
            <w:col w:w="11260"/>
          </w:cols>
          <w:pgMar w:left="320" w:top="337" w:right="319" w:bottom="1440" w:gutter="0" w:footer="0" w:header="0"/>
        </w:sectPr>
      </w:pPr>
    </w:p>
    <w:bookmarkStart w:id="95" w:name="page96"/>
    <w:bookmarkEnd w:id="95"/>
    <w:p>
      <w:pPr>
        <w:ind w:left="1740"/>
        <w:spacing w:after="0"/>
        <w:rPr>
          <w:sz w:val="20"/>
          <w:szCs w:val="20"/>
          <w:color w:val="auto"/>
        </w:rPr>
      </w:pPr>
      <w:r>
        <w:rPr>
          <w:rFonts w:ascii="Arial" w:cs="Arial" w:eastAsia="Arial" w:hAnsi="Arial"/>
          <w:sz w:val="14"/>
          <w:szCs w:val="14"/>
          <w:color w:val="auto"/>
        </w:rPr>
        <w:t xml:space="preserve">SECTION 2.16. </w:t>
      </w:r>
      <w:r>
        <w:rPr>
          <w:rFonts w:ascii="Arial" w:cs="Arial" w:eastAsia="Arial" w:hAnsi="Arial"/>
          <w:sz w:val="14"/>
          <w:szCs w:val="14"/>
          <w:u w:val="single" w:color="auto"/>
          <w:color w:val="auto"/>
        </w:rPr>
        <w:t>Taxes</w:t>
      </w:r>
      <w:r>
        <w:rPr>
          <w:rFonts w:ascii="Arial" w:cs="Arial" w:eastAsia="Arial" w:hAnsi="Arial"/>
          <w:sz w:val="14"/>
          <w:szCs w:val="14"/>
          <w:color w:val="auto"/>
        </w:rPr>
        <w:t xml:space="preserve">. For purposes of this </w:t>
      </w:r>
      <w:r>
        <w:rPr>
          <w:rFonts w:ascii="Arial" w:cs="Arial" w:eastAsia="Arial" w:hAnsi="Arial"/>
          <w:sz w:val="14"/>
          <w:szCs w:val="14"/>
          <w:u w:val="single" w:color="auto"/>
          <w:color w:val="auto"/>
        </w:rPr>
        <w:t>Section 2.16</w:t>
      </w:r>
      <w:r>
        <w:rPr>
          <w:rFonts w:ascii="Arial" w:cs="Arial" w:eastAsia="Arial" w:hAnsi="Arial"/>
          <w:sz w:val="14"/>
          <w:szCs w:val="14"/>
          <w:color w:val="auto"/>
        </w:rPr>
        <w:t>, the term “Lender” includes the Issuing Bank and the term “applicable law” includes FATCA.</w:t>
      </w:r>
    </w:p>
    <w:p>
      <w:pPr>
        <w:spacing w:after="0" w:line="204" w:lineRule="exact"/>
        <w:rPr>
          <w:sz w:val="20"/>
          <w:szCs w:val="20"/>
          <w:color w:val="auto"/>
        </w:rPr>
      </w:pPr>
    </w:p>
    <w:p>
      <w:pPr>
        <w:jc w:val="both"/>
        <w:ind w:right="20" w:firstLine="1735"/>
        <w:spacing w:after="0" w:line="248" w:lineRule="auto"/>
        <w:tabs>
          <w:tab w:leader="none" w:pos="2535" w:val="left"/>
        </w:tabs>
        <w:numPr>
          <w:ilvl w:val="2"/>
          <w:numId w:val="85"/>
        </w:numPr>
        <w:rPr>
          <w:rFonts w:ascii="Arial" w:cs="Arial" w:eastAsia="Arial" w:hAnsi="Arial"/>
          <w:sz w:val="13"/>
          <w:szCs w:val="13"/>
          <w:color w:val="auto"/>
        </w:rPr>
      </w:pPr>
      <w:r>
        <w:rPr>
          <w:rFonts w:ascii="Arial" w:cs="Arial" w:eastAsia="Arial" w:hAnsi="Arial"/>
          <w:sz w:val="13"/>
          <w:szCs w:val="13"/>
          <w:u w:val="single" w:color="auto"/>
          <w:color w:val="auto"/>
        </w:rPr>
        <w:t>Payments Free of Taxes</w:t>
      </w:r>
      <w:r>
        <w:rPr>
          <w:rFonts w:ascii="Arial" w:cs="Arial" w:eastAsia="Arial" w:hAnsi="Arial"/>
          <w:sz w:val="13"/>
          <w:szCs w:val="13"/>
          <w:color w:val="auto"/>
        </w:rPr>
        <w:t xml:space="preserve">. Any and all payments by or on account of any obligation of the Borrower hereunder or under any other Loan Document shall be made free and clear of and without deduction for any Taxes, except as required by applicable law; </w:t>
      </w:r>
      <w:r>
        <w:rPr>
          <w:rFonts w:ascii="Arial" w:cs="Arial" w:eastAsia="Arial" w:hAnsi="Arial"/>
          <w:sz w:val="13"/>
          <w:szCs w:val="13"/>
          <w:u w:val="single" w:color="auto"/>
          <w:color w:val="auto"/>
        </w:rPr>
        <w:t>provided</w:t>
      </w:r>
      <w:r>
        <w:rPr>
          <w:rFonts w:ascii="Arial" w:cs="Arial" w:eastAsia="Arial" w:hAnsi="Arial"/>
          <w:sz w:val="13"/>
          <w:szCs w:val="13"/>
          <w:color w:val="auto"/>
        </w:rPr>
        <w:t xml:space="preserve"> that if the Borrower shall be required to deduct any Taxes from such payments, then</w:t>
      </w:r>
    </w:p>
    <w:p>
      <w:pPr>
        <w:jc w:val="both"/>
        <w:ind w:right="20" w:firstLine="8"/>
        <w:spacing w:after="0" w:line="229" w:lineRule="auto"/>
        <w:tabs>
          <w:tab w:leader="none" w:pos="192" w:val="left"/>
        </w:tabs>
        <w:numPr>
          <w:ilvl w:val="0"/>
          <w:numId w:val="86"/>
        </w:numPr>
        <w:rPr>
          <w:rFonts w:ascii="Arial" w:cs="Arial" w:eastAsia="Arial" w:hAnsi="Arial"/>
          <w:sz w:val="14"/>
          <w:szCs w:val="14"/>
          <w:color w:val="auto"/>
        </w:rPr>
      </w:pPr>
      <w:r>
        <w:rPr>
          <w:rFonts w:ascii="Arial" w:cs="Arial" w:eastAsia="Arial" w:hAnsi="Arial"/>
          <w:sz w:val="14"/>
          <w:szCs w:val="14"/>
          <w:color w:val="auto"/>
        </w:rPr>
        <w:t>if such Taxes are Indemnified Taxes, the sum payable by the Borrower shall be increased as necessary so that after making all required deductions (including deductions applicable to additional sums payable under this Section) the Administrative Agent, applicable Lender or the Issuing Bank (as the case may be) receives an amount equal to the sum it would have received had no such deductions been made, (ii) the Borrower shall make such deductions and (iii) the Borrower shall pay the full amount deducted to the relevant Governmental Authority in accordance with applicable law.</w:t>
      </w:r>
    </w:p>
    <w:p>
      <w:pPr>
        <w:spacing w:after="0" w:line="183" w:lineRule="exact"/>
        <w:rPr>
          <w:rFonts w:ascii="Arial" w:cs="Arial" w:eastAsia="Arial" w:hAnsi="Arial"/>
          <w:sz w:val="14"/>
          <w:szCs w:val="14"/>
          <w:color w:val="auto"/>
        </w:rPr>
      </w:pPr>
    </w:p>
    <w:p>
      <w:pPr>
        <w:ind w:left="2560" w:hanging="825"/>
        <w:spacing w:after="0"/>
        <w:tabs>
          <w:tab w:leader="none" w:pos="2560" w:val="left"/>
        </w:tabs>
        <w:numPr>
          <w:ilvl w:val="2"/>
          <w:numId w:val="86"/>
        </w:numPr>
        <w:rPr>
          <w:rFonts w:ascii="Arial" w:cs="Arial" w:eastAsia="Arial" w:hAnsi="Arial"/>
          <w:sz w:val="13"/>
          <w:szCs w:val="13"/>
          <w:color w:val="auto"/>
        </w:rPr>
      </w:pPr>
      <w:r>
        <w:rPr>
          <w:rFonts w:ascii="Arial" w:cs="Arial" w:eastAsia="Arial" w:hAnsi="Arial"/>
          <w:sz w:val="13"/>
          <w:szCs w:val="13"/>
          <w:u w:val="single" w:color="auto"/>
          <w:color w:val="auto"/>
        </w:rPr>
        <w:t>Payment of Other Taxes by the Borrower</w:t>
      </w:r>
      <w:r>
        <w:rPr>
          <w:rFonts w:ascii="Arial" w:cs="Arial" w:eastAsia="Arial" w:hAnsi="Arial"/>
          <w:sz w:val="13"/>
          <w:szCs w:val="13"/>
          <w:color w:val="auto"/>
        </w:rPr>
        <w:t>. In addition, the Borrower shall pay any Other Taxes to the relevant Governmental Authority in accordance</w:t>
      </w:r>
    </w:p>
    <w:p>
      <w:pPr>
        <w:spacing w:after="0" w:line="11" w:lineRule="exact"/>
        <w:rPr>
          <w:rFonts w:ascii="Arial" w:cs="Arial" w:eastAsia="Arial" w:hAnsi="Arial"/>
          <w:sz w:val="13"/>
          <w:szCs w:val="13"/>
          <w:color w:val="auto"/>
        </w:rPr>
      </w:pPr>
    </w:p>
    <w:p>
      <w:pPr>
        <w:spacing w:after="0"/>
        <w:rPr>
          <w:rFonts w:ascii="Arial" w:cs="Arial" w:eastAsia="Arial" w:hAnsi="Arial"/>
          <w:sz w:val="13"/>
          <w:szCs w:val="13"/>
          <w:color w:val="auto"/>
        </w:rPr>
      </w:pPr>
      <w:r>
        <w:rPr>
          <w:rFonts w:ascii="Arial" w:cs="Arial" w:eastAsia="Arial" w:hAnsi="Arial"/>
          <w:sz w:val="14"/>
          <w:szCs w:val="14"/>
          <w:color w:val="auto"/>
        </w:rPr>
        <w:t>with applicable law.</w:t>
      </w:r>
    </w:p>
    <w:p>
      <w:pPr>
        <w:spacing w:after="0" w:line="191" w:lineRule="exact"/>
        <w:rPr>
          <w:rFonts w:ascii="Arial" w:cs="Arial" w:eastAsia="Arial" w:hAnsi="Arial"/>
          <w:sz w:val="13"/>
          <w:szCs w:val="13"/>
          <w:color w:val="auto"/>
        </w:rPr>
      </w:pPr>
    </w:p>
    <w:p>
      <w:pPr>
        <w:jc w:val="both"/>
        <w:ind w:right="20" w:firstLine="1735"/>
        <w:spacing w:after="0" w:line="248" w:lineRule="auto"/>
        <w:tabs>
          <w:tab w:leader="none" w:pos="2535" w:val="left"/>
        </w:tabs>
        <w:numPr>
          <w:ilvl w:val="2"/>
          <w:numId w:val="86"/>
        </w:numPr>
        <w:rPr>
          <w:rFonts w:ascii="Arial" w:cs="Arial" w:eastAsia="Arial" w:hAnsi="Arial"/>
          <w:sz w:val="13"/>
          <w:szCs w:val="13"/>
          <w:color w:val="auto"/>
        </w:rPr>
      </w:pPr>
      <w:r>
        <w:rPr>
          <w:rFonts w:ascii="Arial" w:cs="Arial" w:eastAsia="Arial" w:hAnsi="Arial"/>
          <w:sz w:val="13"/>
          <w:szCs w:val="13"/>
          <w:u w:val="single" w:color="auto"/>
          <w:color w:val="auto"/>
        </w:rPr>
        <w:t>Indemnification by the Borrower</w:t>
      </w:r>
      <w:r>
        <w:rPr>
          <w:rFonts w:ascii="Arial" w:cs="Arial" w:eastAsia="Arial" w:hAnsi="Arial"/>
          <w:sz w:val="13"/>
          <w:szCs w:val="13"/>
          <w:color w:val="auto"/>
        </w:rPr>
        <w:t>. The Borrower shall indemnify the Administrative Agent, each Lender and the Issuing Bank for and, within 10 Business Days after written demand therefor, pay the full amount of any Indemnified Taxes (including Indemnified Taxes imposed or asserted on or attributable to amounts payable under this Section) paid by the Administrative Agent, such Lender or the Issuing Bank, as the case may be, and any penalties, interest and reasonable expenses arising therefrom or with respect thereto, whether or not such Indemnified Taxes were correctly or legally imposed or asserted by the relevant Governmental Authority, except to the extent that any such Indemnified Taxes arise as the result of the gross negligence or willful misconduct of the Administrative Agent, such Lender or the Issuing Bank. A certificate as to the amount of such payment or liability delivered to the Borrower by a Lender or the Issuing Bank, or by the Administrative Agent on its own behalf or on behalf of a Lender or the Issuing Bank, shall be conclusive absent manifest error.</w:t>
      </w:r>
    </w:p>
    <w:p>
      <w:pPr>
        <w:spacing w:after="0" w:line="180" w:lineRule="exact"/>
        <w:rPr>
          <w:rFonts w:ascii="Arial" w:cs="Arial" w:eastAsia="Arial" w:hAnsi="Arial"/>
          <w:sz w:val="13"/>
          <w:szCs w:val="13"/>
          <w:color w:val="auto"/>
        </w:rPr>
      </w:pPr>
    </w:p>
    <w:p>
      <w:pPr>
        <w:jc w:val="both"/>
        <w:ind w:right="20" w:firstLine="1735"/>
        <w:spacing w:after="0" w:line="245" w:lineRule="auto"/>
        <w:tabs>
          <w:tab w:leader="none" w:pos="2543" w:val="left"/>
        </w:tabs>
        <w:numPr>
          <w:ilvl w:val="2"/>
          <w:numId w:val="86"/>
        </w:numPr>
        <w:rPr>
          <w:rFonts w:ascii="Arial" w:cs="Arial" w:eastAsia="Arial" w:hAnsi="Arial"/>
          <w:sz w:val="13"/>
          <w:szCs w:val="13"/>
          <w:color w:val="auto"/>
        </w:rPr>
      </w:pPr>
      <w:r>
        <w:rPr>
          <w:rFonts w:ascii="Arial" w:cs="Arial" w:eastAsia="Arial" w:hAnsi="Arial"/>
          <w:sz w:val="13"/>
          <w:szCs w:val="13"/>
          <w:u w:val="single" w:color="auto"/>
          <w:color w:val="auto"/>
        </w:rPr>
        <w:t>Indemnification by the Lenders</w:t>
      </w:r>
      <w:r>
        <w:rPr>
          <w:rFonts w:ascii="Arial" w:cs="Arial" w:eastAsia="Arial" w:hAnsi="Arial"/>
          <w:sz w:val="13"/>
          <w:szCs w:val="13"/>
          <w:color w:val="auto"/>
        </w:rPr>
        <w:t xml:space="preserve">. Each Lender shall severally indemnify the Administrative Agent, within 10 Business Days after written demand therefor, for (i) any Indemnified Taxes or Other Taxes attributable to such Lender (but only to the extent that the Borrower has not already indemnified the Administrative Agent for such Indemnified Taxes and without limiting the obligation of the Borrower to do so), (ii) any Taxes attributable to such Lender’s failure to comply with the provisions of </w:t>
      </w:r>
      <w:r>
        <w:rPr>
          <w:rFonts w:ascii="Arial" w:cs="Arial" w:eastAsia="Arial" w:hAnsi="Arial"/>
          <w:sz w:val="13"/>
          <w:szCs w:val="13"/>
          <w:u w:val="single" w:color="auto"/>
          <w:color w:val="auto"/>
        </w:rPr>
        <w:t>Section 9.04(f)</w:t>
      </w:r>
      <w:r>
        <w:rPr>
          <w:rFonts w:ascii="Arial" w:cs="Arial" w:eastAsia="Arial" w:hAnsi="Arial"/>
          <w:sz w:val="13"/>
          <w:szCs w:val="13"/>
          <w:color w:val="auto"/>
        </w:rPr>
        <w:t xml:space="preserve"> relating to the maintenance of a Participant Register, and (iii) any Excluded Taxes attributable to such Lender, in each case, that are payable or paid by the Administrative Agent in connection with any Loan Document, and any reasonable expenses arising therefrom or with respect thereto, whether or not such Taxes were correctly or legally imposed or asserted by the relevant Governmental Authority. A certificate as to the amount of such payment or liability delivered to any Lender by the Administrative Agent shall be conclusive absent manifest error. Each Lender hereby authorizes the Administrative Agent to set off and apply any and all amounts at any time owing to such Lender under any Loan Document or otherwise payable by the Administrative Agent to the Lender from any other source against any amount due to the Administrative Agent under this </w:t>
      </w:r>
      <w:r>
        <w:rPr>
          <w:rFonts w:ascii="Arial" w:cs="Arial" w:eastAsia="Arial" w:hAnsi="Arial"/>
          <w:sz w:val="13"/>
          <w:szCs w:val="13"/>
          <w:u w:val="single" w:color="auto"/>
          <w:color w:val="auto"/>
        </w:rPr>
        <w:t>paragraph (d)</w:t>
      </w:r>
      <w:r>
        <w:rPr>
          <w:rFonts w:ascii="Arial" w:cs="Arial" w:eastAsia="Arial" w:hAnsi="Arial"/>
          <w:sz w:val="13"/>
          <w:szCs w:val="13"/>
          <w:color w:val="auto"/>
        </w:rPr>
        <w:t>.</w:t>
      </w:r>
    </w:p>
    <w:p>
      <w:pPr>
        <w:spacing w:after="0" w:line="183" w:lineRule="exact"/>
        <w:rPr>
          <w:rFonts w:ascii="Arial" w:cs="Arial" w:eastAsia="Arial" w:hAnsi="Arial"/>
          <w:sz w:val="13"/>
          <w:szCs w:val="13"/>
          <w:color w:val="auto"/>
        </w:rPr>
      </w:pPr>
    </w:p>
    <w:p>
      <w:pPr>
        <w:jc w:val="both"/>
        <w:ind w:right="20" w:firstLine="1735"/>
        <w:spacing w:after="0" w:line="238" w:lineRule="auto"/>
        <w:tabs>
          <w:tab w:leader="none" w:pos="2535" w:val="left"/>
        </w:tabs>
        <w:numPr>
          <w:ilvl w:val="2"/>
          <w:numId w:val="86"/>
        </w:numPr>
        <w:rPr>
          <w:rFonts w:ascii="Arial" w:cs="Arial" w:eastAsia="Arial" w:hAnsi="Arial"/>
          <w:sz w:val="14"/>
          <w:szCs w:val="14"/>
          <w:color w:val="auto"/>
        </w:rPr>
      </w:pPr>
      <w:r>
        <w:rPr>
          <w:rFonts w:ascii="Arial" w:cs="Arial" w:eastAsia="Arial" w:hAnsi="Arial"/>
          <w:sz w:val="14"/>
          <w:szCs w:val="14"/>
          <w:u w:val="single" w:color="auto"/>
          <w:color w:val="auto"/>
        </w:rPr>
        <w:t>Evidence of Payments</w:t>
      </w:r>
      <w:r>
        <w:rPr>
          <w:rFonts w:ascii="Arial" w:cs="Arial" w:eastAsia="Arial" w:hAnsi="Arial"/>
          <w:sz w:val="14"/>
          <w:szCs w:val="14"/>
          <w:color w:val="auto"/>
        </w:rPr>
        <w:t xml:space="preserve">. As soon as practicable after any payment of Indemnified Taxes by the Borrower to a Governmental Authority pursuant to this </w:t>
      </w:r>
      <w:r>
        <w:rPr>
          <w:rFonts w:ascii="Arial" w:cs="Arial" w:eastAsia="Arial" w:hAnsi="Arial"/>
          <w:sz w:val="14"/>
          <w:szCs w:val="14"/>
          <w:u w:val="single" w:color="auto"/>
          <w:color w:val="auto"/>
        </w:rPr>
        <w:t>Section 2.16</w:t>
      </w:r>
      <w:r>
        <w:rPr>
          <w:rFonts w:ascii="Arial" w:cs="Arial" w:eastAsia="Arial" w:hAnsi="Arial"/>
          <w:sz w:val="14"/>
          <w:szCs w:val="14"/>
          <w:color w:val="auto"/>
        </w:rPr>
        <w:t>, the Borrower shall deliver to the Administrative Agent the original or a certified copy of a receipt issued by such Governmental Authority evidencing such payment, a copy of the return reporting such payment or other evidence of such payment reasonably satisfactory to the Administrative Agent.</w:t>
      </w:r>
    </w:p>
    <w:p>
      <w:pPr>
        <w:spacing w:after="0" w:line="182" w:lineRule="exact"/>
        <w:rPr>
          <w:rFonts w:ascii="Arial" w:cs="Arial" w:eastAsia="Arial" w:hAnsi="Arial"/>
          <w:sz w:val="14"/>
          <w:szCs w:val="14"/>
          <w:color w:val="auto"/>
        </w:rPr>
      </w:pPr>
    </w:p>
    <w:p>
      <w:pPr>
        <w:jc w:val="both"/>
        <w:ind w:right="20" w:firstLine="1735"/>
        <w:spacing w:after="0" w:line="245" w:lineRule="auto"/>
        <w:tabs>
          <w:tab w:leader="none" w:pos="2519" w:val="left"/>
        </w:tabs>
        <w:numPr>
          <w:ilvl w:val="2"/>
          <w:numId w:val="86"/>
        </w:numPr>
        <w:rPr>
          <w:rFonts w:ascii="Arial" w:cs="Arial" w:eastAsia="Arial" w:hAnsi="Arial"/>
          <w:sz w:val="13"/>
          <w:szCs w:val="13"/>
          <w:color w:val="auto"/>
        </w:rPr>
      </w:pPr>
      <w:r>
        <w:rPr>
          <w:rFonts w:ascii="Arial" w:cs="Arial" w:eastAsia="Arial" w:hAnsi="Arial"/>
          <w:sz w:val="13"/>
          <w:szCs w:val="13"/>
          <w:u w:val="single" w:color="auto"/>
          <w:color w:val="auto"/>
        </w:rPr>
        <w:t>Tax Documentation</w:t>
      </w:r>
      <w:r>
        <w:rPr>
          <w:rFonts w:ascii="Arial" w:cs="Arial" w:eastAsia="Arial" w:hAnsi="Arial"/>
          <w:sz w:val="13"/>
          <w:szCs w:val="13"/>
          <w:color w:val="auto"/>
        </w:rPr>
        <w:t xml:space="preserve">. (i) Any Lender that is entitled to an exemption from or reduction of withholding Tax, with respect to payments under any Loan Document shall deliver to the Borrower and the Administrative Agent, at the time or times prescribed by applicable law or reasonably requested by the Borrower or the Administrative Agent, such properly completed and executed documentation reasonably requested by the Borrower or the Administrative Agent as will permit such payments to be made without withholding or at a reduced rate. In addition, any Lender, if requested by the Borrower or the Administrative Agent, shall deliver such other documentation prescribed by applicable law or reasonably requested by the Borrower or the Administrative Agent as will enable the Borrower or the Administrative Agent to determine whether or not such Lender is subject to backup withholding or information reporting requirements. Notwithstanding anything to the contrary in the preceding two sentences, the completion, execution and submission of such documentation (other than such documentation set forth in </w:t>
      </w:r>
      <w:r>
        <w:rPr>
          <w:rFonts w:ascii="Arial" w:cs="Arial" w:eastAsia="Arial" w:hAnsi="Arial"/>
          <w:sz w:val="13"/>
          <w:szCs w:val="13"/>
          <w:u w:val="single" w:color="auto"/>
          <w:color w:val="auto"/>
        </w:rPr>
        <w:t>Section 2.16(f)(ii)(A) and (B)</w:t>
      </w:r>
      <w:r>
        <w:rPr>
          <w:rFonts w:ascii="Arial" w:cs="Arial" w:eastAsia="Arial" w:hAnsi="Arial"/>
          <w:sz w:val="13"/>
          <w:szCs w:val="13"/>
          <w:color w:val="auto"/>
        </w:rPr>
        <w:t xml:space="preserve"> below) shall not be required if in the Lender’s reasonable judgment such completion, execution or submission would subject such Lender to any material unreimbursed cost or expense or would materially prejudice the legal or commercial position of such Lender.</w:t>
      </w:r>
    </w:p>
    <w:p>
      <w:pPr>
        <w:spacing w:after="0" w:line="183" w:lineRule="exact"/>
        <w:rPr>
          <w:rFonts w:ascii="Arial" w:cs="Arial" w:eastAsia="Arial" w:hAnsi="Arial"/>
          <w:sz w:val="13"/>
          <w:szCs w:val="13"/>
          <w:color w:val="auto"/>
        </w:rPr>
      </w:pPr>
    </w:p>
    <w:p>
      <w:pPr>
        <w:ind w:left="2500" w:hanging="831"/>
        <w:spacing w:after="0"/>
        <w:tabs>
          <w:tab w:leader="none" w:pos="2500" w:val="left"/>
        </w:tabs>
        <w:numPr>
          <w:ilvl w:val="1"/>
          <w:numId w:val="86"/>
        </w:numPr>
        <w:rPr>
          <w:rFonts w:ascii="Arial" w:cs="Arial" w:eastAsia="Arial" w:hAnsi="Arial"/>
          <w:sz w:val="14"/>
          <w:szCs w:val="14"/>
          <w:color w:val="auto"/>
        </w:rPr>
      </w:pPr>
      <w:r>
        <w:rPr>
          <w:rFonts w:ascii="Arial" w:cs="Arial" w:eastAsia="Arial" w:hAnsi="Arial"/>
          <w:sz w:val="14"/>
          <w:szCs w:val="14"/>
          <w:color w:val="auto"/>
        </w:rPr>
        <w:t>Without limiting the generality of the foregoing:</w:t>
      </w:r>
    </w:p>
    <w:p>
      <w:pPr>
        <w:spacing w:after="0" w:line="203" w:lineRule="exact"/>
        <w:rPr>
          <w:rFonts w:ascii="Arial" w:cs="Arial" w:eastAsia="Arial" w:hAnsi="Arial"/>
          <w:sz w:val="14"/>
          <w:szCs w:val="14"/>
          <w:color w:val="auto"/>
        </w:rPr>
      </w:pPr>
    </w:p>
    <w:p>
      <w:pPr>
        <w:jc w:val="both"/>
        <w:ind w:left="1740" w:right="20" w:firstLine="726"/>
        <w:spacing w:after="0" w:line="233" w:lineRule="auto"/>
        <w:tabs>
          <w:tab w:leader="none" w:pos="3318" w:val="left"/>
        </w:tabs>
        <w:numPr>
          <w:ilvl w:val="3"/>
          <w:numId w:val="86"/>
        </w:numPr>
        <w:rPr>
          <w:rFonts w:ascii="Arial" w:cs="Arial" w:eastAsia="Arial" w:hAnsi="Arial"/>
          <w:sz w:val="14"/>
          <w:szCs w:val="14"/>
          <w:color w:val="auto"/>
        </w:rPr>
      </w:pPr>
      <w:r>
        <w:rPr>
          <w:rFonts w:ascii="Arial" w:cs="Arial" w:eastAsia="Arial" w:hAnsi="Arial"/>
          <w:sz w:val="14"/>
          <w:szCs w:val="14"/>
          <w:color w:val="auto"/>
        </w:rPr>
        <w:t>any Lender that is a U.S. Person shall deliver to the Borrower and the Administrative Agent (and such additional copies as shall be reasonably requested by the recipient) on or prior to the date on which such Lender becomes a Lender under this Agreement (and from time to time thereafter upon the reasonable request of the Borrower or the Administrative Agent), duly completed and executed copies of Internal Revenue Service Form W-9 or any successor form certifying that such Lender is exempt from U.S. federal backup withholding Tax; and</w:t>
      </w:r>
    </w:p>
    <w:p>
      <w:pPr>
        <w:spacing w:after="0" w:line="184" w:lineRule="exact"/>
        <w:rPr>
          <w:rFonts w:ascii="Arial" w:cs="Arial" w:eastAsia="Arial" w:hAnsi="Arial"/>
          <w:sz w:val="14"/>
          <w:szCs w:val="14"/>
          <w:color w:val="auto"/>
        </w:rPr>
      </w:pPr>
    </w:p>
    <w:p>
      <w:pPr>
        <w:jc w:val="both"/>
        <w:ind w:left="1740" w:right="20" w:firstLine="726"/>
        <w:spacing w:after="0" w:line="264" w:lineRule="auto"/>
        <w:tabs>
          <w:tab w:leader="none" w:pos="3311" w:val="left"/>
        </w:tabs>
        <w:numPr>
          <w:ilvl w:val="3"/>
          <w:numId w:val="86"/>
        </w:numPr>
        <w:rPr>
          <w:rFonts w:ascii="Arial" w:cs="Arial" w:eastAsia="Arial" w:hAnsi="Arial"/>
          <w:sz w:val="13"/>
          <w:szCs w:val="13"/>
          <w:color w:val="auto"/>
        </w:rPr>
      </w:pPr>
      <w:r>
        <w:rPr>
          <w:rFonts w:ascii="Arial" w:cs="Arial" w:eastAsia="Arial" w:hAnsi="Arial"/>
          <w:sz w:val="13"/>
          <w:szCs w:val="13"/>
          <w:color w:val="auto"/>
        </w:rPr>
        <w:t>each Foreign Lender shall deliver to the Borrower and the Administrative Agent (in such number of copies as shall be requested by the recipient) on or prior to the date on which such Foreign Lender becomes a Lender under this Agreement (and from time to time thereafter upon the reasonable request of the Borrower or the Administrative Agent, but only if such Foreign Lender is legally entitled to do so), whichever of the following is applicable:</w:t>
      </w:r>
    </w:p>
    <w:p>
      <w:pPr>
        <w:spacing w:after="0" w:line="200" w:lineRule="exact"/>
        <w:rPr>
          <w:sz w:val="20"/>
          <w:szCs w:val="20"/>
          <w:color w:val="auto"/>
        </w:rPr>
      </w:pPr>
    </w:p>
    <w:p>
      <w:pPr>
        <w:spacing w:after="0" w:line="38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7580" w:type="dxa"/>
            <w:vAlign w:val="bottom"/>
          </w:tcPr>
          <w:p>
            <w:pPr>
              <w:jc w:val="right"/>
              <w:ind w:right="1808"/>
              <w:spacing w:after="0"/>
              <w:rPr>
                <w:sz w:val="20"/>
                <w:szCs w:val="20"/>
                <w:color w:val="auto"/>
              </w:rPr>
            </w:pPr>
            <w:r>
              <w:rPr>
                <w:rFonts w:ascii="Arial" w:cs="Arial" w:eastAsia="Arial" w:hAnsi="Arial"/>
                <w:sz w:val="14"/>
                <w:szCs w:val="14"/>
                <w:color w:val="auto"/>
              </w:rPr>
              <w:t>33</w:t>
            </w:r>
          </w:p>
        </w:tc>
        <w:tc>
          <w:tcPr>
            <w:tcW w:w="3680" w:type="dxa"/>
            <w:vAlign w:val="bottom"/>
          </w:tcPr>
          <w:p>
            <w:pPr>
              <w:jc w:val="right"/>
              <w:spacing w:after="0"/>
              <w:rPr>
                <w:sz w:val="20"/>
                <w:szCs w:val="20"/>
                <w:color w:val="auto"/>
              </w:rPr>
            </w:pPr>
            <w:r>
              <w:rPr>
                <w:rFonts w:ascii="Arial" w:cs="Arial" w:eastAsia="Arial" w:hAnsi="Arial"/>
                <w:sz w:val="14"/>
                <w:szCs w:val="14"/>
                <w:i w:val="1"/>
                <w:iCs w:val="1"/>
                <w:color w:val="auto"/>
              </w:rPr>
              <w:t>Second Amended and Restated</w:t>
            </w:r>
          </w:p>
        </w:tc>
      </w:tr>
      <w:tr>
        <w:trPr>
          <w:trHeight w:val="182"/>
        </w:trPr>
        <w:tc>
          <w:tcPr>
            <w:tcW w:w="7580" w:type="dxa"/>
            <w:vAlign w:val="bottom"/>
          </w:tcPr>
          <w:p>
            <w:pPr>
              <w:spacing w:after="0"/>
              <w:rPr>
                <w:sz w:val="15"/>
                <w:szCs w:val="15"/>
                <w:color w:val="auto"/>
              </w:rPr>
            </w:pPr>
          </w:p>
        </w:tc>
        <w:tc>
          <w:tcPr>
            <w:tcW w:w="3680" w:type="dxa"/>
            <w:vAlign w:val="bottom"/>
          </w:tcPr>
          <w:p>
            <w:pPr>
              <w:jc w:val="right"/>
              <w:spacing w:after="0"/>
              <w:rPr>
                <w:sz w:val="20"/>
                <w:szCs w:val="20"/>
                <w:color w:val="auto"/>
              </w:rPr>
            </w:pPr>
            <w:r>
              <w:rPr>
                <w:rFonts w:ascii="Arial" w:cs="Arial" w:eastAsia="Arial" w:hAnsi="Arial"/>
                <w:sz w:val="14"/>
                <w:szCs w:val="14"/>
                <w:i w:val="1"/>
                <w:iCs w:val="1"/>
                <w:color w:val="auto"/>
              </w:rPr>
              <w:t>Revolving Credit Agreement</w:t>
            </w:r>
          </w:p>
        </w:tc>
      </w:tr>
      <w:tr>
        <w:trPr>
          <w:trHeight w:val="316"/>
        </w:trPr>
        <w:tc>
          <w:tcPr>
            <w:tcW w:w="7580" w:type="dxa"/>
            <w:vAlign w:val="bottom"/>
            <w:tcBorders>
              <w:bottom w:val="single" w:sz="8" w:color="9A9A9A"/>
            </w:tcBorders>
          </w:tcPr>
          <w:p>
            <w:pPr>
              <w:spacing w:after="0"/>
              <w:rPr>
                <w:sz w:val="24"/>
                <w:szCs w:val="24"/>
                <w:color w:val="auto"/>
              </w:rPr>
            </w:pPr>
          </w:p>
        </w:tc>
        <w:tc>
          <w:tcPr>
            <w:tcW w:w="368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7145655</wp:posOffset>
            </wp:positionH>
            <wp:positionV relativeFrom="paragraph">
              <wp:posOffset>-8255</wp:posOffset>
            </wp:positionV>
            <wp:extent cx="8255" cy="8890"/>
            <wp:wrapNone/>
            <wp:docPr id="171" name="Picture 1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1"/>
                    <pic:cNvPicPr>
                      <a:picLocks noChangeAspect="1" noChangeArrowheads="1"/>
                    </pic:cNvPicPr>
                  </pic:nvPicPr>
                  <pic:blipFill>
                    <a:blip r:embed="rId178">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-16510</wp:posOffset>
            </wp:positionV>
            <wp:extent cx="8890" cy="17145"/>
            <wp:wrapNone/>
            <wp:docPr id="172" name="Picture 1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2"/>
                    <pic:cNvPicPr>
                      <a:picLocks noChangeAspect="1" noChangeArrowheads="1"/>
                    </pic:cNvPicPr>
                  </pic:nvPicPr>
                  <pic:blipFill>
                    <a:blip r:embed="rId179">
                      <a:extLst>
                        <a:ext uri="{28A0092B-C50C-407E-A947-70E740481C1C}"/>
                      </a:extLst>
                    </a:blip>
                    <a:srcRect/>
                    <a:stretch>
                      <a:fillRect/>
                    </a:stretch>
                  </pic:blipFill>
                  <pic:spPr bwMode="auto">
                    <a:xfrm>
                      <a:off x="0" y="0"/>
                      <a:ext cx="8890" cy="17145"/>
                    </a:xfrm>
                    <a:prstGeom prst="rect">
                      <a:avLst/>
                    </a:prstGeom>
                    <a:noFill/>
                  </pic:spPr>
                </pic:pic>
              </a:graphicData>
            </a:graphic>
          </wp:anchor>
        </w:drawing>
      </w:r>
    </w:p>
    <w:p>
      <w:pPr>
        <w:sectPr>
          <w:pgSz w:w="11900" w:h="16838" w:orient="portrait"/>
          <w:cols w:equalWidth="0" w:num="1">
            <w:col w:w="11260"/>
          </w:cols>
          <w:pgMar w:left="320" w:top="337" w:right="319" w:bottom="1440" w:gutter="0" w:footer="0" w:header="0"/>
        </w:sectPr>
      </w:pPr>
    </w:p>
    <w:bookmarkStart w:id="96" w:name="page97"/>
    <w:bookmarkEnd w:id="96"/>
    <w:p>
      <w:pPr>
        <w:jc w:val="both"/>
        <w:ind w:left="2600" w:right="20" w:firstLine="664"/>
        <w:spacing w:after="0" w:line="233" w:lineRule="auto"/>
        <w:tabs>
          <w:tab w:leader="none" w:pos="4112" w:val="left"/>
        </w:tabs>
        <w:numPr>
          <w:ilvl w:val="3"/>
          <w:numId w:val="87"/>
        </w:numPr>
        <w:rPr>
          <w:rFonts w:ascii="Arial" w:cs="Arial" w:eastAsia="Arial" w:hAnsi="Arial"/>
          <w:sz w:val="14"/>
          <w:szCs w:val="14"/>
          <w:color w:val="auto"/>
        </w:rPr>
      </w:pPr>
      <w:r>
        <w:rPr>
          <w:rFonts w:ascii="Arial" w:cs="Arial" w:eastAsia="Arial" w:hAnsi="Arial"/>
          <w:sz w:val="14"/>
          <w:szCs w:val="14"/>
          <w:color w:val="auto"/>
        </w:rPr>
        <w:t>duly completed and executed copies of Internal Revenue Service Form W-8BEN, W-8BEN-E or any applicable successor form claiming eligibility for benefits of an income tax treaty to which the United States is a party pursuant to the “interest” article of such tax treaty (for payments of interest) or establishing an exemption from or reduction of U.S. federal withholding Tax pursuant to the “business profits” or “other income” article of such tax treaty (for other payments),</w:t>
      </w:r>
    </w:p>
    <w:p>
      <w:pPr>
        <w:spacing w:after="0" w:line="184" w:lineRule="exact"/>
        <w:rPr>
          <w:rFonts w:ascii="Arial" w:cs="Arial" w:eastAsia="Arial" w:hAnsi="Arial"/>
          <w:sz w:val="14"/>
          <w:szCs w:val="14"/>
          <w:color w:val="auto"/>
        </w:rPr>
      </w:pPr>
    </w:p>
    <w:p>
      <w:pPr>
        <w:ind w:left="2600" w:right="20" w:firstLine="664"/>
        <w:spacing w:after="0" w:line="253" w:lineRule="auto"/>
        <w:tabs>
          <w:tab w:leader="none" w:pos="4080" w:val="left"/>
        </w:tabs>
        <w:numPr>
          <w:ilvl w:val="3"/>
          <w:numId w:val="87"/>
        </w:numPr>
        <w:rPr>
          <w:rFonts w:ascii="Arial" w:cs="Arial" w:eastAsia="Arial" w:hAnsi="Arial"/>
          <w:sz w:val="14"/>
          <w:szCs w:val="14"/>
          <w:color w:val="auto"/>
        </w:rPr>
      </w:pPr>
      <w:r>
        <w:rPr>
          <w:rFonts w:ascii="Arial" w:cs="Arial" w:eastAsia="Arial" w:hAnsi="Arial"/>
          <w:sz w:val="14"/>
          <w:szCs w:val="14"/>
          <w:color w:val="auto"/>
        </w:rPr>
        <w:t>duly completed copies of Internal Revenue Service Form W-8ECI or any successor form certifying that the income receivable pursuant to this Agreement is effectively connected with the conduct of a trade or business in the United States,</w:t>
      </w:r>
    </w:p>
    <w:p>
      <w:pPr>
        <w:spacing w:after="0" w:line="173" w:lineRule="exact"/>
        <w:rPr>
          <w:rFonts w:ascii="Arial" w:cs="Arial" w:eastAsia="Arial" w:hAnsi="Arial"/>
          <w:sz w:val="14"/>
          <w:szCs w:val="14"/>
          <w:color w:val="auto"/>
        </w:rPr>
      </w:pPr>
    </w:p>
    <w:p>
      <w:pPr>
        <w:jc w:val="both"/>
        <w:ind w:left="2600" w:right="20" w:firstLine="664"/>
        <w:spacing w:after="0" w:line="251" w:lineRule="auto"/>
        <w:tabs>
          <w:tab w:leader="none" w:pos="4080" w:val="left"/>
        </w:tabs>
        <w:numPr>
          <w:ilvl w:val="3"/>
          <w:numId w:val="87"/>
        </w:numPr>
        <w:rPr>
          <w:rFonts w:ascii="Arial" w:cs="Arial" w:eastAsia="Arial" w:hAnsi="Arial"/>
          <w:sz w:val="13"/>
          <w:szCs w:val="13"/>
          <w:color w:val="auto"/>
        </w:rPr>
      </w:pPr>
      <w:r>
        <w:rPr>
          <w:rFonts w:ascii="Arial" w:cs="Arial" w:eastAsia="Arial" w:hAnsi="Arial"/>
          <w:sz w:val="13"/>
          <w:szCs w:val="13"/>
          <w:color w:val="auto"/>
        </w:rPr>
        <w:t>in the case of a Foreign Lender claiming the benefits of the exemption for portfolio interest under Section 881(c) of the Code, (1) a certificate to the effect that such Foreign Lender is not (1) a “bank” within the meaning of Section 881(c)(3)(A) of the Code, (2) a “10 percent shareholder” of the Borrower within the meaning of Section 871(h)(3)(B) of the Code, or (3) a “controlled foreign corporation” related to the Borrower as described in Section 881(c)(3)(C) of the Code and (2) duly completed and executed copies of Internal Revenue Service Form W-8BEN or W-8BEN-E (or any applicable successor form) certifying that the Foreign Lender is not a United States Person, or</w:t>
      </w:r>
    </w:p>
    <w:p>
      <w:pPr>
        <w:spacing w:after="0" w:line="176" w:lineRule="exact"/>
        <w:rPr>
          <w:rFonts w:ascii="Arial" w:cs="Arial" w:eastAsia="Arial" w:hAnsi="Arial"/>
          <w:sz w:val="13"/>
          <w:szCs w:val="13"/>
          <w:color w:val="auto"/>
        </w:rPr>
      </w:pPr>
    </w:p>
    <w:p>
      <w:pPr>
        <w:jc w:val="both"/>
        <w:ind w:left="2600" w:right="20" w:firstLine="664"/>
        <w:spacing w:after="0" w:line="233" w:lineRule="auto"/>
        <w:tabs>
          <w:tab w:leader="none" w:pos="4072" w:val="left"/>
        </w:tabs>
        <w:numPr>
          <w:ilvl w:val="3"/>
          <w:numId w:val="87"/>
        </w:numPr>
        <w:rPr>
          <w:rFonts w:ascii="Arial" w:cs="Arial" w:eastAsia="Arial" w:hAnsi="Arial"/>
          <w:sz w:val="14"/>
          <w:szCs w:val="14"/>
          <w:color w:val="auto"/>
        </w:rPr>
      </w:pPr>
      <w:r>
        <w:rPr>
          <w:rFonts w:ascii="Arial" w:cs="Arial" w:eastAsia="Arial" w:hAnsi="Arial"/>
          <w:sz w:val="14"/>
          <w:szCs w:val="14"/>
          <w:color w:val="auto"/>
        </w:rPr>
        <w:t>duly completed and executed originals of Internal Revenue Service Form W-8IMY (or any applicable successor form), accompanied by Internal Revenue Service Form W-8ECI (or any applicable successor form), Internal Revenue Service Form W-8BEN or W-8BEN-E (or any applicable successor form), a U.S. Tax Compliance Certificate, Internal Revenue Service Form W-9 (or any applicable successor form), and/or other certification documents from each beneficial owner, as applicable.</w:t>
      </w:r>
    </w:p>
    <w:p>
      <w:pPr>
        <w:spacing w:after="0" w:line="184" w:lineRule="exact"/>
        <w:rPr>
          <w:rFonts w:ascii="Arial" w:cs="Arial" w:eastAsia="Arial" w:hAnsi="Arial"/>
          <w:sz w:val="14"/>
          <w:szCs w:val="14"/>
          <w:color w:val="auto"/>
        </w:rPr>
      </w:pPr>
    </w:p>
    <w:p>
      <w:pPr>
        <w:jc w:val="both"/>
        <w:ind w:left="1740" w:right="20" w:firstLine="726"/>
        <w:spacing w:after="0" w:line="251" w:lineRule="auto"/>
        <w:tabs>
          <w:tab w:leader="none" w:pos="3311" w:val="left"/>
        </w:tabs>
        <w:numPr>
          <w:ilvl w:val="2"/>
          <w:numId w:val="88"/>
        </w:numPr>
        <w:rPr>
          <w:rFonts w:ascii="Arial" w:cs="Arial" w:eastAsia="Arial" w:hAnsi="Arial"/>
          <w:sz w:val="13"/>
          <w:szCs w:val="13"/>
          <w:color w:val="auto"/>
        </w:rPr>
      </w:pPr>
      <w:r>
        <w:rPr>
          <w:rFonts w:ascii="Arial" w:cs="Arial" w:eastAsia="Arial" w:hAnsi="Arial"/>
          <w:sz w:val="13"/>
          <w:szCs w:val="13"/>
          <w:color w:val="auto"/>
        </w:rPr>
        <w:t>any Foreign Lender shall, to the extent it is legally entitled to do so, deliver to the Borrower and the Administrative Agent (in such number of copies as shall be requested by the recipient) on or prior to the date on which such Foreign Lender becomes a Lender under this Agreement (and from time to time thereafter upon the reasonable request of the Borrower or the Administrative Agent), executed originals of any other form prescribed by applicable law as a basis for claiming exemption from or a reduction in U.S. federal withholding Tax, duly completed, together with such supplementary documentation as may be prescribed by applicable law to permit the Borrower or the Administrative Agent to determine the withholding or deduction required to be made.</w:t>
      </w:r>
    </w:p>
    <w:p>
      <w:pPr>
        <w:spacing w:after="0" w:line="176" w:lineRule="exact"/>
        <w:rPr>
          <w:rFonts w:ascii="Arial" w:cs="Arial" w:eastAsia="Arial" w:hAnsi="Arial"/>
          <w:sz w:val="13"/>
          <w:szCs w:val="13"/>
          <w:color w:val="auto"/>
        </w:rPr>
      </w:pPr>
    </w:p>
    <w:p>
      <w:pPr>
        <w:jc w:val="both"/>
        <w:ind w:left="880" w:right="40" w:firstLine="789"/>
        <w:spacing w:after="0" w:line="233" w:lineRule="auto"/>
        <w:tabs>
          <w:tab w:leader="none" w:pos="2541" w:val="left"/>
        </w:tabs>
        <w:numPr>
          <w:ilvl w:val="0"/>
          <w:numId w:val="89"/>
        </w:numPr>
        <w:rPr>
          <w:rFonts w:ascii="Arial" w:cs="Arial" w:eastAsia="Arial" w:hAnsi="Arial"/>
          <w:sz w:val="14"/>
          <w:szCs w:val="14"/>
          <w:color w:val="auto"/>
        </w:rPr>
      </w:pPr>
      <w:r>
        <w:rPr>
          <w:rFonts w:ascii="Arial" w:cs="Arial" w:eastAsia="Arial" w:hAnsi="Arial"/>
          <w:sz w:val="14"/>
          <w:szCs w:val="14"/>
          <w:color w:val="auto"/>
        </w:rPr>
        <w:t xml:space="preserve">In addition, each Lender shall deliver such forms promptly upon the obsolescence, expiration or invalidity of any form previously delivered by such Lender; </w:t>
      </w:r>
      <w:r>
        <w:rPr>
          <w:rFonts w:ascii="Arial" w:cs="Arial" w:eastAsia="Arial" w:hAnsi="Arial"/>
          <w:sz w:val="14"/>
          <w:szCs w:val="14"/>
          <w:u w:val="single" w:color="auto"/>
          <w:color w:val="auto"/>
        </w:rPr>
        <w:t>provided</w:t>
      </w:r>
      <w:r>
        <w:rPr>
          <w:rFonts w:ascii="Arial" w:cs="Arial" w:eastAsia="Arial" w:hAnsi="Arial"/>
          <w:sz w:val="14"/>
          <w:szCs w:val="14"/>
          <w:color w:val="auto"/>
        </w:rPr>
        <w:t xml:space="preserve"> it is legally able to do so at the time. Each Lender shall promptly notify the Borrower and the Administrative Agent at any time the chief tax officer of such Lender becomes aware that it no longer satisfies the legal requirements to provide any previously delivered form or certificate to the Borrower (or any other form of certification adopted by the U.S. or other taxing authorities for such purpose).</w:t>
      </w:r>
    </w:p>
    <w:p>
      <w:pPr>
        <w:spacing w:after="0" w:line="184" w:lineRule="exact"/>
        <w:rPr>
          <w:rFonts w:ascii="Arial" w:cs="Arial" w:eastAsia="Arial" w:hAnsi="Arial"/>
          <w:sz w:val="14"/>
          <w:szCs w:val="14"/>
          <w:color w:val="auto"/>
        </w:rPr>
      </w:pPr>
    </w:p>
    <w:p>
      <w:pPr>
        <w:jc w:val="both"/>
        <w:ind w:right="20" w:firstLine="1735"/>
        <w:spacing w:after="0" w:line="228" w:lineRule="auto"/>
        <w:tabs>
          <w:tab w:leader="none" w:pos="2543" w:val="left"/>
        </w:tabs>
        <w:numPr>
          <w:ilvl w:val="1"/>
          <w:numId w:val="89"/>
        </w:numPr>
        <w:rPr>
          <w:rFonts w:ascii="Arial" w:cs="Arial" w:eastAsia="Arial" w:hAnsi="Arial"/>
          <w:sz w:val="14"/>
          <w:szCs w:val="14"/>
          <w:color w:val="auto"/>
        </w:rPr>
      </w:pPr>
      <w:r>
        <w:rPr>
          <w:rFonts w:ascii="Arial" w:cs="Arial" w:eastAsia="Arial" w:hAnsi="Arial"/>
          <w:sz w:val="14"/>
          <w:szCs w:val="14"/>
          <w:u w:val="single" w:color="auto"/>
          <w:color w:val="auto"/>
        </w:rPr>
        <w:t>Documentation Required by FATCA</w:t>
      </w:r>
      <w:r>
        <w:rPr>
          <w:rFonts w:ascii="Arial" w:cs="Arial" w:eastAsia="Arial" w:hAnsi="Arial"/>
          <w:sz w:val="14"/>
          <w:szCs w:val="14"/>
          <w:color w:val="auto"/>
        </w:rPr>
        <w:t xml:space="preserve">. If a payment made to a Lender under any Loan Document would be subject to U.S. federal withholding Tax imposed by FATCA if such Lender were to fail to comply with the applicable reporting requirements of FATCA (including those contained in Section 1471(b) or 1472(b) of the Code, as applicable), such Lender shall deliver to the Borrower and the Administrative Agent, at the time or times prescribed by law and at such time or times reasonably requested by the Borrower or the Administrative Agent, such documentation prescribed by applicable law (including as prescribed by Section 1471(b)(3)(C)(i) of the Code) and such additional documentation reasonably requested by the Borrower or the Administrative Agent as may be necessary for the Borrower and the Administrative Agent to comply with their obligations under FATCA and to determine that such Lender has complied with such Lender’s obligations under FATCA or to determine the amount to deduct and withhold from such payment. Solely for purposes of this </w:t>
      </w:r>
      <w:r>
        <w:rPr>
          <w:rFonts w:ascii="Arial" w:cs="Arial" w:eastAsia="Arial" w:hAnsi="Arial"/>
          <w:sz w:val="14"/>
          <w:szCs w:val="14"/>
          <w:u w:val="single" w:color="auto"/>
          <w:color w:val="auto"/>
        </w:rPr>
        <w:t>Section 2.16(g)</w:t>
      </w:r>
      <w:r>
        <w:rPr>
          <w:rFonts w:ascii="Arial" w:cs="Arial" w:eastAsia="Arial" w:hAnsi="Arial"/>
          <w:sz w:val="14"/>
          <w:szCs w:val="14"/>
          <w:color w:val="auto"/>
        </w:rPr>
        <w:t>, “FATCA” shall include any amendments made to FATCA after the date of this Agreement.</w:t>
      </w:r>
    </w:p>
    <w:p>
      <w:pPr>
        <w:spacing w:after="0" w:line="184" w:lineRule="exact"/>
        <w:rPr>
          <w:rFonts w:ascii="Arial" w:cs="Arial" w:eastAsia="Arial" w:hAnsi="Arial"/>
          <w:sz w:val="14"/>
          <w:szCs w:val="14"/>
          <w:color w:val="auto"/>
        </w:rPr>
      </w:pPr>
    </w:p>
    <w:p>
      <w:pPr>
        <w:jc w:val="both"/>
        <w:ind w:right="20" w:firstLine="1735"/>
        <w:spacing w:after="0" w:line="243" w:lineRule="auto"/>
        <w:tabs>
          <w:tab w:leader="none" w:pos="2543" w:val="left"/>
        </w:tabs>
        <w:numPr>
          <w:ilvl w:val="1"/>
          <w:numId w:val="89"/>
        </w:numPr>
        <w:rPr>
          <w:rFonts w:ascii="Arial" w:cs="Arial" w:eastAsia="Arial" w:hAnsi="Arial"/>
          <w:sz w:val="13"/>
          <w:szCs w:val="13"/>
          <w:color w:val="auto"/>
        </w:rPr>
      </w:pPr>
      <w:r>
        <w:rPr>
          <w:rFonts w:ascii="Arial" w:cs="Arial" w:eastAsia="Arial" w:hAnsi="Arial"/>
          <w:sz w:val="13"/>
          <w:szCs w:val="13"/>
          <w:u w:val="single" w:color="auto"/>
          <w:color w:val="auto"/>
        </w:rPr>
        <w:t>Treatment of Certain Refunds</w:t>
      </w:r>
      <w:r>
        <w:rPr>
          <w:rFonts w:ascii="Arial" w:cs="Arial" w:eastAsia="Arial" w:hAnsi="Arial"/>
          <w:sz w:val="13"/>
          <w:szCs w:val="13"/>
          <w:color w:val="auto"/>
        </w:rPr>
        <w:t xml:space="preserve">. If the Administrative Agent, any Lender or an Issuing Bank determines, in its sole discretion exercised in good faith, that it has received a refund or credit (in lieu of such refund) of any Taxes or Other Taxes as to which it has been indemnified by the Borrower or with respect to which the Borrower has paid additional amounts pursuant to this Section, it shall pay to the Borrower an amount equal to such refund or credit (but only to the extent of indemnity payments made, or additional amounts paid, by the Borrower under this Section with respect to the Taxes or Other Taxes giving rise to such refund), net of all reasonable out-of-pocket expenses of the Administrative Agent, any Lender or an Issuing Bank, as the case may be, and without interest (other than any interest paid by the relevant Governmental Authority with respect to such refund); </w:t>
      </w:r>
      <w:r>
        <w:rPr>
          <w:rFonts w:ascii="Arial" w:cs="Arial" w:eastAsia="Arial" w:hAnsi="Arial"/>
          <w:sz w:val="13"/>
          <w:szCs w:val="13"/>
          <w:u w:val="single" w:color="auto"/>
          <w:color w:val="auto"/>
        </w:rPr>
        <w:t>provided</w:t>
      </w:r>
      <w:r>
        <w:rPr>
          <w:rFonts w:ascii="Arial" w:cs="Arial" w:eastAsia="Arial" w:hAnsi="Arial"/>
          <w:sz w:val="13"/>
          <w:szCs w:val="13"/>
          <w:color w:val="auto"/>
        </w:rPr>
        <w:t xml:space="preserve"> that the Borrower, upon the request of the Administrative Agent, any Lender or an Issuing Bank, agrees to repay the amount paid over to the Borrower (plus any penalties, interest or other charges imposed by the relevant Governmental Authority) to the Administrative Agent, any Lender or an Issuing Bank in the event the Administrative Agent, any Lender or an Issuing Bank is required to repay such refund to such Governmental Authority. Notwithstanding anything to the contrary in this </w:t>
      </w:r>
      <w:r>
        <w:rPr>
          <w:rFonts w:ascii="Arial" w:cs="Arial" w:eastAsia="Arial" w:hAnsi="Arial"/>
          <w:sz w:val="13"/>
          <w:szCs w:val="13"/>
          <w:u w:val="single" w:color="auto"/>
          <w:color w:val="auto"/>
        </w:rPr>
        <w:t>clause (h)</w:t>
      </w:r>
      <w:r>
        <w:rPr>
          <w:rFonts w:ascii="Arial" w:cs="Arial" w:eastAsia="Arial" w:hAnsi="Arial"/>
          <w:sz w:val="13"/>
          <w:szCs w:val="13"/>
          <w:color w:val="auto"/>
        </w:rPr>
        <w:t xml:space="preserve">, in no event will the Administrative Agent, any Lender or an Issuing Bank be required to pay any amount to Borrower pursuant to this </w:t>
      </w:r>
      <w:r>
        <w:rPr>
          <w:rFonts w:ascii="Arial" w:cs="Arial" w:eastAsia="Arial" w:hAnsi="Arial"/>
          <w:sz w:val="13"/>
          <w:szCs w:val="13"/>
          <w:u w:val="single" w:color="auto"/>
          <w:color w:val="auto"/>
        </w:rPr>
        <w:t>clause (h)</w:t>
      </w:r>
      <w:r>
        <w:rPr>
          <w:rFonts w:ascii="Arial" w:cs="Arial" w:eastAsia="Arial" w:hAnsi="Arial"/>
          <w:sz w:val="13"/>
          <w:szCs w:val="13"/>
          <w:color w:val="auto"/>
        </w:rPr>
        <w:t>, the payment of which would place such Person in a less favorable net after-Tax position than such Person would have been in if the indemnification payments or additional amounts giving rise to such refund had never been paid. This subsection shall not be construed to require the Administrative Agent, any Lender or an Issuing Bank to make available its Tax returns or its books or records (or any other information relating to its Taxes that it deems confidential) to the Borrower or any other Person.</w:t>
      </w:r>
    </w:p>
    <w:p>
      <w:pPr>
        <w:spacing w:after="0" w:line="200" w:lineRule="exact"/>
        <w:rPr>
          <w:sz w:val="20"/>
          <w:szCs w:val="20"/>
          <w:color w:val="auto"/>
        </w:rPr>
      </w:pPr>
    </w:p>
    <w:p>
      <w:pPr>
        <w:spacing w:after="0" w:line="200" w:lineRule="exact"/>
        <w:rPr>
          <w:sz w:val="20"/>
          <w:szCs w:val="20"/>
          <w:color w:val="auto"/>
        </w:rPr>
      </w:pPr>
    </w:p>
    <w:p>
      <w:pPr>
        <w:spacing w:after="0" w:line="20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7580" w:type="dxa"/>
            <w:vAlign w:val="bottom"/>
          </w:tcPr>
          <w:p>
            <w:pPr>
              <w:jc w:val="right"/>
              <w:ind w:right="1808"/>
              <w:spacing w:after="0"/>
              <w:rPr>
                <w:sz w:val="20"/>
                <w:szCs w:val="20"/>
                <w:color w:val="auto"/>
              </w:rPr>
            </w:pPr>
            <w:r>
              <w:rPr>
                <w:rFonts w:ascii="Arial" w:cs="Arial" w:eastAsia="Arial" w:hAnsi="Arial"/>
                <w:sz w:val="14"/>
                <w:szCs w:val="14"/>
                <w:color w:val="auto"/>
              </w:rPr>
              <w:t>34</w:t>
            </w:r>
          </w:p>
        </w:tc>
        <w:tc>
          <w:tcPr>
            <w:tcW w:w="3680" w:type="dxa"/>
            <w:vAlign w:val="bottom"/>
          </w:tcPr>
          <w:p>
            <w:pPr>
              <w:jc w:val="right"/>
              <w:spacing w:after="0"/>
              <w:rPr>
                <w:sz w:val="20"/>
                <w:szCs w:val="20"/>
                <w:color w:val="auto"/>
              </w:rPr>
            </w:pPr>
            <w:r>
              <w:rPr>
                <w:rFonts w:ascii="Arial" w:cs="Arial" w:eastAsia="Arial" w:hAnsi="Arial"/>
                <w:sz w:val="14"/>
                <w:szCs w:val="14"/>
                <w:i w:val="1"/>
                <w:iCs w:val="1"/>
                <w:color w:val="auto"/>
              </w:rPr>
              <w:t>Second Amended and Restated</w:t>
            </w:r>
          </w:p>
        </w:tc>
      </w:tr>
      <w:tr>
        <w:trPr>
          <w:trHeight w:val="182"/>
        </w:trPr>
        <w:tc>
          <w:tcPr>
            <w:tcW w:w="7580" w:type="dxa"/>
            <w:vAlign w:val="bottom"/>
          </w:tcPr>
          <w:p>
            <w:pPr>
              <w:spacing w:after="0"/>
              <w:rPr>
                <w:sz w:val="15"/>
                <w:szCs w:val="15"/>
                <w:color w:val="auto"/>
              </w:rPr>
            </w:pPr>
          </w:p>
        </w:tc>
        <w:tc>
          <w:tcPr>
            <w:tcW w:w="3680" w:type="dxa"/>
            <w:vAlign w:val="bottom"/>
          </w:tcPr>
          <w:p>
            <w:pPr>
              <w:jc w:val="right"/>
              <w:spacing w:after="0"/>
              <w:rPr>
                <w:sz w:val="20"/>
                <w:szCs w:val="20"/>
                <w:color w:val="auto"/>
              </w:rPr>
            </w:pPr>
            <w:r>
              <w:rPr>
                <w:rFonts w:ascii="Arial" w:cs="Arial" w:eastAsia="Arial" w:hAnsi="Arial"/>
                <w:sz w:val="14"/>
                <w:szCs w:val="14"/>
                <w:i w:val="1"/>
                <w:iCs w:val="1"/>
                <w:color w:val="auto"/>
              </w:rPr>
              <w:t>Revolving Credit Agreement</w:t>
            </w:r>
          </w:p>
        </w:tc>
      </w:tr>
      <w:tr>
        <w:trPr>
          <w:trHeight w:val="316"/>
        </w:trPr>
        <w:tc>
          <w:tcPr>
            <w:tcW w:w="7580" w:type="dxa"/>
            <w:vAlign w:val="bottom"/>
            <w:tcBorders>
              <w:bottom w:val="single" w:sz="8" w:color="9A9A9A"/>
            </w:tcBorders>
          </w:tcPr>
          <w:p>
            <w:pPr>
              <w:spacing w:after="0"/>
              <w:rPr>
                <w:sz w:val="24"/>
                <w:szCs w:val="24"/>
                <w:color w:val="auto"/>
              </w:rPr>
            </w:pPr>
          </w:p>
        </w:tc>
        <w:tc>
          <w:tcPr>
            <w:tcW w:w="368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7145655</wp:posOffset>
            </wp:positionH>
            <wp:positionV relativeFrom="paragraph">
              <wp:posOffset>-8255</wp:posOffset>
            </wp:positionV>
            <wp:extent cx="8255" cy="8890"/>
            <wp:wrapNone/>
            <wp:docPr id="173" name="Picture 1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3"/>
                    <pic:cNvPicPr>
                      <a:picLocks noChangeAspect="1" noChangeArrowheads="1"/>
                    </pic:cNvPicPr>
                  </pic:nvPicPr>
                  <pic:blipFill>
                    <a:blip r:embed="rId180">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-16510</wp:posOffset>
            </wp:positionV>
            <wp:extent cx="8890" cy="17145"/>
            <wp:wrapNone/>
            <wp:docPr id="174" name="Picture 1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4"/>
                    <pic:cNvPicPr>
                      <a:picLocks noChangeAspect="1" noChangeArrowheads="1"/>
                    </pic:cNvPicPr>
                  </pic:nvPicPr>
                  <pic:blipFill>
                    <a:blip r:embed="rId181">
                      <a:extLst>
                        <a:ext uri="{28A0092B-C50C-407E-A947-70E740481C1C}"/>
                      </a:extLst>
                    </a:blip>
                    <a:srcRect/>
                    <a:stretch>
                      <a:fillRect/>
                    </a:stretch>
                  </pic:blipFill>
                  <pic:spPr bwMode="auto">
                    <a:xfrm>
                      <a:off x="0" y="0"/>
                      <a:ext cx="8890" cy="17145"/>
                    </a:xfrm>
                    <a:prstGeom prst="rect">
                      <a:avLst/>
                    </a:prstGeom>
                    <a:noFill/>
                  </pic:spPr>
                </pic:pic>
              </a:graphicData>
            </a:graphic>
          </wp:anchor>
        </w:drawing>
      </w:r>
    </w:p>
    <w:p>
      <w:pPr>
        <w:sectPr>
          <w:pgSz w:w="11900" w:h="16838" w:orient="portrait"/>
          <w:cols w:equalWidth="0" w:num="1">
            <w:col w:w="11260"/>
          </w:cols>
          <w:pgMar w:left="320" w:top="337" w:right="319" w:bottom="1440" w:gutter="0" w:footer="0" w:header="0"/>
        </w:sectPr>
      </w:pPr>
    </w:p>
    <w:bookmarkStart w:id="97" w:name="page98"/>
    <w:bookmarkEnd w:id="97"/>
    <w:p>
      <w:pPr>
        <w:ind w:left="1740"/>
        <w:spacing w:after="0"/>
        <w:rPr>
          <w:sz w:val="20"/>
          <w:szCs w:val="20"/>
          <w:color w:val="auto"/>
        </w:rPr>
      </w:pPr>
      <w:r>
        <w:rPr>
          <w:rFonts w:ascii="Arial" w:cs="Arial" w:eastAsia="Arial" w:hAnsi="Arial"/>
          <w:sz w:val="14"/>
          <w:szCs w:val="14"/>
          <w:color w:val="auto"/>
        </w:rPr>
        <w:t xml:space="preserve">SECTION 2.17. </w:t>
      </w:r>
      <w:r>
        <w:rPr>
          <w:rFonts w:ascii="Arial" w:cs="Arial" w:eastAsia="Arial" w:hAnsi="Arial"/>
          <w:sz w:val="14"/>
          <w:szCs w:val="14"/>
          <w:u w:val="single" w:color="auto"/>
          <w:color w:val="auto"/>
        </w:rPr>
        <w:t>Payments Generally; Pro Rata Treatment: Sharing of Set-offs</w:t>
      </w:r>
      <w:r>
        <w:rPr>
          <w:rFonts w:ascii="Arial" w:cs="Arial" w:eastAsia="Arial" w:hAnsi="Arial"/>
          <w:sz w:val="14"/>
          <w:szCs w:val="14"/>
          <w:color w:val="auto"/>
        </w:rPr>
        <w:t>.</w:t>
      </w:r>
    </w:p>
    <w:p>
      <w:pPr>
        <w:spacing w:after="0" w:line="204" w:lineRule="exact"/>
        <w:rPr>
          <w:sz w:val="20"/>
          <w:szCs w:val="20"/>
          <w:color w:val="auto"/>
        </w:rPr>
      </w:pPr>
    </w:p>
    <w:p>
      <w:pPr>
        <w:jc w:val="both"/>
        <w:ind w:right="20" w:firstLine="1735"/>
        <w:spacing w:after="0" w:line="226" w:lineRule="auto"/>
        <w:tabs>
          <w:tab w:leader="none" w:pos="2535" w:val="left"/>
        </w:tabs>
        <w:numPr>
          <w:ilvl w:val="0"/>
          <w:numId w:val="90"/>
        </w:numPr>
        <w:rPr>
          <w:rFonts w:ascii="Arial" w:cs="Arial" w:eastAsia="Arial" w:hAnsi="Arial"/>
          <w:sz w:val="14"/>
          <w:szCs w:val="14"/>
          <w:color w:val="auto"/>
        </w:rPr>
      </w:pPr>
      <w:r>
        <w:rPr>
          <w:rFonts w:ascii="Arial" w:cs="Arial" w:eastAsia="Arial" w:hAnsi="Arial"/>
          <w:sz w:val="14"/>
          <w:szCs w:val="14"/>
          <w:u w:val="single" w:color="auto"/>
          <w:color w:val="auto"/>
        </w:rPr>
        <w:t>Payments by the Borrower</w:t>
      </w:r>
      <w:r>
        <w:rPr>
          <w:rFonts w:ascii="Arial" w:cs="Arial" w:eastAsia="Arial" w:hAnsi="Arial"/>
          <w:sz w:val="14"/>
          <w:szCs w:val="14"/>
          <w:color w:val="auto"/>
        </w:rPr>
        <w:t xml:space="preserve">. The Borrower shall make each payment required to be made by it hereunder (whether of principal, interest, fees or reimbursement of LC Disbursements, or under </w:t>
      </w:r>
      <w:r>
        <w:rPr>
          <w:rFonts w:ascii="Arial" w:cs="Arial" w:eastAsia="Arial" w:hAnsi="Arial"/>
          <w:sz w:val="14"/>
          <w:szCs w:val="14"/>
          <w:u w:val="single" w:color="auto"/>
          <w:color w:val="auto"/>
        </w:rPr>
        <w:t>Section 2.14</w:t>
      </w:r>
      <w:r>
        <w:rPr>
          <w:rFonts w:ascii="Arial" w:cs="Arial" w:eastAsia="Arial" w:hAnsi="Arial"/>
          <w:sz w:val="14"/>
          <w:szCs w:val="14"/>
          <w:color w:val="auto"/>
        </w:rPr>
        <w:t xml:space="preserve">, </w:t>
      </w:r>
      <w:r>
        <w:rPr>
          <w:rFonts w:ascii="Arial" w:cs="Arial" w:eastAsia="Arial" w:hAnsi="Arial"/>
          <w:sz w:val="14"/>
          <w:szCs w:val="14"/>
          <w:u w:val="single" w:color="auto"/>
          <w:color w:val="auto"/>
        </w:rPr>
        <w:t>2.15</w:t>
      </w:r>
      <w:r>
        <w:rPr>
          <w:rFonts w:ascii="Arial" w:cs="Arial" w:eastAsia="Arial" w:hAnsi="Arial"/>
          <w:sz w:val="14"/>
          <w:szCs w:val="14"/>
          <w:color w:val="auto"/>
        </w:rPr>
        <w:t xml:space="preserve"> or </w:t>
      </w:r>
      <w:r>
        <w:rPr>
          <w:rFonts w:ascii="Arial" w:cs="Arial" w:eastAsia="Arial" w:hAnsi="Arial"/>
          <w:sz w:val="14"/>
          <w:szCs w:val="14"/>
          <w:u w:val="single" w:color="auto"/>
          <w:color w:val="auto"/>
        </w:rPr>
        <w:t>2.16</w:t>
      </w:r>
      <w:r>
        <w:rPr>
          <w:rFonts w:ascii="Arial" w:cs="Arial" w:eastAsia="Arial" w:hAnsi="Arial"/>
          <w:sz w:val="14"/>
          <w:szCs w:val="14"/>
          <w:color w:val="auto"/>
        </w:rPr>
        <w:t xml:space="preserve">, or otherwise) or under any other Loan Document (except to the extent otherwise provided therein) prior to 2:00 p.m., Atlanta, Georgia time, on the date when due, in immediately available funds, without set-off or counterclaim. Any amounts received after such time on any date may, in the discretion of the Administrative Agent, be deemed to have been received on the next succeeding Business Day for purposes of calculating interest thereon. All such payments shall be made to the Administrative Agent at the Administrative Agent’s Account, except as otherwise expressly provided in the relevant Loan Document and except payments to be made directly to the Issuing Bank or the Swingline Lender as expressly provided herein and payments pursuant to </w:t>
      </w:r>
      <w:r>
        <w:rPr>
          <w:rFonts w:ascii="Arial" w:cs="Arial" w:eastAsia="Arial" w:hAnsi="Arial"/>
          <w:sz w:val="14"/>
          <w:szCs w:val="14"/>
          <w:u w:val="single" w:color="auto"/>
          <w:color w:val="auto"/>
        </w:rPr>
        <w:t>Sections 2.14</w:t>
      </w:r>
      <w:r>
        <w:rPr>
          <w:rFonts w:ascii="Arial" w:cs="Arial" w:eastAsia="Arial" w:hAnsi="Arial"/>
          <w:sz w:val="14"/>
          <w:szCs w:val="14"/>
          <w:color w:val="auto"/>
        </w:rPr>
        <w:t xml:space="preserve">, </w:t>
      </w:r>
      <w:r>
        <w:rPr>
          <w:rFonts w:ascii="Arial" w:cs="Arial" w:eastAsia="Arial" w:hAnsi="Arial"/>
          <w:sz w:val="14"/>
          <w:szCs w:val="14"/>
          <w:u w:val="single" w:color="auto"/>
          <w:color w:val="auto"/>
        </w:rPr>
        <w:t>2.15</w:t>
      </w:r>
      <w:r>
        <w:rPr>
          <w:rFonts w:ascii="Arial" w:cs="Arial" w:eastAsia="Arial" w:hAnsi="Arial"/>
          <w:sz w:val="14"/>
          <w:szCs w:val="14"/>
          <w:color w:val="auto"/>
        </w:rPr>
        <w:t xml:space="preserve">, </w:t>
      </w:r>
      <w:r>
        <w:rPr>
          <w:rFonts w:ascii="Arial" w:cs="Arial" w:eastAsia="Arial" w:hAnsi="Arial"/>
          <w:sz w:val="14"/>
          <w:szCs w:val="14"/>
          <w:u w:val="single" w:color="auto"/>
          <w:color w:val="auto"/>
        </w:rPr>
        <w:t>2.16</w:t>
      </w:r>
      <w:r>
        <w:rPr>
          <w:rFonts w:ascii="Arial" w:cs="Arial" w:eastAsia="Arial" w:hAnsi="Arial"/>
          <w:sz w:val="14"/>
          <w:szCs w:val="14"/>
          <w:color w:val="auto"/>
        </w:rPr>
        <w:t xml:space="preserve"> and </w:t>
      </w:r>
      <w:r>
        <w:rPr>
          <w:rFonts w:ascii="Arial" w:cs="Arial" w:eastAsia="Arial" w:hAnsi="Arial"/>
          <w:sz w:val="14"/>
          <w:szCs w:val="14"/>
          <w:u w:val="single" w:color="auto"/>
          <w:color w:val="auto"/>
        </w:rPr>
        <w:t>9.03</w:t>
      </w:r>
      <w:r>
        <w:rPr>
          <w:rFonts w:ascii="Arial" w:cs="Arial" w:eastAsia="Arial" w:hAnsi="Arial"/>
          <w:sz w:val="14"/>
          <w:szCs w:val="14"/>
          <w:color w:val="auto"/>
        </w:rPr>
        <w:t>, which shall be made directly to the Persons entitled thereto. The Administrative Agent shall distribute any such payments received by it for account of any other Person to the appropriate recipient promptly following receipt thereof. If any payment hereunder shall be due on a day that is not a Business Day, the date for payment shall be extended to the next succeeding Business Day and, in the case of any payment accruing interest, interest thereon shall be payable for the period of such extension.</w:t>
      </w:r>
    </w:p>
    <w:p>
      <w:pPr>
        <w:spacing w:after="0" w:line="188" w:lineRule="exact"/>
        <w:rPr>
          <w:sz w:val="20"/>
          <w:szCs w:val="20"/>
          <w:color w:val="auto"/>
        </w:rPr>
      </w:pPr>
    </w:p>
    <w:p>
      <w:pPr>
        <w:jc w:val="both"/>
        <w:ind w:right="20" w:firstLine="1727"/>
        <w:spacing w:after="0" w:line="226" w:lineRule="auto"/>
        <w:rPr>
          <w:sz w:val="20"/>
          <w:szCs w:val="20"/>
          <w:color w:val="auto"/>
        </w:rPr>
      </w:pPr>
      <w:r>
        <w:rPr>
          <w:rFonts w:ascii="Arial" w:cs="Arial" w:eastAsia="Arial" w:hAnsi="Arial"/>
          <w:sz w:val="14"/>
          <w:szCs w:val="14"/>
          <w:color w:val="auto"/>
        </w:rPr>
        <w:t xml:space="preserve">All amounts owing under this Agreement (including commitment fees, payments required under </w:t>
      </w:r>
      <w:r>
        <w:rPr>
          <w:rFonts w:ascii="Arial" w:cs="Arial" w:eastAsia="Arial" w:hAnsi="Arial"/>
          <w:sz w:val="14"/>
          <w:szCs w:val="14"/>
          <w:u w:val="single" w:color="auto"/>
          <w:color w:val="auto"/>
        </w:rPr>
        <w:t>Section 2.14</w:t>
      </w:r>
      <w:r>
        <w:rPr>
          <w:rFonts w:ascii="Arial" w:cs="Arial" w:eastAsia="Arial" w:hAnsi="Arial"/>
          <w:sz w:val="14"/>
          <w:szCs w:val="14"/>
          <w:color w:val="auto"/>
        </w:rPr>
        <w:t xml:space="preserve">, and payments required under </w:t>
      </w:r>
      <w:r>
        <w:rPr>
          <w:rFonts w:ascii="Arial" w:cs="Arial" w:eastAsia="Arial" w:hAnsi="Arial"/>
          <w:sz w:val="14"/>
          <w:szCs w:val="14"/>
          <w:u w:val="single" w:color="auto"/>
          <w:color w:val="auto"/>
        </w:rPr>
        <w:t>Section 2.15</w:t>
      </w:r>
      <w:r>
        <w:rPr>
          <w:rFonts w:ascii="Arial" w:cs="Arial" w:eastAsia="Arial" w:hAnsi="Arial"/>
          <w:sz w:val="14"/>
          <w:szCs w:val="14"/>
          <w:color w:val="auto"/>
        </w:rPr>
        <w:t xml:space="preserve"> relating to any Loan denominated in Dollars, but not including principal of and interest on any Loan denominated in any Foreign Currency or payments relating to any such Loan required under </w:t>
      </w:r>
      <w:r>
        <w:rPr>
          <w:rFonts w:ascii="Arial" w:cs="Arial" w:eastAsia="Arial" w:hAnsi="Arial"/>
          <w:sz w:val="14"/>
          <w:szCs w:val="14"/>
          <w:u w:val="single" w:color="auto"/>
          <w:color w:val="auto"/>
        </w:rPr>
        <w:t>Section 2.15</w:t>
      </w:r>
      <w:r>
        <w:rPr>
          <w:rFonts w:ascii="Arial" w:cs="Arial" w:eastAsia="Arial" w:hAnsi="Arial"/>
          <w:sz w:val="14"/>
          <w:szCs w:val="14"/>
          <w:color w:val="auto"/>
        </w:rPr>
        <w:t>, which are payable in such Foreign Currency) or under any other Loan Document (except to the extent otherwise provided therein) are payable in Dollars. Notwithstanding the foregoing, if the Borrower shall fail to pay any principal of any Loan when due (whether at stated maturity, by acceleration, by mandatory prepayment or otherwise), the unpaid portion of such Loan shall, if such Loan is not denominated in Dollars, automatically be redenominated in Dollars on the due date thereof (or, if such due date is a day other than the last day of the Interest Period therefor, on the last day of such Interest Period) in an amount equal to the Dollar Equivalent thereof on the date of such redenomination and such principal shall be payable on demand; and if the Borrower shall fail to pay any interest on any Loan that is not denominated in Dollars, such interest shall automatically be redenominated in Dollars on the due date therefor (or, if such due date is a day other than the last day of the Interest Period therefor, on the last day of such Interest Period) in an amount equal to the Dollar Equivalent thereof on the date of such redenomination and such interest shall be payable on demand.</w:t>
      </w:r>
    </w:p>
    <w:p>
      <w:pPr>
        <w:spacing w:after="0" w:line="188" w:lineRule="exact"/>
        <w:rPr>
          <w:sz w:val="20"/>
          <w:szCs w:val="20"/>
          <w:color w:val="auto"/>
        </w:rPr>
      </w:pPr>
    </w:p>
    <w:p>
      <w:pPr>
        <w:jc w:val="both"/>
        <w:ind w:right="20" w:firstLine="1727"/>
        <w:spacing w:after="0" w:line="231" w:lineRule="auto"/>
        <w:rPr>
          <w:sz w:val="20"/>
          <w:szCs w:val="20"/>
          <w:color w:val="auto"/>
        </w:rPr>
      </w:pPr>
      <w:r>
        <w:rPr>
          <w:rFonts w:ascii="Arial" w:cs="Arial" w:eastAsia="Arial" w:hAnsi="Arial"/>
          <w:sz w:val="14"/>
          <w:szCs w:val="14"/>
          <w:color w:val="auto"/>
        </w:rPr>
        <w:t>Notwithstanding the foregoing provisions of this Section, if, after the making of any Borrowing in any Foreign Currency, currency control or exchange regulations are imposed in the country which issues such currency with the result that the type of currency in which the Borrowing was made (the “</w:t>
      </w:r>
      <w:r>
        <w:rPr>
          <w:rFonts w:ascii="Arial" w:cs="Arial" w:eastAsia="Arial" w:hAnsi="Arial"/>
          <w:sz w:val="14"/>
          <w:szCs w:val="14"/>
          <w:u w:val="single" w:color="auto"/>
          <w:color w:val="auto"/>
        </w:rPr>
        <w:t>Original Currency</w:t>
      </w:r>
      <w:r>
        <w:rPr>
          <w:rFonts w:ascii="Arial" w:cs="Arial" w:eastAsia="Arial" w:hAnsi="Arial"/>
          <w:sz w:val="14"/>
          <w:szCs w:val="14"/>
          <w:color w:val="auto"/>
        </w:rPr>
        <w:t>”) no longer exists or the Borrower is not able to make payment to the Administrative Agent for the account of the Lenders in such Original Currency, then all payments to be made by the Borrower hereunder in such currency shall instead be made when due in Dollars in an amount equal to the Dollar Equivalent (as of the date of repayment) of such payment due, it being the intention of the parties hereto that the Borrower takes all risks of the imposition of any such currency control or exchange regulations.</w:t>
      </w:r>
    </w:p>
    <w:p>
      <w:pPr>
        <w:spacing w:after="0" w:line="184" w:lineRule="exact"/>
        <w:rPr>
          <w:sz w:val="20"/>
          <w:szCs w:val="20"/>
          <w:color w:val="auto"/>
        </w:rPr>
      </w:pPr>
    </w:p>
    <w:p>
      <w:pPr>
        <w:jc w:val="both"/>
        <w:ind w:right="20" w:firstLine="1735"/>
        <w:spacing w:after="0" w:line="231" w:lineRule="auto"/>
        <w:tabs>
          <w:tab w:leader="none" w:pos="2543" w:val="left"/>
        </w:tabs>
        <w:numPr>
          <w:ilvl w:val="1"/>
          <w:numId w:val="91"/>
        </w:numPr>
        <w:rPr>
          <w:rFonts w:ascii="Arial" w:cs="Arial" w:eastAsia="Arial" w:hAnsi="Arial"/>
          <w:sz w:val="14"/>
          <w:szCs w:val="14"/>
          <w:color w:val="auto"/>
        </w:rPr>
      </w:pPr>
      <w:r>
        <w:rPr>
          <w:rFonts w:ascii="Arial" w:cs="Arial" w:eastAsia="Arial" w:hAnsi="Arial"/>
          <w:sz w:val="14"/>
          <w:szCs w:val="14"/>
          <w:u w:val="single" w:color="auto"/>
          <w:color w:val="auto"/>
        </w:rPr>
        <w:t>Application of Insufficient Payments</w:t>
      </w:r>
      <w:r>
        <w:rPr>
          <w:rFonts w:ascii="Arial" w:cs="Arial" w:eastAsia="Arial" w:hAnsi="Arial"/>
          <w:sz w:val="14"/>
          <w:szCs w:val="14"/>
          <w:color w:val="auto"/>
        </w:rPr>
        <w:t>. If at any time insufficient funds are received by and available to the Administrative Agent to pay fully all amounts of principal, unreimbursed LC Disbursements, interest and fees of a Class then due hereunder, such funds shall be applied (i) first, to pay interest and fees of such Class then due hereunder, ratably among the parties entitled thereto in accordance with the amounts of interest and fees of such Class then due to such parties, and (ii) second, to pay principal and unreimbursed LC Disbursements of such Class then due hereunder, ratably among the parties entitled thereto in accordance with the amounts of principal and unreimbursed LC Disbursements of such Class then due to such parties.</w:t>
      </w:r>
    </w:p>
    <w:p>
      <w:pPr>
        <w:spacing w:after="0" w:line="183" w:lineRule="exact"/>
        <w:rPr>
          <w:rFonts w:ascii="Arial" w:cs="Arial" w:eastAsia="Arial" w:hAnsi="Arial"/>
          <w:sz w:val="14"/>
          <w:szCs w:val="14"/>
          <w:color w:val="auto"/>
        </w:rPr>
      </w:pPr>
    </w:p>
    <w:p>
      <w:pPr>
        <w:jc w:val="both"/>
        <w:ind w:right="20" w:firstLine="1735"/>
        <w:spacing w:after="0" w:line="244" w:lineRule="auto"/>
        <w:tabs>
          <w:tab w:leader="none" w:pos="2535" w:val="left"/>
        </w:tabs>
        <w:numPr>
          <w:ilvl w:val="1"/>
          <w:numId w:val="91"/>
        </w:numPr>
        <w:rPr>
          <w:rFonts w:ascii="Arial" w:cs="Arial" w:eastAsia="Arial" w:hAnsi="Arial"/>
          <w:sz w:val="13"/>
          <w:szCs w:val="13"/>
          <w:color w:val="auto"/>
        </w:rPr>
      </w:pPr>
      <w:r>
        <w:rPr>
          <w:rFonts w:ascii="Arial" w:cs="Arial" w:eastAsia="Arial" w:hAnsi="Arial"/>
          <w:sz w:val="13"/>
          <w:szCs w:val="13"/>
          <w:u w:val="single" w:color="auto"/>
          <w:color w:val="auto"/>
        </w:rPr>
        <w:t>Pro Rata Treatment</w:t>
      </w:r>
      <w:r>
        <w:rPr>
          <w:rFonts w:ascii="Arial" w:cs="Arial" w:eastAsia="Arial" w:hAnsi="Arial"/>
          <w:sz w:val="13"/>
          <w:szCs w:val="13"/>
          <w:color w:val="auto"/>
        </w:rPr>
        <w:t xml:space="preserve">. Except to the extent otherwise provided herein: (i) each Syndicated Borrowing of a Class shall be made from the Lenders of such Class, each payment of commitment fee under </w:t>
      </w:r>
      <w:r>
        <w:rPr>
          <w:rFonts w:ascii="Arial" w:cs="Arial" w:eastAsia="Arial" w:hAnsi="Arial"/>
          <w:sz w:val="13"/>
          <w:szCs w:val="13"/>
          <w:u w:val="single" w:color="auto"/>
          <w:color w:val="auto"/>
        </w:rPr>
        <w:t>Section 2.11</w:t>
      </w:r>
      <w:r>
        <w:rPr>
          <w:rFonts w:ascii="Arial" w:cs="Arial" w:eastAsia="Arial" w:hAnsi="Arial"/>
          <w:sz w:val="13"/>
          <w:szCs w:val="13"/>
          <w:color w:val="auto"/>
        </w:rPr>
        <w:t xml:space="preserve"> shall be made for account of the Lenders of the applicable Class, and each termination or reduction of the amount of the Commitments of a Class under </w:t>
      </w:r>
      <w:r>
        <w:rPr>
          <w:rFonts w:ascii="Arial" w:cs="Arial" w:eastAsia="Arial" w:hAnsi="Arial"/>
          <w:sz w:val="13"/>
          <w:szCs w:val="13"/>
          <w:u w:val="single" w:color="auto"/>
          <w:color w:val="auto"/>
        </w:rPr>
        <w:t>Section 2.08</w:t>
      </w:r>
      <w:r>
        <w:rPr>
          <w:rFonts w:ascii="Arial" w:cs="Arial" w:eastAsia="Arial" w:hAnsi="Arial"/>
          <w:sz w:val="13"/>
          <w:szCs w:val="13"/>
          <w:color w:val="auto"/>
        </w:rPr>
        <w:t xml:space="preserve"> shall be applied to the respective Commitments of the Lenders of such Class, pro rata according to the amounts of their respective Commitments of such Class;</w:t>
      </w:r>
    </w:p>
    <w:p>
      <w:pPr>
        <w:spacing w:after="0" w:line="1" w:lineRule="exact"/>
        <w:rPr>
          <w:rFonts w:ascii="Arial" w:cs="Arial" w:eastAsia="Arial" w:hAnsi="Arial"/>
          <w:sz w:val="13"/>
          <w:szCs w:val="13"/>
          <w:color w:val="auto"/>
        </w:rPr>
      </w:pPr>
    </w:p>
    <w:p>
      <w:pPr>
        <w:jc w:val="both"/>
        <w:ind w:right="20" w:firstLine="8"/>
        <w:spacing w:after="0" w:line="246" w:lineRule="auto"/>
        <w:tabs>
          <w:tab w:leader="none" w:pos="214" w:val="left"/>
        </w:tabs>
        <w:numPr>
          <w:ilvl w:val="0"/>
          <w:numId w:val="92"/>
        </w:numPr>
        <w:rPr>
          <w:rFonts w:ascii="Arial" w:cs="Arial" w:eastAsia="Arial" w:hAnsi="Arial"/>
          <w:sz w:val="13"/>
          <w:szCs w:val="13"/>
          <w:color w:val="auto"/>
        </w:rPr>
      </w:pPr>
      <w:r>
        <w:rPr>
          <w:rFonts w:ascii="Arial" w:cs="Arial" w:eastAsia="Arial" w:hAnsi="Arial"/>
          <w:sz w:val="13"/>
          <w:szCs w:val="13"/>
          <w:color w:val="auto"/>
        </w:rPr>
        <w:t>each Syndicated Borrowing of a Class shall be allocated pro rata among the Lenders of such Class according to the amounts of their respective Commitments of such Class (in the case of the making of Syndicated Loans) or their respective Loans of such Class that are to be included in such Borrowing (in the case of conversions and continuations of Loans); (iii) each payment or prepayment of principal of Syndicated Loans of a Class by the Borrower shall be made for account of the Lenders of such Class pro rata in accordance with the respective unpaid principal amounts of the Syndicated Loans of such Class held by them; and (iv) each payment of interest on Syndicated Loans of a Class by the Borrower shall be made for account of the Lenders of such Class pro rata in accordance with the amounts of interest on such Loans of such Class then due and payable to the respective Lenders.</w:t>
      </w:r>
    </w:p>
    <w:p>
      <w:pPr>
        <w:spacing w:after="0" w:line="180" w:lineRule="exact"/>
        <w:rPr>
          <w:rFonts w:ascii="Arial" w:cs="Arial" w:eastAsia="Arial" w:hAnsi="Arial"/>
          <w:sz w:val="13"/>
          <w:szCs w:val="13"/>
          <w:color w:val="auto"/>
        </w:rPr>
      </w:pPr>
    </w:p>
    <w:p>
      <w:pPr>
        <w:jc w:val="both"/>
        <w:ind w:right="20" w:firstLine="1735"/>
        <w:spacing w:after="0" w:line="225" w:lineRule="auto"/>
        <w:tabs>
          <w:tab w:leader="none" w:pos="2543" w:val="left"/>
        </w:tabs>
        <w:numPr>
          <w:ilvl w:val="1"/>
          <w:numId w:val="92"/>
        </w:numPr>
        <w:rPr>
          <w:rFonts w:ascii="Arial" w:cs="Arial" w:eastAsia="Arial" w:hAnsi="Arial"/>
          <w:sz w:val="14"/>
          <w:szCs w:val="14"/>
          <w:color w:val="auto"/>
        </w:rPr>
      </w:pPr>
      <w:r>
        <w:rPr>
          <w:rFonts w:ascii="Arial" w:cs="Arial" w:eastAsia="Arial" w:hAnsi="Arial"/>
          <w:sz w:val="14"/>
          <w:szCs w:val="14"/>
          <w:u w:val="single" w:color="auto"/>
          <w:color w:val="auto"/>
        </w:rPr>
        <w:t>Sharing of Payments by Lenders</w:t>
      </w:r>
      <w:r>
        <w:rPr>
          <w:rFonts w:ascii="Arial" w:cs="Arial" w:eastAsia="Arial" w:hAnsi="Arial"/>
          <w:sz w:val="14"/>
          <w:szCs w:val="14"/>
          <w:color w:val="auto"/>
        </w:rPr>
        <w:t xml:space="preserve">. If any Lender of any Class shall, by exercising any right of set-off or counterclaim or otherwise, obtain payment in respect of any principal of or interest on any of its Syndicated Loans, or participations in LC Disbursements or Swingline Loans, of such Class resulting in such Lender receiving payment of a greater proportion of the aggregate amount of its Syndicated Loans, and participations in LC Disbursements and Swingline Loans, and accrued interest thereon of such Class then due than the proportion received by any other Lender of such Class, then the Lender receiving such greater proportion shall purchase (for cash at face value) participations in the Syndicated Loans, and participations in LC Disbursements and Swingline Loans, of other Lenders of such Class to the extent necessary so that the benefit of all such payments shall be shared by the Lenders of such Class ratably in accordance with the aggregate amount of principal of and accrued interest on their respective Syndicated Loans, and participations in LC Disbursements and Swingline Loans, of such Class; </w:t>
      </w:r>
      <w:r>
        <w:rPr>
          <w:rFonts w:ascii="Arial" w:cs="Arial" w:eastAsia="Arial" w:hAnsi="Arial"/>
          <w:sz w:val="14"/>
          <w:szCs w:val="14"/>
          <w:u w:val="single" w:color="auto"/>
          <w:color w:val="auto"/>
        </w:rPr>
        <w:t>provided</w:t>
      </w:r>
      <w:r>
        <w:rPr>
          <w:rFonts w:ascii="Arial" w:cs="Arial" w:eastAsia="Arial" w:hAnsi="Arial"/>
          <w:sz w:val="14"/>
          <w:szCs w:val="14"/>
          <w:color w:val="auto"/>
        </w:rPr>
        <w:t xml:space="preserve"> that (i) if any such participations are purchased and all or any portion of the payment giving rise thereto is recovered, such participations shall be rescinded and the purchase price restored to the extent of such recovery, without interest, and (ii) the provisions of this paragraph shall not be construed to apply to any payment made by the Borrower pursuant to and in accordance with the express terms of this Agreement or any payment obtained by a Lender as consideration for the assignment of or sale of a participation in any of its Loans or participations in LC Disbursements to any assignee or participant, other than to the Borrower or any Subsidiary or Affiliate thereof (as to which the provisions of this paragraph shall apply). The Borrower consents to the foregoing and agrees, to the extent it may effectively do so under applicable law, that any Lender acquiring a participation pursuant to the foregoing arrangements may exercise against the Borrower rights of set-</w:t>
      </w: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7580" w:type="dxa"/>
            <w:vAlign w:val="bottom"/>
          </w:tcPr>
          <w:p>
            <w:pPr>
              <w:jc w:val="right"/>
              <w:ind w:right="1808"/>
              <w:spacing w:after="0"/>
              <w:rPr>
                <w:sz w:val="20"/>
                <w:szCs w:val="20"/>
                <w:color w:val="auto"/>
              </w:rPr>
            </w:pPr>
            <w:r>
              <w:rPr>
                <w:rFonts w:ascii="Arial" w:cs="Arial" w:eastAsia="Arial" w:hAnsi="Arial"/>
                <w:sz w:val="14"/>
                <w:szCs w:val="14"/>
                <w:color w:val="auto"/>
              </w:rPr>
              <w:t>35</w:t>
            </w:r>
          </w:p>
        </w:tc>
        <w:tc>
          <w:tcPr>
            <w:tcW w:w="3680" w:type="dxa"/>
            <w:vAlign w:val="bottom"/>
          </w:tcPr>
          <w:p>
            <w:pPr>
              <w:jc w:val="right"/>
              <w:spacing w:after="0"/>
              <w:rPr>
                <w:sz w:val="20"/>
                <w:szCs w:val="20"/>
                <w:color w:val="auto"/>
              </w:rPr>
            </w:pPr>
            <w:r>
              <w:rPr>
                <w:rFonts w:ascii="Arial" w:cs="Arial" w:eastAsia="Arial" w:hAnsi="Arial"/>
                <w:sz w:val="14"/>
                <w:szCs w:val="14"/>
                <w:i w:val="1"/>
                <w:iCs w:val="1"/>
                <w:color w:val="auto"/>
              </w:rPr>
              <w:t>Second Amended and Restated</w:t>
            </w:r>
          </w:p>
        </w:tc>
      </w:tr>
      <w:tr>
        <w:trPr>
          <w:trHeight w:val="182"/>
        </w:trPr>
        <w:tc>
          <w:tcPr>
            <w:tcW w:w="7580" w:type="dxa"/>
            <w:vAlign w:val="bottom"/>
          </w:tcPr>
          <w:p>
            <w:pPr>
              <w:spacing w:after="0"/>
              <w:rPr>
                <w:sz w:val="15"/>
                <w:szCs w:val="15"/>
                <w:color w:val="auto"/>
              </w:rPr>
            </w:pPr>
          </w:p>
        </w:tc>
        <w:tc>
          <w:tcPr>
            <w:tcW w:w="3680" w:type="dxa"/>
            <w:vAlign w:val="bottom"/>
          </w:tcPr>
          <w:p>
            <w:pPr>
              <w:jc w:val="right"/>
              <w:spacing w:after="0"/>
              <w:rPr>
                <w:sz w:val="20"/>
                <w:szCs w:val="20"/>
                <w:color w:val="auto"/>
              </w:rPr>
            </w:pPr>
            <w:r>
              <w:rPr>
                <w:rFonts w:ascii="Arial" w:cs="Arial" w:eastAsia="Arial" w:hAnsi="Arial"/>
                <w:sz w:val="14"/>
                <w:szCs w:val="14"/>
                <w:i w:val="1"/>
                <w:iCs w:val="1"/>
                <w:color w:val="auto"/>
              </w:rPr>
              <w:t>Revolving Credit Agreement</w:t>
            </w:r>
          </w:p>
        </w:tc>
      </w:tr>
      <w:tr>
        <w:trPr>
          <w:trHeight w:val="316"/>
        </w:trPr>
        <w:tc>
          <w:tcPr>
            <w:tcW w:w="7580" w:type="dxa"/>
            <w:vAlign w:val="bottom"/>
            <w:tcBorders>
              <w:bottom w:val="single" w:sz="8" w:color="9A9A9A"/>
            </w:tcBorders>
          </w:tcPr>
          <w:p>
            <w:pPr>
              <w:spacing w:after="0"/>
              <w:rPr>
                <w:sz w:val="24"/>
                <w:szCs w:val="24"/>
                <w:color w:val="auto"/>
              </w:rPr>
            </w:pPr>
          </w:p>
        </w:tc>
        <w:tc>
          <w:tcPr>
            <w:tcW w:w="368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7145655</wp:posOffset>
            </wp:positionH>
            <wp:positionV relativeFrom="paragraph">
              <wp:posOffset>-7620</wp:posOffset>
            </wp:positionV>
            <wp:extent cx="8255" cy="8255"/>
            <wp:wrapNone/>
            <wp:docPr id="175" name="Picture 1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5"/>
                    <pic:cNvPicPr>
                      <a:picLocks noChangeAspect="1" noChangeArrowheads="1"/>
                    </pic:cNvPicPr>
                  </pic:nvPicPr>
                  <pic:blipFill>
                    <a:blip r:embed="rId182">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-16510</wp:posOffset>
            </wp:positionV>
            <wp:extent cx="8890" cy="17145"/>
            <wp:wrapNone/>
            <wp:docPr id="176" name="Picture 1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6"/>
                    <pic:cNvPicPr>
                      <a:picLocks noChangeAspect="1" noChangeArrowheads="1"/>
                    </pic:cNvPicPr>
                  </pic:nvPicPr>
                  <pic:blipFill>
                    <a:blip r:embed="rId183">
                      <a:extLst>
                        <a:ext uri="{28A0092B-C50C-407E-A947-70E740481C1C}"/>
                      </a:extLst>
                    </a:blip>
                    <a:srcRect/>
                    <a:stretch>
                      <a:fillRect/>
                    </a:stretch>
                  </pic:blipFill>
                  <pic:spPr bwMode="auto">
                    <a:xfrm>
                      <a:off x="0" y="0"/>
                      <a:ext cx="8890" cy="17145"/>
                    </a:xfrm>
                    <a:prstGeom prst="rect">
                      <a:avLst/>
                    </a:prstGeom>
                    <a:noFill/>
                  </pic:spPr>
                </pic:pic>
              </a:graphicData>
            </a:graphic>
          </wp:anchor>
        </w:drawing>
      </w:r>
    </w:p>
    <w:p>
      <w:pPr>
        <w:sectPr>
          <w:pgSz w:w="11900" w:h="16838" w:orient="portrait"/>
          <w:cols w:equalWidth="0" w:num="1">
            <w:col w:w="11260"/>
          </w:cols>
          <w:pgMar w:left="320" w:top="337" w:right="319" w:bottom="1440" w:gutter="0" w:footer="0" w:header="0"/>
        </w:sectPr>
      </w:pPr>
    </w:p>
    <w:bookmarkStart w:id="98" w:name="page99"/>
    <w:bookmarkEnd w:id="98"/>
    <w:p>
      <w:pPr>
        <w:spacing w:after="0"/>
        <w:rPr>
          <w:sz w:val="20"/>
          <w:szCs w:val="20"/>
          <w:color w:val="auto"/>
        </w:rPr>
      </w:pPr>
      <w:r>
        <w:rPr>
          <w:rFonts w:ascii="Arial" w:cs="Arial" w:eastAsia="Arial" w:hAnsi="Arial"/>
          <w:sz w:val="14"/>
          <w:szCs w:val="14"/>
          <w:color w:val="auto"/>
        </w:rPr>
        <w:t>off and counterclaim with respect to such participation as fully as if such Lender were a direct creditor of the Borrower in the amount of such participation.</w:t>
      </w:r>
    </w:p>
    <w:p>
      <w:pPr>
        <w:spacing w:after="0" w:line="204" w:lineRule="exact"/>
        <w:rPr>
          <w:sz w:val="20"/>
          <w:szCs w:val="20"/>
          <w:color w:val="auto"/>
        </w:rPr>
      </w:pPr>
    </w:p>
    <w:p>
      <w:pPr>
        <w:jc w:val="both"/>
        <w:ind w:right="20" w:firstLine="1735"/>
        <w:spacing w:after="0" w:line="229" w:lineRule="auto"/>
        <w:tabs>
          <w:tab w:leader="none" w:pos="2535" w:val="left"/>
        </w:tabs>
        <w:numPr>
          <w:ilvl w:val="0"/>
          <w:numId w:val="93"/>
        </w:numPr>
        <w:rPr>
          <w:rFonts w:ascii="Arial" w:cs="Arial" w:eastAsia="Arial" w:hAnsi="Arial"/>
          <w:sz w:val="14"/>
          <w:szCs w:val="14"/>
          <w:color w:val="auto"/>
        </w:rPr>
      </w:pPr>
      <w:r>
        <w:rPr>
          <w:rFonts w:ascii="Arial" w:cs="Arial" w:eastAsia="Arial" w:hAnsi="Arial"/>
          <w:sz w:val="14"/>
          <w:szCs w:val="14"/>
          <w:u w:val="single" w:color="auto"/>
          <w:color w:val="auto"/>
        </w:rPr>
        <w:t>Presumptions of Payment</w:t>
      </w:r>
      <w:r>
        <w:rPr>
          <w:rFonts w:ascii="Arial" w:cs="Arial" w:eastAsia="Arial" w:hAnsi="Arial"/>
          <w:sz w:val="14"/>
          <w:szCs w:val="14"/>
          <w:color w:val="auto"/>
        </w:rPr>
        <w:t>. Unless the Administrative Agent shall have received notice from the Borrower prior to the date on which any payment is due to the Administrative Agent for account of the Lenders or the Issuing Bank hereunder that the Borrower will not make such payment, the Administrative Agent may assume that the Borrower has made such payment on such date in accordance herewith and may, in reliance upon such assumption, distribute to the Lenders or the Issuing Bank, as the case may be, the amount due. In such event, if the Borrower has not in fact made such payment, then each of the Lenders or the Issuing Bank, as the case may be, severally agrees to repay to the Administrative Agent forthwith on demand the amount so distributed to such Lender or the Issuing Bank with interest thereon, for each day from and including the date such amount is distributed to it to but excluding the date of payment to the Administrative Agent at the Federal Funds Effective Rate.</w:t>
      </w:r>
    </w:p>
    <w:p>
      <w:pPr>
        <w:spacing w:after="0" w:line="185" w:lineRule="exact"/>
        <w:rPr>
          <w:rFonts w:ascii="Arial" w:cs="Arial" w:eastAsia="Arial" w:hAnsi="Arial"/>
          <w:sz w:val="14"/>
          <w:szCs w:val="14"/>
          <w:color w:val="auto"/>
        </w:rPr>
      </w:pPr>
    </w:p>
    <w:p>
      <w:pPr>
        <w:jc w:val="both"/>
        <w:ind w:right="20" w:firstLine="1735"/>
        <w:spacing w:after="0" w:line="238" w:lineRule="auto"/>
        <w:tabs>
          <w:tab w:leader="none" w:pos="2519" w:val="left"/>
        </w:tabs>
        <w:numPr>
          <w:ilvl w:val="0"/>
          <w:numId w:val="93"/>
        </w:numPr>
        <w:rPr>
          <w:rFonts w:ascii="Arial" w:cs="Arial" w:eastAsia="Arial" w:hAnsi="Arial"/>
          <w:sz w:val="14"/>
          <w:szCs w:val="14"/>
          <w:color w:val="auto"/>
        </w:rPr>
      </w:pPr>
      <w:r>
        <w:rPr>
          <w:rFonts w:ascii="Arial" w:cs="Arial" w:eastAsia="Arial" w:hAnsi="Arial"/>
          <w:sz w:val="14"/>
          <w:szCs w:val="14"/>
          <w:u w:val="single" w:color="auto"/>
          <w:color w:val="auto"/>
        </w:rPr>
        <w:t>Certain Deductions by the Administrative Agent</w:t>
      </w:r>
      <w:r>
        <w:rPr>
          <w:rFonts w:ascii="Arial" w:cs="Arial" w:eastAsia="Arial" w:hAnsi="Arial"/>
          <w:sz w:val="14"/>
          <w:szCs w:val="14"/>
          <w:color w:val="auto"/>
        </w:rPr>
        <w:t xml:space="preserve">. If any Lender shall fail to make any payment required to be made by it pursuant to </w:t>
      </w:r>
      <w:r>
        <w:rPr>
          <w:rFonts w:ascii="Arial" w:cs="Arial" w:eastAsia="Arial" w:hAnsi="Arial"/>
          <w:sz w:val="14"/>
          <w:szCs w:val="14"/>
          <w:u w:val="single" w:color="auto"/>
          <w:color w:val="auto"/>
        </w:rPr>
        <w:t>Section 2.04(c)</w:t>
      </w:r>
      <w:r>
        <w:rPr>
          <w:rFonts w:ascii="Arial" w:cs="Arial" w:eastAsia="Arial" w:hAnsi="Arial"/>
          <w:sz w:val="14"/>
          <w:szCs w:val="14"/>
          <w:color w:val="auto"/>
        </w:rPr>
        <w:t xml:space="preserve">, </w:t>
      </w:r>
      <w:r>
        <w:rPr>
          <w:rFonts w:ascii="Arial" w:cs="Arial" w:eastAsia="Arial" w:hAnsi="Arial"/>
          <w:sz w:val="14"/>
          <w:szCs w:val="14"/>
          <w:u w:val="single" w:color="auto"/>
          <w:color w:val="auto"/>
        </w:rPr>
        <w:t>2.05(e)</w:t>
      </w:r>
      <w:r>
        <w:rPr>
          <w:rFonts w:ascii="Arial" w:cs="Arial" w:eastAsia="Arial" w:hAnsi="Arial"/>
          <w:sz w:val="14"/>
          <w:szCs w:val="14"/>
          <w:color w:val="auto"/>
        </w:rPr>
        <w:t xml:space="preserve">, </w:t>
      </w:r>
      <w:r>
        <w:rPr>
          <w:rFonts w:ascii="Arial" w:cs="Arial" w:eastAsia="Arial" w:hAnsi="Arial"/>
          <w:sz w:val="14"/>
          <w:szCs w:val="14"/>
          <w:u w:val="single" w:color="auto"/>
          <w:color w:val="auto"/>
        </w:rPr>
        <w:t>2.06(a)</w:t>
      </w:r>
      <w:r>
        <w:rPr>
          <w:rFonts w:ascii="Arial" w:cs="Arial" w:eastAsia="Arial" w:hAnsi="Arial"/>
          <w:sz w:val="14"/>
          <w:szCs w:val="14"/>
          <w:color w:val="auto"/>
        </w:rPr>
        <w:t xml:space="preserve"> or </w:t>
      </w:r>
      <w:r>
        <w:rPr>
          <w:rFonts w:ascii="Arial" w:cs="Arial" w:eastAsia="Arial" w:hAnsi="Arial"/>
          <w:sz w:val="14"/>
          <w:szCs w:val="14"/>
          <w:u w:val="single" w:color="auto"/>
          <w:color w:val="auto"/>
        </w:rPr>
        <w:t>(b)</w:t>
      </w:r>
      <w:r>
        <w:rPr>
          <w:rFonts w:ascii="Arial" w:cs="Arial" w:eastAsia="Arial" w:hAnsi="Arial"/>
          <w:sz w:val="14"/>
          <w:szCs w:val="14"/>
          <w:color w:val="auto"/>
        </w:rPr>
        <w:t xml:space="preserve"> or </w:t>
      </w:r>
      <w:r>
        <w:rPr>
          <w:rFonts w:ascii="Arial" w:cs="Arial" w:eastAsia="Arial" w:hAnsi="Arial"/>
          <w:sz w:val="14"/>
          <w:szCs w:val="14"/>
          <w:u w:val="single" w:color="auto"/>
          <w:color w:val="auto"/>
        </w:rPr>
        <w:t>2.17(e)</w:t>
      </w:r>
      <w:r>
        <w:rPr>
          <w:rFonts w:ascii="Arial" w:cs="Arial" w:eastAsia="Arial" w:hAnsi="Arial"/>
          <w:sz w:val="14"/>
          <w:szCs w:val="14"/>
          <w:color w:val="auto"/>
        </w:rPr>
        <w:t>, then the Administrative Agent may, in its discretion (notwithstanding any contrary provision hereof), apply any amounts thereafter received by the Administrative Agent for account of such Lender to satisfy such Lender’s obligations under such Sections until all such unsatisfied obligations are fully paid.</w:t>
      </w:r>
    </w:p>
    <w:p>
      <w:pPr>
        <w:spacing w:after="0" w:line="183" w:lineRule="exact"/>
        <w:rPr>
          <w:sz w:val="20"/>
          <w:szCs w:val="20"/>
          <w:color w:val="auto"/>
        </w:rPr>
      </w:pPr>
    </w:p>
    <w:p>
      <w:pPr>
        <w:ind w:left="1740"/>
        <w:spacing w:after="0"/>
        <w:rPr>
          <w:sz w:val="20"/>
          <w:szCs w:val="20"/>
          <w:color w:val="auto"/>
        </w:rPr>
      </w:pPr>
      <w:r>
        <w:rPr>
          <w:rFonts w:ascii="Arial" w:cs="Arial" w:eastAsia="Arial" w:hAnsi="Arial"/>
          <w:sz w:val="14"/>
          <w:szCs w:val="14"/>
          <w:color w:val="auto"/>
        </w:rPr>
        <w:t xml:space="preserve">SECTION 2.18. </w:t>
      </w:r>
      <w:r>
        <w:rPr>
          <w:rFonts w:ascii="Arial" w:cs="Arial" w:eastAsia="Arial" w:hAnsi="Arial"/>
          <w:sz w:val="14"/>
          <w:szCs w:val="14"/>
          <w:u w:val="single" w:color="auto"/>
          <w:color w:val="auto"/>
        </w:rPr>
        <w:t>Mitigation Obligations; Replacement of Lenders</w:t>
      </w:r>
      <w:r>
        <w:rPr>
          <w:rFonts w:ascii="Arial" w:cs="Arial" w:eastAsia="Arial" w:hAnsi="Arial"/>
          <w:sz w:val="14"/>
          <w:szCs w:val="14"/>
          <w:color w:val="auto"/>
        </w:rPr>
        <w:t>.</w:t>
      </w:r>
    </w:p>
    <w:p>
      <w:pPr>
        <w:spacing w:after="0" w:line="204" w:lineRule="exact"/>
        <w:rPr>
          <w:sz w:val="20"/>
          <w:szCs w:val="20"/>
          <w:color w:val="auto"/>
        </w:rPr>
      </w:pPr>
    </w:p>
    <w:p>
      <w:pPr>
        <w:jc w:val="both"/>
        <w:ind w:right="20" w:firstLine="1735"/>
        <w:spacing w:after="0" w:line="229" w:lineRule="auto"/>
        <w:tabs>
          <w:tab w:leader="none" w:pos="2535" w:val="left"/>
        </w:tabs>
        <w:numPr>
          <w:ilvl w:val="0"/>
          <w:numId w:val="94"/>
        </w:numPr>
        <w:rPr>
          <w:rFonts w:ascii="Arial" w:cs="Arial" w:eastAsia="Arial" w:hAnsi="Arial"/>
          <w:sz w:val="14"/>
          <w:szCs w:val="14"/>
          <w:color w:val="auto"/>
        </w:rPr>
      </w:pPr>
      <w:r>
        <w:rPr>
          <w:rFonts w:ascii="Arial" w:cs="Arial" w:eastAsia="Arial" w:hAnsi="Arial"/>
          <w:sz w:val="14"/>
          <w:szCs w:val="14"/>
          <w:u w:val="single" w:color="auto"/>
          <w:color w:val="auto"/>
        </w:rPr>
        <w:t>Designation of a Different Lending Office</w:t>
      </w:r>
      <w:r>
        <w:rPr>
          <w:rFonts w:ascii="Arial" w:cs="Arial" w:eastAsia="Arial" w:hAnsi="Arial"/>
          <w:sz w:val="14"/>
          <w:szCs w:val="14"/>
          <w:color w:val="auto"/>
        </w:rPr>
        <w:t xml:space="preserve">. If any Lender requests compensation under </w:t>
      </w:r>
      <w:r>
        <w:rPr>
          <w:rFonts w:ascii="Arial" w:cs="Arial" w:eastAsia="Arial" w:hAnsi="Arial"/>
          <w:sz w:val="14"/>
          <w:szCs w:val="14"/>
          <w:u w:val="single" w:color="auto"/>
          <w:color w:val="auto"/>
        </w:rPr>
        <w:t>Section 2.14</w:t>
      </w:r>
      <w:r>
        <w:rPr>
          <w:rFonts w:ascii="Arial" w:cs="Arial" w:eastAsia="Arial" w:hAnsi="Arial"/>
          <w:sz w:val="14"/>
          <w:szCs w:val="14"/>
          <w:color w:val="auto"/>
        </w:rPr>
        <w:t xml:space="preserve">, or if the Borrower is required to pay any additional amount to any Lender or any Governmental Authority for the account of any Lender pursuant to </w:t>
      </w:r>
      <w:r>
        <w:rPr>
          <w:rFonts w:ascii="Arial" w:cs="Arial" w:eastAsia="Arial" w:hAnsi="Arial"/>
          <w:sz w:val="14"/>
          <w:szCs w:val="14"/>
          <w:u w:val="single" w:color="auto"/>
          <w:color w:val="auto"/>
        </w:rPr>
        <w:t>Section 2.16</w:t>
      </w:r>
      <w:r>
        <w:rPr>
          <w:rFonts w:ascii="Arial" w:cs="Arial" w:eastAsia="Arial" w:hAnsi="Arial"/>
          <w:sz w:val="14"/>
          <w:szCs w:val="14"/>
          <w:color w:val="auto"/>
        </w:rPr>
        <w:t xml:space="preserve">, then such Lender shall use reasonable efforts to designate a different lending office for funding or booking its Loans hereunder or to assign its rights and obligations hereunder to another of its offices, branches or affiliates, if in the judgment of such Lender, such designation or assignment (i) would eliminate or reduce amounts payable pursuant to </w:t>
      </w:r>
      <w:r>
        <w:rPr>
          <w:rFonts w:ascii="Arial" w:cs="Arial" w:eastAsia="Arial" w:hAnsi="Arial"/>
          <w:sz w:val="14"/>
          <w:szCs w:val="14"/>
          <w:u w:val="single" w:color="auto"/>
          <w:color w:val="auto"/>
        </w:rPr>
        <w:t>Section 2.14</w:t>
      </w:r>
      <w:r>
        <w:rPr>
          <w:rFonts w:ascii="Arial" w:cs="Arial" w:eastAsia="Arial" w:hAnsi="Arial"/>
          <w:sz w:val="14"/>
          <w:szCs w:val="14"/>
          <w:color w:val="auto"/>
        </w:rPr>
        <w:t xml:space="preserve"> or </w:t>
      </w:r>
      <w:r>
        <w:rPr>
          <w:rFonts w:ascii="Arial" w:cs="Arial" w:eastAsia="Arial" w:hAnsi="Arial"/>
          <w:sz w:val="14"/>
          <w:szCs w:val="14"/>
          <w:u w:val="single" w:color="auto"/>
          <w:color w:val="auto"/>
        </w:rPr>
        <w:t>2.16</w:t>
      </w:r>
      <w:r>
        <w:rPr>
          <w:rFonts w:ascii="Arial" w:cs="Arial" w:eastAsia="Arial" w:hAnsi="Arial"/>
          <w:sz w:val="14"/>
          <w:szCs w:val="14"/>
          <w:color w:val="auto"/>
        </w:rPr>
        <w:t>, as the case may be, in the future and (ii) would not subject such Lender to any cost or expense not required to be reimbursed by the Borrower and would not otherwise be disadvantageous to such Lender. The Borrower hereby agrees to pay all reasonable costs and expenses incurred by any Lender in connection with any such designation or assignment.</w:t>
      </w:r>
    </w:p>
    <w:p>
      <w:pPr>
        <w:spacing w:after="0" w:line="185" w:lineRule="exact"/>
        <w:rPr>
          <w:rFonts w:ascii="Arial" w:cs="Arial" w:eastAsia="Arial" w:hAnsi="Arial"/>
          <w:sz w:val="14"/>
          <w:szCs w:val="14"/>
          <w:color w:val="auto"/>
        </w:rPr>
      </w:pPr>
    </w:p>
    <w:p>
      <w:pPr>
        <w:jc w:val="both"/>
        <w:ind w:right="20" w:firstLine="1735"/>
        <w:spacing w:after="0" w:line="243" w:lineRule="auto"/>
        <w:tabs>
          <w:tab w:leader="none" w:pos="2543" w:val="left"/>
        </w:tabs>
        <w:numPr>
          <w:ilvl w:val="0"/>
          <w:numId w:val="94"/>
        </w:numPr>
        <w:rPr>
          <w:rFonts w:ascii="Arial" w:cs="Arial" w:eastAsia="Arial" w:hAnsi="Arial"/>
          <w:sz w:val="13"/>
          <w:szCs w:val="13"/>
          <w:color w:val="auto"/>
        </w:rPr>
      </w:pPr>
      <w:r>
        <w:rPr>
          <w:rFonts w:ascii="Arial" w:cs="Arial" w:eastAsia="Arial" w:hAnsi="Arial"/>
          <w:sz w:val="13"/>
          <w:szCs w:val="13"/>
          <w:u w:val="single" w:color="auto"/>
          <w:color w:val="auto"/>
        </w:rPr>
        <w:t>Replacement of Lenders</w:t>
      </w:r>
      <w:r>
        <w:rPr>
          <w:rFonts w:ascii="Arial" w:cs="Arial" w:eastAsia="Arial" w:hAnsi="Arial"/>
          <w:sz w:val="13"/>
          <w:szCs w:val="13"/>
          <w:color w:val="auto"/>
        </w:rPr>
        <w:t xml:space="preserve">. If any Lender requests compensation under </w:t>
      </w:r>
      <w:r>
        <w:rPr>
          <w:rFonts w:ascii="Arial" w:cs="Arial" w:eastAsia="Arial" w:hAnsi="Arial"/>
          <w:sz w:val="13"/>
          <w:szCs w:val="13"/>
          <w:u w:val="single" w:color="auto"/>
          <w:color w:val="auto"/>
        </w:rPr>
        <w:t>Section 2.14</w:t>
      </w:r>
      <w:r>
        <w:rPr>
          <w:rFonts w:ascii="Arial" w:cs="Arial" w:eastAsia="Arial" w:hAnsi="Arial"/>
          <w:sz w:val="13"/>
          <w:szCs w:val="13"/>
          <w:color w:val="auto"/>
        </w:rPr>
        <w:t xml:space="preserve">, or if the Borrower is required to pay any additional amount to any Lender or any Governmental Authority for account of any Lender pursuant to </w:t>
      </w:r>
      <w:r>
        <w:rPr>
          <w:rFonts w:ascii="Arial" w:cs="Arial" w:eastAsia="Arial" w:hAnsi="Arial"/>
          <w:sz w:val="13"/>
          <w:szCs w:val="13"/>
          <w:u w:val="single" w:color="auto"/>
          <w:color w:val="auto"/>
        </w:rPr>
        <w:t>Section 2.16</w:t>
      </w:r>
      <w:r>
        <w:rPr>
          <w:rFonts w:ascii="Arial" w:cs="Arial" w:eastAsia="Arial" w:hAnsi="Arial"/>
          <w:sz w:val="13"/>
          <w:szCs w:val="13"/>
          <w:color w:val="auto"/>
        </w:rPr>
        <w:t xml:space="preserve">, and, in each case, such Lender has declined or is unable to designate a different lending office in accordance with Section 2.18(a), or if any Lender becomes a Defaulting Lender or is a Non-Consenting Lender (as provided in </w:t>
      </w:r>
      <w:r>
        <w:rPr>
          <w:rFonts w:ascii="Arial" w:cs="Arial" w:eastAsia="Arial" w:hAnsi="Arial"/>
          <w:sz w:val="13"/>
          <w:szCs w:val="13"/>
          <w:u w:val="single" w:color="auto"/>
          <w:color w:val="auto"/>
        </w:rPr>
        <w:t>Section 9.02(d)</w:t>
      </w:r>
      <w:r>
        <w:rPr>
          <w:rFonts w:ascii="Arial" w:cs="Arial" w:eastAsia="Arial" w:hAnsi="Arial"/>
          <w:sz w:val="13"/>
          <w:szCs w:val="13"/>
          <w:color w:val="auto"/>
        </w:rPr>
        <w:t xml:space="preserve">), then the Borrower may, at its sole expense and effort, upon notice to such Lender and the Administrative Agent, require such Lender to assign and delegate, without recourse (in accordance with and subject to the restrictions contained in </w:t>
      </w:r>
      <w:r>
        <w:rPr>
          <w:rFonts w:ascii="Arial" w:cs="Arial" w:eastAsia="Arial" w:hAnsi="Arial"/>
          <w:sz w:val="13"/>
          <w:szCs w:val="13"/>
          <w:u w:val="single" w:color="auto"/>
          <w:color w:val="auto"/>
        </w:rPr>
        <w:t>Section 9.04</w:t>
      </w:r>
      <w:r>
        <w:rPr>
          <w:rFonts w:ascii="Arial" w:cs="Arial" w:eastAsia="Arial" w:hAnsi="Arial"/>
          <w:sz w:val="13"/>
          <w:szCs w:val="13"/>
          <w:color w:val="auto"/>
        </w:rPr>
        <w:t xml:space="preserve">), all its interests, rights (other than its existing rights to payments pursuant to Section 2.14 or Section 2.16) and obligations under this Agreement to an assignee that shall assume such obligations (which assignee may be another Lender, if a Lender accepts such assignment); </w:t>
      </w:r>
      <w:r>
        <w:rPr>
          <w:rFonts w:ascii="Arial" w:cs="Arial" w:eastAsia="Arial" w:hAnsi="Arial"/>
          <w:sz w:val="13"/>
          <w:szCs w:val="13"/>
          <w:u w:val="single" w:color="auto"/>
          <w:color w:val="auto"/>
        </w:rPr>
        <w:t>provided</w:t>
      </w:r>
      <w:r>
        <w:rPr>
          <w:rFonts w:ascii="Arial" w:cs="Arial" w:eastAsia="Arial" w:hAnsi="Arial"/>
          <w:sz w:val="13"/>
          <w:szCs w:val="13"/>
          <w:color w:val="auto"/>
        </w:rPr>
        <w:t xml:space="preserve"> that (i) the Borrower shall have received the prior written consent of the Administrative Agent (and, if a Commitment is being assigned, the Issuing Bank and the Swingline Lender), which consent shall not unreasonably be withheld, (ii) such Lender shall have received payment of an amount equal to the outstanding principal of its Loans and participations in LC Disbursements and Swingline Loans, accrued interest thereon, accrued fees and all other amounts payable to it hereunder, from the assignee (to the extent of such outstanding principal and accrued interest and fees) or the Borrower (in the case of all other amounts) and (iii) in the case of any such assignment resulting from a claim for compensation under </w:t>
      </w:r>
      <w:r>
        <w:rPr>
          <w:rFonts w:ascii="Arial" w:cs="Arial" w:eastAsia="Arial" w:hAnsi="Arial"/>
          <w:sz w:val="13"/>
          <w:szCs w:val="13"/>
          <w:u w:val="single" w:color="auto"/>
          <w:color w:val="auto"/>
        </w:rPr>
        <w:t>Section 2.14</w:t>
      </w:r>
      <w:r>
        <w:rPr>
          <w:rFonts w:ascii="Arial" w:cs="Arial" w:eastAsia="Arial" w:hAnsi="Arial"/>
          <w:sz w:val="13"/>
          <w:szCs w:val="13"/>
          <w:color w:val="auto"/>
        </w:rPr>
        <w:t xml:space="preserve"> or payments required to be made pursuant to </w:t>
      </w:r>
      <w:r>
        <w:rPr>
          <w:rFonts w:ascii="Arial" w:cs="Arial" w:eastAsia="Arial" w:hAnsi="Arial"/>
          <w:sz w:val="13"/>
          <w:szCs w:val="13"/>
          <w:u w:val="single" w:color="auto"/>
          <w:color w:val="auto"/>
        </w:rPr>
        <w:t>Section 2.16</w:t>
      </w:r>
      <w:r>
        <w:rPr>
          <w:rFonts w:ascii="Arial" w:cs="Arial" w:eastAsia="Arial" w:hAnsi="Arial"/>
          <w:sz w:val="13"/>
          <w:szCs w:val="13"/>
          <w:color w:val="auto"/>
        </w:rPr>
        <w:t>, such assignment will result in a reduction in such compensation or payments. A Lender shall not be required to make any such assignment and delegation if prior thereto, as a result of a waiver by such Lender or otherwise, the circumstances entitling the Borrower to require such assignment and delegation cease to apply.</w:t>
      </w:r>
    </w:p>
    <w:p>
      <w:pPr>
        <w:spacing w:after="0" w:line="182" w:lineRule="exact"/>
        <w:rPr>
          <w:sz w:val="20"/>
          <w:szCs w:val="20"/>
          <w:color w:val="auto"/>
        </w:rPr>
      </w:pPr>
    </w:p>
    <w:p>
      <w:pPr>
        <w:ind w:left="1740"/>
        <w:spacing w:after="0"/>
        <w:rPr>
          <w:sz w:val="20"/>
          <w:szCs w:val="20"/>
          <w:color w:val="auto"/>
        </w:rPr>
      </w:pPr>
      <w:r>
        <w:rPr>
          <w:rFonts w:ascii="Arial" w:cs="Arial" w:eastAsia="Arial" w:hAnsi="Arial"/>
          <w:sz w:val="14"/>
          <w:szCs w:val="14"/>
          <w:color w:val="auto"/>
        </w:rPr>
        <w:t xml:space="preserve">SECTION 2.19. </w:t>
      </w:r>
      <w:r>
        <w:rPr>
          <w:rFonts w:ascii="Arial" w:cs="Arial" w:eastAsia="Arial" w:hAnsi="Arial"/>
          <w:sz w:val="14"/>
          <w:szCs w:val="14"/>
          <w:u w:val="single" w:color="auto"/>
          <w:color w:val="auto"/>
        </w:rPr>
        <w:t>Defaulting Lenders</w:t>
      </w:r>
      <w:r>
        <w:rPr>
          <w:rFonts w:ascii="Arial" w:cs="Arial" w:eastAsia="Arial" w:hAnsi="Arial"/>
          <w:sz w:val="14"/>
          <w:szCs w:val="14"/>
          <w:color w:val="auto"/>
        </w:rPr>
        <w:t>.</w:t>
      </w:r>
    </w:p>
    <w:p>
      <w:pPr>
        <w:spacing w:after="0" w:line="204" w:lineRule="exact"/>
        <w:rPr>
          <w:sz w:val="20"/>
          <w:szCs w:val="20"/>
          <w:color w:val="auto"/>
        </w:rPr>
      </w:pPr>
    </w:p>
    <w:p>
      <w:pPr>
        <w:ind w:right="20" w:firstLine="1735"/>
        <w:spacing w:after="0" w:line="253" w:lineRule="auto"/>
        <w:tabs>
          <w:tab w:leader="none" w:pos="2535" w:val="left"/>
        </w:tabs>
        <w:numPr>
          <w:ilvl w:val="1"/>
          <w:numId w:val="95"/>
        </w:numPr>
        <w:rPr>
          <w:rFonts w:ascii="Arial" w:cs="Arial" w:eastAsia="Arial" w:hAnsi="Arial"/>
          <w:sz w:val="14"/>
          <w:szCs w:val="14"/>
          <w:color w:val="auto"/>
        </w:rPr>
      </w:pPr>
      <w:r>
        <w:rPr>
          <w:rFonts w:ascii="Arial" w:cs="Arial" w:eastAsia="Arial" w:hAnsi="Arial"/>
          <w:sz w:val="14"/>
          <w:szCs w:val="14"/>
          <w:u w:val="single" w:color="auto"/>
          <w:color w:val="auto"/>
        </w:rPr>
        <w:t>Defaulting Lender Adjustments</w:t>
      </w:r>
      <w:r>
        <w:rPr>
          <w:rFonts w:ascii="Arial" w:cs="Arial" w:eastAsia="Arial" w:hAnsi="Arial"/>
          <w:sz w:val="14"/>
          <w:szCs w:val="14"/>
          <w:color w:val="auto"/>
        </w:rPr>
        <w:t>. Notwithstanding anything to the contrary contained in this Agreement, if any Lender becomes a Defaulting Lender, then, until such time as such Lender is no longer a Defaulting Lender, to the extent permitted by applicable law:</w:t>
      </w:r>
    </w:p>
    <w:p>
      <w:pPr>
        <w:spacing w:after="0" w:line="173" w:lineRule="exact"/>
        <w:rPr>
          <w:rFonts w:ascii="Arial" w:cs="Arial" w:eastAsia="Arial" w:hAnsi="Arial"/>
          <w:sz w:val="14"/>
          <w:szCs w:val="14"/>
          <w:color w:val="auto"/>
        </w:rPr>
      </w:pPr>
    </w:p>
    <w:p>
      <w:pPr>
        <w:jc w:val="both"/>
        <w:ind w:left="880" w:right="20" w:firstLine="789"/>
        <w:spacing w:after="0" w:line="225" w:lineRule="auto"/>
        <w:tabs>
          <w:tab w:leader="none" w:pos="2461" w:val="left"/>
        </w:tabs>
        <w:numPr>
          <w:ilvl w:val="0"/>
          <w:numId w:val="96"/>
        </w:numPr>
        <w:rPr>
          <w:rFonts w:ascii="Arial" w:cs="Arial" w:eastAsia="Arial" w:hAnsi="Arial"/>
          <w:sz w:val="14"/>
          <w:szCs w:val="14"/>
          <w:color w:val="auto"/>
        </w:rPr>
      </w:pPr>
      <w:r>
        <w:rPr>
          <w:rFonts w:ascii="Arial" w:cs="Arial" w:eastAsia="Arial" w:hAnsi="Arial"/>
          <w:sz w:val="14"/>
          <w:szCs w:val="14"/>
          <w:u w:val="single" w:color="auto"/>
          <w:color w:val="auto"/>
        </w:rPr>
        <w:t>Defaulting Lender Waterfall</w:t>
      </w:r>
      <w:r>
        <w:rPr>
          <w:rFonts w:ascii="Arial" w:cs="Arial" w:eastAsia="Arial" w:hAnsi="Arial"/>
          <w:sz w:val="14"/>
          <w:szCs w:val="14"/>
          <w:color w:val="auto"/>
        </w:rPr>
        <w:t xml:space="preserve">. Any payment of principal, interest, fees or other amounts received by Administrative Agent for the account of such Defaulting Lender (whether voluntary or mandatory, at maturity, pursuant to </w:t>
      </w:r>
      <w:r>
        <w:rPr>
          <w:rFonts w:ascii="Arial" w:cs="Arial" w:eastAsia="Arial" w:hAnsi="Arial"/>
          <w:sz w:val="14"/>
          <w:szCs w:val="14"/>
          <w:u w:val="single" w:color="auto"/>
          <w:color w:val="auto"/>
        </w:rPr>
        <w:t>Article VII</w:t>
      </w:r>
      <w:r>
        <w:rPr>
          <w:rFonts w:ascii="Arial" w:cs="Arial" w:eastAsia="Arial" w:hAnsi="Arial"/>
          <w:sz w:val="14"/>
          <w:szCs w:val="14"/>
          <w:color w:val="auto"/>
        </w:rPr>
        <w:t xml:space="preserve"> or otherwise) or received by Administrative Agent from a Defaulting Lender pursuant to </w:t>
      </w:r>
      <w:r>
        <w:rPr>
          <w:rFonts w:ascii="Arial" w:cs="Arial" w:eastAsia="Arial" w:hAnsi="Arial"/>
          <w:sz w:val="14"/>
          <w:szCs w:val="14"/>
          <w:u w:val="single" w:color="auto"/>
          <w:color w:val="auto"/>
        </w:rPr>
        <w:t>Section 9.08</w:t>
      </w:r>
      <w:r>
        <w:rPr>
          <w:rFonts w:ascii="Arial" w:cs="Arial" w:eastAsia="Arial" w:hAnsi="Arial"/>
          <w:sz w:val="14"/>
          <w:szCs w:val="14"/>
          <w:color w:val="auto"/>
        </w:rPr>
        <w:t xml:space="preserve"> shall be applied at such time or times as may be determined by Administrative Agent as follows: </w:t>
      </w:r>
      <w:r>
        <w:rPr>
          <w:rFonts w:ascii="Arial" w:cs="Arial" w:eastAsia="Arial" w:hAnsi="Arial"/>
          <w:sz w:val="14"/>
          <w:szCs w:val="14"/>
          <w:i w:val="1"/>
          <w:iCs w:val="1"/>
          <w:color w:val="auto"/>
        </w:rPr>
        <w:t>first</w:t>
      </w:r>
      <w:r>
        <w:rPr>
          <w:rFonts w:ascii="Arial" w:cs="Arial" w:eastAsia="Arial" w:hAnsi="Arial"/>
          <w:sz w:val="14"/>
          <w:szCs w:val="14"/>
          <w:color w:val="auto"/>
        </w:rPr>
        <w:t xml:space="preserve">, to the payment of any amounts owing by such Defaulting Lender to Administrative Agent hereunder; </w:t>
      </w:r>
      <w:r>
        <w:rPr>
          <w:rFonts w:ascii="Arial" w:cs="Arial" w:eastAsia="Arial" w:hAnsi="Arial"/>
          <w:sz w:val="14"/>
          <w:szCs w:val="14"/>
          <w:i w:val="1"/>
          <w:iCs w:val="1"/>
          <w:color w:val="auto"/>
        </w:rPr>
        <w:t>second</w:t>
      </w:r>
      <w:r>
        <w:rPr>
          <w:rFonts w:ascii="Arial" w:cs="Arial" w:eastAsia="Arial" w:hAnsi="Arial"/>
          <w:sz w:val="14"/>
          <w:szCs w:val="14"/>
          <w:color w:val="auto"/>
        </w:rPr>
        <w:t xml:space="preserve">, to the payment on a pro rata basis of any amounts owing by such Defaulting Lender to Issuing Bank or Swingline Lender hereunder; </w:t>
      </w:r>
      <w:r>
        <w:rPr>
          <w:rFonts w:ascii="Arial" w:cs="Arial" w:eastAsia="Arial" w:hAnsi="Arial"/>
          <w:sz w:val="14"/>
          <w:szCs w:val="14"/>
          <w:i w:val="1"/>
          <w:iCs w:val="1"/>
          <w:color w:val="auto"/>
        </w:rPr>
        <w:t>third</w:t>
      </w:r>
      <w:r>
        <w:rPr>
          <w:rFonts w:ascii="Arial" w:cs="Arial" w:eastAsia="Arial" w:hAnsi="Arial"/>
          <w:sz w:val="14"/>
          <w:szCs w:val="14"/>
          <w:color w:val="auto"/>
        </w:rPr>
        <w:t xml:space="preserve">, to Cash Collateralize Issuing Bank’s Fronting Exposure with respect to such Defaulting Lender in the manner described in </w:t>
      </w:r>
      <w:r>
        <w:rPr>
          <w:rFonts w:ascii="Arial" w:cs="Arial" w:eastAsia="Arial" w:hAnsi="Arial"/>
          <w:sz w:val="14"/>
          <w:szCs w:val="14"/>
          <w:u w:val="single" w:color="auto"/>
          <w:color w:val="auto"/>
        </w:rPr>
        <w:t>Section 2.09(a)</w:t>
      </w:r>
      <w:r>
        <w:rPr>
          <w:rFonts w:ascii="Arial" w:cs="Arial" w:eastAsia="Arial" w:hAnsi="Arial"/>
          <w:sz w:val="14"/>
          <w:szCs w:val="14"/>
          <w:color w:val="auto"/>
        </w:rPr>
        <w:t xml:space="preserve">; </w:t>
      </w:r>
      <w:r>
        <w:rPr>
          <w:rFonts w:ascii="Arial" w:cs="Arial" w:eastAsia="Arial" w:hAnsi="Arial"/>
          <w:sz w:val="14"/>
          <w:szCs w:val="14"/>
          <w:i w:val="1"/>
          <w:iCs w:val="1"/>
          <w:color w:val="auto"/>
        </w:rPr>
        <w:t>fourth</w:t>
      </w:r>
      <w:r>
        <w:rPr>
          <w:rFonts w:ascii="Arial" w:cs="Arial" w:eastAsia="Arial" w:hAnsi="Arial"/>
          <w:sz w:val="14"/>
          <w:szCs w:val="14"/>
          <w:color w:val="auto"/>
        </w:rPr>
        <w:t xml:space="preserve">, as Borrower may request (so long as no Default or Event of Default exists), to the funding of any Loan in respect of which such Defaulting Lender has failed to fund its portion thereof as required by this Agreement, as determined by Administrative Agent; </w:t>
      </w:r>
      <w:r>
        <w:rPr>
          <w:rFonts w:ascii="Arial" w:cs="Arial" w:eastAsia="Arial" w:hAnsi="Arial"/>
          <w:sz w:val="14"/>
          <w:szCs w:val="14"/>
          <w:i w:val="1"/>
          <w:iCs w:val="1"/>
          <w:color w:val="auto"/>
        </w:rPr>
        <w:t>fifth</w:t>
      </w:r>
      <w:r>
        <w:rPr>
          <w:rFonts w:ascii="Arial" w:cs="Arial" w:eastAsia="Arial" w:hAnsi="Arial"/>
          <w:sz w:val="14"/>
          <w:szCs w:val="14"/>
          <w:color w:val="auto"/>
        </w:rPr>
        <w:t xml:space="preserve">, if so determined by Administrative Agent and Borrower, to be held in a deposit account and released pro rata in order to (x) satisfy such Defaulting Lender’s potential future funding obligations with respect to Loans under this Agreement and (y) Cash Collateralize Issuing Bank’s future Fronting Exposure with respect to such Defaulting Lender with respect to future Letters of Credit issued under this Agreement, in the manner described in </w:t>
      </w:r>
      <w:r>
        <w:rPr>
          <w:rFonts w:ascii="Arial" w:cs="Arial" w:eastAsia="Arial" w:hAnsi="Arial"/>
          <w:sz w:val="14"/>
          <w:szCs w:val="14"/>
          <w:u w:val="single" w:color="auto"/>
          <w:color w:val="auto"/>
        </w:rPr>
        <w:t>Section 2.09(a)</w:t>
      </w:r>
      <w:r>
        <w:rPr>
          <w:rFonts w:ascii="Arial" w:cs="Arial" w:eastAsia="Arial" w:hAnsi="Arial"/>
          <w:sz w:val="14"/>
          <w:szCs w:val="14"/>
          <w:color w:val="auto"/>
        </w:rPr>
        <w:t xml:space="preserve">; </w:t>
      </w:r>
      <w:r>
        <w:rPr>
          <w:rFonts w:ascii="Arial" w:cs="Arial" w:eastAsia="Arial" w:hAnsi="Arial"/>
          <w:sz w:val="14"/>
          <w:szCs w:val="14"/>
          <w:i w:val="1"/>
          <w:iCs w:val="1"/>
          <w:color w:val="auto"/>
        </w:rPr>
        <w:t>sixth</w:t>
      </w:r>
      <w:r>
        <w:rPr>
          <w:rFonts w:ascii="Arial" w:cs="Arial" w:eastAsia="Arial" w:hAnsi="Arial"/>
          <w:sz w:val="14"/>
          <w:szCs w:val="14"/>
          <w:color w:val="auto"/>
        </w:rPr>
        <w:t>, to the payment of any amounts owing to the Lenders, Issuing Bank or Swingline Lender as a result of any judgment of a court of competent jurisdiction obtained by any</w:t>
      </w:r>
      <w:r>
        <w:rPr>
          <w:rFonts w:ascii="Arial" w:cs="Arial" w:eastAsia="Arial" w:hAnsi="Arial"/>
          <w:sz w:val="14"/>
          <w:szCs w:val="14"/>
          <w:i w:val="1"/>
          <w:iCs w:val="1"/>
          <w:color w:val="auto"/>
        </w:rPr>
        <w:t xml:space="preserve"> </w:t>
      </w:r>
      <w:r>
        <w:rPr>
          <w:rFonts w:ascii="Arial" w:cs="Arial" w:eastAsia="Arial" w:hAnsi="Arial"/>
          <w:sz w:val="14"/>
          <w:szCs w:val="14"/>
          <w:color w:val="auto"/>
        </w:rPr>
        <w:t xml:space="preserve">Lender, the Issuing Bank or the Swingline Lender against such Defaulting Lender as a result of such Defaulting Lender’s breach of its obligations under this Agreement; </w:t>
      </w:r>
      <w:r>
        <w:rPr>
          <w:rFonts w:ascii="Arial" w:cs="Arial" w:eastAsia="Arial" w:hAnsi="Arial"/>
          <w:sz w:val="14"/>
          <w:szCs w:val="14"/>
          <w:i w:val="1"/>
          <w:iCs w:val="1"/>
          <w:color w:val="auto"/>
        </w:rPr>
        <w:t>seventh</w:t>
      </w:r>
      <w:r>
        <w:rPr>
          <w:rFonts w:ascii="Arial" w:cs="Arial" w:eastAsia="Arial" w:hAnsi="Arial"/>
          <w:sz w:val="14"/>
          <w:szCs w:val="14"/>
          <w:color w:val="auto"/>
        </w:rPr>
        <w:t>, so long as no Default or Event of Default exists, to the payment of any amounts owing to Borrower as a result of any judgment of a court of competent jurisdiction obtained by Borrower</w:t>
      </w:r>
    </w:p>
    <w:p>
      <w:pPr>
        <w:spacing w:after="0" w:line="200" w:lineRule="exact"/>
        <w:rPr>
          <w:sz w:val="20"/>
          <w:szCs w:val="20"/>
          <w:color w:val="auto"/>
        </w:rPr>
      </w:pPr>
    </w:p>
    <w:p>
      <w:pPr>
        <w:spacing w:after="0" w:line="200" w:lineRule="exact"/>
        <w:rPr>
          <w:sz w:val="20"/>
          <w:szCs w:val="20"/>
          <w:color w:val="auto"/>
        </w:rPr>
      </w:pPr>
    </w:p>
    <w:p>
      <w:pPr>
        <w:spacing w:after="0" w:line="20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7580" w:type="dxa"/>
            <w:vAlign w:val="bottom"/>
          </w:tcPr>
          <w:p>
            <w:pPr>
              <w:jc w:val="right"/>
              <w:ind w:right="1808"/>
              <w:spacing w:after="0"/>
              <w:rPr>
                <w:sz w:val="20"/>
                <w:szCs w:val="20"/>
                <w:color w:val="auto"/>
              </w:rPr>
            </w:pPr>
            <w:r>
              <w:rPr>
                <w:rFonts w:ascii="Arial" w:cs="Arial" w:eastAsia="Arial" w:hAnsi="Arial"/>
                <w:sz w:val="14"/>
                <w:szCs w:val="14"/>
                <w:color w:val="auto"/>
              </w:rPr>
              <w:t>36</w:t>
            </w:r>
          </w:p>
        </w:tc>
        <w:tc>
          <w:tcPr>
            <w:tcW w:w="3680" w:type="dxa"/>
            <w:vAlign w:val="bottom"/>
          </w:tcPr>
          <w:p>
            <w:pPr>
              <w:jc w:val="right"/>
              <w:spacing w:after="0"/>
              <w:rPr>
                <w:sz w:val="20"/>
                <w:szCs w:val="20"/>
                <w:color w:val="auto"/>
              </w:rPr>
            </w:pPr>
            <w:r>
              <w:rPr>
                <w:rFonts w:ascii="Arial" w:cs="Arial" w:eastAsia="Arial" w:hAnsi="Arial"/>
                <w:sz w:val="14"/>
                <w:szCs w:val="14"/>
                <w:i w:val="1"/>
                <w:iCs w:val="1"/>
                <w:color w:val="auto"/>
              </w:rPr>
              <w:t>Second Amended and Restated</w:t>
            </w:r>
          </w:p>
        </w:tc>
      </w:tr>
      <w:tr>
        <w:trPr>
          <w:trHeight w:val="182"/>
        </w:trPr>
        <w:tc>
          <w:tcPr>
            <w:tcW w:w="7580" w:type="dxa"/>
            <w:vAlign w:val="bottom"/>
          </w:tcPr>
          <w:p>
            <w:pPr>
              <w:spacing w:after="0"/>
              <w:rPr>
                <w:sz w:val="15"/>
                <w:szCs w:val="15"/>
                <w:color w:val="auto"/>
              </w:rPr>
            </w:pPr>
          </w:p>
        </w:tc>
        <w:tc>
          <w:tcPr>
            <w:tcW w:w="3680" w:type="dxa"/>
            <w:vAlign w:val="bottom"/>
          </w:tcPr>
          <w:p>
            <w:pPr>
              <w:jc w:val="right"/>
              <w:spacing w:after="0"/>
              <w:rPr>
                <w:sz w:val="20"/>
                <w:szCs w:val="20"/>
                <w:color w:val="auto"/>
              </w:rPr>
            </w:pPr>
            <w:r>
              <w:rPr>
                <w:rFonts w:ascii="Arial" w:cs="Arial" w:eastAsia="Arial" w:hAnsi="Arial"/>
                <w:sz w:val="14"/>
                <w:szCs w:val="14"/>
                <w:i w:val="1"/>
                <w:iCs w:val="1"/>
                <w:color w:val="auto"/>
              </w:rPr>
              <w:t>Revolving Credit Agreement</w:t>
            </w:r>
          </w:p>
        </w:tc>
      </w:tr>
      <w:tr>
        <w:trPr>
          <w:trHeight w:val="316"/>
        </w:trPr>
        <w:tc>
          <w:tcPr>
            <w:tcW w:w="7580" w:type="dxa"/>
            <w:vAlign w:val="bottom"/>
            <w:tcBorders>
              <w:bottom w:val="single" w:sz="8" w:color="9A9A9A"/>
            </w:tcBorders>
          </w:tcPr>
          <w:p>
            <w:pPr>
              <w:spacing w:after="0"/>
              <w:rPr>
                <w:sz w:val="24"/>
                <w:szCs w:val="24"/>
                <w:color w:val="auto"/>
              </w:rPr>
            </w:pPr>
          </w:p>
        </w:tc>
        <w:tc>
          <w:tcPr>
            <w:tcW w:w="368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7145655</wp:posOffset>
            </wp:positionH>
            <wp:positionV relativeFrom="paragraph">
              <wp:posOffset>-7620</wp:posOffset>
            </wp:positionV>
            <wp:extent cx="8255" cy="8255"/>
            <wp:wrapNone/>
            <wp:docPr id="177" name="Picture 1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7"/>
                    <pic:cNvPicPr>
                      <a:picLocks noChangeAspect="1" noChangeArrowheads="1"/>
                    </pic:cNvPicPr>
                  </pic:nvPicPr>
                  <pic:blipFill>
                    <a:blip r:embed="rId184">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-16510</wp:posOffset>
            </wp:positionV>
            <wp:extent cx="8890" cy="17145"/>
            <wp:wrapNone/>
            <wp:docPr id="178" name="Picture 1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8"/>
                    <pic:cNvPicPr>
                      <a:picLocks noChangeAspect="1" noChangeArrowheads="1"/>
                    </pic:cNvPicPr>
                  </pic:nvPicPr>
                  <pic:blipFill>
                    <a:blip r:embed="rId185">
                      <a:extLst>
                        <a:ext uri="{28A0092B-C50C-407E-A947-70E740481C1C}"/>
                      </a:extLst>
                    </a:blip>
                    <a:srcRect/>
                    <a:stretch>
                      <a:fillRect/>
                    </a:stretch>
                  </pic:blipFill>
                  <pic:spPr bwMode="auto">
                    <a:xfrm>
                      <a:off x="0" y="0"/>
                      <a:ext cx="8890" cy="17145"/>
                    </a:xfrm>
                    <a:prstGeom prst="rect">
                      <a:avLst/>
                    </a:prstGeom>
                    <a:noFill/>
                  </pic:spPr>
                </pic:pic>
              </a:graphicData>
            </a:graphic>
          </wp:anchor>
        </w:drawing>
      </w:r>
    </w:p>
    <w:p>
      <w:pPr>
        <w:sectPr>
          <w:pgSz w:w="11900" w:h="16838" w:orient="portrait"/>
          <w:cols w:equalWidth="0" w:num="1">
            <w:col w:w="11260"/>
          </w:cols>
          <w:pgMar w:left="320" w:top="337" w:right="319" w:bottom="1440" w:gutter="0" w:footer="0" w:header="0"/>
        </w:sectPr>
      </w:pPr>
    </w:p>
    <w:bookmarkStart w:id="99" w:name="page100"/>
    <w:bookmarkEnd w:id="99"/>
    <w:p>
      <w:pPr>
        <w:jc w:val="both"/>
        <w:ind w:left="880" w:right="20"/>
        <w:spacing w:after="0" w:line="244" w:lineRule="auto"/>
        <w:rPr>
          <w:sz w:val="20"/>
          <w:szCs w:val="20"/>
          <w:color w:val="auto"/>
        </w:rPr>
      </w:pPr>
      <w:r>
        <w:rPr>
          <w:rFonts w:ascii="Arial" w:cs="Arial" w:eastAsia="Arial" w:hAnsi="Arial"/>
          <w:sz w:val="13"/>
          <w:szCs w:val="13"/>
          <w:color w:val="auto"/>
        </w:rPr>
        <w:t xml:space="preserve">against such Defaulting Lender as a result of such Defaulting Lender’s breach of its obligations under this Agreement; and </w:t>
      </w:r>
      <w:r>
        <w:rPr>
          <w:rFonts w:ascii="Arial" w:cs="Arial" w:eastAsia="Arial" w:hAnsi="Arial"/>
          <w:sz w:val="13"/>
          <w:szCs w:val="13"/>
          <w:i w:val="1"/>
          <w:iCs w:val="1"/>
          <w:color w:val="auto"/>
        </w:rPr>
        <w:t>eighth</w:t>
      </w:r>
      <w:r>
        <w:rPr>
          <w:rFonts w:ascii="Arial" w:cs="Arial" w:eastAsia="Arial" w:hAnsi="Arial"/>
          <w:sz w:val="13"/>
          <w:szCs w:val="13"/>
          <w:color w:val="auto"/>
        </w:rPr>
        <w:t xml:space="preserve">, to such Defaulting Lender or as otherwise directed by a court of competent jurisdiction; </w:t>
      </w:r>
      <w:r>
        <w:rPr>
          <w:rFonts w:ascii="Arial" w:cs="Arial" w:eastAsia="Arial" w:hAnsi="Arial"/>
          <w:sz w:val="13"/>
          <w:szCs w:val="13"/>
          <w:u w:val="single" w:color="auto"/>
          <w:color w:val="auto"/>
        </w:rPr>
        <w:t>provided</w:t>
      </w:r>
      <w:r>
        <w:rPr>
          <w:rFonts w:ascii="Arial" w:cs="Arial" w:eastAsia="Arial" w:hAnsi="Arial"/>
          <w:sz w:val="13"/>
          <w:szCs w:val="13"/>
          <w:color w:val="auto"/>
        </w:rPr>
        <w:t xml:space="preserve"> that if (x) such payment is a payment of the principal amount of any Loans or reimbursement obligations in respect of any LC Disbursement for which such Defaulting Lender has not fully funded its appropriate share, and (y) such Loans were made or the related Letters of Credit were issued at a time when the conditions set forth in </w:t>
      </w:r>
      <w:r>
        <w:rPr>
          <w:rFonts w:ascii="Arial" w:cs="Arial" w:eastAsia="Arial" w:hAnsi="Arial"/>
          <w:sz w:val="13"/>
          <w:szCs w:val="13"/>
          <w:u w:val="single" w:color="auto"/>
          <w:color w:val="auto"/>
        </w:rPr>
        <w:t>Section 4.02</w:t>
      </w:r>
      <w:r>
        <w:rPr>
          <w:rFonts w:ascii="Arial" w:cs="Arial" w:eastAsia="Arial" w:hAnsi="Arial"/>
          <w:sz w:val="13"/>
          <w:szCs w:val="13"/>
          <w:color w:val="auto"/>
        </w:rPr>
        <w:t xml:space="preserve"> were satisfied and waived, such payment shall be applied solely to pay the Loans of, and reimbursement obligations in respect of any LC Disbursement that is owed to, all Non-Defaulting Lenders on a pro rata basis prior to being applied to the payment of any Loans of, or reimbursement obligations in respect of any LC Disbursement that is owed to, such Defaulting Lender until such time as all Loans and funded and unfunded participations in Letters of Credit and Swingline Loans are held by the Lenders pro rata in accordance with the applicable Commitments without giving effect to </w:t>
      </w:r>
      <w:r>
        <w:rPr>
          <w:rFonts w:ascii="Arial" w:cs="Arial" w:eastAsia="Arial" w:hAnsi="Arial"/>
          <w:sz w:val="13"/>
          <w:szCs w:val="13"/>
          <w:u w:val="single" w:color="auto"/>
          <w:color w:val="auto"/>
        </w:rPr>
        <w:t>Section 2.19(a)(iii)</w:t>
      </w:r>
      <w:r>
        <w:rPr>
          <w:rFonts w:ascii="Arial" w:cs="Arial" w:eastAsia="Arial" w:hAnsi="Arial"/>
          <w:sz w:val="13"/>
          <w:szCs w:val="13"/>
          <w:color w:val="auto"/>
        </w:rPr>
        <w:t xml:space="preserve">. Any payments, prepayments or other amounts paid or payable to a Defaulting Lender that are applied (or held) to pay amounts owed by a Defaulting Lender or to post Cash Collateral pursuant to this </w:t>
      </w:r>
      <w:r>
        <w:rPr>
          <w:rFonts w:ascii="Arial" w:cs="Arial" w:eastAsia="Arial" w:hAnsi="Arial"/>
          <w:sz w:val="13"/>
          <w:szCs w:val="13"/>
          <w:u w:val="single" w:color="auto"/>
          <w:color w:val="auto"/>
        </w:rPr>
        <w:t>Section 2.19(a)(i)</w:t>
      </w:r>
      <w:r>
        <w:rPr>
          <w:rFonts w:ascii="Arial" w:cs="Arial" w:eastAsia="Arial" w:hAnsi="Arial"/>
          <w:sz w:val="13"/>
          <w:szCs w:val="13"/>
          <w:color w:val="auto"/>
        </w:rPr>
        <w:t xml:space="preserve"> shall be deemed paid to and redirected by such Defaulting Lender, and each Lender irrevocably consents hereto.</w:t>
      </w:r>
    </w:p>
    <w:p>
      <w:pPr>
        <w:spacing w:after="0" w:line="185" w:lineRule="exact"/>
        <w:rPr>
          <w:sz w:val="20"/>
          <w:szCs w:val="20"/>
          <w:color w:val="auto"/>
        </w:rPr>
      </w:pPr>
    </w:p>
    <w:p>
      <w:pPr>
        <w:ind w:left="2500" w:hanging="831"/>
        <w:spacing w:after="0"/>
        <w:tabs>
          <w:tab w:leader="none" w:pos="2500" w:val="left"/>
        </w:tabs>
        <w:numPr>
          <w:ilvl w:val="0"/>
          <w:numId w:val="97"/>
        </w:numPr>
        <w:rPr>
          <w:rFonts w:ascii="Arial" w:cs="Arial" w:eastAsia="Arial" w:hAnsi="Arial"/>
          <w:sz w:val="14"/>
          <w:szCs w:val="14"/>
          <w:color w:val="auto"/>
        </w:rPr>
      </w:pPr>
      <w:r>
        <w:rPr>
          <w:rFonts w:ascii="Arial" w:cs="Arial" w:eastAsia="Arial" w:hAnsi="Arial"/>
          <w:sz w:val="14"/>
          <w:szCs w:val="14"/>
          <w:u w:val="single" w:color="auto"/>
          <w:color w:val="auto"/>
        </w:rPr>
        <w:t>Certain Fees</w:t>
      </w:r>
      <w:r>
        <w:rPr>
          <w:rFonts w:ascii="Arial" w:cs="Arial" w:eastAsia="Arial" w:hAnsi="Arial"/>
          <w:sz w:val="14"/>
          <w:szCs w:val="14"/>
          <w:color w:val="auto"/>
        </w:rPr>
        <w:t>.</w:t>
      </w:r>
    </w:p>
    <w:p>
      <w:pPr>
        <w:spacing w:after="0" w:line="203" w:lineRule="exact"/>
        <w:rPr>
          <w:rFonts w:ascii="Arial" w:cs="Arial" w:eastAsia="Arial" w:hAnsi="Arial"/>
          <w:sz w:val="14"/>
          <w:szCs w:val="14"/>
          <w:color w:val="auto"/>
        </w:rPr>
      </w:pPr>
    </w:p>
    <w:p>
      <w:pPr>
        <w:jc w:val="both"/>
        <w:ind w:left="1740" w:right="20" w:firstLine="726"/>
        <w:spacing w:after="0" w:line="231" w:lineRule="auto"/>
        <w:tabs>
          <w:tab w:leader="none" w:pos="3318" w:val="left"/>
        </w:tabs>
        <w:numPr>
          <w:ilvl w:val="2"/>
          <w:numId w:val="97"/>
        </w:numPr>
        <w:rPr>
          <w:rFonts w:ascii="Arial" w:cs="Arial" w:eastAsia="Arial" w:hAnsi="Arial"/>
          <w:sz w:val="14"/>
          <w:szCs w:val="14"/>
          <w:color w:val="auto"/>
        </w:rPr>
      </w:pPr>
      <w:r>
        <w:rPr>
          <w:rFonts w:ascii="Arial" w:cs="Arial" w:eastAsia="Arial" w:hAnsi="Arial"/>
          <w:sz w:val="14"/>
          <w:szCs w:val="14"/>
          <w:color w:val="auto"/>
        </w:rPr>
        <w:t xml:space="preserve">No Defaulting Lender shall be entitled to receive any fee pursuant to </w:t>
      </w:r>
      <w:r>
        <w:rPr>
          <w:rFonts w:ascii="Arial" w:cs="Arial" w:eastAsia="Arial" w:hAnsi="Arial"/>
          <w:sz w:val="14"/>
          <w:szCs w:val="14"/>
          <w:u w:val="single" w:color="auto"/>
          <w:color w:val="auto"/>
        </w:rPr>
        <w:t>Sections 2.11(a)</w:t>
      </w:r>
      <w:r>
        <w:rPr>
          <w:rFonts w:ascii="Arial" w:cs="Arial" w:eastAsia="Arial" w:hAnsi="Arial"/>
          <w:sz w:val="14"/>
          <w:szCs w:val="14"/>
          <w:color w:val="auto"/>
        </w:rPr>
        <w:t xml:space="preserve"> and </w:t>
      </w:r>
      <w:r>
        <w:rPr>
          <w:rFonts w:ascii="Arial" w:cs="Arial" w:eastAsia="Arial" w:hAnsi="Arial"/>
          <w:sz w:val="14"/>
          <w:szCs w:val="14"/>
          <w:u w:val="single" w:color="auto"/>
          <w:color w:val="auto"/>
        </w:rPr>
        <w:t>(b)</w:t>
      </w:r>
      <w:r>
        <w:rPr>
          <w:rFonts w:ascii="Arial" w:cs="Arial" w:eastAsia="Arial" w:hAnsi="Arial"/>
          <w:sz w:val="14"/>
          <w:szCs w:val="14"/>
          <w:color w:val="auto"/>
        </w:rPr>
        <w:t xml:space="preserve"> for any period during which that Lender is a Defaulting Lender (and Borrower shall not be required to pay any such fee that otherwise would have been required to have been paid to that Defaulting Lender); </w:t>
      </w:r>
      <w:r>
        <w:rPr>
          <w:rFonts w:ascii="Arial" w:cs="Arial" w:eastAsia="Arial" w:hAnsi="Arial"/>
          <w:sz w:val="14"/>
          <w:szCs w:val="14"/>
          <w:u w:val="single" w:color="auto"/>
          <w:color w:val="auto"/>
        </w:rPr>
        <w:t>provided</w:t>
      </w:r>
      <w:r>
        <w:rPr>
          <w:rFonts w:ascii="Arial" w:cs="Arial" w:eastAsia="Arial" w:hAnsi="Arial"/>
          <w:sz w:val="14"/>
          <w:szCs w:val="14"/>
          <w:color w:val="auto"/>
        </w:rPr>
        <w:t xml:space="preserve"> that such Defaulting Lender shall be entitled to receive fees pursuant to </w:t>
      </w:r>
      <w:r>
        <w:rPr>
          <w:rFonts w:ascii="Arial" w:cs="Arial" w:eastAsia="Arial" w:hAnsi="Arial"/>
          <w:sz w:val="14"/>
          <w:szCs w:val="14"/>
          <w:u w:val="single" w:color="auto"/>
          <w:color w:val="auto"/>
        </w:rPr>
        <w:t>Section 2.11(b)</w:t>
      </w:r>
      <w:r>
        <w:rPr>
          <w:rFonts w:ascii="Arial" w:cs="Arial" w:eastAsia="Arial" w:hAnsi="Arial"/>
          <w:sz w:val="14"/>
          <w:szCs w:val="14"/>
          <w:color w:val="auto"/>
        </w:rPr>
        <w:t xml:space="preserve"> for any period during which that Lender is a Defaulting Lender only to extent allocable to its Applicable Percentage of the stated amount of Letters of Credit for which it (but not the Borrower) has provided Cash Collateral pursuant to </w:t>
      </w:r>
      <w:r>
        <w:rPr>
          <w:rFonts w:ascii="Arial" w:cs="Arial" w:eastAsia="Arial" w:hAnsi="Arial"/>
          <w:sz w:val="14"/>
          <w:szCs w:val="14"/>
          <w:u w:val="single" w:color="auto"/>
          <w:color w:val="auto"/>
        </w:rPr>
        <w:t>Section 2.19(d)</w:t>
      </w:r>
      <w:r>
        <w:rPr>
          <w:rFonts w:ascii="Arial" w:cs="Arial" w:eastAsia="Arial" w:hAnsi="Arial"/>
          <w:sz w:val="14"/>
          <w:szCs w:val="14"/>
          <w:color w:val="auto"/>
        </w:rPr>
        <w:t>.</w:t>
      </w:r>
    </w:p>
    <w:p>
      <w:pPr>
        <w:spacing w:after="0" w:line="183" w:lineRule="exact"/>
        <w:rPr>
          <w:rFonts w:ascii="Arial" w:cs="Arial" w:eastAsia="Arial" w:hAnsi="Arial"/>
          <w:sz w:val="14"/>
          <w:szCs w:val="14"/>
          <w:color w:val="auto"/>
        </w:rPr>
      </w:pPr>
    </w:p>
    <w:p>
      <w:pPr>
        <w:ind w:left="3300" w:hanging="834"/>
        <w:spacing w:after="0"/>
        <w:tabs>
          <w:tab w:leader="none" w:pos="3300" w:val="left"/>
        </w:tabs>
        <w:numPr>
          <w:ilvl w:val="2"/>
          <w:numId w:val="97"/>
        </w:numPr>
        <w:rPr>
          <w:rFonts w:ascii="Arial" w:cs="Arial" w:eastAsia="Arial" w:hAnsi="Arial"/>
          <w:sz w:val="13"/>
          <w:szCs w:val="13"/>
          <w:color w:val="auto"/>
        </w:rPr>
      </w:pPr>
      <w:r>
        <w:rPr>
          <w:rFonts w:ascii="Arial" w:cs="Arial" w:eastAsia="Arial" w:hAnsi="Arial"/>
          <w:sz w:val="13"/>
          <w:szCs w:val="13"/>
          <w:color w:val="auto"/>
        </w:rPr>
        <w:t xml:space="preserve">With respect to any </w:t>
      </w:r>
      <w:r>
        <w:rPr>
          <w:rFonts w:ascii="Arial" w:cs="Arial" w:eastAsia="Arial" w:hAnsi="Arial"/>
          <w:sz w:val="13"/>
          <w:szCs w:val="13"/>
          <w:u w:val="single" w:color="auto"/>
          <w:color w:val="auto"/>
        </w:rPr>
        <w:t>Section 2.11(b)</w:t>
      </w:r>
      <w:r>
        <w:rPr>
          <w:rFonts w:ascii="Arial" w:cs="Arial" w:eastAsia="Arial" w:hAnsi="Arial"/>
          <w:sz w:val="13"/>
          <w:szCs w:val="13"/>
          <w:color w:val="auto"/>
        </w:rPr>
        <w:t xml:space="preserve"> fees not required to be paid to any Defaulting Lender pursuant to </w:t>
      </w:r>
      <w:r>
        <w:rPr>
          <w:rFonts w:ascii="Arial" w:cs="Arial" w:eastAsia="Arial" w:hAnsi="Arial"/>
          <w:sz w:val="13"/>
          <w:szCs w:val="13"/>
          <w:u w:val="single" w:color="auto"/>
          <w:color w:val="auto"/>
        </w:rPr>
        <w:t>clause (A)</w:t>
      </w:r>
      <w:r>
        <w:rPr>
          <w:rFonts w:ascii="Arial" w:cs="Arial" w:eastAsia="Arial" w:hAnsi="Arial"/>
          <w:sz w:val="13"/>
          <w:szCs w:val="13"/>
          <w:color w:val="auto"/>
        </w:rPr>
        <w:t xml:space="preserve"> above, Borrower shall</w:t>
      </w:r>
    </w:p>
    <w:p>
      <w:pPr>
        <w:spacing w:after="0" w:line="11" w:lineRule="exact"/>
        <w:rPr>
          <w:rFonts w:ascii="Arial" w:cs="Arial" w:eastAsia="Arial" w:hAnsi="Arial"/>
          <w:sz w:val="13"/>
          <w:szCs w:val="13"/>
          <w:color w:val="auto"/>
        </w:rPr>
      </w:pPr>
    </w:p>
    <w:p>
      <w:pPr>
        <w:jc w:val="both"/>
        <w:ind w:left="1740" w:right="20" w:hanging="5"/>
        <w:spacing w:after="0" w:line="238" w:lineRule="auto"/>
        <w:tabs>
          <w:tab w:leader="none" w:pos="1971" w:val="left"/>
        </w:tabs>
        <w:numPr>
          <w:ilvl w:val="1"/>
          <w:numId w:val="97"/>
        </w:numPr>
        <w:rPr>
          <w:rFonts w:ascii="Arial" w:cs="Arial" w:eastAsia="Arial" w:hAnsi="Arial"/>
          <w:sz w:val="13"/>
          <w:szCs w:val="13"/>
          <w:color w:val="auto"/>
        </w:rPr>
      </w:pPr>
      <w:r>
        <w:rPr>
          <w:rFonts w:ascii="Arial" w:cs="Arial" w:eastAsia="Arial" w:hAnsi="Arial"/>
          <w:sz w:val="13"/>
          <w:szCs w:val="13"/>
          <w:color w:val="auto"/>
        </w:rPr>
        <w:t xml:space="preserve">pay to each Non-Defaulting Lender that portion of any such fee otherwise payable to such Defaulting Lender with respect to such Defaulting Lender’s participation in Letters of Credit or Swingline Loans that has been reallocated to such Non-Defaulting Lender pursuant to </w:t>
      </w:r>
      <w:r>
        <w:rPr>
          <w:rFonts w:ascii="Arial" w:cs="Arial" w:eastAsia="Arial" w:hAnsi="Arial"/>
          <w:sz w:val="13"/>
          <w:szCs w:val="13"/>
          <w:u w:val="single" w:color="auto"/>
          <w:color w:val="auto"/>
        </w:rPr>
        <w:t>clause (iii)</w:t>
      </w:r>
      <w:r>
        <w:rPr>
          <w:rFonts w:ascii="Arial" w:cs="Arial" w:eastAsia="Arial" w:hAnsi="Arial"/>
          <w:sz w:val="13"/>
          <w:szCs w:val="13"/>
          <w:color w:val="auto"/>
        </w:rPr>
        <w:t xml:space="preserve"> below, (y) pay to Issuing Bank the amount of any such fee otherwise payable to such Defaulting Lender to the extent allocable to Issuing Bank’s Fronting Exposure to such Defaulting Lender, and</w:t>
      </w:r>
    </w:p>
    <w:p>
      <w:pPr>
        <w:ind w:left="1940" w:hanging="205"/>
        <w:spacing w:after="0"/>
        <w:tabs>
          <w:tab w:leader="none" w:pos="1940" w:val="left"/>
        </w:tabs>
        <w:numPr>
          <w:ilvl w:val="1"/>
          <w:numId w:val="98"/>
        </w:numPr>
        <w:rPr>
          <w:rFonts w:ascii="Arial" w:cs="Arial" w:eastAsia="Arial" w:hAnsi="Arial"/>
          <w:sz w:val="14"/>
          <w:szCs w:val="14"/>
          <w:color w:val="auto"/>
        </w:rPr>
      </w:pPr>
      <w:r>
        <w:rPr>
          <w:rFonts w:ascii="Arial" w:cs="Arial" w:eastAsia="Arial" w:hAnsi="Arial"/>
          <w:sz w:val="14"/>
          <w:szCs w:val="14"/>
          <w:color w:val="auto"/>
        </w:rPr>
        <w:t>not be required to pay the remaining amount of any such fee.</w:t>
      </w:r>
    </w:p>
    <w:p>
      <w:pPr>
        <w:spacing w:after="0" w:line="192" w:lineRule="exact"/>
        <w:rPr>
          <w:sz w:val="20"/>
          <w:szCs w:val="20"/>
          <w:color w:val="auto"/>
        </w:rPr>
      </w:pPr>
    </w:p>
    <w:p>
      <w:pPr>
        <w:jc w:val="both"/>
        <w:ind w:left="880" w:right="20" w:firstLine="789"/>
        <w:spacing w:after="0" w:line="226" w:lineRule="auto"/>
        <w:tabs>
          <w:tab w:leader="none" w:pos="2541" w:val="left"/>
        </w:tabs>
        <w:numPr>
          <w:ilvl w:val="0"/>
          <w:numId w:val="99"/>
        </w:numPr>
        <w:rPr>
          <w:rFonts w:ascii="Arial" w:cs="Arial" w:eastAsia="Arial" w:hAnsi="Arial"/>
          <w:sz w:val="14"/>
          <w:szCs w:val="14"/>
          <w:color w:val="auto"/>
        </w:rPr>
      </w:pPr>
      <w:r>
        <w:rPr>
          <w:rFonts w:ascii="Arial" w:cs="Arial" w:eastAsia="Arial" w:hAnsi="Arial"/>
          <w:sz w:val="14"/>
          <w:szCs w:val="14"/>
          <w:u w:val="single" w:color="auto"/>
          <w:color w:val="auto"/>
        </w:rPr>
        <w:t>Reallocation of Participations to Reduce Fronting Exposure</w:t>
      </w:r>
      <w:r>
        <w:rPr>
          <w:rFonts w:ascii="Arial" w:cs="Arial" w:eastAsia="Arial" w:hAnsi="Arial"/>
          <w:sz w:val="14"/>
          <w:szCs w:val="14"/>
          <w:color w:val="auto"/>
        </w:rPr>
        <w:t xml:space="preserve">. All or any part of such Defaulting Lender’s participation in Letters of Credit and Swingline Loans shall be reallocated (effective no later than one (1) Business Day after the Administrative Agent has actual knowledge that such Lender has become a Defaulting Lender) among the Non-Defaulting Lenders in accordance with their respective Applicable Dollar Percentages and Applicable Multicurrency Percentages, as the case may be (in each case, calculated without regard to such Defaulting Lender’s Commitment) but only to the extent that (x) the conditions set forth in </w:t>
      </w:r>
      <w:r>
        <w:rPr>
          <w:rFonts w:ascii="Arial" w:cs="Arial" w:eastAsia="Arial" w:hAnsi="Arial"/>
          <w:sz w:val="14"/>
          <w:szCs w:val="14"/>
          <w:u w:val="single" w:color="auto"/>
          <w:color w:val="auto"/>
        </w:rPr>
        <w:t>Section 4.02</w:t>
      </w:r>
      <w:r>
        <w:rPr>
          <w:rFonts w:ascii="Arial" w:cs="Arial" w:eastAsia="Arial" w:hAnsi="Arial"/>
          <w:sz w:val="14"/>
          <w:szCs w:val="14"/>
          <w:color w:val="auto"/>
        </w:rPr>
        <w:t xml:space="preserve"> are satisfied at the time of such reallocation (and, unless Borrower shall have otherwise notified Administrative Agent at such time, Borrower shall be deemed to have represented and warranted that such conditions are satisfied at such time), and (y) such reallocation does not cause the aggregate Revolving Credit Exposure of any Non-Defaulting Lender to exceed such Non-Defaulting Lender’s Commitment. Subject to </w:t>
      </w:r>
      <w:r>
        <w:rPr>
          <w:rFonts w:ascii="Arial" w:cs="Arial" w:eastAsia="Arial" w:hAnsi="Arial"/>
          <w:sz w:val="14"/>
          <w:szCs w:val="14"/>
          <w:u w:val="single" w:color="auto"/>
          <w:color w:val="auto"/>
        </w:rPr>
        <w:t>Section 9.16</w:t>
      </w:r>
      <w:r>
        <w:rPr>
          <w:rFonts w:ascii="Arial" w:cs="Arial" w:eastAsia="Arial" w:hAnsi="Arial"/>
          <w:sz w:val="14"/>
          <w:szCs w:val="14"/>
          <w:color w:val="auto"/>
        </w:rPr>
        <w:t>, no reallocation hereunder shall constitute a waiver or release of any claim of any party hereunder against a Defaulting Lender arising from that Lender having become a Defaulting Lender, including any claim of a Non-Defaulting Lender as a result of such Non-Defaulting Lender’s increased exposure following such reallocation.</w:t>
      </w:r>
    </w:p>
    <w:p>
      <w:pPr>
        <w:spacing w:after="0" w:line="188" w:lineRule="exact"/>
        <w:rPr>
          <w:rFonts w:ascii="Arial" w:cs="Arial" w:eastAsia="Arial" w:hAnsi="Arial"/>
          <w:sz w:val="14"/>
          <w:szCs w:val="14"/>
          <w:color w:val="auto"/>
        </w:rPr>
      </w:pPr>
    </w:p>
    <w:p>
      <w:pPr>
        <w:jc w:val="both"/>
        <w:ind w:left="880" w:right="20" w:firstLine="789"/>
        <w:spacing w:after="0" w:line="247" w:lineRule="auto"/>
        <w:tabs>
          <w:tab w:leader="none" w:pos="2533" w:val="left"/>
        </w:tabs>
        <w:numPr>
          <w:ilvl w:val="0"/>
          <w:numId w:val="99"/>
        </w:numPr>
        <w:rPr>
          <w:rFonts w:ascii="Arial" w:cs="Arial" w:eastAsia="Arial" w:hAnsi="Arial"/>
          <w:sz w:val="13"/>
          <w:szCs w:val="13"/>
          <w:color w:val="auto"/>
        </w:rPr>
      </w:pPr>
      <w:r>
        <w:rPr>
          <w:rFonts w:ascii="Arial" w:cs="Arial" w:eastAsia="Arial" w:hAnsi="Arial"/>
          <w:sz w:val="13"/>
          <w:szCs w:val="13"/>
          <w:u w:val="single" w:color="auto"/>
          <w:color w:val="auto"/>
        </w:rPr>
        <w:t>Cash Collateral; Repayment of Swingline Loans</w:t>
      </w:r>
      <w:r>
        <w:rPr>
          <w:rFonts w:ascii="Arial" w:cs="Arial" w:eastAsia="Arial" w:hAnsi="Arial"/>
          <w:sz w:val="13"/>
          <w:szCs w:val="13"/>
          <w:color w:val="auto"/>
        </w:rPr>
        <w:t xml:space="preserve">. If the reallocation described in </w:t>
      </w:r>
      <w:r>
        <w:rPr>
          <w:rFonts w:ascii="Arial" w:cs="Arial" w:eastAsia="Arial" w:hAnsi="Arial"/>
          <w:sz w:val="13"/>
          <w:szCs w:val="13"/>
          <w:u w:val="single" w:color="auto"/>
          <w:color w:val="auto"/>
        </w:rPr>
        <w:t>clause (iii)</w:t>
      </w:r>
      <w:r>
        <w:rPr>
          <w:rFonts w:ascii="Arial" w:cs="Arial" w:eastAsia="Arial" w:hAnsi="Arial"/>
          <w:sz w:val="13"/>
          <w:szCs w:val="13"/>
          <w:color w:val="auto"/>
        </w:rPr>
        <w:t xml:space="preserve"> above cannot, or can only partially, be effected, the Borrower shall not later than two (2) Business Days after demand by the Administrative Agent (at the direction of the Issuing Bank and/or the Swingline Lender), without prejudice to any right or remedy available to it hereunder or under law, (x) first, prepay Swingline Loans in an amount equal to the Swingline Lender’s Swingline Exposure (which exposure shall be deemed equal to the applicable Defaulting Lender’s Applicable Percentage of the total outstanding Swingline Exposure (other than Swingline Exposure as to which such Defaulting Lender’s participation obligation has been reallocated to other Lenders or Cash Collateralized in accordance with the terms hereof)) and (y) second, Cash Collateralize the Issuing Bank’s Fronting Exposure in accordance with the procedures set forth in </w:t>
      </w:r>
      <w:r>
        <w:rPr>
          <w:rFonts w:ascii="Arial" w:cs="Arial" w:eastAsia="Arial" w:hAnsi="Arial"/>
          <w:sz w:val="13"/>
          <w:szCs w:val="13"/>
          <w:u w:val="single" w:color="auto"/>
          <w:color w:val="auto"/>
        </w:rPr>
        <w:t>Section 2.19(d)</w:t>
      </w:r>
      <w:r>
        <w:rPr>
          <w:rFonts w:ascii="Arial" w:cs="Arial" w:eastAsia="Arial" w:hAnsi="Arial"/>
          <w:sz w:val="13"/>
          <w:szCs w:val="13"/>
          <w:color w:val="auto"/>
        </w:rPr>
        <w:t xml:space="preserve"> or (z) make other arrangements reasonably satisfactory to the Administrative Agent, the Issuing Bank and the Swingline Lender in their sole discretion to protect them against the risk of non-payment by such Defaulting Lender.</w:t>
      </w:r>
    </w:p>
    <w:p>
      <w:pPr>
        <w:spacing w:after="0" w:line="178" w:lineRule="exact"/>
        <w:rPr>
          <w:rFonts w:ascii="Arial" w:cs="Arial" w:eastAsia="Arial" w:hAnsi="Arial"/>
          <w:sz w:val="13"/>
          <w:szCs w:val="13"/>
          <w:color w:val="auto"/>
        </w:rPr>
      </w:pPr>
    </w:p>
    <w:p>
      <w:pPr>
        <w:jc w:val="both"/>
        <w:ind w:right="20" w:firstLine="1735"/>
        <w:spacing w:after="0" w:line="226" w:lineRule="auto"/>
        <w:tabs>
          <w:tab w:leader="none" w:pos="2543" w:val="left"/>
        </w:tabs>
        <w:numPr>
          <w:ilvl w:val="1"/>
          <w:numId w:val="99"/>
        </w:numPr>
        <w:rPr>
          <w:rFonts w:ascii="Arial" w:cs="Arial" w:eastAsia="Arial" w:hAnsi="Arial"/>
          <w:sz w:val="14"/>
          <w:szCs w:val="14"/>
          <w:color w:val="auto"/>
        </w:rPr>
      </w:pPr>
      <w:r>
        <w:rPr>
          <w:rFonts w:ascii="Arial" w:cs="Arial" w:eastAsia="Arial" w:hAnsi="Arial"/>
          <w:sz w:val="14"/>
          <w:szCs w:val="14"/>
          <w:u w:val="single" w:color="auto"/>
          <w:color w:val="auto"/>
        </w:rPr>
        <w:t>Defaulting Lender Cure</w:t>
      </w:r>
      <w:r>
        <w:rPr>
          <w:rFonts w:ascii="Arial" w:cs="Arial" w:eastAsia="Arial" w:hAnsi="Arial"/>
          <w:sz w:val="14"/>
          <w:szCs w:val="14"/>
          <w:color w:val="auto"/>
        </w:rPr>
        <w:t xml:space="preserve">. If the Borrower, the Administrative Agent, the Swingline Lender and the Issuing Bank agree in writing that a Lender is no longer a Defaulting Lender, Administrative Agent will so notify the parties hereto, whereupon as of the effective date specified in such notice and subject to any conditions set forth therein (which may include arrangements with respect to any Cash Collateral), that such former Defaulting Lender will, to the extent applicable, purchase at par that portion of outstanding Loans of the other Lenders or take such other actions as Administrative Agent may determine to be necessary to cause the Loans and funded and unfunded participations in Letters of Credit and Swingline Loans to be held pro rata by the Lenders in accordance with the applicable Commitments (without giving effect to </w:t>
      </w:r>
      <w:r>
        <w:rPr>
          <w:rFonts w:ascii="Arial" w:cs="Arial" w:eastAsia="Arial" w:hAnsi="Arial"/>
          <w:sz w:val="14"/>
          <w:szCs w:val="14"/>
          <w:u w:val="single" w:color="auto"/>
          <w:color w:val="auto"/>
        </w:rPr>
        <w:t>Section 2.19(a)(iii)</w:t>
      </w:r>
      <w:r>
        <w:rPr>
          <w:rFonts w:ascii="Arial" w:cs="Arial" w:eastAsia="Arial" w:hAnsi="Arial"/>
          <w:sz w:val="14"/>
          <w:szCs w:val="14"/>
          <w:color w:val="auto"/>
        </w:rPr>
        <w:t xml:space="preserve">), and if Cash Collateral has been posted with respect to such Defaulting Lender, the Administrative Agent will promptly return or release such Cash Collateral to the Borrower, whereupon such Lender will cease to be a Defaulting Lender; </w:t>
      </w:r>
      <w:r>
        <w:rPr>
          <w:rFonts w:ascii="Arial" w:cs="Arial" w:eastAsia="Arial" w:hAnsi="Arial"/>
          <w:sz w:val="14"/>
          <w:szCs w:val="14"/>
          <w:u w:val="single" w:color="auto"/>
          <w:color w:val="auto"/>
        </w:rPr>
        <w:t>provided</w:t>
      </w:r>
      <w:r>
        <w:rPr>
          <w:rFonts w:ascii="Arial" w:cs="Arial" w:eastAsia="Arial" w:hAnsi="Arial"/>
          <w:sz w:val="14"/>
          <w:szCs w:val="14"/>
          <w:color w:val="auto"/>
        </w:rPr>
        <w:t xml:space="preserve"> that no adjustments will be made retroactively with respect to fees accrued or payments made by or on behalf of Borrower while that Lender was a Defaulting Lender; and </w:t>
      </w:r>
      <w:r>
        <w:rPr>
          <w:rFonts w:ascii="Arial" w:cs="Arial" w:eastAsia="Arial" w:hAnsi="Arial"/>
          <w:sz w:val="14"/>
          <w:szCs w:val="14"/>
          <w:u w:val="single" w:color="auto"/>
          <w:color w:val="auto"/>
        </w:rPr>
        <w:t>provided</w:t>
      </w:r>
      <w:r>
        <w:rPr>
          <w:rFonts w:ascii="Arial" w:cs="Arial" w:eastAsia="Arial" w:hAnsi="Arial"/>
          <w:sz w:val="14"/>
          <w:szCs w:val="14"/>
          <w:color w:val="auto"/>
        </w:rPr>
        <w:t xml:space="preserve">, </w:t>
      </w:r>
      <w:r>
        <w:rPr>
          <w:rFonts w:ascii="Arial" w:cs="Arial" w:eastAsia="Arial" w:hAnsi="Arial"/>
          <w:sz w:val="14"/>
          <w:szCs w:val="14"/>
          <w:u w:val="single" w:color="auto"/>
          <w:color w:val="auto"/>
        </w:rPr>
        <w:t>further</w:t>
      </w:r>
      <w:r>
        <w:rPr>
          <w:rFonts w:ascii="Arial" w:cs="Arial" w:eastAsia="Arial" w:hAnsi="Arial"/>
          <w:sz w:val="14"/>
          <w:szCs w:val="14"/>
          <w:color w:val="auto"/>
        </w:rPr>
        <w:t>, that except to the extent otherwise expressly agreed by the affected parties, no change hereunder from Defaulting Lender to Lender will constitute a waiver or release of any claim of any party hereunder arising from that Lender having been a Defaulting Lender.</w:t>
      </w: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7580" w:type="dxa"/>
            <w:vAlign w:val="bottom"/>
          </w:tcPr>
          <w:p>
            <w:pPr>
              <w:jc w:val="right"/>
              <w:ind w:right="1808"/>
              <w:spacing w:after="0"/>
              <w:rPr>
                <w:sz w:val="20"/>
                <w:szCs w:val="20"/>
                <w:color w:val="auto"/>
              </w:rPr>
            </w:pPr>
            <w:r>
              <w:rPr>
                <w:rFonts w:ascii="Arial" w:cs="Arial" w:eastAsia="Arial" w:hAnsi="Arial"/>
                <w:sz w:val="14"/>
                <w:szCs w:val="14"/>
                <w:color w:val="auto"/>
              </w:rPr>
              <w:t>37</w:t>
            </w:r>
          </w:p>
        </w:tc>
        <w:tc>
          <w:tcPr>
            <w:tcW w:w="3680" w:type="dxa"/>
            <w:vAlign w:val="bottom"/>
          </w:tcPr>
          <w:p>
            <w:pPr>
              <w:jc w:val="right"/>
              <w:spacing w:after="0"/>
              <w:rPr>
                <w:sz w:val="20"/>
                <w:szCs w:val="20"/>
                <w:color w:val="auto"/>
              </w:rPr>
            </w:pPr>
            <w:r>
              <w:rPr>
                <w:rFonts w:ascii="Arial" w:cs="Arial" w:eastAsia="Arial" w:hAnsi="Arial"/>
                <w:sz w:val="14"/>
                <w:szCs w:val="14"/>
                <w:i w:val="1"/>
                <w:iCs w:val="1"/>
                <w:color w:val="auto"/>
              </w:rPr>
              <w:t>Second Amended and Restated</w:t>
            </w:r>
          </w:p>
        </w:tc>
      </w:tr>
      <w:tr>
        <w:trPr>
          <w:trHeight w:val="182"/>
        </w:trPr>
        <w:tc>
          <w:tcPr>
            <w:tcW w:w="7580" w:type="dxa"/>
            <w:vAlign w:val="bottom"/>
          </w:tcPr>
          <w:p>
            <w:pPr>
              <w:spacing w:after="0"/>
              <w:rPr>
                <w:sz w:val="15"/>
                <w:szCs w:val="15"/>
                <w:color w:val="auto"/>
              </w:rPr>
            </w:pPr>
          </w:p>
        </w:tc>
        <w:tc>
          <w:tcPr>
            <w:tcW w:w="3680" w:type="dxa"/>
            <w:vAlign w:val="bottom"/>
          </w:tcPr>
          <w:p>
            <w:pPr>
              <w:jc w:val="right"/>
              <w:spacing w:after="0"/>
              <w:rPr>
                <w:sz w:val="20"/>
                <w:szCs w:val="20"/>
                <w:color w:val="auto"/>
              </w:rPr>
            </w:pPr>
            <w:r>
              <w:rPr>
                <w:rFonts w:ascii="Arial" w:cs="Arial" w:eastAsia="Arial" w:hAnsi="Arial"/>
                <w:sz w:val="14"/>
                <w:szCs w:val="14"/>
                <w:i w:val="1"/>
                <w:iCs w:val="1"/>
                <w:color w:val="auto"/>
              </w:rPr>
              <w:t>Revolving Credit Agreement</w:t>
            </w:r>
          </w:p>
        </w:tc>
      </w:tr>
      <w:tr>
        <w:trPr>
          <w:trHeight w:val="316"/>
        </w:trPr>
        <w:tc>
          <w:tcPr>
            <w:tcW w:w="7580" w:type="dxa"/>
            <w:vAlign w:val="bottom"/>
            <w:tcBorders>
              <w:bottom w:val="single" w:sz="8" w:color="9A9A9A"/>
            </w:tcBorders>
          </w:tcPr>
          <w:p>
            <w:pPr>
              <w:spacing w:after="0"/>
              <w:rPr>
                <w:sz w:val="24"/>
                <w:szCs w:val="24"/>
                <w:color w:val="auto"/>
              </w:rPr>
            </w:pPr>
          </w:p>
        </w:tc>
        <w:tc>
          <w:tcPr>
            <w:tcW w:w="368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7145655</wp:posOffset>
            </wp:positionH>
            <wp:positionV relativeFrom="paragraph">
              <wp:posOffset>-8255</wp:posOffset>
            </wp:positionV>
            <wp:extent cx="8255" cy="8890"/>
            <wp:wrapNone/>
            <wp:docPr id="179" name="Picture 1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9"/>
                    <pic:cNvPicPr>
                      <a:picLocks noChangeAspect="1" noChangeArrowheads="1"/>
                    </pic:cNvPicPr>
                  </pic:nvPicPr>
                  <pic:blipFill>
                    <a:blip r:embed="rId186">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-16510</wp:posOffset>
            </wp:positionV>
            <wp:extent cx="8890" cy="17145"/>
            <wp:wrapNone/>
            <wp:docPr id="180" name="Picture 1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0"/>
                    <pic:cNvPicPr>
                      <a:picLocks noChangeAspect="1" noChangeArrowheads="1"/>
                    </pic:cNvPicPr>
                  </pic:nvPicPr>
                  <pic:blipFill>
                    <a:blip r:embed="rId187">
                      <a:extLst>
                        <a:ext uri="{28A0092B-C50C-407E-A947-70E740481C1C}"/>
                      </a:extLst>
                    </a:blip>
                    <a:srcRect/>
                    <a:stretch>
                      <a:fillRect/>
                    </a:stretch>
                  </pic:blipFill>
                  <pic:spPr bwMode="auto">
                    <a:xfrm>
                      <a:off x="0" y="0"/>
                      <a:ext cx="8890" cy="17145"/>
                    </a:xfrm>
                    <a:prstGeom prst="rect">
                      <a:avLst/>
                    </a:prstGeom>
                    <a:noFill/>
                  </pic:spPr>
                </pic:pic>
              </a:graphicData>
            </a:graphic>
          </wp:anchor>
        </w:drawing>
      </w:r>
    </w:p>
    <w:p>
      <w:pPr>
        <w:sectPr>
          <w:pgSz w:w="11900" w:h="16838" w:orient="portrait"/>
          <w:cols w:equalWidth="0" w:num="1">
            <w:col w:w="11260"/>
          </w:cols>
          <w:pgMar w:left="320" w:top="337" w:right="319" w:bottom="1440" w:gutter="0" w:footer="0" w:header="0"/>
        </w:sectPr>
      </w:pPr>
    </w:p>
    <w:bookmarkStart w:id="100" w:name="page101"/>
    <w:bookmarkEnd w:id="100"/>
    <w:p>
      <w:pPr>
        <w:jc w:val="both"/>
        <w:ind w:right="20" w:firstLine="1735"/>
        <w:spacing w:after="0" w:line="243" w:lineRule="auto"/>
        <w:tabs>
          <w:tab w:leader="none" w:pos="2535" w:val="left"/>
        </w:tabs>
        <w:numPr>
          <w:ilvl w:val="2"/>
          <w:numId w:val="100"/>
        </w:numPr>
        <w:rPr>
          <w:rFonts w:ascii="Arial" w:cs="Arial" w:eastAsia="Arial" w:hAnsi="Arial"/>
          <w:sz w:val="13"/>
          <w:szCs w:val="13"/>
          <w:color w:val="auto"/>
        </w:rPr>
      </w:pPr>
      <w:r>
        <w:rPr>
          <w:rFonts w:ascii="Arial" w:cs="Arial" w:eastAsia="Arial" w:hAnsi="Arial"/>
          <w:sz w:val="13"/>
          <w:szCs w:val="13"/>
          <w:u w:val="single" w:color="auto"/>
          <w:color w:val="auto"/>
        </w:rPr>
        <w:t>New Swingline Loans/Letters of Credit</w:t>
      </w:r>
      <w:r>
        <w:rPr>
          <w:rFonts w:ascii="Arial" w:cs="Arial" w:eastAsia="Arial" w:hAnsi="Arial"/>
          <w:sz w:val="13"/>
          <w:szCs w:val="13"/>
          <w:color w:val="auto"/>
        </w:rPr>
        <w:t xml:space="preserve">. So long as any Lender is a Defaulting Lender, (i) the Swingline Lender shall not be required to fund any Swingline Loans unless it is satisfied that the participations therein will be fully allocated among Non-Defaulting Lenders in a manner consistent with </w:t>
      </w:r>
      <w:r>
        <w:rPr>
          <w:rFonts w:ascii="Arial" w:cs="Arial" w:eastAsia="Arial" w:hAnsi="Arial"/>
          <w:sz w:val="13"/>
          <w:szCs w:val="13"/>
          <w:u w:val="single" w:color="auto"/>
          <w:color w:val="auto"/>
        </w:rPr>
        <w:t>clause (a)(iii)</w:t>
      </w:r>
      <w:r>
        <w:rPr>
          <w:rFonts w:ascii="Arial" w:cs="Arial" w:eastAsia="Arial" w:hAnsi="Arial"/>
          <w:sz w:val="13"/>
          <w:szCs w:val="13"/>
          <w:color w:val="auto"/>
        </w:rPr>
        <w:t xml:space="preserve"> above and the Defaulting Lender shall not participate therein and (ii) the Issuing Bank shall not be required to issue, extend, renew or increase any Letter of Credit unless it is satisfied that the participations in any existing Letters of Credit as well as the new, extended, renewed or increased Letter of Credit has been or will be fully allocated among the Non-Defaulting Lenders in a manner consistent with </w:t>
      </w:r>
      <w:r>
        <w:rPr>
          <w:rFonts w:ascii="Arial" w:cs="Arial" w:eastAsia="Arial" w:hAnsi="Arial"/>
          <w:sz w:val="13"/>
          <w:szCs w:val="13"/>
          <w:u w:val="single" w:color="auto"/>
          <w:color w:val="auto"/>
        </w:rPr>
        <w:t>clause (a)</w:t>
      </w:r>
    </w:p>
    <w:p>
      <w:pPr>
        <w:ind w:right="20" w:firstLine="8"/>
        <w:spacing w:after="0" w:line="237" w:lineRule="auto"/>
        <w:tabs>
          <w:tab w:leader="none" w:pos="259" w:val="left"/>
        </w:tabs>
        <w:numPr>
          <w:ilvl w:val="0"/>
          <w:numId w:val="101"/>
        </w:numPr>
        <w:rPr>
          <w:rFonts w:ascii="Arial" w:cs="Arial" w:eastAsia="Arial" w:hAnsi="Arial"/>
          <w:sz w:val="14"/>
          <w:szCs w:val="14"/>
          <w:u w:val="single" w:color="auto"/>
          <w:color w:val="auto"/>
        </w:rPr>
      </w:pPr>
      <w:r>
        <w:rPr>
          <w:rFonts w:ascii="Arial" w:cs="Arial" w:eastAsia="Arial" w:hAnsi="Arial"/>
          <w:sz w:val="14"/>
          <w:szCs w:val="14"/>
          <w:color w:val="auto"/>
        </w:rPr>
        <w:t xml:space="preserve">above and such Defaulting Lender shall not participate therein except to the extent such Defaulting Lender’s participation has been or will be fully Cash Collateralized in accordance with </w:t>
      </w:r>
      <w:r>
        <w:rPr>
          <w:rFonts w:ascii="Arial" w:cs="Arial" w:eastAsia="Arial" w:hAnsi="Arial"/>
          <w:sz w:val="14"/>
          <w:szCs w:val="14"/>
          <w:u w:val="single" w:color="auto"/>
          <w:color w:val="auto"/>
        </w:rPr>
        <w:t>Section 2.19(d)</w:t>
      </w:r>
      <w:r>
        <w:rPr>
          <w:rFonts w:ascii="Arial" w:cs="Arial" w:eastAsia="Arial" w:hAnsi="Arial"/>
          <w:sz w:val="14"/>
          <w:szCs w:val="14"/>
          <w:color w:val="auto"/>
        </w:rPr>
        <w:t>.</w:t>
      </w:r>
    </w:p>
    <w:p>
      <w:pPr>
        <w:spacing w:after="0" w:line="183" w:lineRule="exact"/>
        <w:rPr>
          <w:rFonts w:ascii="Arial" w:cs="Arial" w:eastAsia="Arial" w:hAnsi="Arial"/>
          <w:sz w:val="14"/>
          <w:szCs w:val="14"/>
          <w:u w:val="single" w:color="auto"/>
          <w:color w:val="auto"/>
        </w:rPr>
      </w:pPr>
    </w:p>
    <w:p>
      <w:pPr>
        <w:jc w:val="both"/>
        <w:ind w:right="20" w:firstLine="1735"/>
        <w:spacing w:after="0" w:line="238" w:lineRule="auto"/>
        <w:tabs>
          <w:tab w:leader="none" w:pos="2543" w:val="left"/>
        </w:tabs>
        <w:numPr>
          <w:ilvl w:val="2"/>
          <w:numId w:val="101"/>
        </w:numPr>
        <w:rPr>
          <w:rFonts w:ascii="Arial" w:cs="Arial" w:eastAsia="Arial" w:hAnsi="Arial"/>
          <w:sz w:val="14"/>
          <w:szCs w:val="14"/>
          <w:color w:val="auto"/>
        </w:rPr>
      </w:pPr>
      <w:r>
        <w:rPr>
          <w:rFonts w:ascii="Arial" w:cs="Arial" w:eastAsia="Arial" w:hAnsi="Arial"/>
          <w:sz w:val="14"/>
          <w:szCs w:val="14"/>
          <w:u w:val="single" w:color="auto"/>
          <w:color w:val="auto"/>
        </w:rPr>
        <w:t>Cash Collateral</w:t>
      </w:r>
      <w:r>
        <w:rPr>
          <w:rFonts w:ascii="Arial" w:cs="Arial" w:eastAsia="Arial" w:hAnsi="Arial"/>
          <w:sz w:val="14"/>
          <w:szCs w:val="14"/>
          <w:color w:val="auto"/>
        </w:rPr>
        <w:t xml:space="preserve">. At any time that there shall exist a Defaulting Lender, promptly following the written request of Administrative Agent or Issuing Bank (with a copy to Administrative Agent) Borrower shall Cash Collateralize Issuing Bank’s Fronting Exposure with respect to such Defaulting Lender (determined after giving effect to </w:t>
      </w:r>
      <w:r>
        <w:rPr>
          <w:rFonts w:ascii="Arial" w:cs="Arial" w:eastAsia="Arial" w:hAnsi="Arial"/>
          <w:sz w:val="14"/>
          <w:szCs w:val="14"/>
          <w:u w:val="single" w:color="auto"/>
          <w:color w:val="auto"/>
        </w:rPr>
        <w:t>Section</w:t>
      </w:r>
      <w:r>
        <w:rPr>
          <w:rFonts w:ascii="Arial" w:cs="Arial" w:eastAsia="Arial" w:hAnsi="Arial"/>
          <w:sz w:val="14"/>
          <w:szCs w:val="14"/>
          <w:color w:val="auto"/>
        </w:rPr>
        <w:t xml:space="preserve"> </w:t>
      </w:r>
      <w:r>
        <w:rPr>
          <w:rFonts w:ascii="Arial" w:cs="Arial" w:eastAsia="Arial" w:hAnsi="Arial"/>
          <w:sz w:val="14"/>
          <w:szCs w:val="14"/>
          <w:u w:val="single" w:color="auto"/>
          <w:color w:val="auto"/>
        </w:rPr>
        <w:t>2.19(a)(iii)</w:t>
      </w:r>
      <w:r>
        <w:rPr>
          <w:rFonts w:ascii="Arial" w:cs="Arial" w:eastAsia="Arial" w:hAnsi="Arial"/>
          <w:sz w:val="14"/>
          <w:szCs w:val="14"/>
          <w:color w:val="auto"/>
        </w:rPr>
        <w:t xml:space="preserve"> and any Cash Collateral provided by such Defaulting Lender) in an amount not less than the Minimum Collateral Amount.</w:t>
      </w:r>
    </w:p>
    <w:p>
      <w:pPr>
        <w:spacing w:after="0" w:line="182" w:lineRule="exact"/>
        <w:rPr>
          <w:rFonts w:ascii="Arial" w:cs="Arial" w:eastAsia="Arial" w:hAnsi="Arial"/>
          <w:sz w:val="14"/>
          <w:szCs w:val="14"/>
          <w:color w:val="auto"/>
        </w:rPr>
      </w:pPr>
    </w:p>
    <w:p>
      <w:pPr>
        <w:jc w:val="both"/>
        <w:ind w:left="880" w:right="20" w:firstLine="789"/>
        <w:spacing w:after="0" w:line="245" w:lineRule="auto"/>
        <w:tabs>
          <w:tab w:leader="none" w:pos="2461" w:val="left"/>
        </w:tabs>
        <w:numPr>
          <w:ilvl w:val="1"/>
          <w:numId w:val="101"/>
        </w:numPr>
        <w:rPr>
          <w:rFonts w:ascii="Arial" w:cs="Arial" w:eastAsia="Arial" w:hAnsi="Arial"/>
          <w:sz w:val="13"/>
          <w:szCs w:val="13"/>
          <w:color w:val="auto"/>
        </w:rPr>
      </w:pPr>
      <w:r>
        <w:rPr>
          <w:rFonts w:ascii="Arial" w:cs="Arial" w:eastAsia="Arial" w:hAnsi="Arial"/>
          <w:sz w:val="13"/>
          <w:szCs w:val="13"/>
          <w:u w:val="single" w:color="auto"/>
          <w:color w:val="auto"/>
        </w:rPr>
        <w:t>Grant of Security Interest</w:t>
      </w:r>
      <w:r>
        <w:rPr>
          <w:rFonts w:ascii="Arial" w:cs="Arial" w:eastAsia="Arial" w:hAnsi="Arial"/>
          <w:sz w:val="13"/>
          <w:szCs w:val="13"/>
          <w:color w:val="auto"/>
        </w:rPr>
        <w:t xml:space="preserve">. Borrower, and to the extent provided by any Defaulting Lender, such Defaulting Lender, hereby grants to (and subjects to the control of) Administrative Agent, for the benefit of Issuing Bank, and agrees to maintain, a first priority security interest in all such Cash Collateral as security for the Defaulting Lenders’ obligation to fund participations in respect of Letters of Credit, to be applied pursuant to </w:t>
      </w:r>
      <w:r>
        <w:rPr>
          <w:rFonts w:ascii="Arial" w:cs="Arial" w:eastAsia="Arial" w:hAnsi="Arial"/>
          <w:sz w:val="13"/>
          <w:szCs w:val="13"/>
          <w:u w:val="single" w:color="auto"/>
          <w:color w:val="auto"/>
        </w:rPr>
        <w:t>clause (ii)</w:t>
      </w:r>
      <w:r>
        <w:rPr>
          <w:rFonts w:ascii="Arial" w:cs="Arial" w:eastAsia="Arial" w:hAnsi="Arial"/>
          <w:sz w:val="13"/>
          <w:szCs w:val="13"/>
          <w:color w:val="auto"/>
        </w:rPr>
        <w:t xml:space="preserve"> below. If at any time Administrative Agent determines that Cash Collateral is subject to any right or claim of any Person other than Administrative Agent and Issuing Bank as herein provided, or that the total amount of such Cash Collateral is less than the Minimum Collateral Amount, Borrower will, promptly upon demand by Administrative Agent, pay or provide to Administrative Agent additional Cash Collateral in an amount sufficient to eliminate such deficiency (after giving effect to any Cash Collateral provided by the Defaulting Lender). All Cash Collateral (other than credit support not constituting funds subject to deposit) shall be maintained in blocked, non-interest bearing deposit accounts at SunTrust. Borrower shall pay on demand therefor from time to time all reasonable and customary account opening, activity and other administrative fees and charges in connection with the maintenance and disbursement of Cash Collateral.</w:t>
      </w:r>
    </w:p>
    <w:p>
      <w:pPr>
        <w:spacing w:after="0" w:line="183" w:lineRule="exact"/>
        <w:rPr>
          <w:rFonts w:ascii="Arial" w:cs="Arial" w:eastAsia="Arial" w:hAnsi="Arial"/>
          <w:sz w:val="13"/>
          <w:szCs w:val="13"/>
          <w:color w:val="auto"/>
        </w:rPr>
      </w:pPr>
    </w:p>
    <w:p>
      <w:pPr>
        <w:jc w:val="both"/>
        <w:ind w:left="880" w:right="20" w:firstLine="789"/>
        <w:spacing w:after="0" w:line="233" w:lineRule="auto"/>
        <w:tabs>
          <w:tab w:leader="none" w:pos="2501" w:val="left"/>
        </w:tabs>
        <w:numPr>
          <w:ilvl w:val="1"/>
          <w:numId w:val="101"/>
        </w:numPr>
        <w:rPr>
          <w:rFonts w:ascii="Arial" w:cs="Arial" w:eastAsia="Arial" w:hAnsi="Arial"/>
          <w:sz w:val="14"/>
          <w:szCs w:val="14"/>
          <w:color w:val="auto"/>
        </w:rPr>
      </w:pPr>
      <w:r>
        <w:rPr>
          <w:rFonts w:ascii="Arial" w:cs="Arial" w:eastAsia="Arial" w:hAnsi="Arial"/>
          <w:sz w:val="14"/>
          <w:szCs w:val="14"/>
          <w:color w:val="auto"/>
        </w:rPr>
        <w:t>A</w:t>
      </w:r>
      <w:r>
        <w:rPr>
          <w:rFonts w:ascii="Arial" w:cs="Arial" w:eastAsia="Arial" w:hAnsi="Arial"/>
          <w:sz w:val="14"/>
          <w:szCs w:val="14"/>
          <w:u w:val="single" w:color="auto"/>
          <w:color w:val="auto"/>
        </w:rPr>
        <w:t>pplication</w:t>
      </w:r>
      <w:r>
        <w:rPr>
          <w:rFonts w:ascii="Arial" w:cs="Arial" w:eastAsia="Arial" w:hAnsi="Arial"/>
          <w:sz w:val="14"/>
          <w:szCs w:val="14"/>
          <w:color w:val="auto"/>
        </w:rPr>
        <w:t xml:space="preserve">. Notwithstanding anything to the contrary contained in this Agreement, Cash Collateral provided under this </w:t>
      </w:r>
      <w:r>
        <w:rPr>
          <w:rFonts w:ascii="Arial" w:cs="Arial" w:eastAsia="Arial" w:hAnsi="Arial"/>
          <w:sz w:val="14"/>
          <w:szCs w:val="14"/>
          <w:u w:val="single" w:color="auto"/>
          <w:color w:val="auto"/>
        </w:rPr>
        <w:t>Section 2.19</w:t>
      </w:r>
      <w:r>
        <w:rPr>
          <w:rFonts w:ascii="Arial" w:cs="Arial" w:eastAsia="Arial" w:hAnsi="Arial"/>
          <w:sz w:val="14"/>
          <w:szCs w:val="14"/>
          <w:color w:val="auto"/>
        </w:rPr>
        <w:t xml:space="preserve"> in respect of Letters of Credit shall be applied to the satisfaction of the Defaulting Lender’s obligation to fund participations in respect of Letters of Credit (including, as to Cash Collateral provided by a Defaulting Lender, any interest accrued on such obligation) for which the Cash Collateral was so provided, prior to any other application of such property as may otherwise be provided for herein.</w:t>
      </w:r>
    </w:p>
    <w:p>
      <w:pPr>
        <w:spacing w:after="0" w:line="184" w:lineRule="exact"/>
        <w:rPr>
          <w:rFonts w:ascii="Arial" w:cs="Arial" w:eastAsia="Arial" w:hAnsi="Arial"/>
          <w:sz w:val="14"/>
          <w:szCs w:val="14"/>
          <w:color w:val="auto"/>
        </w:rPr>
      </w:pPr>
    </w:p>
    <w:p>
      <w:pPr>
        <w:jc w:val="both"/>
        <w:ind w:left="880" w:right="20" w:firstLine="789"/>
        <w:spacing w:after="0" w:line="229" w:lineRule="auto"/>
        <w:tabs>
          <w:tab w:leader="none" w:pos="2541" w:val="left"/>
        </w:tabs>
        <w:numPr>
          <w:ilvl w:val="1"/>
          <w:numId w:val="101"/>
        </w:numPr>
        <w:rPr>
          <w:rFonts w:ascii="Arial" w:cs="Arial" w:eastAsia="Arial" w:hAnsi="Arial"/>
          <w:sz w:val="14"/>
          <w:szCs w:val="14"/>
          <w:color w:val="auto"/>
        </w:rPr>
      </w:pPr>
      <w:r>
        <w:rPr>
          <w:rFonts w:ascii="Arial" w:cs="Arial" w:eastAsia="Arial" w:hAnsi="Arial"/>
          <w:sz w:val="14"/>
          <w:szCs w:val="14"/>
          <w:u w:val="single" w:color="auto"/>
          <w:color w:val="auto"/>
        </w:rPr>
        <w:t>Termination of Requirement</w:t>
      </w:r>
      <w:r>
        <w:rPr>
          <w:rFonts w:ascii="Arial" w:cs="Arial" w:eastAsia="Arial" w:hAnsi="Arial"/>
          <w:sz w:val="14"/>
          <w:szCs w:val="14"/>
          <w:color w:val="auto"/>
        </w:rPr>
        <w:t xml:space="preserve">. Cash Collateral (or the appropriate portion thereof) provided to reduce Issuing Bank’s Fronting Exposure shall no longer be required to be held as Cash Collateral pursuant to this </w:t>
      </w:r>
      <w:r>
        <w:rPr>
          <w:rFonts w:ascii="Arial" w:cs="Arial" w:eastAsia="Arial" w:hAnsi="Arial"/>
          <w:sz w:val="14"/>
          <w:szCs w:val="14"/>
          <w:u w:val="single" w:color="auto"/>
          <w:color w:val="auto"/>
        </w:rPr>
        <w:t>Section 2.19</w:t>
      </w:r>
      <w:r>
        <w:rPr>
          <w:rFonts w:ascii="Arial" w:cs="Arial" w:eastAsia="Arial" w:hAnsi="Arial"/>
          <w:sz w:val="14"/>
          <w:szCs w:val="14"/>
          <w:color w:val="auto"/>
        </w:rPr>
        <w:t xml:space="preserve"> following (i) the elimination of the applicable Fronting Exposure (including by the termination of Defaulting Lender status of the applicable Lender or giving effect to Section 2.19(a)(iii)) or (ii) the determination by Administrative Agent and Issuing Bank that there exists excess Cash Collateral; </w:t>
      </w:r>
      <w:r>
        <w:rPr>
          <w:rFonts w:ascii="Arial" w:cs="Arial" w:eastAsia="Arial" w:hAnsi="Arial"/>
          <w:sz w:val="14"/>
          <w:szCs w:val="14"/>
          <w:u w:val="single" w:color="auto"/>
          <w:color w:val="auto"/>
        </w:rPr>
        <w:t>provided</w:t>
      </w:r>
      <w:r>
        <w:rPr>
          <w:rFonts w:ascii="Arial" w:cs="Arial" w:eastAsia="Arial" w:hAnsi="Arial"/>
          <w:sz w:val="14"/>
          <w:szCs w:val="14"/>
          <w:color w:val="auto"/>
        </w:rPr>
        <w:t xml:space="preserve"> that, subject to the other provisions of this </w:t>
      </w:r>
      <w:r>
        <w:rPr>
          <w:rFonts w:ascii="Arial" w:cs="Arial" w:eastAsia="Arial" w:hAnsi="Arial"/>
          <w:sz w:val="14"/>
          <w:szCs w:val="14"/>
          <w:u w:val="single" w:color="auto"/>
          <w:color w:val="auto"/>
        </w:rPr>
        <w:t>Section 2.19</w:t>
      </w:r>
      <w:r>
        <w:rPr>
          <w:rFonts w:ascii="Arial" w:cs="Arial" w:eastAsia="Arial" w:hAnsi="Arial"/>
          <w:sz w:val="14"/>
          <w:szCs w:val="14"/>
          <w:color w:val="auto"/>
        </w:rPr>
        <w:t xml:space="preserve">, the Person providing Cash Collateral and Issuing Bank may agree that Cash Collateral shall be held to support future anticipated Fronting Exposure; </w:t>
      </w:r>
      <w:r>
        <w:rPr>
          <w:rFonts w:ascii="Arial" w:cs="Arial" w:eastAsia="Arial" w:hAnsi="Arial"/>
          <w:sz w:val="14"/>
          <w:szCs w:val="14"/>
          <w:u w:val="single" w:color="auto"/>
          <w:color w:val="auto"/>
        </w:rPr>
        <w:t>provided</w:t>
      </w:r>
      <w:r>
        <w:rPr>
          <w:rFonts w:ascii="Arial" w:cs="Arial" w:eastAsia="Arial" w:hAnsi="Arial"/>
          <w:sz w:val="14"/>
          <w:szCs w:val="14"/>
          <w:color w:val="auto"/>
        </w:rPr>
        <w:t xml:space="preserve">, </w:t>
      </w:r>
      <w:r>
        <w:rPr>
          <w:rFonts w:ascii="Arial" w:cs="Arial" w:eastAsia="Arial" w:hAnsi="Arial"/>
          <w:sz w:val="14"/>
          <w:szCs w:val="14"/>
          <w:u w:val="single" w:color="auto"/>
          <w:color w:val="auto"/>
        </w:rPr>
        <w:t>further</w:t>
      </w:r>
      <w:r>
        <w:rPr>
          <w:rFonts w:ascii="Arial" w:cs="Arial" w:eastAsia="Arial" w:hAnsi="Arial"/>
          <w:sz w:val="14"/>
          <w:szCs w:val="14"/>
          <w:color w:val="auto"/>
        </w:rPr>
        <w:t>, that to the extent that such Cash Collateral was provided by Borrower, such Cash Collateral shall remain subject to the security interest granted pursuant to the Loan Documents.</w:t>
      </w:r>
    </w:p>
    <w:p>
      <w:pPr>
        <w:spacing w:after="0" w:line="185" w:lineRule="exact"/>
        <w:rPr>
          <w:sz w:val="20"/>
          <w:szCs w:val="20"/>
          <w:color w:val="auto"/>
        </w:rPr>
      </w:pPr>
    </w:p>
    <w:p>
      <w:pPr>
        <w:jc w:val="center"/>
        <w:ind w:right="20"/>
        <w:spacing w:after="0"/>
        <w:rPr>
          <w:sz w:val="20"/>
          <w:szCs w:val="20"/>
          <w:color w:val="auto"/>
        </w:rPr>
      </w:pPr>
      <w:r>
        <w:rPr>
          <w:rFonts w:ascii="Arial" w:cs="Arial" w:eastAsia="Arial" w:hAnsi="Arial"/>
          <w:sz w:val="14"/>
          <w:szCs w:val="14"/>
          <w:color w:val="auto"/>
        </w:rPr>
        <w:t>ARTICLE III</w:t>
      </w:r>
    </w:p>
    <w:p>
      <w:pPr>
        <w:spacing w:after="0" w:line="136" w:lineRule="exact"/>
        <w:rPr>
          <w:sz w:val="20"/>
          <w:szCs w:val="20"/>
          <w:color w:val="auto"/>
        </w:rPr>
      </w:pPr>
    </w:p>
    <w:p>
      <w:pPr>
        <w:jc w:val="center"/>
        <w:ind w:right="20"/>
        <w:spacing w:after="0"/>
        <w:rPr>
          <w:sz w:val="20"/>
          <w:szCs w:val="20"/>
          <w:color w:val="auto"/>
        </w:rPr>
      </w:pPr>
      <w:r>
        <w:rPr>
          <w:rFonts w:ascii="Arial" w:cs="Arial" w:eastAsia="Arial" w:hAnsi="Arial"/>
          <w:sz w:val="14"/>
          <w:szCs w:val="14"/>
          <w:color w:val="auto"/>
        </w:rPr>
        <w:t>REPRESENTATIONS AND WARRANTIES</w:t>
      </w:r>
    </w:p>
    <w:p>
      <w:pPr>
        <w:spacing w:after="0" w:line="204" w:lineRule="exact"/>
        <w:rPr>
          <w:sz w:val="20"/>
          <w:szCs w:val="20"/>
          <w:color w:val="auto"/>
        </w:rPr>
      </w:pPr>
    </w:p>
    <w:p>
      <w:pPr>
        <w:ind w:left="1740"/>
        <w:spacing w:after="0"/>
        <w:rPr>
          <w:sz w:val="20"/>
          <w:szCs w:val="20"/>
          <w:color w:val="auto"/>
        </w:rPr>
      </w:pPr>
      <w:r>
        <w:rPr>
          <w:rFonts w:ascii="Arial" w:cs="Arial" w:eastAsia="Arial" w:hAnsi="Arial"/>
          <w:sz w:val="14"/>
          <w:szCs w:val="14"/>
          <w:color w:val="auto"/>
        </w:rPr>
        <w:t>The Borrower represents and warrants to the Lenders that:</w:t>
      </w:r>
    </w:p>
    <w:p>
      <w:pPr>
        <w:spacing w:after="0" w:line="204" w:lineRule="exact"/>
        <w:rPr>
          <w:sz w:val="20"/>
          <w:szCs w:val="20"/>
          <w:color w:val="auto"/>
        </w:rPr>
      </w:pPr>
    </w:p>
    <w:p>
      <w:pPr>
        <w:jc w:val="both"/>
        <w:ind w:right="20" w:firstLine="1727"/>
        <w:spacing w:after="0" w:line="233" w:lineRule="auto"/>
        <w:rPr>
          <w:sz w:val="20"/>
          <w:szCs w:val="20"/>
          <w:color w:val="auto"/>
        </w:rPr>
      </w:pPr>
      <w:r>
        <w:rPr>
          <w:rFonts w:ascii="Arial" w:cs="Arial" w:eastAsia="Arial" w:hAnsi="Arial"/>
          <w:sz w:val="14"/>
          <w:szCs w:val="14"/>
          <w:color w:val="auto"/>
        </w:rPr>
        <w:t xml:space="preserve">SECTION 3.01. </w:t>
      </w:r>
      <w:r>
        <w:rPr>
          <w:rFonts w:ascii="Arial" w:cs="Arial" w:eastAsia="Arial" w:hAnsi="Arial"/>
          <w:sz w:val="14"/>
          <w:szCs w:val="14"/>
          <w:u w:val="single" w:color="auto"/>
          <w:color w:val="auto"/>
        </w:rPr>
        <w:t>Organization; Powers</w:t>
      </w:r>
      <w:r>
        <w:rPr>
          <w:rFonts w:ascii="Arial" w:cs="Arial" w:eastAsia="Arial" w:hAnsi="Arial"/>
          <w:sz w:val="14"/>
          <w:szCs w:val="14"/>
          <w:color w:val="auto"/>
        </w:rPr>
        <w:t>. Each of the Borrower and its Subsidiaries is duly organized, validly existing and in good standing under the laws of the jurisdiction of its organization, has all requisite power and authority to carry on its business as now conducted and, except where the failure to do so, individually or in the aggregate, could not reasonably be expected to result in a Material Adverse Effect, is qualified to do business in, and is in good standing in, every jurisdiction where such qualification is required of the Borrower or such Subsidiary, as applicable.</w:t>
      </w:r>
    </w:p>
    <w:p>
      <w:pPr>
        <w:spacing w:after="0" w:line="185" w:lineRule="exact"/>
        <w:rPr>
          <w:sz w:val="20"/>
          <w:szCs w:val="20"/>
          <w:color w:val="auto"/>
        </w:rPr>
      </w:pPr>
    </w:p>
    <w:p>
      <w:pPr>
        <w:jc w:val="both"/>
        <w:ind w:right="20" w:firstLine="1727"/>
        <w:spacing w:after="0" w:line="244" w:lineRule="auto"/>
        <w:rPr>
          <w:sz w:val="20"/>
          <w:szCs w:val="20"/>
          <w:color w:val="auto"/>
        </w:rPr>
      </w:pPr>
      <w:r>
        <w:rPr>
          <w:rFonts w:ascii="Arial" w:cs="Arial" w:eastAsia="Arial" w:hAnsi="Arial"/>
          <w:sz w:val="13"/>
          <w:szCs w:val="13"/>
          <w:color w:val="auto"/>
        </w:rPr>
        <w:t xml:space="preserve">SECTION 3.02. </w:t>
      </w:r>
      <w:r>
        <w:rPr>
          <w:rFonts w:ascii="Arial" w:cs="Arial" w:eastAsia="Arial" w:hAnsi="Arial"/>
          <w:sz w:val="13"/>
          <w:szCs w:val="13"/>
          <w:u w:val="single" w:color="auto"/>
          <w:color w:val="auto"/>
        </w:rPr>
        <w:t>Authorization; Enforceability</w:t>
      </w:r>
      <w:r>
        <w:rPr>
          <w:rFonts w:ascii="Arial" w:cs="Arial" w:eastAsia="Arial" w:hAnsi="Arial"/>
          <w:sz w:val="13"/>
          <w:szCs w:val="13"/>
          <w:color w:val="auto"/>
        </w:rPr>
        <w:t>. The Transactions are within the Borrower’s corporate powers and have been duly authorized by all necessary corporate and, if required, by all necessary shareholder action. This Agreement has been duly executed and delivered by the Borrower and constitutes, and each of the other Loan Documents when executed and delivered will constitute, a legal, valid and binding obligation of the Borrower, enforceable in accordance with its terms, except as such enforceability may be limited by</w:t>
      </w:r>
    </w:p>
    <w:p>
      <w:pPr>
        <w:spacing w:after="0" w:line="2" w:lineRule="exact"/>
        <w:rPr>
          <w:sz w:val="20"/>
          <w:szCs w:val="20"/>
          <w:color w:val="auto"/>
        </w:rPr>
      </w:pPr>
    </w:p>
    <w:p>
      <w:pPr>
        <w:ind w:right="40" w:firstLine="8"/>
        <w:spacing w:after="0" w:line="237" w:lineRule="auto"/>
        <w:tabs>
          <w:tab w:leader="none" w:pos="198" w:val="left"/>
        </w:tabs>
        <w:numPr>
          <w:ilvl w:val="0"/>
          <w:numId w:val="102"/>
        </w:numPr>
        <w:rPr>
          <w:rFonts w:ascii="Arial" w:cs="Arial" w:eastAsia="Arial" w:hAnsi="Arial"/>
          <w:sz w:val="14"/>
          <w:szCs w:val="14"/>
          <w:color w:val="auto"/>
        </w:rPr>
      </w:pPr>
      <w:r>
        <w:rPr>
          <w:rFonts w:ascii="Arial" w:cs="Arial" w:eastAsia="Arial" w:hAnsi="Arial"/>
          <w:sz w:val="14"/>
          <w:szCs w:val="14"/>
          <w:color w:val="auto"/>
        </w:rPr>
        <w:t>bankruptcy, insolvency, reorganization, moratorium or similar laws of general applicability affecting the enforcement of creditors’ rights and (b) the application of general principles of equity (regardless of whether such enforceability is considered in a proceeding in equity or at law).</w:t>
      </w:r>
    </w:p>
    <w:p>
      <w:pPr>
        <w:spacing w:after="0" w:line="183" w:lineRule="exact"/>
        <w:rPr>
          <w:sz w:val="20"/>
          <w:szCs w:val="20"/>
          <w:color w:val="auto"/>
        </w:rPr>
      </w:pPr>
    </w:p>
    <w:p>
      <w:pPr>
        <w:jc w:val="both"/>
        <w:ind w:right="20" w:firstLine="1727"/>
        <w:spacing w:after="0" w:line="248" w:lineRule="auto"/>
        <w:rPr>
          <w:sz w:val="20"/>
          <w:szCs w:val="20"/>
          <w:color w:val="auto"/>
        </w:rPr>
      </w:pPr>
      <w:r>
        <w:rPr>
          <w:rFonts w:ascii="Arial" w:cs="Arial" w:eastAsia="Arial" w:hAnsi="Arial"/>
          <w:sz w:val="13"/>
          <w:szCs w:val="13"/>
          <w:color w:val="auto"/>
        </w:rPr>
        <w:t xml:space="preserve">SECTION 3.03. </w:t>
      </w:r>
      <w:r>
        <w:rPr>
          <w:rFonts w:ascii="Arial" w:cs="Arial" w:eastAsia="Arial" w:hAnsi="Arial"/>
          <w:sz w:val="13"/>
          <w:szCs w:val="13"/>
          <w:u w:val="single" w:color="auto"/>
          <w:color w:val="auto"/>
        </w:rPr>
        <w:t>Governmental Approvals; No Conflicts.</w:t>
      </w:r>
      <w:r>
        <w:rPr>
          <w:rFonts w:ascii="Arial" w:cs="Arial" w:eastAsia="Arial" w:hAnsi="Arial"/>
          <w:sz w:val="13"/>
          <w:szCs w:val="13"/>
          <w:color w:val="auto"/>
        </w:rPr>
        <w:t xml:space="preserve"> The Transactions (a) do not require any consent or approval of, registration or filing with, or any other action by, any Governmental Authority, except for (i) such as have been or will be obtained or made and are in full force and effect and (ii) filings and recordings in respect of the Liens created pursuant to this Agreement or the Security Documents, (b) will not violate any applicable law or regulation or the charter, by-laws or other organizational documents of the Borrower or any of its Subsidiaries or any order of any Governmental Authority, (c) will not violate or result in a default in any material respect under any indenture, agreement or other instrument binding upon the Borrower or any of its Subsidiaries or assets, or give rise to a right thereunder to require any payment to be made by any such Person, and (d) except for the Liens created pursuant to this Agreement or the Security Documents, will not result in the creation or imposition of any Lien on any asset of the Borrower or any of its Subsidiaries.</w:t>
      </w:r>
    </w:p>
    <w:p>
      <w:pPr>
        <w:spacing w:after="0" w:line="200" w:lineRule="exact"/>
        <w:rPr>
          <w:sz w:val="20"/>
          <w:szCs w:val="20"/>
          <w:color w:val="auto"/>
        </w:rPr>
      </w:pPr>
    </w:p>
    <w:p>
      <w:pPr>
        <w:spacing w:after="0" w:line="40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7580" w:type="dxa"/>
            <w:vAlign w:val="bottom"/>
          </w:tcPr>
          <w:p>
            <w:pPr>
              <w:jc w:val="right"/>
              <w:ind w:right="1808"/>
              <w:spacing w:after="0"/>
              <w:rPr>
                <w:sz w:val="20"/>
                <w:szCs w:val="20"/>
                <w:color w:val="auto"/>
              </w:rPr>
            </w:pPr>
            <w:r>
              <w:rPr>
                <w:rFonts w:ascii="Arial" w:cs="Arial" w:eastAsia="Arial" w:hAnsi="Arial"/>
                <w:sz w:val="14"/>
                <w:szCs w:val="14"/>
                <w:color w:val="auto"/>
              </w:rPr>
              <w:t>38</w:t>
            </w:r>
          </w:p>
        </w:tc>
        <w:tc>
          <w:tcPr>
            <w:tcW w:w="3680" w:type="dxa"/>
            <w:vAlign w:val="bottom"/>
          </w:tcPr>
          <w:p>
            <w:pPr>
              <w:jc w:val="right"/>
              <w:spacing w:after="0"/>
              <w:rPr>
                <w:sz w:val="20"/>
                <w:szCs w:val="20"/>
                <w:color w:val="auto"/>
              </w:rPr>
            </w:pPr>
            <w:r>
              <w:rPr>
                <w:rFonts w:ascii="Arial" w:cs="Arial" w:eastAsia="Arial" w:hAnsi="Arial"/>
                <w:sz w:val="14"/>
                <w:szCs w:val="14"/>
                <w:i w:val="1"/>
                <w:iCs w:val="1"/>
                <w:color w:val="auto"/>
              </w:rPr>
              <w:t>Second Amended and Restated</w:t>
            </w:r>
          </w:p>
        </w:tc>
      </w:tr>
      <w:tr>
        <w:trPr>
          <w:trHeight w:val="182"/>
        </w:trPr>
        <w:tc>
          <w:tcPr>
            <w:tcW w:w="7580" w:type="dxa"/>
            <w:vAlign w:val="bottom"/>
          </w:tcPr>
          <w:p>
            <w:pPr>
              <w:spacing w:after="0"/>
              <w:rPr>
                <w:sz w:val="15"/>
                <w:szCs w:val="15"/>
                <w:color w:val="auto"/>
              </w:rPr>
            </w:pPr>
          </w:p>
        </w:tc>
        <w:tc>
          <w:tcPr>
            <w:tcW w:w="3680" w:type="dxa"/>
            <w:vAlign w:val="bottom"/>
          </w:tcPr>
          <w:p>
            <w:pPr>
              <w:jc w:val="right"/>
              <w:spacing w:after="0"/>
              <w:rPr>
                <w:sz w:val="20"/>
                <w:szCs w:val="20"/>
                <w:color w:val="auto"/>
              </w:rPr>
            </w:pPr>
            <w:r>
              <w:rPr>
                <w:rFonts w:ascii="Arial" w:cs="Arial" w:eastAsia="Arial" w:hAnsi="Arial"/>
                <w:sz w:val="14"/>
                <w:szCs w:val="14"/>
                <w:i w:val="1"/>
                <w:iCs w:val="1"/>
                <w:color w:val="auto"/>
              </w:rPr>
              <w:t>Revolving Credit Agreement</w:t>
            </w:r>
          </w:p>
        </w:tc>
      </w:tr>
      <w:tr>
        <w:trPr>
          <w:trHeight w:val="316"/>
        </w:trPr>
        <w:tc>
          <w:tcPr>
            <w:tcW w:w="7580" w:type="dxa"/>
            <w:vAlign w:val="bottom"/>
            <w:tcBorders>
              <w:bottom w:val="single" w:sz="8" w:color="9A9A9A"/>
            </w:tcBorders>
          </w:tcPr>
          <w:p>
            <w:pPr>
              <w:spacing w:after="0"/>
              <w:rPr>
                <w:sz w:val="24"/>
                <w:szCs w:val="24"/>
                <w:color w:val="auto"/>
              </w:rPr>
            </w:pPr>
          </w:p>
        </w:tc>
        <w:tc>
          <w:tcPr>
            <w:tcW w:w="368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7145655</wp:posOffset>
            </wp:positionH>
            <wp:positionV relativeFrom="paragraph">
              <wp:posOffset>-7620</wp:posOffset>
            </wp:positionV>
            <wp:extent cx="8255" cy="8255"/>
            <wp:wrapNone/>
            <wp:docPr id="181" name="Picture 1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1"/>
                    <pic:cNvPicPr>
                      <a:picLocks noChangeAspect="1" noChangeArrowheads="1"/>
                    </pic:cNvPicPr>
                  </pic:nvPicPr>
                  <pic:blipFill>
                    <a:blip r:embed="rId188">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-16510</wp:posOffset>
            </wp:positionV>
            <wp:extent cx="8890" cy="17145"/>
            <wp:wrapNone/>
            <wp:docPr id="182" name="Picture 1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2"/>
                    <pic:cNvPicPr>
                      <a:picLocks noChangeAspect="1" noChangeArrowheads="1"/>
                    </pic:cNvPicPr>
                  </pic:nvPicPr>
                  <pic:blipFill>
                    <a:blip r:embed="rId189">
                      <a:extLst>
                        <a:ext uri="{28A0092B-C50C-407E-A947-70E740481C1C}"/>
                      </a:extLst>
                    </a:blip>
                    <a:srcRect/>
                    <a:stretch>
                      <a:fillRect/>
                    </a:stretch>
                  </pic:blipFill>
                  <pic:spPr bwMode="auto">
                    <a:xfrm>
                      <a:off x="0" y="0"/>
                      <a:ext cx="8890" cy="17145"/>
                    </a:xfrm>
                    <a:prstGeom prst="rect">
                      <a:avLst/>
                    </a:prstGeom>
                    <a:noFill/>
                  </pic:spPr>
                </pic:pic>
              </a:graphicData>
            </a:graphic>
          </wp:anchor>
        </w:drawing>
      </w:r>
    </w:p>
    <w:p>
      <w:pPr>
        <w:sectPr>
          <w:pgSz w:w="11900" w:h="16838" w:orient="portrait"/>
          <w:cols w:equalWidth="0" w:num="1">
            <w:col w:w="11260"/>
          </w:cols>
          <w:pgMar w:left="320" w:top="337" w:right="319" w:bottom="1440" w:gutter="0" w:footer="0" w:header="0"/>
        </w:sectPr>
      </w:pPr>
    </w:p>
    <w:bookmarkStart w:id="101" w:name="page102"/>
    <w:bookmarkEnd w:id="101"/>
    <w:p>
      <w:pPr>
        <w:ind w:left="1740"/>
        <w:spacing w:after="0"/>
        <w:rPr>
          <w:sz w:val="20"/>
          <w:szCs w:val="20"/>
          <w:color w:val="auto"/>
        </w:rPr>
      </w:pPr>
      <w:r>
        <w:rPr>
          <w:rFonts w:ascii="Arial" w:cs="Arial" w:eastAsia="Arial" w:hAnsi="Arial"/>
          <w:sz w:val="14"/>
          <w:szCs w:val="14"/>
          <w:color w:val="auto"/>
        </w:rPr>
        <w:t xml:space="preserve">SECTION 3.04. </w:t>
      </w:r>
      <w:r>
        <w:rPr>
          <w:rFonts w:ascii="Arial" w:cs="Arial" w:eastAsia="Arial" w:hAnsi="Arial"/>
          <w:sz w:val="14"/>
          <w:szCs w:val="14"/>
          <w:u w:val="single" w:color="auto"/>
          <w:color w:val="auto"/>
        </w:rPr>
        <w:t>Financial Condition; No Material Adverse Change</w:t>
      </w:r>
      <w:r>
        <w:rPr>
          <w:rFonts w:ascii="Arial" w:cs="Arial" w:eastAsia="Arial" w:hAnsi="Arial"/>
          <w:sz w:val="14"/>
          <w:szCs w:val="14"/>
          <w:color w:val="auto"/>
        </w:rPr>
        <w:t>.</w:t>
      </w:r>
    </w:p>
    <w:p>
      <w:pPr>
        <w:spacing w:after="0" w:line="204" w:lineRule="exact"/>
        <w:rPr>
          <w:sz w:val="20"/>
          <w:szCs w:val="20"/>
          <w:color w:val="auto"/>
        </w:rPr>
      </w:pPr>
    </w:p>
    <w:p>
      <w:pPr>
        <w:jc w:val="both"/>
        <w:ind w:right="20" w:firstLine="1735"/>
        <w:spacing w:after="0" w:line="233" w:lineRule="auto"/>
        <w:tabs>
          <w:tab w:leader="none" w:pos="2535" w:val="left"/>
        </w:tabs>
        <w:numPr>
          <w:ilvl w:val="0"/>
          <w:numId w:val="103"/>
        </w:numPr>
        <w:rPr>
          <w:rFonts w:ascii="Arial" w:cs="Arial" w:eastAsia="Arial" w:hAnsi="Arial"/>
          <w:sz w:val="14"/>
          <w:szCs w:val="14"/>
          <w:color w:val="auto"/>
        </w:rPr>
      </w:pPr>
      <w:r>
        <w:rPr>
          <w:rFonts w:ascii="Arial" w:cs="Arial" w:eastAsia="Arial" w:hAnsi="Arial"/>
          <w:sz w:val="14"/>
          <w:szCs w:val="14"/>
          <w:u w:val="single" w:color="auto"/>
          <w:color w:val="auto"/>
        </w:rPr>
        <w:t>Financial Statements</w:t>
      </w:r>
      <w:r>
        <w:rPr>
          <w:rFonts w:ascii="Arial" w:cs="Arial" w:eastAsia="Arial" w:hAnsi="Arial"/>
          <w:sz w:val="14"/>
          <w:szCs w:val="14"/>
          <w:color w:val="auto"/>
        </w:rPr>
        <w:t>. The Borrower has heretofore delivered to the Lenders the audited consolidated balance sheet and statements of assets and liabilities, operations, changes in net assets and cash flows of the Borrower and its Subsidiaries as of and for the year ended September 30, 2013, certified by a Financial Officer of the Borrower. Such financial statements present fairly, in all material respects, the consolidated financial position and results of operations and cash flows of the Borrower and its Subsidiaries as of such date and for such period in accordance with GAAP.</w:t>
      </w:r>
    </w:p>
    <w:p>
      <w:pPr>
        <w:spacing w:after="0" w:line="184" w:lineRule="exact"/>
        <w:rPr>
          <w:rFonts w:ascii="Arial" w:cs="Arial" w:eastAsia="Arial" w:hAnsi="Arial"/>
          <w:sz w:val="14"/>
          <w:szCs w:val="14"/>
          <w:color w:val="auto"/>
        </w:rPr>
      </w:pPr>
    </w:p>
    <w:p>
      <w:pPr>
        <w:jc w:val="both"/>
        <w:ind w:right="20" w:firstLine="1735"/>
        <w:spacing w:after="0" w:line="231" w:lineRule="auto"/>
        <w:tabs>
          <w:tab w:leader="none" w:pos="2543" w:val="left"/>
        </w:tabs>
        <w:numPr>
          <w:ilvl w:val="0"/>
          <w:numId w:val="103"/>
        </w:numPr>
        <w:rPr>
          <w:rFonts w:ascii="Arial" w:cs="Arial" w:eastAsia="Arial" w:hAnsi="Arial"/>
          <w:sz w:val="14"/>
          <w:szCs w:val="14"/>
          <w:color w:val="auto"/>
        </w:rPr>
      </w:pPr>
      <w:r>
        <w:rPr>
          <w:rFonts w:ascii="Arial" w:cs="Arial" w:eastAsia="Arial" w:hAnsi="Arial"/>
          <w:sz w:val="14"/>
          <w:szCs w:val="14"/>
          <w:u w:val="single" w:color="auto"/>
          <w:color w:val="auto"/>
        </w:rPr>
        <w:t>No Material Adverse Change</w:t>
      </w:r>
      <w:r>
        <w:rPr>
          <w:rFonts w:ascii="Arial" w:cs="Arial" w:eastAsia="Arial" w:hAnsi="Arial"/>
          <w:sz w:val="14"/>
          <w:szCs w:val="14"/>
          <w:color w:val="auto"/>
        </w:rPr>
        <w:t>. Since the date of the most recent Applicable Financial Statements, there has not been any event, development or circumstance (herein, a “</w:t>
      </w:r>
      <w:r>
        <w:rPr>
          <w:rFonts w:ascii="Arial" w:cs="Arial" w:eastAsia="Arial" w:hAnsi="Arial"/>
          <w:sz w:val="14"/>
          <w:szCs w:val="14"/>
          <w:u w:val="single" w:color="auto"/>
          <w:color w:val="auto"/>
        </w:rPr>
        <w:t>Material Adverse Change</w:t>
      </w:r>
      <w:r>
        <w:rPr>
          <w:rFonts w:ascii="Arial" w:cs="Arial" w:eastAsia="Arial" w:hAnsi="Arial"/>
          <w:sz w:val="14"/>
          <w:szCs w:val="14"/>
          <w:color w:val="auto"/>
        </w:rPr>
        <w:t>”) that has had or could reasonably be expected to have a material adverse effect on (i) the business, Portfolio Investments and other assets, liabilities and financial condition of the Borrower and its Subsidiaries (other than any Financing Subsidiary) taken as a whole (excluding in any case a decline in the net asset value of the Borrower or a change in general market conditions or values of the Borrower’s Portfolio Investments), or (ii) the validity or enforceability of any of the Loan Documents or the rights or remedies of the Administrative Agent and the Lenders thereunder.</w:t>
      </w:r>
    </w:p>
    <w:p>
      <w:pPr>
        <w:spacing w:after="0" w:line="184" w:lineRule="exact"/>
        <w:rPr>
          <w:sz w:val="20"/>
          <w:szCs w:val="20"/>
          <w:color w:val="auto"/>
        </w:rPr>
      </w:pPr>
    </w:p>
    <w:p>
      <w:pPr>
        <w:jc w:val="both"/>
        <w:ind w:right="20" w:firstLine="1727"/>
        <w:spacing w:after="0" w:line="264" w:lineRule="auto"/>
        <w:rPr>
          <w:sz w:val="20"/>
          <w:szCs w:val="20"/>
          <w:color w:val="auto"/>
        </w:rPr>
      </w:pPr>
      <w:r>
        <w:rPr>
          <w:rFonts w:ascii="Arial" w:cs="Arial" w:eastAsia="Arial" w:hAnsi="Arial"/>
          <w:sz w:val="13"/>
          <w:szCs w:val="13"/>
          <w:color w:val="auto"/>
        </w:rPr>
        <w:t xml:space="preserve">SECTION 3.05. </w:t>
      </w:r>
      <w:r>
        <w:rPr>
          <w:rFonts w:ascii="Arial" w:cs="Arial" w:eastAsia="Arial" w:hAnsi="Arial"/>
          <w:sz w:val="13"/>
          <w:szCs w:val="13"/>
          <w:u w:val="single" w:color="auto"/>
          <w:color w:val="auto"/>
        </w:rPr>
        <w:t>Litigation</w:t>
      </w:r>
      <w:r>
        <w:rPr>
          <w:rFonts w:ascii="Arial" w:cs="Arial" w:eastAsia="Arial" w:hAnsi="Arial"/>
          <w:sz w:val="13"/>
          <w:szCs w:val="13"/>
          <w:color w:val="auto"/>
        </w:rPr>
        <w:t>. There are no actions, suits, investigations or proceedings by or before any arbitrator or Governmental Authority now pending against or, to the knowledge of the Borrower, threatened against or affecting the Borrower or any of its Subsidiaries (i) as to which there is a reasonable possibility of an adverse determination and that, if adversely determined, could reasonably be expected, individually or in the aggregate, to result in a Material Adverse Effect or (ii) that involve this Agreement or the Transactions.</w:t>
      </w:r>
    </w:p>
    <w:p>
      <w:pPr>
        <w:spacing w:after="0" w:line="168" w:lineRule="exact"/>
        <w:rPr>
          <w:sz w:val="20"/>
          <w:szCs w:val="20"/>
          <w:color w:val="auto"/>
        </w:rPr>
      </w:pPr>
    </w:p>
    <w:p>
      <w:pPr>
        <w:jc w:val="both"/>
        <w:ind w:right="20" w:firstLine="1727"/>
        <w:spacing w:after="0" w:line="233" w:lineRule="auto"/>
        <w:rPr>
          <w:sz w:val="20"/>
          <w:szCs w:val="20"/>
          <w:color w:val="auto"/>
        </w:rPr>
      </w:pPr>
      <w:r>
        <w:rPr>
          <w:rFonts w:ascii="Arial" w:cs="Arial" w:eastAsia="Arial" w:hAnsi="Arial"/>
          <w:sz w:val="14"/>
          <w:szCs w:val="14"/>
          <w:color w:val="auto"/>
        </w:rPr>
        <w:t xml:space="preserve">SECTION 3.06. </w:t>
      </w:r>
      <w:r>
        <w:rPr>
          <w:rFonts w:ascii="Arial" w:cs="Arial" w:eastAsia="Arial" w:hAnsi="Arial"/>
          <w:sz w:val="14"/>
          <w:szCs w:val="14"/>
          <w:u w:val="single" w:color="auto"/>
          <w:color w:val="auto"/>
        </w:rPr>
        <w:t>Compliance with Laws and Agreements</w:t>
      </w:r>
      <w:r>
        <w:rPr>
          <w:rFonts w:ascii="Arial" w:cs="Arial" w:eastAsia="Arial" w:hAnsi="Arial"/>
          <w:sz w:val="14"/>
          <w:szCs w:val="14"/>
          <w:color w:val="auto"/>
        </w:rPr>
        <w:t>. Each of the Borrower and its Subsidiaries is in compliance with all laws, regulations and orders of any Governmental Authority applicable to it or its property and all indentures, agreements and other instruments binding upon it or its property, except where the failure to do so, individually or in the aggregate, could not reasonably be expected to result in a Material Adverse Effect. Neither the Borrower nor any of its Subsidiaries is subject to any contract or other arrangement, the performance of which by the Borrower or its Subsidiaries could reasonably be expected to result in a Material Adverse Effect.</w:t>
      </w:r>
    </w:p>
    <w:p>
      <w:pPr>
        <w:spacing w:after="0" w:line="185" w:lineRule="exact"/>
        <w:rPr>
          <w:sz w:val="20"/>
          <w:szCs w:val="20"/>
          <w:color w:val="auto"/>
        </w:rPr>
      </w:pPr>
    </w:p>
    <w:p>
      <w:pPr>
        <w:jc w:val="both"/>
        <w:ind w:right="20" w:firstLine="1727"/>
        <w:spacing w:after="0" w:line="264" w:lineRule="auto"/>
        <w:rPr>
          <w:sz w:val="20"/>
          <w:szCs w:val="20"/>
          <w:color w:val="auto"/>
        </w:rPr>
      </w:pPr>
      <w:r>
        <w:rPr>
          <w:rFonts w:ascii="Arial" w:cs="Arial" w:eastAsia="Arial" w:hAnsi="Arial"/>
          <w:sz w:val="13"/>
          <w:szCs w:val="13"/>
          <w:color w:val="auto"/>
        </w:rPr>
        <w:t xml:space="preserve">SECTION 3.07. </w:t>
      </w:r>
      <w:r>
        <w:rPr>
          <w:rFonts w:ascii="Arial" w:cs="Arial" w:eastAsia="Arial" w:hAnsi="Arial"/>
          <w:sz w:val="13"/>
          <w:szCs w:val="13"/>
          <w:u w:val="single" w:color="auto"/>
          <w:color w:val="auto"/>
        </w:rPr>
        <w:t>Taxes</w:t>
      </w:r>
      <w:r>
        <w:rPr>
          <w:rFonts w:ascii="Arial" w:cs="Arial" w:eastAsia="Arial" w:hAnsi="Arial"/>
          <w:sz w:val="13"/>
          <w:szCs w:val="13"/>
          <w:color w:val="auto"/>
        </w:rPr>
        <w:t>. Each of the Borrower and its Subsidiaries has timely filed or caused to be filed all material Tax returns and reports required to have been filed and has paid or caused to be paid all material Taxes required to have been paid by it, except (a) Taxes that are being contested in good faith by appropriate proceedings and for which such Person has set aside on its books adequate reserves or (b) to the extent that the failure to do so could not reasonably be expected to result in a Material Adverse Effect.</w:t>
      </w:r>
    </w:p>
    <w:p>
      <w:pPr>
        <w:spacing w:after="0" w:line="168" w:lineRule="exact"/>
        <w:rPr>
          <w:sz w:val="20"/>
          <w:szCs w:val="20"/>
          <w:color w:val="auto"/>
        </w:rPr>
      </w:pPr>
    </w:p>
    <w:p>
      <w:pPr>
        <w:jc w:val="both"/>
        <w:ind w:right="20" w:firstLine="1727"/>
        <w:spacing w:after="0" w:line="253" w:lineRule="auto"/>
        <w:rPr>
          <w:sz w:val="20"/>
          <w:szCs w:val="20"/>
          <w:color w:val="auto"/>
        </w:rPr>
      </w:pPr>
      <w:r>
        <w:rPr>
          <w:rFonts w:ascii="Arial" w:cs="Arial" w:eastAsia="Arial" w:hAnsi="Arial"/>
          <w:sz w:val="14"/>
          <w:szCs w:val="14"/>
          <w:color w:val="auto"/>
        </w:rPr>
        <w:t xml:space="preserve">SECTION 3.08. </w:t>
      </w:r>
      <w:r>
        <w:rPr>
          <w:rFonts w:ascii="Arial" w:cs="Arial" w:eastAsia="Arial" w:hAnsi="Arial"/>
          <w:sz w:val="14"/>
          <w:szCs w:val="14"/>
          <w:u w:val="single" w:color="auto"/>
          <w:color w:val="auto"/>
        </w:rPr>
        <w:t>ERISA</w:t>
      </w:r>
      <w:r>
        <w:rPr>
          <w:rFonts w:ascii="Arial" w:cs="Arial" w:eastAsia="Arial" w:hAnsi="Arial"/>
          <w:sz w:val="14"/>
          <w:szCs w:val="14"/>
          <w:color w:val="auto"/>
        </w:rPr>
        <w:t>. No ERISA Event has occurred or is reasonably expected to occur that, when taken together with all other such ERISA Events for which liability is reasonably expected to occur, could reasonably be expected to result in a Material Adverse Effect.</w:t>
      </w:r>
    </w:p>
    <w:p>
      <w:pPr>
        <w:spacing w:after="0" w:line="174" w:lineRule="exact"/>
        <w:rPr>
          <w:sz w:val="20"/>
          <w:szCs w:val="20"/>
          <w:color w:val="auto"/>
        </w:rPr>
      </w:pPr>
    </w:p>
    <w:p>
      <w:pPr>
        <w:jc w:val="both"/>
        <w:ind w:right="20" w:firstLine="1727"/>
        <w:spacing w:after="0" w:line="227" w:lineRule="auto"/>
        <w:rPr>
          <w:sz w:val="20"/>
          <w:szCs w:val="20"/>
          <w:color w:val="auto"/>
        </w:rPr>
      </w:pPr>
      <w:r>
        <w:rPr>
          <w:rFonts w:ascii="Arial" w:cs="Arial" w:eastAsia="Arial" w:hAnsi="Arial"/>
          <w:sz w:val="14"/>
          <w:szCs w:val="14"/>
          <w:color w:val="auto"/>
        </w:rPr>
        <w:t xml:space="preserve">SECTION 3.09. </w:t>
      </w:r>
      <w:r>
        <w:rPr>
          <w:rFonts w:ascii="Arial" w:cs="Arial" w:eastAsia="Arial" w:hAnsi="Arial"/>
          <w:sz w:val="14"/>
          <w:szCs w:val="14"/>
          <w:u w:val="single" w:color="auto"/>
          <w:color w:val="auto"/>
        </w:rPr>
        <w:t>Disclosure</w:t>
      </w:r>
      <w:r>
        <w:rPr>
          <w:rFonts w:ascii="Arial" w:cs="Arial" w:eastAsia="Arial" w:hAnsi="Arial"/>
          <w:sz w:val="14"/>
          <w:szCs w:val="14"/>
          <w:color w:val="auto"/>
        </w:rPr>
        <w:t xml:space="preserve">. As of the Effective Date, the Borrower has disclosed to the Lenders all agreements, instruments and corporate or other restrictions to which it or any of its Subsidiaries is subject, and all other matters known to it, that, individually or in the aggregate, could reasonably be expected to result in a Material Adverse Effect. None of the reports, financial statements, certificates or other written information (other than projected financial information, other forward looking information relating to third parties and information of a general economic or general industry nature) furnished by or on behalf of the Borrower to the Administrative Agent in connection with the negotiation of this Agreement and the other Loan Documents or delivered hereunder or thereunder (as modified or supplemented by other information so furnished) when taken as a whole (and after giving effect to all updates, modifications and supplements) contains any material misstatement of fact or omits to state any material fact necessary to make the statements therein, in the light of the circumstances under which they were made, not misleading; </w:t>
      </w:r>
      <w:r>
        <w:rPr>
          <w:rFonts w:ascii="Arial" w:cs="Arial" w:eastAsia="Arial" w:hAnsi="Arial"/>
          <w:sz w:val="14"/>
          <w:szCs w:val="14"/>
          <w:u w:val="single" w:color="auto"/>
          <w:color w:val="auto"/>
        </w:rPr>
        <w:t>provided</w:t>
      </w:r>
      <w:r>
        <w:rPr>
          <w:rFonts w:ascii="Arial" w:cs="Arial" w:eastAsia="Arial" w:hAnsi="Arial"/>
          <w:sz w:val="14"/>
          <w:szCs w:val="14"/>
          <w:color w:val="auto"/>
        </w:rPr>
        <w:t xml:space="preserve"> that with respect to projected financial information, the Borrower represents only that such information was prepared in good faith based upon assumptions believed to be reasonable at the time.</w:t>
      </w:r>
    </w:p>
    <w:p>
      <w:pPr>
        <w:spacing w:after="0" w:line="186" w:lineRule="exact"/>
        <w:rPr>
          <w:sz w:val="20"/>
          <w:szCs w:val="20"/>
          <w:color w:val="auto"/>
        </w:rPr>
      </w:pPr>
    </w:p>
    <w:p>
      <w:pPr>
        <w:ind w:left="1740"/>
        <w:spacing w:after="0"/>
        <w:rPr>
          <w:sz w:val="20"/>
          <w:szCs w:val="20"/>
          <w:color w:val="auto"/>
        </w:rPr>
      </w:pPr>
      <w:r>
        <w:rPr>
          <w:rFonts w:ascii="Arial" w:cs="Arial" w:eastAsia="Arial" w:hAnsi="Arial"/>
          <w:sz w:val="14"/>
          <w:szCs w:val="14"/>
          <w:color w:val="auto"/>
        </w:rPr>
        <w:t xml:space="preserve">SECTION 3.10. </w:t>
      </w:r>
      <w:r>
        <w:rPr>
          <w:rFonts w:ascii="Arial" w:cs="Arial" w:eastAsia="Arial" w:hAnsi="Arial"/>
          <w:sz w:val="14"/>
          <w:szCs w:val="14"/>
          <w:u w:val="single" w:color="auto"/>
          <w:color w:val="auto"/>
        </w:rPr>
        <w:t>Investment Company Act; Margin Regulations</w:t>
      </w:r>
      <w:r>
        <w:rPr>
          <w:rFonts w:ascii="Arial" w:cs="Arial" w:eastAsia="Arial" w:hAnsi="Arial"/>
          <w:sz w:val="14"/>
          <w:szCs w:val="14"/>
          <w:color w:val="auto"/>
        </w:rPr>
        <w:t>.</w:t>
      </w:r>
    </w:p>
    <w:p>
      <w:pPr>
        <w:spacing w:after="0" w:line="204" w:lineRule="exact"/>
        <w:rPr>
          <w:sz w:val="20"/>
          <w:szCs w:val="20"/>
          <w:color w:val="auto"/>
        </w:rPr>
      </w:pPr>
    </w:p>
    <w:p>
      <w:pPr>
        <w:ind w:right="20" w:firstLine="1735"/>
        <w:spacing w:after="0" w:line="253" w:lineRule="auto"/>
        <w:tabs>
          <w:tab w:leader="none" w:pos="2535" w:val="left"/>
        </w:tabs>
        <w:numPr>
          <w:ilvl w:val="0"/>
          <w:numId w:val="104"/>
        </w:numPr>
        <w:rPr>
          <w:rFonts w:ascii="Arial" w:cs="Arial" w:eastAsia="Arial" w:hAnsi="Arial"/>
          <w:sz w:val="14"/>
          <w:szCs w:val="14"/>
          <w:color w:val="auto"/>
        </w:rPr>
      </w:pPr>
      <w:r>
        <w:rPr>
          <w:rFonts w:ascii="Arial" w:cs="Arial" w:eastAsia="Arial" w:hAnsi="Arial"/>
          <w:sz w:val="14"/>
          <w:szCs w:val="14"/>
          <w:u w:val="single" w:color="auto"/>
          <w:color w:val="auto"/>
        </w:rPr>
        <w:t>Status as Business Development Company</w:t>
      </w:r>
      <w:r>
        <w:rPr>
          <w:rFonts w:ascii="Arial" w:cs="Arial" w:eastAsia="Arial" w:hAnsi="Arial"/>
          <w:sz w:val="14"/>
          <w:szCs w:val="14"/>
          <w:color w:val="auto"/>
        </w:rPr>
        <w:t>. The Borrower is an “investment company” that has elected to be regulated as a “business development company” within the meaning of the Investment Company Act and qualifies as a RIC.</w:t>
      </w:r>
    </w:p>
    <w:p>
      <w:pPr>
        <w:spacing w:after="0" w:line="173" w:lineRule="exact"/>
        <w:rPr>
          <w:rFonts w:ascii="Arial" w:cs="Arial" w:eastAsia="Arial" w:hAnsi="Arial"/>
          <w:sz w:val="14"/>
          <w:szCs w:val="14"/>
          <w:color w:val="auto"/>
        </w:rPr>
      </w:pPr>
    </w:p>
    <w:p>
      <w:pPr>
        <w:jc w:val="both"/>
        <w:ind w:right="20" w:firstLine="1735"/>
        <w:spacing w:after="0" w:line="233" w:lineRule="auto"/>
        <w:tabs>
          <w:tab w:leader="none" w:pos="2543" w:val="left"/>
        </w:tabs>
        <w:numPr>
          <w:ilvl w:val="0"/>
          <w:numId w:val="104"/>
        </w:numPr>
        <w:rPr>
          <w:rFonts w:ascii="Arial" w:cs="Arial" w:eastAsia="Arial" w:hAnsi="Arial"/>
          <w:sz w:val="14"/>
          <w:szCs w:val="14"/>
          <w:color w:val="auto"/>
        </w:rPr>
      </w:pPr>
      <w:r>
        <w:rPr>
          <w:rFonts w:ascii="Arial" w:cs="Arial" w:eastAsia="Arial" w:hAnsi="Arial"/>
          <w:sz w:val="14"/>
          <w:szCs w:val="14"/>
          <w:u w:val="single" w:color="auto"/>
          <w:color w:val="auto"/>
        </w:rPr>
        <w:t>Compliance with Investment Company Act</w:t>
      </w:r>
      <w:r>
        <w:rPr>
          <w:rFonts w:ascii="Arial" w:cs="Arial" w:eastAsia="Arial" w:hAnsi="Arial"/>
          <w:sz w:val="14"/>
          <w:szCs w:val="14"/>
          <w:color w:val="auto"/>
        </w:rPr>
        <w:t>. The business and other activities of the Borrower and its Subsidiaries, including the making of the Loans hereunder, the application of the proceeds and repayment thereof by the Borrower and the consummation of the Transactions contemplated by the Loan Documents do not result in a violation or breach in any material respect of the provisions of the Investment Company Act or any rules, regulations or orders issued by the Securities and Exchange Commission thereunder, in each case that are applicable to the Borrower and its Subsidiaries.</w:t>
      </w:r>
    </w:p>
    <w:p>
      <w:pPr>
        <w:spacing w:after="0" w:line="184" w:lineRule="exact"/>
        <w:rPr>
          <w:rFonts w:ascii="Arial" w:cs="Arial" w:eastAsia="Arial" w:hAnsi="Arial"/>
          <w:sz w:val="14"/>
          <w:szCs w:val="14"/>
          <w:color w:val="auto"/>
        </w:rPr>
      </w:pPr>
    </w:p>
    <w:p>
      <w:pPr>
        <w:ind w:left="2540" w:hanging="805"/>
        <w:spacing w:after="0"/>
        <w:tabs>
          <w:tab w:leader="none" w:pos="2540" w:val="left"/>
        </w:tabs>
        <w:numPr>
          <w:ilvl w:val="0"/>
          <w:numId w:val="104"/>
        </w:numPr>
        <w:rPr>
          <w:rFonts w:ascii="Arial" w:cs="Arial" w:eastAsia="Arial" w:hAnsi="Arial"/>
          <w:sz w:val="13"/>
          <w:szCs w:val="13"/>
          <w:color w:val="auto"/>
        </w:rPr>
      </w:pPr>
      <w:r>
        <w:rPr>
          <w:rFonts w:ascii="Arial" w:cs="Arial" w:eastAsia="Arial" w:hAnsi="Arial"/>
          <w:sz w:val="13"/>
          <w:szCs w:val="13"/>
          <w:u w:val="single" w:color="auto"/>
          <w:color w:val="auto"/>
        </w:rPr>
        <w:t>Investment Policies</w:t>
      </w:r>
      <w:r>
        <w:rPr>
          <w:rFonts w:ascii="Arial" w:cs="Arial" w:eastAsia="Arial" w:hAnsi="Arial"/>
          <w:sz w:val="13"/>
          <w:szCs w:val="13"/>
          <w:color w:val="auto"/>
        </w:rPr>
        <w:t>. The Borrower is in compliance in all material respects with the Investment Policies (after giving effect to any Permitted Policy</w:t>
      </w:r>
    </w:p>
    <w:p>
      <w:pPr>
        <w:spacing w:after="0" w:line="11" w:lineRule="exact"/>
        <w:rPr>
          <w:rFonts w:ascii="Arial" w:cs="Arial" w:eastAsia="Arial" w:hAnsi="Arial"/>
          <w:sz w:val="13"/>
          <w:szCs w:val="13"/>
          <w:color w:val="auto"/>
        </w:rPr>
      </w:pPr>
    </w:p>
    <w:p>
      <w:pPr>
        <w:spacing w:after="0"/>
        <w:rPr>
          <w:rFonts w:ascii="Arial" w:cs="Arial" w:eastAsia="Arial" w:hAnsi="Arial"/>
          <w:sz w:val="13"/>
          <w:szCs w:val="13"/>
          <w:color w:val="auto"/>
        </w:rPr>
      </w:pPr>
      <w:r>
        <w:rPr>
          <w:rFonts w:ascii="Arial" w:cs="Arial" w:eastAsia="Arial" w:hAnsi="Arial"/>
          <w:sz w:val="14"/>
          <w:szCs w:val="14"/>
          <w:color w:val="auto"/>
        </w:rPr>
        <w:t>Amendments).</w:t>
      </w:r>
    </w:p>
    <w:p>
      <w:pPr>
        <w:spacing w:after="0" w:line="191" w:lineRule="exact"/>
        <w:rPr>
          <w:rFonts w:ascii="Arial" w:cs="Arial" w:eastAsia="Arial" w:hAnsi="Arial"/>
          <w:sz w:val="13"/>
          <w:szCs w:val="13"/>
          <w:color w:val="auto"/>
        </w:rPr>
      </w:pPr>
    </w:p>
    <w:p>
      <w:pPr>
        <w:jc w:val="both"/>
        <w:ind w:right="20" w:firstLine="1735"/>
        <w:spacing w:after="0" w:line="238" w:lineRule="auto"/>
        <w:tabs>
          <w:tab w:leader="none" w:pos="2543" w:val="left"/>
        </w:tabs>
        <w:numPr>
          <w:ilvl w:val="0"/>
          <w:numId w:val="104"/>
        </w:numPr>
        <w:rPr>
          <w:rFonts w:ascii="Arial" w:cs="Arial" w:eastAsia="Arial" w:hAnsi="Arial"/>
          <w:sz w:val="14"/>
          <w:szCs w:val="14"/>
          <w:color w:val="auto"/>
        </w:rPr>
      </w:pPr>
      <w:r>
        <w:rPr>
          <w:rFonts w:ascii="Arial" w:cs="Arial" w:eastAsia="Arial" w:hAnsi="Arial"/>
          <w:sz w:val="14"/>
          <w:szCs w:val="14"/>
          <w:u w:val="single" w:color="auto"/>
          <w:color w:val="auto"/>
        </w:rPr>
        <w:t>Use of Credit</w:t>
      </w:r>
      <w:r>
        <w:rPr>
          <w:rFonts w:ascii="Arial" w:cs="Arial" w:eastAsia="Arial" w:hAnsi="Arial"/>
          <w:sz w:val="14"/>
          <w:szCs w:val="14"/>
          <w:color w:val="auto"/>
        </w:rPr>
        <w:t>. Neither the Borrower nor any of its Subsidiaries is engaged principally, or as one of its important activities, in the business of extending credit for the purpose, whether immediate, incidental or ultimate, of buying or carrying Margin Stock, and no part of the proceeds of any extension of credit hereunder will be used to buy or carry any Margin Stock.</w:t>
      </w:r>
    </w:p>
    <w:p>
      <w:pPr>
        <w:spacing w:after="0" w:line="200" w:lineRule="exact"/>
        <w:rPr>
          <w:sz w:val="20"/>
          <w:szCs w:val="20"/>
          <w:color w:val="auto"/>
        </w:rPr>
      </w:pPr>
    </w:p>
    <w:p>
      <w:pPr>
        <w:spacing w:after="0" w:line="200" w:lineRule="exact"/>
        <w:rPr>
          <w:sz w:val="20"/>
          <w:szCs w:val="20"/>
          <w:color w:val="auto"/>
        </w:rPr>
      </w:pPr>
    </w:p>
    <w:p>
      <w:pPr>
        <w:spacing w:after="0" w:line="20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7580" w:type="dxa"/>
            <w:vAlign w:val="bottom"/>
          </w:tcPr>
          <w:p>
            <w:pPr>
              <w:jc w:val="right"/>
              <w:ind w:right="1808"/>
              <w:spacing w:after="0"/>
              <w:rPr>
                <w:sz w:val="20"/>
                <w:szCs w:val="20"/>
                <w:color w:val="auto"/>
              </w:rPr>
            </w:pPr>
            <w:r>
              <w:rPr>
                <w:rFonts w:ascii="Arial" w:cs="Arial" w:eastAsia="Arial" w:hAnsi="Arial"/>
                <w:sz w:val="14"/>
                <w:szCs w:val="14"/>
                <w:color w:val="auto"/>
              </w:rPr>
              <w:t>39</w:t>
            </w:r>
          </w:p>
        </w:tc>
        <w:tc>
          <w:tcPr>
            <w:tcW w:w="3680" w:type="dxa"/>
            <w:vAlign w:val="bottom"/>
          </w:tcPr>
          <w:p>
            <w:pPr>
              <w:jc w:val="right"/>
              <w:spacing w:after="0"/>
              <w:rPr>
                <w:sz w:val="20"/>
                <w:szCs w:val="20"/>
                <w:color w:val="auto"/>
              </w:rPr>
            </w:pPr>
            <w:r>
              <w:rPr>
                <w:rFonts w:ascii="Arial" w:cs="Arial" w:eastAsia="Arial" w:hAnsi="Arial"/>
                <w:sz w:val="14"/>
                <w:szCs w:val="14"/>
                <w:i w:val="1"/>
                <w:iCs w:val="1"/>
                <w:color w:val="auto"/>
              </w:rPr>
              <w:t>Second Amended and Restated</w:t>
            </w:r>
          </w:p>
        </w:tc>
      </w:tr>
      <w:tr>
        <w:trPr>
          <w:trHeight w:val="182"/>
        </w:trPr>
        <w:tc>
          <w:tcPr>
            <w:tcW w:w="7580" w:type="dxa"/>
            <w:vAlign w:val="bottom"/>
          </w:tcPr>
          <w:p>
            <w:pPr>
              <w:spacing w:after="0"/>
              <w:rPr>
                <w:sz w:val="15"/>
                <w:szCs w:val="15"/>
                <w:color w:val="auto"/>
              </w:rPr>
            </w:pPr>
          </w:p>
        </w:tc>
        <w:tc>
          <w:tcPr>
            <w:tcW w:w="3680" w:type="dxa"/>
            <w:vAlign w:val="bottom"/>
          </w:tcPr>
          <w:p>
            <w:pPr>
              <w:jc w:val="right"/>
              <w:spacing w:after="0"/>
              <w:rPr>
                <w:sz w:val="20"/>
                <w:szCs w:val="20"/>
                <w:color w:val="auto"/>
              </w:rPr>
            </w:pPr>
            <w:r>
              <w:rPr>
                <w:rFonts w:ascii="Arial" w:cs="Arial" w:eastAsia="Arial" w:hAnsi="Arial"/>
                <w:sz w:val="14"/>
                <w:szCs w:val="14"/>
                <w:i w:val="1"/>
                <w:iCs w:val="1"/>
                <w:color w:val="auto"/>
              </w:rPr>
              <w:t>Revolving Credit Agreement</w:t>
            </w:r>
          </w:p>
        </w:tc>
      </w:tr>
      <w:tr>
        <w:trPr>
          <w:trHeight w:val="316"/>
        </w:trPr>
        <w:tc>
          <w:tcPr>
            <w:tcW w:w="7580" w:type="dxa"/>
            <w:vAlign w:val="bottom"/>
            <w:tcBorders>
              <w:bottom w:val="single" w:sz="8" w:color="9A9A9A"/>
            </w:tcBorders>
          </w:tcPr>
          <w:p>
            <w:pPr>
              <w:spacing w:after="0"/>
              <w:rPr>
                <w:sz w:val="24"/>
                <w:szCs w:val="24"/>
                <w:color w:val="auto"/>
              </w:rPr>
            </w:pPr>
          </w:p>
        </w:tc>
        <w:tc>
          <w:tcPr>
            <w:tcW w:w="368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7145655</wp:posOffset>
            </wp:positionH>
            <wp:positionV relativeFrom="paragraph">
              <wp:posOffset>-7620</wp:posOffset>
            </wp:positionV>
            <wp:extent cx="8255" cy="8255"/>
            <wp:wrapNone/>
            <wp:docPr id="183" name="Picture 1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3"/>
                    <pic:cNvPicPr>
                      <a:picLocks noChangeAspect="1" noChangeArrowheads="1"/>
                    </pic:cNvPicPr>
                  </pic:nvPicPr>
                  <pic:blipFill>
                    <a:blip r:embed="rId190">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-16510</wp:posOffset>
            </wp:positionV>
            <wp:extent cx="8890" cy="17145"/>
            <wp:wrapNone/>
            <wp:docPr id="184" name="Picture 1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4"/>
                    <pic:cNvPicPr>
                      <a:picLocks noChangeAspect="1" noChangeArrowheads="1"/>
                    </pic:cNvPicPr>
                  </pic:nvPicPr>
                  <pic:blipFill>
                    <a:blip r:embed="rId191">
                      <a:extLst>
                        <a:ext uri="{28A0092B-C50C-407E-A947-70E740481C1C}"/>
                      </a:extLst>
                    </a:blip>
                    <a:srcRect/>
                    <a:stretch>
                      <a:fillRect/>
                    </a:stretch>
                  </pic:blipFill>
                  <pic:spPr bwMode="auto">
                    <a:xfrm>
                      <a:off x="0" y="0"/>
                      <a:ext cx="8890" cy="17145"/>
                    </a:xfrm>
                    <a:prstGeom prst="rect">
                      <a:avLst/>
                    </a:prstGeom>
                    <a:noFill/>
                  </pic:spPr>
                </pic:pic>
              </a:graphicData>
            </a:graphic>
          </wp:anchor>
        </w:drawing>
      </w:r>
    </w:p>
    <w:p>
      <w:pPr>
        <w:sectPr>
          <w:pgSz w:w="11900" w:h="16838" w:orient="portrait"/>
          <w:cols w:equalWidth="0" w:num="1">
            <w:col w:w="11260"/>
          </w:cols>
          <w:pgMar w:left="320" w:top="337" w:right="319" w:bottom="1440" w:gutter="0" w:footer="0" w:header="0"/>
        </w:sectPr>
      </w:pPr>
    </w:p>
    <w:bookmarkStart w:id="102" w:name="page103"/>
    <w:bookmarkEnd w:id="102"/>
    <w:p>
      <w:pPr>
        <w:ind w:left="1740"/>
        <w:spacing w:after="0"/>
        <w:rPr>
          <w:sz w:val="20"/>
          <w:szCs w:val="20"/>
          <w:color w:val="auto"/>
        </w:rPr>
      </w:pPr>
      <w:r>
        <w:rPr>
          <w:rFonts w:ascii="Arial" w:cs="Arial" w:eastAsia="Arial" w:hAnsi="Arial"/>
          <w:sz w:val="14"/>
          <w:szCs w:val="14"/>
          <w:color w:val="auto"/>
        </w:rPr>
        <w:t xml:space="preserve">SECTION 3.11. </w:t>
      </w:r>
      <w:r>
        <w:rPr>
          <w:rFonts w:ascii="Arial" w:cs="Arial" w:eastAsia="Arial" w:hAnsi="Arial"/>
          <w:sz w:val="14"/>
          <w:szCs w:val="14"/>
          <w:u w:val="single" w:color="auto"/>
          <w:color w:val="auto"/>
        </w:rPr>
        <w:t>Material Agreements and Liens</w:t>
      </w:r>
      <w:r>
        <w:rPr>
          <w:rFonts w:ascii="Arial" w:cs="Arial" w:eastAsia="Arial" w:hAnsi="Arial"/>
          <w:sz w:val="14"/>
          <w:szCs w:val="14"/>
          <w:color w:val="auto"/>
        </w:rPr>
        <w:t>.</w:t>
      </w:r>
    </w:p>
    <w:p>
      <w:pPr>
        <w:spacing w:after="0" w:line="204" w:lineRule="exact"/>
        <w:rPr>
          <w:sz w:val="20"/>
          <w:szCs w:val="20"/>
          <w:color w:val="auto"/>
        </w:rPr>
      </w:pPr>
    </w:p>
    <w:p>
      <w:pPr>
        <w:jc w:val="both"/>
        <w:ind w:right="20" w:firstLine="1735"/>
        <w:spacing w:after="0" w:line="233" w:lineRule="auto"/>
        <w:tabs>
          <w:tab w:leader="none" w:pos="2535" w:val="left"/>
        </w:tabs>
        <w:numPr>
          <w:ilvl w:val="0"/>
          <w:numId w:val="105"/>
        </w:numPr>
        <w:rPr>
          <w:rFonts w:ascii="Arial" w:cs="Arial" w:eastAsia="Arial" w:hAnsi="Arial"/>
          <w:sz w:val="14"/>
          <w:szCs w:val="14"/>
          <w:color w:val="auto"/>
        </w:rPr>
      </w:pPr>
      <w:r>
        <w:rPr>
          <w:rFonts w:ascii="Arial" w:cs="Arial" w:eastAsia="Arial" w:hAnsi="Arial"/>
          <w:sz w:val="14"/>
          <w:szCs w:val="14"/>
          <w:u w:val="single" w:color="auto"/>
          <w:color w:val="auto"/>
        </w:rPr>
        <w:t>Material Agreements</w:t>
      </w:r>
      <w:r>
        <w:rPr>
          <w:rFonts w:ascii="Arial" w:cs="Arial" w:eastAsia="Arial" w:hAnsi="Arial"/>
          <w:sz w:val="14"/>
          <w:szCs w:val="14"/>
          <w:color w:val="auto"/>
        </w:rPr>
        <w:t xml:space="preserve">. </w:t>
      </w:r>
      <w:r>
        <w:rPr>
          <w:rFonts w:ascii="Arial" w:cs="Arial" w:eastAsia="Arial" w:hAnsi="Arial"/>
          <w:sz w:val="14"/>
          <w:szCs w:val="14"/>
          <w:u w:val="single" w:color="auto"/>
          <w:color w:val="auto"/>
        </w:rPr>
        <w:t>Part A</w:t>
      </w:r>
      <w:r>
        <w:rPr>
          <w:rFonts w:ascii="Arial" w:cs="Arial" w:eastAsia="Arial" w:hAnsi="Arial"/>
          <w:sz w:val="14"/>
          <w:szCs w:val="14"/>
          <w:color w:val="auto"/>
        </w:rPr>
        <w:t xml:space="preserve"> of </w:t>
      </w:r>
      <w:r>
        <w:rPr>
          <w:rFonts w:ascii="Arial" w:cs="Arial" w:eastAsia="Arial" w:hAnsi="Arial"/>
          <w:sz w:val="14"/>
          <w:szCs w:val="14"/>
          <w:u w:val="single" w:color="auto"/>
          <w:color w:val="auto"/>
        </w:rPr>
        <w:t>Schedule 3.11</w:t>
      </w:r>
      <w:r>
        <w:rPr>
          <w:rFonts w:ascii="Arial" w:cs="Arial" w:eastAsia="Arial" w:hAnsi="Arial"/>
          <w:sz w:val="14"/>
          <w:szCs w:val="14"/>
          <w:color w:val="auto"/>
        </w:rPr>
        <w:t xml:space="preserve"> is a complete and correct list, as of the date hereof, of each credit agreement, loan agreement, indenture, purchase agreement, guarantee, letter of credit or other arrangement providing for or otherwise relating to any Indebtedness or any extension of credit (or commitment for any extension of credit) to, or guarantee by, the Borrower or any of its Subsidiaries outstanding on the date hereof, and the aggregate principal or face amount outstanding or that is, or may become, outstanding under each such arrangement is correctly described in </w:t>
      </w:r>
      <w:r>
        <w:rPr>
          <w:rFonts w:ascii="Arial" w:cs="Arial" w:eastAsia="Arial" w:hAnsi="Arial"/>
          <w:sz w:val="14"/>
          <w:szCs w:val="14"/>
          <w:u w:val="single" w:color="auto"/>
          <w:color w:val="auto"/>
        </w:rPr>
        <w:t>Part A</w:t>
      </w:r>
      <w:r>
        <w:rPr>
          <w:rFonts w:ascii="Arial" w:cs="Arial" w:eastAsia="Arial" w:hAnsi="Arial"/>
          <w:sz w:val="14"/>
          <w:szCs w:val="14"/>
          <w:color w:val="auto"/>
        </w:rPr>
        <w:t xml:space="preserve"> of </w:t>
      </w:r>
      <w:r>
        <w:rPr>
          <w:rFonts w:ascii="Arial" w:cs="Arial" w:eastAsia="Arial" w:hAnsi="Arial"/>
          <w:sz w:val="14"/>
          <w:szCs w:val="14"/>
          <w:u w:val="single" w:color="auto"/>
          <w:color w:val="auto"/>
        </w:rPr>
        <w:t>Schedule 3.11</w:t>
      </w:r>
      <w:r>
        <w:rPr>
          <w:rFonts w:ascii="Arial" w:cs="Arial" w:eastAsia="Arial" w:hAnsi="Arial"/>
          <w:sz w:val="14"/>
          <w:szCs w:val="14"/>
          <w:color w:val="auto"/>
        </w:rPr>
        <w:t>.</w:t>
      </w:r>
    </w:p>
    <w:p>
      <w:pPr>
        <w:spacing w:after="0" w:line="184" w:lineRule="exact"/>
        <w:rPr>
          <w:rFonts w:ascii="Arial" w:cs="Arial" w:eastAsia="Arial" w:hAnsi="Arial"/>
          <w:sz w:val="14"/>
          <w:szCs w:val="14"/>
          <w:color w:val="auto"/>
        </w:rPr>
      </w:pPr>
    </w:p>
    <w:p>
      <w:pPr>
        <w:jc w:val="both"/>
        <w:ind w:right="20" w:firstLine="1735"/>
        <w:spacing w:after="0" w:line="238" w:lineRule="auto"/>
        <w:tabs>
          <w:tab w:leader="none" w:pos="2543" w:val="left"/>
        </w:tabs>
        <w:numPr>
          <w:ilvl w:val="0"/>
          <w:numId w:val="105"/>
        </w:numPr>
        <w:rPr>
          <w:rFonts w:ascii="Arial" w:cs="Arial" w:eastAsia="Arial" w:hAnsi="Arial"/>
          <w:sz w:val="14"/>
          <w:szCs w:val="14"/>
          <w:color w:val="auto"/>
        </w:rPr>
      </w:pPr>
      <w:r>
        <w:rPr>
          <w:rFonts w:ascii="Arial" w:cs="Arial" w:eastAsia="Arial" w:hAnsi="Arial"/>
          <w:sz w:val="14"/>
          <w:szCs w:val="14"/>
          <w:u w:val="single" w:color="auto"/>
          <w:color w:val="auto"/>
        </w:rPr>
        <w:t>Liens</w:t>
      </w:r>
      <w:r>
        <w:rPr>
          <w:rFonts w:ascii="Arial" w:cs="Arial" w:eastAsia="Arial" w:hAnsi="Arial"/>
          <w:sz w:val="14"/>
          <w:szCs w:val="14"/>
          <w:color w:val="auto"/>
        </w:rPr>
        <w:t xml:space="preserve">. </w:t>
      </w:r>
      <w:r>
        <w:rPr>
          <w:rFonts w:ascii="Arial" w:cs="Arial" w:eastAsia="Arial" w:hAnsi="Arial"/>
          <w:sz w:val="14"/>
          <w:szCs w:val="14"/>
          <w:u w:val="single" w:color="auto"/>
          <w:color w:val="auto"/>
        </w:rPr>
        <w:t>Part B</w:t>
      </w:r>
      <w:r>
        <w:rPr>
          <w:rFonts w:ascii="Arial" w:cs="Arial" w:eastAsia="Arial" w:hAnsi="Arial"/>
          <w:sz w:val="14"/>
          <w:szCs w:val="14"/>
          <w:color w:val="auto"/>
        </w:rPr>
        <w:t xml:space="preserve"> of </w:t>
      </w:r>
      <w:r>
        <w:rPr>
          <w:rFonts w:ascii="Arial" w:cs="Arial" w:eastAsia="Arial" w:hAnsi="Arial"/>
          <w:sz w:val="14"/>
          <w:szCs w:val="14"/>
          <w:u w:val="single" w:color="auto"/>
          <w:color w:val="auto"/>
        </w:rPr>
        <w:t>Schedule 3.11</w:t>
      </w:r>
      <w:r>
        <w:rPr>
          <w:rFonts w:ascii="Arial" w:cs="Arial" w:eastAsia="Arial" w:hAnsi="Arial"/>
          <w:sz w:val="14"/>
          <w:szCs w:val="14"/>
          <w:color w:val="auto"/>
        </w:rPr>
        <w:t xml:space="preserve"> is a complete and correct list, as of the First Amendment Effective Date, of each Lien securing Indebtedness of any Person outstanding on the First Amendment Effective Date covering any property of the Borrower or any of its Subsidiaries, and the aggregate Indebtedness secured (or that may be secured) by each such Lien and the property covered by each such Lien is correctly described in </w:t>
      </w:r>
      <w:r>
        <w:rPr>
          <w:rFonts w:ascii="Arial" w:cs="Arial" w:eastAsia="Arial" w:hAnsi="Arial"/>
          <w:sz w:val="14"/>
          <w:szCs w:val="14"/>
          <w:u w:val="single" w:color="auto"/>
          <w:color w:val="auto"/>
        </w:rPr>
        <w:t>Part B</w:t>
      </w:r>
      <w:r>
        <w:rPr>
          <w:rFonts w:ascii="Arial" w:cs="Arial" w:eastAsia="Arial" w:hAnsi="Arial"/>
          <w:sz w:val="14"/>
          <w:szCs w:val="14"/>
          <w:color w:val="auto"/>
        </w:rPr>
        <w:t xml:space="preserve"> of </w:t>
      </w:r>
      <w:r>
        <w:rPr>
          <w:rFonts w:ascii="Arial" w:cs="Arial" w:eastAsia="Arial" w:hAnsi="Arial"/>
          <w:sz w:val="14"/>
          <w:szCs w:val="14"/>
          <w:u w:val="single" w:color="auto"/>
          <w:color w:val="auto"/>
        </w:rPr>
        <w:t>Schedule 3.11</w:t>
      </w:r>
      <w:r>
        <w:rPr>
          <w:rFonts w:ascii="Arial" w:cs="Arial" w:eastAsia="Arial" w:hAnsi="Arial"/>
          <w:sz w:val="14"/>
          <w:szCs w:val="14"/>
          <w:color w:val="auto"/>
        </w:rPr>
        <w:t>.</w:t>
      </w:r>
    </w:p>
    <w:p>
      <w:pPr>
        <w:spacing w:after="0" w:line="183" w:lineRule="exact"/>
        <w:rPr>
          <w:sz w:val="20"/>
          <w:szCs w:val="20"/>
          <w:color w:val="auto"/>
        </w:rPr>
      </w:pPr>
    </w:p>
    <w:p>
      <w:pPr>
        <w:ind w:left="1740"/>
        <w:spacing w:after="0"/>
        <w:rPr>
          <w:sz w:val="20"/>
          <w:szCs w:val="20"/>
          <w:color w:val="auto"/>
        </w:rPr>
      </w:pPr>
      <w:r>
        <w:rPr>
          <w:rFonts w:ascii="Arial" w:cs="Arial" w:eastAsia="Arial" w:hAnsi="Arial"/>
          <w:sz w:val="14"/>
          <w:szCs w:val="14"/>
          <w:color w:val="auto"/>
        </w:rPr>
        <w:t xml:space="preserve">SECTION 3.12. </w:t>
      </w:r>
      <w:r>
        <w:rPr>
          <w:rFonts w:ascii="Arial" w:cs="Arial" w:eastAsia="Arial" w:hAnsi="Arial"/>
          <w:sz w:val="14"/>
          <w:szCs w:val="14"/>
          <w:u w:val="single" w:color="auto"/>
          <w:color w:val="auto"/>
        </w:rPr>
        <w:t>Subsidiaries and Investments</w:t>
      </w:r>
      <w:r>
        <w:rPr>
          <w:rFonts w:ascii="Arial" w:cs="Arial" w:eastAsia="Arial" w:hAnsi="Arial"/>
          <w:sz w:val="14"/>
          <w:szCs w:val="14"/>
          <w:color w:val="auto"/>
        </w:rPr>
        <w:t>.</w:t>
      </w:r>
    </w:p>
    <w:p>
      <w:pPr>
        <w:spacing w:after="0" w:line="204" w:lineRule="exact"/>
        <w:rPr>
          <w:sz w:val="20"/>
          <w:szCs w:val="20"/>
          <w:color w:val="auto"/>
        </w:rPr>
      </w:pPr>
    </w:p>
    <w:p>
      <w:pPr>
        <w:ind w:left="2540" w:hanging="805"/>
        <w:spacing w:after="0"/>
        <w:tabs>
          <w:tab w:leader="none" w:pos="2540" w:val="left"/>
        </w:tabs>
        <w:numPr>
          <w:ilvl w:val="0"/>
          <w:numId w:val="106"/>
        </w:numPr>
        <w:rPr>
          <w:rFonts w:ascii="Arial" w:cs="Arial" w:eastAsia="Arial" w:hAnsi="Arial"/>
          <w:sz w:val="14"/>
          <w:szCs w:val="14"/>
          <w:color w:val="auto"/>
        </w:rPr>
      </w:pPr>
      <w:r>
        <w:rPr>
          <w:rFonts w:ascii="Arial" w:cs="Arial" w:eastAsia="Arial" w:hAnsi="Arial"/>
          <w:sz w:val="14"/>
          <w:szCs w:val="14"/>
          <w:u w:val="single" w:color="auto"/>
          <w:color w:val="auto"/>
        </w:rPr>
        <w:t>Subsidiaries</w:t>
      </w:r>
      <w:r>
        <w:rPr>
          <w:rFonts w:ascii="Arial" w:cs="Arial" w:eastAsia="Arial" w:hAnsi="Arial"/>
          <w:sz w:val="14"/>
          <w:szCs w:val="14"/>
          <w:color w:val="auto"/>
        </w:rPr>
        <w:t xml:space="preserve">. Set forth on </w:t>
      </w:r>
      <w:r>
        <w:rPr>
          <w:rFonts w:ascii="Arial" w:cs="Arial" w:eastAsia="Arial" w:hAnsi="Arial"/>
          <w:sz w:val="14"/>
          <w:szCs w:val="14"/>
          <w:u w:val="single" w:color="auto"/>
          <w:color w:val="auto"/>
        </w:rPr>
        <w:t>Schedule 3.12(a)</w:t>
      </w:r>
      <w:r>
        <w:rPr>
          <w:rFonts w:ascii="Arial" w:cs="Arial" w:eastAsia="Arial" w:hAnsi="Arial"/>
          <w:sz w:val="14"/>
          <w:szCs w:val="14"/>
          <w:color w:val="auto"/>
        </w:rPr>
        <w:t xml:space="preserve"> is a list of the Borrower’s Subsidiaries as of the date hereof.</w:t>
      </w:r>
    </w:p>
    <w:p>
      <w:pPr>
        <w:spacing w:after="0" w:line="203" w:lineRule="exact"/>
        <w:rPr>
          <w:rFonts w:ascii="Arial" w:cs="Arial" w:eastAsia="Arial" w:hAnsi="Arial"/>
          <w:sz w:val="14"/>
          <w:szCs w:val="14"/>
          <w:color w:val="auto"/>
        </w:rPr>
      </w:pPr>
    </w:p>
    <w:p>
      <w:pPr>
        <w:jc w:val="both"/>
        <w:ind w:right="20" w:firstLine="1735"/>
        <w:spacing w:after="0" w:line="231" w:lineRule="auto"/>
        <w:tabs>
          <w:tab w:leader="none" w:pos="2543" w:val="left"/>
        </w:tabs>
        <w:numPr>
          <w:ilvl w:val="0"/>
          <w:numId w:val="106"/>
        </w:numPr>
        <w:rPr>
          <w:rFonts w:ascii="Arial" w:cs="Arial" w:eastAsia="Arial" w:hAnsi="Arial"/>
          <w:sz w:val="14"/>
          <w:szCs w:val="14"/>
          <w:color w:val="auto"/>
        </w:rPr>
      </w:pPr>
      <w:r>
        <w:rPr>
          <w:rFonts w:ascii="Arial" w:cs="Arial" w:eastAsia="Arial" w:hAnsi="Arial"/>
          <w:sz w:val="14"/>
          <w:szCs w:val="14"/>
          <w:u w:val="single" w:color="auto"/>
          <w:color w:val="auto"/>
        </w:rPr>
        <w:t>Investments</w:t>
      </w:r>
      <w:r>
        <w:rPr>
          <w:rFonts w:ascii="Arial" w:cs="Arial" w:eastAsia="Arial" w:hAnsi="Arial"/>
          <w:sz w:val="14"/>
          <w:szCs w:val="14"/>
          <w:color w:val="auto"/>
        </w:rPr>
        <w:t xml:space="preserve">. Set forth in </w:t>
      </w:r>
      <w:r>
        <w:rPr>
          <w:rFonts w:ascii="Arial" w:cs="Arial" w:eastAsia="Arial" w:hAnsi="Arial"/>
          <w:sz w:val="14"/>
          <w:szCs w:val="14"/>
          <w:u w:val="single" w:color="auto"/>
          <w:color w:val="auto"/>
        </w:rPr>
        <w:t>Schedule 3.12(b)</w:t>
      </w:r>
      <w:r>
        <w:rPr>
          <w:rFonts w:ascii="Arial" w:cs="Arial" w:eastAsia="Arial" w:hAnsi="Arial"/>
          <w:sz w:val="14"/>
          <w:szCs w:val="14"/>
          <w:color w:val="auto"/>
        </w:rPr>
        <w:t xml:space="preserve"> is a complete and correct list, as of the First Amendment Effective Date, of all Investments (other than Investments of the types referred to in </w:t>
      </w:r>
      <w:r>
        <w:rPr>
          <w:rFonts w:ascii="Arial" w:cs="Arial" w:eastAsia="Arial" w:hAnsi="Arial"/>
          <w:sz w:val="14"/>
          <w:szCs w:val="14"/>
          <w:u w:val="single" w:color="auto"/>
          <w:color w:val="auto"/>
        </w:rPr>
        <w:t>clauses (b)</w:t>
      </w:r>
      <w:r>
        <w:rPr>
          <w:rFonts w:ascii="Arial" w:cs="Arial" w:eastAsia="Arial" w:hAnsi="Arial"/>
          <w:sz w:val="14"/>
          <w:szCs w:val="14"/>
          <w:color w:val="auto"/>
        </w:rPr>
        <w:t xml:space="preserve">, </w:t>
      </w:r>
      <w:r>
        <w:rPr>
          <w:rFonts w:ascii="Arial" w:cs="Arial" w:eastAsia="Arial" w:hAnsi="Arial"/>
          <w:sz w:val="14"/>
          <w:szCs w:val="14"/>
          <w:u w:val="single" w:color="auto"/>
          <w:color w:val="auto"/>
        </w:rPr>
        <w:t>(c)</w:t>
      </w:r>
      <w:r>
        <w:rPr>
          <w:rFonts w:ascii="Arial" w:cs="Arial" w:eastAsia="Arial" w:hAnsi="Arial"/>
          <w:sz w:val="14"/>
          <w:szCs w:val="14"/>
          <w:color w:val="auto"/>
        </w:rPr>
        <w:t xml:space="preserve"> and </w:t>
      </w:r>
      <w:r>
        <w:rPr>
          <w:rFonts w:ascii="Arial" w:cs="Arial" w:eastAsia="Arial" w:hAnsi="Arial"/>
          <w:sz w:val="14"/>
          <w:szCs w:val="14"/>
          <w:u w:val="single" w:color="auto"/>
          <w:color w:val="auto"/>
        </w:rPr>
        <w:t>(d)</w:t>
      </w:r>
      <w:r>
        <w:rPr>
          <w:rFonts w:ascii="Arial" w:cs="Arial" w:eastAsia="Arial" w:hAnsi="Arial"/>
          <w:sz w:val="14"/>
          <w:szCs w:val="14"/>
          <w:color w:val="auto"/>
        </w:rPr>
        <w:t xml:space="preserve"> of </w:t>
      </w:r>
      <w:r>
        <w:rPr>
          <w:rFonts w:ascii="Arial" w:cs="Arial" w:eastAsia="Arial" w:hAnsi="Arial"/>
          <w:sz w:val="14"/>
          <w:szCs w:val="14"/>
          <w:u w:val="single" w:color="auto"/>
          <w:color w:val="auto"/>
        </w:rPr>
        <w:t>Section 6.04</w:t>
      </w:r>
      <w:r>
        <w:rPr>
          <w:rFonts w:ascii="Arial" w:cs="Arial" w:eastAsia="Arial" w:hAnsi="Arial"/>
          <w:sz w:val="14"/>
          <w:szCs w:val="14"/>
          <w:color w:val="auto"/>
        </w:rPr>
        <w:t xml:space="preserve">) held by the Borrower or any of its Subsidiaries (other than any Financing Subsidiary) in any Person on the First Amendment Effective Date and, for each such Investment, (x) the identity of the Person or Persons holding such Investment and (y) the nature of such Investment. Except as disclosed in </w:t>
      </w:r>
      <w:r>
        <w:rPr>
          <w:rFonts w:ascii="Arial" w:cs="Arial" w:eastAsia="Arial" w:hAnsi="Arial"/>
          <w:sz w:val="14"/>
          <w:szCs w:val="14"/>
          <w:u w:val="single" w:color="auto"/>
          <w:color w:val="auto"/>
        </w:rPr>
        <w:t>Schedule 3.12</w:t>
      </w:r>
      <w:r>
        <w:rPr>
          <w:rFonts w:ascii="Arial" w:cs="Arial" w:eastAsia="Arial" w:hAnsi="Arial"/>
          <w:sz w:val="14"/>
          <w:szCs w:val="14"/>
          <w:color w:val="auto"/>
        </w:rPr>
        <w:t>, as of the First Amendment Effective Date, each of the Borrower and its Subsidiaries (other than any Financing Subsidiary) owns, free and clear of all Liens (other than Liens created pursuant to this Agreement or the Security Documents), all such Investments.</w:t>
      </w:r>
    </w:p>
    <w:p>
      <w:pPr>
        <w:spacing w:after="0" w:line="184" w:lineRule="exact"/>
        <w:rPr>
          <w:sz w:val="20"/>
          <w:szCs w:val="20"/>
          <w:color w:val="auto"/>
        </w:rPr>
      </w:pPr>
    </w:p>
    <w:p>
      <w:pPr>
        <w:ind w:left="1740"/>
        <w:spacing w:after="0"/>
        <w:rPr>
          <w:sz w:val="20"/>
          <w:szCs w:val="20"/>
          <w:color w:val="auto"/>
        </w:rPr>
      </w:pPr>
      <w:r>
        <w:rPr>
          <w:rFonts w:ascii="Arial" w:cs="Arial" w:eastAsia="Arial" w:hAnsi="Arial"/>
          <w:sz w:val="14"/>
          <w:szCs w:val="14"/>
          <w:color w:val="auto"/>
        </w:rPr>
        <w:t xml:space="preserve">SECTION 3.13. </w:t>
      </w:r>
      <w:r>
        <w:rPr>
          <w:rFonts w:ascii="Arial" w:cs="Arial" w:eastAsia="Arial" w:hAnsi="Arial"/>
          <w:sz w:val="14"/>
          <w:szCs w:val="14"/>
          <w:u w:val="single" w:color="auto"/>
          <w:color w:val="auto"/>
        </w:rPr>
        <w:t>Properties</w:t>
      </w:r>
      <w:r>
        <w:rPr>
          <w:rFonts w:ascii="Arial" w:cs="Arial" w:eastAsia="Arial" w:hAnsi="Arial"/>
          <w:sz w:val="14"/>
          <w:szCs w:val="14"/>
          <w:color w:val="auto"/>
        </w:rPr>
        <w:t>.</w:t>
      </w:r>
    </w:p>
    <w:p>
      <w:pPr>
        <w:spacing w:after="0" w:line="204" w:lineRule="exact"/>
        <w:rPr>
          <w:sz w:val="20"/>
          <w:szCs w:val="20"/>
          <w:color w:val="auto"/>
        </w:rPr>
      </w:pPr>
    </w:p>
    <w:p>
      <w:pPr>
        <w:jc w:val="both"/>
        <w:ind w:right="20" w:firstLine="1735"/>
        <w:spacing w:after="0" w:line="238" w:lineRule="auto"/>
        <w:tabs>
          <w:tab w:leader="none" w:pos="2535" w:val="left"/>
        </w:tabs>
        <w:numPr>
          <w:ilvl w:val="0"/>
          <w:numId w:val="107"/>
        </w:numPr>
        <w:rPr>
          <w:rFonts w:ascii="Arial" w:cs="Arial" w:eastAsia="Arial" w:hAnsi="Arial"/>
          <w:sz w:val="14"/>
          <w:szCs w:val="14"/>
          <w:color w:val="auto"/>
        </w:rPr>
      </w:pPr>
      <w:r>
        <w:rPr>
          <w:rFonts w:ascii="Arial" w:cs="Arial" w:eastAsia="Arial" w:hAnsi="Arial"/>
          <w:sz w:val="14"/>
          <w:szCs w:val="14"/>
          <w:u w:val="single" w:color="auto"/>
          <w:color w:val="auto"/>
        </w:rPr>
        <w:t>Title Generally</w:t>
      </w:r>
      <w:r>
        <w:rPr>
          <w:rFonts w:ascii="Arial" w:cs="Arial" w:eastAsia="Arial" w:hAnsi="Arial"/>
          <w:sz w:val="14"/>
          <w:szCs w:val="14"/>
          <w:color w:val="auto"/>
        </w:rPr>
        <w:t>. Each of the Borrower and its Subsidiaries (other than any Financing Subsidiary or Immaterial Subsidiary) has good title to, or valid leasehold interests in, all its real and personal property material to its business, except for minor defects in title that do not interfere with its ability to conduct its business as currently conducted or to utilize such properties for their intended purposes.</w:t>
      </w:r>
    </w:p>
    <w:p>
      <w:pPr>
        <w:spacing w:after="0" w:line="182" w:lineRule="exact"/>
        <w:rPr>
          <w:rFonts w:ascii="Arial" w:cs="Arial" w:eastAsia="Arial" w:hAnsi="Arial"/>
          <w:sz w:val="14"/>
          <w:szCs w:val="14"/>
          <w:color w:val="auto"/>
        </w:rPr>
      </w:pPr>
    </w:p>
    <w:p>
      <w:pPr>
        <w:jc w:val="both"/>
        <w:ind w:right="20" w:firstLine="1735"/>
        <w:spacing w:after="0" w:line="264" w:lineRule="auto"/>
        <w:tabs>
          <w:tab w:leader="none" w:pos="2543" w:val="left"/>
        </w:tabs>
        <w:numPr>
          <w:ilvl w:val="0"/>
          <w:numId w:val="107"/>
        </w:numPr>
        <w:rPr>
          <w:rFonts w:ascii="Arial" w:cs="Arial" w:eastAsia="Arial" w:hAnsi="Arial"/>
          <w:sz w:val="13"/>
          <w:szCs w:val="13"/>
          <w:color w:val="auto"/>
        </w:rPr>
      </w:pPr>
      <w:r>
        <w:rPr>
          <w:rFonts w:ascii="Arial" w:cs="Arial" w:eastAsia="Arial" w:hAnsi="Arial"/>
          <w:sz w:val="13"/>
          <w:szCs w:val="13"/>
          <w:u w:val="single" w:color="auto"/>
          <w:color w:val="auto"/>
        </w:rPr>
        <w:t>Intellectual Property</w:t>
      </w:r>
      <w:r>
        <w:rPr>
          <w:rFonts w:ascii="Arial" w:cs="Arial" w:eastAsia="Arial" w:hAnsi="Arial"/>
          <w:sz w:val="13"/>
          <w:szCs w:val="13"/>
          <w:color w:val="auto"/>
        </w:rPr>
        <w:t>. Each of the Borrower and its Subsidiaries (other than any Financing Subsidiary) owns, or is licensed to use, all trademarks, tradenames, copyrights, patents and other intellectual property material to its business, and the use thereof by the Borrower and its Subsidiaries (other than any Financing Subsidiary) does not infringe upon the rights of any other Person, except for any such infringements that, individually or in the aggregate, could not reasonably be expected to result in a Material Adverse Effect.</w:t>
      </w:r>
    </w:p>
    <w:p>
      <w:pPr>
        <w:spacing w:after="0" w:line="168" w:lineRule="exact"/>
        <w:rPr>
          <w:sz w:val="20"/>
          <w:szCs w:val="20"/>
          <w:color w:val="auto"/>
        </w:rPr>
      </w:pPr>
    </w:p>
    <w:p>
      <w:pPr>
        <w:jc w:val="both"/>
        <w:ind w:right="20" w:firstLine="1727"/>
        <w:spacing w:after="0" w:line="238" w:lineRule="auto"/>
        <w:rPr>
          <w:sz w:val="20"/>
          <w:szCs w:val="20"/>
          <w:color w:val="auto"/>
        </w:rPr>
      </w:pPr>
      <w:r>
        <w:rPr>
          <w:rFonts w:ascii="Arial" w:cs="Arial" w:eastAsia="Arial" w:hAnsi="Arial"/>
          <w:sz w:val="14"/>
          <w:szCs w:val="14"/>
          <w:color w:val="auto"/>
        </w:rPr>
        <w:t xml:space="preserve">SECTION 3.14. </w:t>
      </w:r>
      <w:r>
        <w:rPr>
          <w:rFonts w:ascii="Arial" w:cs="Arial" w:eastAsia="Arial" w:hAnsi="Arial"/>
          <w:sz w:val="14"/>
          <w:szCs w:val="14"/>
          <w:u w:val="single" w:color="auto"/>
          <w:color w:val="auto"/>
        </w:rPr>
        <w:t>Affiliate Agreements</w:t>
      </w:r>
      <w:r>
        <w:rPr>
          <w:rFonts w:ascii="Arial" w:cs="Arial" w:eastAsia="Arial" w:hAnsi="Arial"/>
          <w:sz w:val="14"/>
          <w:szCs w:val="14"/>
          <w:color w:val="auto"/>
        </w:rPr>
        <w:t>. As of the date hereof, the Borrower has heretofore delivered to each of the Lenders true and complete copies of each of the Affiliate Agreements (including and schedules and exhibits thereto, and any amendments, supplements or waivers executed and delivered thereunder). As of the date of hereof, each of the Affiliate Agreements is in full force and effect.</w:t>
      </w:r>
    </w:p>
    <w:p>
      <w:pPr>
        <w:spacing w:after="0" w:line="183" w:lineRule="exact"/>
        <w:rPr>
          <w:sz w:val="20"/>
          <w:szCs w:val="20"/>
          <w:color w:val="auto"/>
        </w:rPr>
      </w:pPr>
    </w:p>
    <w:p>
      <w:pPr>
        <w:jc w:val="both"/>
        <w:ind w:right="20" w:firstLine="1727"/>
        <w:spacing w:after="0" w:line="244" w:lineRule="auto"/>
        <w:rPr>
          <w:sz w:val="20"/>
          <w:szCs w:val="20"/>
          <w:color w:val="auto"/>
        </w:rPr>
      </w:pPr>
      <w:r>
        <w:rPr>
          <w:rFonts w:ascii="Arial" w:cs="Arial" w:eastAsia="Arial" w:hAnsi="Arial"/>
          <w:sz w:val="13"/>
          <w:szCs w:val="13"/>
          <w:color w:val="auto"/>
        </w:rPr>
        <w:t xml:space="preserve">SECTION 3.15. </w:t>
      </w:r>
      <w:r>
        <w:rPr>
          <w:rFonts w:ascii="Arial" w:cs="Arial" w:eastAsia="Arial" w:hAnsi="Arial"/>
          <w:sz w:val="13"/>
          <w:szCs w:val="13"/>
          <w:u w:val="single" w:color="auto"/>
          <w:color w:val="auto"/>
        </w:rPr>
        <w:t>Sanctions</w:t>
      </w:r>
      <w:r>
        <w:rPr>
          <w:rFonts w:ascii="Arial" w:cs="Arial" w:eastAsia="Arial" w:hAnsi="Arial"/>
          <w:sz w:val="13"/>
          <w:szCs w:val="13"/>
          <w:color w:val="auto"/>
        </w:rPr>
        <w:t>. None of the Borrower or any Subsidiary nor, to the knowledge of the Borrower, any director or officer of the Borrower or any Subsidiary is, or is owned or controlled by Persons that are, currently (i) the subject of any sanctions (collectively, “</w:t>
      </w:r>
      <w:r>
        <w:rPr>
          <w:rFonts w:ascii="Arial" w:cs="Arial" w:eastAsia="Arial" w:hAnsi="Arial"/>
          <w:sz w:val="13"/>
          <w:szCs w:val="13"/>
          <w:u w:val="single" w:color="auto"/>
          <w:color w:val="auto"/>
        </w:rPr>
        <w:t>Sanctions</w:t>
      </w:r>
      <w:r>
        <w:rPr>
          <w:rFonts w:ascii="Arial" w:cs="Arial" w:eastAsia="Arial" w:hAnsi="Arial"/>
          <w:sz w:val="13"/>
          <w:szCs w:val="13"/>
          <w:color w:val="auto"/>
        </w:rPr>
        <w:t>”) administered or enforced by the Office of Foreign Assets Control of the U.S. Treasury Department (“</w:t>
      </w:r>
      <w:r>
        <w:rPr>
          <w:rFonts w:ascii="Arial" w:cs="Arial" w:eastAsia="Arial" w:hAnsi="Arial"/>
          <w:sz w:val="13"/>
          <w:szCs w:val="13"/>
          <w:u w:val="single" w:color="auto"/>
          <w:color w:val="auto"/>
        </w:rPr>
        <w:t>OFAC</w:t>
      </w:r>
      <w:r>
        <w:rPr>
          <w:rFonts w:ascii="Arial" w:cs="Arial" w:eastAsia="Arial" w:hAnsi="Arial"/>
          <w:sz w:val="13"/>
          <w:szCs w:val="13"/>
          <w:color w:val="auto"/>
        </w:rPr>
        <w:t>”), the U.S. Department of State, the United Nations Security Council, Her Majesty’s Treasury or the European Union or (ii) organized or resident in a Sanctioned Country. No Obligor will directly or knowingly indirectly use the proceeds of the Loans or otherwise make available such proceeds (i) to any Person for the purpose of financing the activities of any Person that is subject to, or the subject of, Sanctions, or in any country, region or territory, that, at the time of such financing, is subject to, or the subject of, any comprehensive Sanctions or (ii) for any payments to any governmental official or employee, political party, official of a political party, candidate for political office, or anyone else acting in an official capacity, in order to obtain, retain or direct business or obtain any improper advantage, in violation of the United States Foreign Corrupt Practices Act of 1977, as amended and any applicable law or regulation implementing the OECD Convention on Combating Bribery of Foreign Public Officials in International Business Transactions (collectively, the “</w:t>
      </w:r>
      <w:r>
        <w:rPr>
          <w:rFonts w:ascii="Arial" w:cs="Arial" w:eastAsia="Arial" w:hAnsi="Arial"/>
          <w:sz w:val="13"/>
          <w:szCs w:val="13"/>
          <w:u w:val="single" w:color="auto"/>
          <w:color w:val="auto"/>
        </w:rPr>
        <w:t>Anti-Corruption Laws</w:t>
      </w:r>
      <w:r>
        <w:rPr>
          <w:rFonts w:ascii="Arial" w:cs="Arial" w:eastAsia="Arial" w:hAnsi="Arial"/>
          <w:sz w:val="13"/>
          <w:szCs w:val="13"/>
          <w:color w:val="auto"/>
        </w:rPr>
        <w:t>”). The Borrower has implemented policies, procedures and internal controls reasonably designed to ensure compliance with the economic sanctions and trade embargo regulations promulgated by OFAC, the U.S. Department of State, the United Nations Security Council, Her Majesty’s Treasury or the European Union and with Anti- Corruption Laws.</w:t>
      </w:r>
    </w:p>
    <w:p>
      <w:pPr>
        <w:spacing w:after="0" w:line="181" w:lineRule="exact"/>
        <w:rPr>
          <w:sz w:val="20"/>
          <w:szCs w:val="20"/>
          <w:color w:val="auto"/>
        </w:rPr>
      </w:pPr>
    </w:p>
    <w:p>
      <w:pPr>
        <w:jc w:val="both"/>
        <w:ind w:right="20" w:firstLine="1727"/>
        <w:spacing w:after="0" w:line="238" w:lineRule="auto"/>
        <w:rPr>
          <w:sz w:val="20"/>
          <w:szCs w:val="20"/>
          <w:color w:val="auto"/>
        </w:rPr>
      </w:pPr>
      <w:r>
        <w:rPr>
          <w:rFonts w:ascii="Arial" w:cs="Arial" w:eastAsia="Arial" w:hAnsi="Arial"/>
          <w:sz w:val="14"/>
          <w:szCs w:val="14"/>
          <w:color w:val="auto"/>
        </w:rPr>
        <w:t xml:space="preserve">SECTION 3.16. </w:t>
      </w:r>
      <w:r>
        <w:rPr>
          <w:rFonts w:ascii="Arial" w:cs="Arial" w:eastAsia="Arial" w:hAnsi="Arial"/>
          <w:sz w:val="14"/>
          <w:szCs w:val="14"/>
          <w:u w:val="single" w:color="auto"/>
          <w:color w:val="auto"/>
        </w:rPr>
        <w:t>Patriot Act</w:t>
      </w:r>
      <w:r>
        <w:rPr>
          <w:rFonts w:ascii="Arial" w:cs="Arial" w:eastAsia="Arial" w:hAnsi="Arial"/>
          <w:sz w:val="14"/>
          <w:szCs w:val="14"/>
          <w:color w:val="auto"/>
        </w:rPr>
        <w:t>. Each of the Borrower and its Subsidiaries is in compliance with (a) the Trading with the Enemy Act, as amended, and each of the foreign assets control regulations of the United States Treasury Department (31 CFR, Subtitle B, Chapter V, as amended) and any other enabling legislation or executive order relating thereto, and (b) the Uniting And Strengthening America By Providing Appropriate Tools Required To Intercept And Obstruct Terrorism (USA Patriot Act of 2001).</w:t>
      </w:r>
    </w:p>
    <w:p>
      <w:pPr>
        <w:spacing w:after="0" w:line="183" w:lineRule="exact"/>
        <w:rPr>
          <w:sz w:val="20"/>
          <w:szCs w:val="20"/>
          <w:color w:val="auto"/>
        </w:rPr>
      </w:pPr>
    </w:p>
    <w:p>
      <w:pPr>
        <w:jc w:val="both"/>
        <w:ind w:right="20" w:firstLine="1727"/>
        <w:spacing w:after="0" w:line="264" w:lineRule="auto"/>
        <w:rPr>
          <w:sz w:val="20"/>
          <w:szCs w:val="20"/>
          <w:color w:val="auto"/>
        </w:rPr>
      </w:pPr>
      <w:r>
        <w:rPr>
          <w:rFonts w:ascii="Arial" w:cs="Arial" w:eastAsia="Arial" w:hAnsi="Arial"/>
          <w:sz w:val="13"/>
          <w:szCs w:val="13"/>
          <w:color w:val="auto"/>
        </w:rPr>
        <w:t xml:space="preserve">SECTION 3.17. </w:t>
      </w:r>
      <w:r>
        <w:rPr>
          <w:rFonts w:ascii="Arial" w:cs="Arial" w:eastAsia="Arial" w:hAnsi="Arial"/>
          <w:sz w:val="13"/>
          <w:szCs w:val="13"/>
          <w:u w:val="single" w:color="auto"/>
          <w:color w:val="auto"/>
        </w:rPr>
        <w:t>Collateral Documents</w:t>
      </w:r>
      <w:r>
        <w:rPr>
          <w:rFonts w:ascii="Arial" w:cs="Arial" w:eastAsia="Arial" w:hAnsi="Arial"/>
          <w:sz w:val="13"/>
          <w:szCs w:val="13"/>
          <w:color w:val="auto"/>
        </w:rPr>
        <w:t xml:space="preserve">. The provisions of the Security Documents are effective to create in favor of the Collateral Agent a legal, valid and enforceable first priority Lien (subject to Liens permitted by </w:t>
      </w:r>
      <w:r>
        <w:rPr>
          <w:rFonts w:ascii="Arial" w:cs="Arial" w:eastAsia="Arial" w:hAnsi="Arial"/>
          <w:sz w:val="13"/>
          <w:szCs w:val="13"/>
          <w:u w:val="single" w:color="auto"/>
          <w:color w:val="auto"/>
        </w:rPr>
        <w:t>Section 6.02</w:t>
      </w:r>
      <w:r>
        <w:rPr>
          <w:rFonts w:ascii="Arial" w:cs="Arial" w:eastAsia="Arial" w:hAnsi="Arial"/>
          <w:sz w:val="13"/>
          <w:szCs w:val="13"/>
          <w:color w:val="auto"/>
        </w:rPr>
        <w:t>) on all right, title and interest of the Borrower and each Subsidiary Guarantor in the Collateral described therein. Except for filings completed prior to the Effective Date and as contemplated hereby and by the Security Documents, no filing or other action will be necessary to perfect such Liens.</w:t>
      </w:r>
    </w:p>
    <w:p>
      <w:pPr>
        <w:spacing w:after="0" w:line="168" w:lineRule="exact"/>
        <w:rPr>
          <w:sz w:val="20"/>
          <w:szCs w:val="20"/>
          <w:color w:val="auto"/>
        </w:rPr>
      </w:pPr>
    </w:p>
    <w:p>
      <w:pPr>
        <w:ind w:left="1740"/>
        <w:spacing w:after="0"/>
        <w:rPr>
          <w:sz w:val="20"/>
          <w:szCs w:val="20"/>
          <w:color w:val="auto"/>
        </w:rPr>
      </w:pPr>
      <w:r>
        <w:rPr>
          <w:rFonts w:ascii="Arial" w:cs="Arial" w:eastAsia="Arial" w:hAnsi="Arial"/>
          <w:sz w:val="14"/>
          <w:szCs w:val="14"/>
          <w:color w:val="auto"/>
        </w:rPr>
        <w:t xml:space="preserve">SECTION 3.18. </w:t>
      </w:r>
      <w:r>
        <w:rPr>
          <w:rFonts w:ascii="Arial" w:cs="Arial" w:eastAsia="Arial" w:hAnsi="Arial"/>
          <w:sz w:val="14"/>
          <w:szCs w:val="14"/>
          <w:u w:val="single" w:color="auto"/>
          <w:color w:val="auto"/>
        </w:rPr>
        <w:t>EEA Financial Institutions</w:t>
      </w:r>
      <w:r>
        <w:rPr>
          <w:rFonts w:ascii="Arial" w:cs="Arial" w:eastAsia="Arial" w:hAnsi="Arial"/>
          <w:sz w:val="14"/>
          <w:szCs w:val="14"/>
          <w:color w:val="auto"/>
        </w:rPr>
        <w:t>. Neither the Borrower nor any Subsidiary is an EEA Financial Institution.</w:t>
      </w:r>
    </w:p>
    <w:p>
      <w:pPr>
        <w:spacing w:after="0" w:line="200" w:lineRule="exact"/>
        <w:rPr>
          <w:sz w:val="20"/>
          <w:szCs w:val="20"/>
          <w:color w:val="auto"/>
        </w:rPr>
      </w:pPr>
    </w:p>
    <w:p>
      <w:pPr>
        <w:spacing w:after="0" w:line="200" w:lineRule="exact"/>
        <w:rPr>
          <w:sz w:val="20"/>
          <w:szCs w:val="20"/>
          <w:color w:val="auto"/>
        </w:rPr>
      </w:pPr>
    </w:p>
    <w:p>
      <w:pPr>
        <w:spacing w:after="0" w:line="22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7580" w:type="dxa"/>
            <w:vAlign w:val="bottom"/>
          </w:tcPr>
          <w:p>
            <w:pPr>
              <w:jc w:val="right"/>
              <w:ind w:right="1808"/>
              <w:spacing w:after="0"/>
              <w:rPr>
                <w:sz w:val="20"/>
                <w:szCs w:val="20"/>
                <w:color w:val="auto"/>
              </w:rPr>
            </w:pPr>
            <w:r>
              <w:rPr>
                <w:rFonts w:ascii="Arial" w:cs="Arial" w:eastAsia="Arial" w:hAnsi="Arial"/>
                <w:sz w:val="14"/>
                <w:szCs w:val="14"/>
                <w:color w:val="auto"/>
              </w:rPr>
              <w:t>40</w:t>
            </w:r>
          </w:p>
        </w:tc>
        <w:tc>
          <w:tcPr>
            <w:tcW w:w="3680" w:type="dxa"/>
            <w:vAlign w:val="bottom"/>
          </w:tcPr>
          <w:p>
            <w:pPr>
              <w:jc w:val="right"/>
              <w:spacing w:after="0"/>
              <w:rPr>
                <w:sz w:val="20"/>
                <w:szCs w:val="20"/>
                <w:color w:val="auto"/>
              </w:rPr>
            </w:pPr>
            <w:r>
              <w:rPr>
                <w:rFonts w:ascii="Arial" w:cs="Arial" w:eastAsia="Arial" w:hAnsi="Arial"/>
                <w:sz w:val="14"/>
                <w:szCs w:val="14"/>
                <w:i w:val="1"/>
                <w:iCs w:val="1"/>
                <w:color w:val="auto"/>
              </w:rPr>
              <w:t>Second Amended and Restated</w:t>
            </w:r>
          </w:p>
        </w:tc>
      </w:tr>
      <w:tr>
        <w:trPr>
          <w:trHeight w:val="182"/>
        </w:trPr>
        <w:tc>
          <w:tcPr>
            <w:tcW w:w="7580" w:type="dxa"/>
            <w:vAlign w:val="bottom"/>
          </w:tcPr>
          <w:p>
            <w:pPr>
              <w:spacing w:after="0"/>
              <w:rPr>
                <w:sz w:val="15"/>
                <w:szCs w:val="15"/>
                <w:color w:val="auto"/>
              </w:rPr>
            </w:pPr>
          </w:p>
        </w:tc>
        <w:tc>
          <w:tcPr>
            <w:tcW w:w="3680" w:type="dxa"/>
            <w:vAlign w:val="bottom"/>
          </w:tcPr>
          <w:p>
            <w:pPr>
              <w:jc w:val="right"/>
              <w:spacing w:after="0"/>
              <w:rPr>
                <w:sz w:val="20"/>
                <w:szCs w:val="20"/>
                <w:color w:val="auto"/>
              </w:rPr>
            </w:pPr>
            <w:r>
              <w:rPr>
                <w:rFonts w:ascii="Arial" w:cs="Arial" w:eastAsia="Arial" w:hAnsi="Arial"/>
                <w:sz w:val="14"/>
                <w:szCs w:val="14"/>
                <w:i w:val="1"/>
                <w:iCs w:val="1"/>
                <w:color w:val="auto"/>
              </w:rPr>
              <w:t>Revolving Credit Agreement</w:t>
            </w:r>
          </w:p>
        </w:tc>
      </w:tr>
      <w:tr>
        <w:trPr>
          <w:trHeight w:val="316"/>
        </w:trPr>
        <w:tc>
          <w:tcPr>
            <w:tcW w:w="7580" w:type="dxa"/>
            <w:vAlign w:val="bottom"/>
            <w:tcBorders>
              <w:bottom w:val="single" w:sz="8" w:color="9A9A9A"/>
            </w:tcBorders>
          </w:tcPr>
          <w:p>
            <w:pPr>
              <w:spacing w:after="0"/>
              <w:rPr>
                <w:sz w:val="24"/>
                <w:szCs w:val="24"/>
                <w:color w:val="auto"/>
              </w:rPr>
            </w:pPr>
          </w:p>
        </w:tc>
        <w:tc>
          <w:tcPr>
            <w:tcW w:w="368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7145655</wp:posOffset>
            </wp:positionH>
            <wp:positionV relativeFrom="paragraph">
              <wp:posOffset>-7620</wp:posOffset>
            </wp:positionV>
            <wp:extent cx="8255" cy="8255"/>
            <wp:wrapNone/>
            <wp:docPr id="185" name="Picture 1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5"/>
                    <pic:cNvPicPr>
                      <a:picLocks noChangeAspect="1" noChangeArrowheads="1"/>
                    </pic:cNvPicPr>
                  </pic:nvPicPr>
                  <pic:blipFill>
                    <a:blip r:embed="rId192">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-16510</wp:posOffset>
            </wp:positionV>
            <wp:extent cx="8890" cy="17145"/>
            <wp:wrapNone/>
            <wp:docPr id="186" name="Picture 1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6"/>
                    <pic:cNvPicPr>
                      <a:picLocks noChangeAspect="1" noChangeArrowheads="1"/>
                    </pic:cNvPicPr>
                  </pic:nvPicPr>
                  <pic:blipFill>
                    <a:blip r:embed="rId193">
                      <a:extLst>
                        <a:ext uri="{28A0092B-C50C-407E-A947-70E740481C1C}"/>
                      </a:extLst>
                    </a:blip>
                    <a:srcRect/>
                    <a:stretch>
                      <a:fillRect/>
                    </a:stretch>
                  </pic:blipFill>
                  <pic:spPr bwMode="auto">
                    <a:xfrm>
                      <a:off x="0" y="0"/>
                      <a:ext cx="8890" cy="17145"/>
                    </a:xfrm>
                    <a:prstGeom prst="rect">
                      <a:avLst/>
                    </a:prstGeom>
                    <a:noFill/>
                  </pic:spPr>
                </pic:pic>
              </a:graphicData>
            </a:graphic>
          </wp:anchor>
        </w:drawing>
      </w:r>
    </w:p>
    <w:p>
      <w:pPr>
        <w:sectPr>
          <w:pgSz w:w="11900" w:h="16838" w:orient="portrait"/>
          <w:cols w:equalWidth="0" w:num="1">
            <w:col w:w="11260"/>
          </w:cols>
          <w:pgMar w:left="320" w:top="337" w:right="319" w:bottom="1440" w:gutter="0" w:footer="0" w:header="0"/>
        </w:sectPr>
      </w:pPr>
    </w:p>
    <w:bookmarkStart w:id="103" w:name="page104"/>
    <w:bookmarkEnd w:id="103"/>
    <w:p>
      <w:pPr>
        <w:ind w:left="5240"/>
        <w:spacing w:after="0"/>
        <w:rPr>
          <w:sz w:val="20"/>
          <w:szCs w:val="20"/>
          <w:color w:val="auto"/>
        </w:rPr>
      </w:pPr>
      <w:r>
        <w:rPr>
          <w:rFonts w:ascii="Arial" w:cs="Arial" w:eastAsia="Arial" w:hAnsi="Arial"/>
          <w:sz w:val="14"/>
          <w:szCs w:val="14"/>
          <w:color w:val="auto"/>
        </w:rPr>
        <w:t>ARTICLE IV</w:t>
      </w:r>
    </w:p>
    <w:p>
      <w:pPr>
        <w:spacing w:after="0" w:line="136" w:lineRule="exact"/>
        <w:rPr>
          <w:sz w:val="20"/>
          <w:szCs w:val="20"/>
          <w:color w:val="auto"/>
        </w:rPr>
      </w:pPr>
    </w:p>
    <w:p>
      <w:pPr>
        <w:ind w:left="5180"/>
        <w:spacing w:after="0"/>
        <w:rPr>
          <w:sz w:val="20"/>
          <w:szCs w:val="20"/>
          <w:color w:val="auto"/>
        </w:rPr>
      </w:pPr>
      <w:r>
        <w:rPr>
          <w:rFonts w:ascii="Arial" w:cs="Arial" w:eastAsia="Arial" w:hAnsi="Arial"/>
          <w:sz w:val="14"/>
          <w:szCs w:val="14"/>
          <w:u w:val="single" w:color="auto"/>
          <w:color w:val="auto"/>
        </w:rPr>
        <w:t>CONDITIONS</w:t>
      </w:r>
    </w:p>
    <w:p>
      <w:pPr>
        <w:spacing w:after="0" w:line="204" w:lineRule="exact"/>
        <w:rPr>
          <w:sz w:val="20"/>
          <w:szCs w:val="20"/>
          <w:color w:val="auto"/>
        </w:rPr>
      </w:pPr>
    </w:p>
    <w:p>
      <w:pPr>
        <w:ind w:right="20" w:firstLine="1727"/>
        <w:spacing w:after="0" w:line="290" w:lineRule="auto"/>
        <w:rPr>
          <w:sz w:val="20"/>
          <w:szCs w:val="20"/>
          <w:color w:val="auto"/>
        </w:rPr>
      </w:pPr>
      <w:r>
        <w:rPr>
          <w:rFonts w:ascii="Arial" w:cs="Arial" w:eastAsia="Arial" w:hAnsi="Arial"/>
          <w:sz w:val="13"/>
          <w:szCs w:val="13"/>
          <w:color w:val="auto"/>
        </w:rPr>
        <w:t xml:space="preserve">SECTION 4.01. </w:t>
      </w:r>
      <w:r>
        <w:rPr>
          <w:rFonts w:ascii="Arial" w:cs="Arial" w:eastAsia="Arial" w:hAnsi="Arial"/>
          <w:sz w:val="13"/>
          <w:szCs w:val="13"/>
          <w:u w:val="single" w:color="auto"/>
          <w:color w:val="auto"/>
        </w:rPr>
        <w:t>Effective Date</w:t>
      </w:r>
      <w:r>
        <w:rPr>
          <w:rFonts w:ascii="Arial" w:cs="Arial" w:eastAsia="Arial" w:hAnsi="Arial"/>
          <w:sz w:val="13"/>
          <w:szCs w:val="13"/>
          <w:color w:val="auto"/>
        </w:rPr>
        <w:t xml:space="preserve">. The effectiveness of this Agreement and of the obligations of the Lenders to make Loans and of the Issuing Bank to issue Letters of Credit hereunder shall not become effective until completion of each of the following conditions precedent (unless a condition shall have been waived in accordance with </w:t>
      </w:r>
      <w:r>
        <w:rPr>
          <w:rFonts w:ascii="Arial" w:cs="Arial" w:eastAsia="Arial" w:hAnsi="Arial"/>
          <w:sz w:val="13"/>
          <w:szCs w:val="13"/>
          <w:u w:val="single" w:color="auto"/>
          <w:color w:val="auto"/>
        </w:rPr>
        <w:t>Section 9.02</w:t>
      </w:r>
      <w:r>
        <w:rPr>
          <w:rFonts w:ascii="Arial" w:cs="Arial" w:eastAsia="Arial" w:hAnsi="Arial"/>
          <w:sz w:val="13"/>
          <w:szCs w:val="13"/>
          <w:color w:val="auto"/>
        </w:rPr>
        <w:t>):</w:t>
      </w:r>
    </w:p>
    <w:p>
      <w:pPr>
        <w:spacing w:after="0" w:line="152" w:lineRule="exact"/>
        <w:rPr>
          <w:sz w:val="20"/>
          <w:szCs w:val="20"/>
          <w:color w:val="auto"/>
        </w:rPr>
      </w:pPr>
    </w:p>
    <w:p>
      <w:pPr>
        <w:ind w:right="20" w:firstLine="1735"/>
        <w:spacing w:after="0" w:line="253" w:lineRule="auto"/>
        <w:tabs>
          <w:tab w:leader="none" w:pos="2535" w:val="left"/>
        </w:tabs>
        <w:numPr>
          <w:ilvl w:val="1"/>
          <w:numId w:val="108"/>
        </w:numPr>
        <w:rPr>
          <w:rFonts w:ascii="Arial" w:cs="Arial" w:eastAsia="Arial" w:hAnsi="Arial"/>
          <w:sz w:val="14"/>
          <w:szCs w:val="14"/>
          <w:color w:val="auto"/>
        </w:rPr>
      </w:pPr>
      <w:r>
        <w:rPr>
          <w:rFonts w:ascii="Arial" w:cs="Arial" w:eastAsia="Arial" w:hAnsi="Arial"/>
          <w:sz w:val="14"/>
          <w:szCs w:val="14"/>
          <w:u w:val="single" w:color="auto"/>
          <w:color w:val="auto"/>
        </w:rPr>
        <w:t>Documents</w:t>
      </w:r>
      <w:r>
        <w:rPr>
          <w:rFonts w:ascii="Arial" w:cs="Arial" w:eastAsia="Arial" w:hAnsi="Arial"/>
          <w:sz w:val="14"/>
          <w:szCs w:val="14"/>
          <w:color w:val="auto"/>
        </w:rPr>
        <w:t>. Administrative Agent shall have received each of the following documents, each of which shall be satisfactory to the Administrative Agent (and to the extent specified below to each Lender) in form and substance:</w:t>
      </w:r>
    </w:p>
    <w:p>
      <w:pPr>
        <w:spacing w:after="0" w:line="173" w:lineRule="exact"/>
        <w:rPr>
          <w:rFonts w:ascii="Arial" w:cs="Arial" w:eastAsia="Arial" w:hAnsi="Arial"/>
          <w:sz w:val="14"/>
          <w:szCs w:val="14"/>
          <w:color w:val="auto"/>
        </w:rPr>
      </w:pPr>
    </w:p>
    <w:p>
      <w:pPr>
        <w:jc w:val="both"/>
        <w:ind w:left="880" w:right="20" w:firstLine="789"/>
        <w:spacing w:after="0" w:line="238" w:lineRule="auto"/>
        <w:tabs>
          <w:tab w:leader="none" w:pos="2461" w:val="left"/>
        </w:tabs>
        <w:numPr>
          <w:ilvl w:val="0"/>
          <w:numId w:val="109"/>
        </w:numPr>
        <w:rPr>
          <w:rFonts w:ascii="Arial" w:cs="Arial" w:eastAsia="Arial" w:hAnsi="Arial"/>
          <w:sz w:val="14"/>
          <w:szCs w:val="14"/>
          <w:color w:val="auto"/>
        </w:rPr>
      </w:pPr>
      <w:r>
        <w:rPr>
          <w:rFonts w:ascii="Arial" w:cs="Arial" w:eastAsia="Arial" w:hAnsi="Arial"/>
          <w:sz w:val="14"/>
          <w:szCs w:val="14"/>
          <w:u w:val="single" w:color="auto"/>
          <w:color w:val="auto"/>
        </w:rPr>
        <w:t>Executed Counterparts</w:t>
      </w:r>
      <w:r>
        <w:rPr>
          <w:rFonts w:ascii="Arial" w:cs="Arial" w:eastAsia="Arial" w:hAnsi="Arial"/>
          <w:sz w:val="14"/>
          <w:szCs w:val="14"/>
          <w:color w:val="auto"/>
        </w:rPr>
        <w:t>. From each party hereto either (i) a counterpart of this Agreement signed on behalf of such party or (ii) written evidence satisfactory to the Administrative Agent (which may include telecopy transmission of a signed signature page to this Agreement) that such party has signed a counterpart of this Agreement.</w:t>
      </w:r>
    </w:p>
    <w:p>
      <w:pPr>
        <w:spacing w:after="0" w:line="182" w:lineRule="exact"/>
        <w:rPr>
          <w:rFonts w:ascii="Arial" w:cs="Arial" w:eastAsia="Arial" w:hAnsi="Arial"/>
          <w:sz w:val="14"/>
          <w:szCs w:val="14"/>
          <w:color w:val="auto"/>
        </w:rPr>
      </w:pPr>
    </w:p>
    <w:p>
      <w:pPr>
        <w:jc w:val="both"/>
        <w:ind w:left="880" w:right="40" w:firstLine="789"/>
        <w:spacing w:after="0" w:line="238" w:lineRule="auto"/>
        <w:tabs>
          <w:tab w:leader="none" w:pos="2501" w:val="left"/>
        </w:tabs>
        <w:numPr>
          <w:ilvl w:val="0"/>
          <w:numId w:val="109"/>
        </w:numPr>
        <w:rPr>
          <w:rFonts w:ascii="Arial" w:cs="Arial" w:eastAsia="Arial" w:hAnsi="Arial"/>
          <w:sz w:val="14"/>
          <w:szCs w:val="14"/>
          <w:color w:val="auto"/>
        </w:rPr>
      </w:pPr>
      <w:r>
        <w:rPr>
          <w:rFonts w:ascii="Arial" w:cs="Arial" w:eastAsia="Arial" w:hAnsi="Arial"/>
          <w:sz w:val="14"/>
          <w:szCs w:val="14"/>
          <w:u w:val="single" w:color="auto"/>
          <w:color w:val="auto"/>
        </w:rPr>
        <w:t>Opinion of Counsel to the Borrower</w:t>
      </w:r>
      <w:r>
        <w:rPr>
          <w:rFonts w:ascii="Arial" w:cs="Arial" w:eastAsia="Arial" w:hAnsi="Arial"/>
          <w:sz w:val="14"/>
          <w:szCs w:val="14"/>
          <w:color w:val="auto"/>
        </w:rPr>
        <w:t>. A favorable written opinion (addressed to the Administrative Agent and the Lenders and dated the Effective Date) of Dechert LLP, New York and Maryland counsel for the Borrower, in form and substance reasonably acceptable to the Administrative Agent (and the Borrower hereby instructs such counsel to deliver such opinion to the Lenders and the Administrative Agent).</w:t>
      </w:r>
    </w:p>
    <w:p>
      <w:pPr>
        <w:spacing w:after="0" w:line="182" w:lineRule="exact"/>
        <w:rPr>
          <w:rFonts w:ascii="Arial" w:cs="Arial" w:eastAsia="Arial" w:hAnsi="Arial"/>
          <w:sz w:val="14"/>
          <w:szCs w:val="14"/>
          <w:color w:val="auto"/>
        </w:rPr>
      </w:pPr>
    </w:p>
    <w:p>
      <w:pPr>
        <w:jc w:val="both"/>
        <w:ind w:left="880" w:right="20" w:firstLine="789"/>
        <w:spacing w:after="0" w:line="238" w:lineRule="auto"/>
        <w:tabs>
          <w:tab w:leader="none" w:pos="2541" w:val="left"/>
        </w:tabs>
        <w:numPr>
          <w:ilvl w:val="0"/>
          <w:numId w:val="109"/>
        </w:numPr>
        <w:rPr>
          <w:rFonts w:ascii="Arial" w:cs="Arial" w:eastAsia="Arial" w:hAnsi="Arial"/>
          <w:sz w:val="14"/>
          <w:szCs w:val="14"/>
          <w:color w:val="auto"/>
        </w:rPr>
      </w:pPr>
      <w:r>
        <w:rPr>
          <w:rFonts w:ascii="Arial" w:cs="Arial" w:eastAsia="Arial" w:hAnsi="Arial"/>
          <w:sz w:val="14"/>
          <w:szCs w:val="14"/>
          <w:u w:val="single" w:color="auto"/>
          <w:color w:val="auto"/>
        </w:rPr>
        <w:t>Corporate Documents</w:t>
      </w:r>
      <w:r>
        <w:rPr>
          <w:rFonts w:ascii="Arial" w:cs="Arial" w:eastAsia="Arial" w:hAnsi="Arial"/>
          <w:sz w:val="14"/>
          <w:szCs w:val="14"/>
          <w:color w:val="auto"/>
        </w:rPr>
        <w:t>. Such documents and certificates as the Administrative Agent or its counsel may reasonably request relating to the organization, existence and good standing of the Borrower, the authorization of the Transactions and any other legal matters relating to the Borrower, this Agreement or the Transactions, all in form and substance satisfactory to the Administrative Agent and its counsel.</w:t>
      </w:r>
    </w:p>
    <w:p>
      <w:pPr>
        <w:spacing w:after="0" w:line="182" w:lineRule="exact"/>
        <w:rPr>
          <w:rFonts w:ascii="Arial" w:cs="Arial" w:eastAsia="Arial" w:hAnsi="Arial"/>
          <w:sz w:val="14"/>
          <w:szCs w:val="14"/>
          <w:color w:val="auto"/>
        </w:rPr>
      </w:pPr>
    </w:p>
    <w:p>
      <w:pPr>
        <w:ind w:left="880" w:right="20" w:firstLine="789"/>
        <w:spacing w:after="0" w:line="253" w:lineRule="auto"/>
        <w:tabs>
          <w:tab w:leader="none" w:pos="2533" w:val="left"/>
        </w:tabs>
        <w:numPr>
          <w:ilvl w:val="0"/>
          <w:numId w:val="109"/>
        </w:numPr>
        <w:rPr>
          <w:rFonts w:ascii="Arial" w:cs="Arial" w:eastAsia="Arial" w:hAnsi="Arial"/>
          <w:sz w:val="14"/>
          <w:szCs w:val="14"/>
          <w:color w:val="auto"/>
        </w:rPr>
      </w:pPr>
      <w:r>
        <w:rPr>
          <w:rFonts w:ascii="Arial" w:cs="Arial" w:eastAsia="Arial" w:hAnsi="Arial"/>
          <w:sz w:val="14"/>
          <w:szCs w:val="14"/>
          <w:u w:val="single" w:color="auto"/>
          <w:color w:val="auto"/>
        </w:rPr>
        <w:t>Officer’s Certificate</w:t>
      </w:r>
      <w:r>
        <w:rPr>
          <w:rFonts w:ascii="Arial" w:cs="Arial" w:eastAsia="Arial" w:hAnsi="Arial"/>
          <w:sz w:val="14"/>
          <w:szCs w:val="14"/>
          <w:color w:val="auto"/>
        </w:rPr>
        <w:t xml:space="preserve">. A certificate, dated the Effective Date and signed by the President, a Vice President or a Financial Officer of the Borrower, confirming compliance with the conditions set forth in the lettered clauses of the first sentence of </w:t>
      </w:r>
      <w:r>
        <w:rPr>
          <w:rFonts w:ascii="Arial" w:cs="Arial" w:eastAsia="Arial" w:hAnsi="Arial"/>
          <w:sz w:val="14"/>
          <w:szCs w:val="14"/>
          <w:u w:val="single" w:color="auto"/>
          <w:color w:val="auto"/>
        </w:rPr>
        <w:t>Section 4.02</w:t>
      </w:r>
      <w:r>
        <w:rPr>
          <w:rFonts w:ascii="Arial" w:cs="Arial" w:eastAsia="Arial" w:hAnsi="Arial"/>
          <w:sz w:val="14"/>
          <w:szCs w:val="14"/>
          <w:color w:val="auto"/>
        </w:rPr>
        <w:t>.</w:t>
      </w:r>
    </w:p>
    <w:p>
      <w:pPr>
        <w:spacing w:after="0" w:line="173" w:lineRule="exact"/>
        <w:rPr>
          <w:rFonts w:ascii="Arial" w:cs="Arial" w:eastAsia="Arial" w:hAnsi="Arial"/>
          <w:sz w:val="14"/>
          <w:szCs w:val="14"/>
          <w:color w:val="auto"/>
        </w:rPr>
      </w:pPr>
    </w:p>
    <w:p>
      <w:pPr>
        <w:ind w:left="2480" w:hanging="811"/>
        <w:spacing w:after="0"/>
        <w:tabs>
          <w:tab w:leader="none" w:pos="2480" w:val="left"/>
        </w:tabs>
        <w:numPr>
          <w:ilvl w:val="0"/>
          <w:numId w:val="109"/>
        </w:numPr>
        <w:rPr>
          <w:rFonts w:ascii="Arial" w:cs="Arial" w:eastAsia="Arial" w:hAnsi="Arial"/>
          <w:sz w:val="13"/>
          <w:szCs w:val="13"/>
          <w:color w:val="auto"/>
        </w:rPr>
      </w:pPr>
      <w:r>
        <w:rPr>
          <w:rFonts w:ascii="Arial" w:cs="Arial" w:eastAsia="Arial" w:hAnsi="Arial"/>
          <w:sz w:val="13"/>
          <w:szCs w:val="13"/>
          <w:u w:val="single" w:color="auto"/>
          <w:color w:val="auto"/>
        </w:rPr>
        <w:t>Guarantee and Security Agreement</w:t>
      </w:r>
      <w:r>
        <w:rPr>
          <w:rFonts w:ascii="Arial" w:cs="Arial" w:eastAsia="Arial" w:hAnsi="Arial"/>
          <w:sz w:val="13"/>
          <w:szCs w:val="13"/>
          <w:color w:val="auto"/>
        </w:rPr>
        <w:t>. The Guarantee and Security Agreement, duly executed and delivered by each of the parties to the Guarantee and</w:t>
      </w:r>
    </w:p>
    <w:p>
      <w:pPr>
        <w:spacing w:after="0" w:line="11" w:lineRule="exact"/>
        <w:rPr>
          <w:rFonts w:ascii="Arial" w:cs="Arial" w:eastAsia="Arial" w:hAnsi="Arial"/>
          <w:sz w:val="13"/>
          <w:szCs w:val="13"/>
          <w:color w:val="auto"/>
        </w:rPr>
      </w:pPr>
    </w:p>
    <w:p>
      <w:pPr>
        <w:ind w:left="880"/>
        <w:spacing w:after="0"/>
        <w:rPr>
          <w:rFonts w:ascii="Arial" w:cs="Arial" w:eastAsia="Arial" w:hAnsi="Arial"/>
          <w:sz w:val="13"/>
          <w:szCs w:val="13"/>
          <w:color w:val="auto"/>
        </w:rPr>
      </w:pPr>
      <w:r>
        <w:rPr>
          <w:rFonts w:ascii="Arial" w:cs="Arial" w:eastAsia="Arial" w:hAnsi="Arial"/>
          <w:sz w:val="14"/>
          <w:szCs w:val="14"/>
          <w:color w:val="auto"/>
        </w:rPr>
        <w:t>Security Agreement.</w:t>
      </w:r>
    </w:p>
    <w:p>
      <w:pPr>
        <w:spacing w:after="0" w:line="191" w:lineRule="exact"/>
        <w:rPr>
          <w:rFonts w:ascii="Arial" w:cs="Arial" w:eastAsia="Arial" w:hAnsi="Arial"/>
          <w:sz w:val="13"/>
          <w:szCs w:val="13"/>
          <w:color w:val="auto"/>
        </w:rPr>
      </w:pPr>
    </w:p>
    <w:p>
      <w:pPr>
        <w:ind w:left="2520" w:hanging="851"/>
        <w:spacing w:after="0"/>
        <w:tabs>
          <w:tab w:leader="none" w:pos="2520" w:val="left"/>
        </w:tabs>
        <w:numPr>
          <w:ilvl w:val="0"/>
          <w:numId w:val="109"/>
        </w:numPr>
        <w:rPr>
          <w:rFonts w:ascii="Arial" w:cs="Arial" w:eastAsia="Arial" w:hAnsi="Arial"/>
          <w:sz w:val="14"/>
          <w:szCs w:val="14"/>
          <w:color w:val="auto"/>
        </w:rPr>
      </w:pPr>
      <w:r>
        <w:rPr>
          <w:rFonts w:ascii="Arial" w:cs="Arial" w:eastAsia="Arial" w:hAnsi="Arial"/>
          <w:sz w:val="14"/>
          <w:szCs w:val="14"/>
          <w:u w:val="single" w:color="auto"/>
          <w:color w:val="auto"/>
        </w:rPr>
        <w:t>Borrowing Base Certificate</w:t>
      </w:r>
      <w:r>
        <w:rPr>
          <w:rFonts w:ascii="Arial" w:cs="Arial" w:eastAsia="Arial" w:hAnsi="Arial"/>
          <w:sz w:val="14"/>
          <w:szCs w:val="14"/>
          <w:color w:val="auto"/>
        </w:rPr>
        <w:t>. A Borrowing Base Certificate showing a calculation of the Borrowing Base as of May 31, 2014.</w:t>
      </w:r>
    </w:p>
    <w:p>
      <w:pPr>
        <w:spacing w:after="0" w:line="203" w:lineRule="exact"/>
        <w:rPr>
          <w:rFonts w:ascii="Arial" w:cs="Arial" w:eastAsia="Arial" w:hAnsi="Arial"/>
          <w:sz w:val="14"/>
          <w:szCs w:val="14"/>
          <w:color w:val="auto"/>
        </w:rPr>
      </w:pPr>
    </w:p>
    <w:p>
      <w:pPr>
        <w:jc w:val="both"/>
        <w:ind w:right="20" w:firstLine="1735"/>
        <w:spacing w:after="0" w:line="229" w:lineRule="auto"/>
        <w:tabs>
          <w:tab w:leader="none" w:pos="2543" w:val="left"/>
        </w:tabs>
        <w:numPr>
          <w:ilvl w:val="1"/>
          <w:numId w:val="109"/>
        </w:numPr>
        <w:rPr>
          <w:rFonts w:ascii="Arial" w:cs="Arial" w:eastAsia="Arial" w:hAnsi="Arial"/>
          <w:sz w:val="14"/>
          <w:szCs w:val="14"/>
          <w:color w:val="auto"/>
        </w:rPr>
      </w:pPr>
      <w:r>
        <w:rPr>
          <w:rFonts w:ascii="Arial" w:cs="Arial" w:eastAsia="Arial" w:hAnsi="Arial"/>
          <w:sz w:val="14"/>
          <w:szCs w:val="14"/>
          <w:u w:val="single" w:color="auto"/>
          <w:color w:val="auto"/>
        </w:rPr>
        <w:t>Liens</w:t>
      </w:r>
      <w:r>
        <w:rPr>
          <w:rFonts w:ascii="Arial" w:cs="Arial" w:eastAsia="Arial" w:hAnsi="Arial"/>
          <w:sz w:val="14"/>
          <w:szCs w:val="14"/>
          <w:color w:val="auto"/>
        </w:rPr>
        <w:t xml:space="preserve">. The Administrative Agent shall have received results of a recent lien search in each relevant jurisdiction with respect to the Borrower and its Subsidiaries (other than Financing Subsidiaries), confirming the priority of the Liens in favor of the Collateral Agent created pursuant to the Security Documents and revealing no liens on any of the assets of the Borrower or its Subsidiaries (other than Financing Subsidiaries) except for liens permitted under </w:t>
      </w:r>
      <w:r>
        <w:rPr>
          <w:rFonts w:ascii="Arial" w:cs="Arial" w:eastAsia="Arial" w:hAnsi="Arial"/>
          <w:sz w:val="14"/>
          <w:szCs w:val="14"/>
          <w:u w:val="single" w:color="auto"/>
          <w:color w:val="auto"/>
        </w:rPr>
        <w:t>Section 6.02</w:t>
      </w:r>
      <w:r>
        <w:rPr>
          <w:rFonts w:ascii="Arial" w:cs="Arial" w:eastAsia="Arial" w:hAnsi="Arial"/>
          <w:sz w:val="14"/>
          <w:szCs w:val="14"/>
          <w:color w:val="auto"/>
        </w:rPr>
        <w:t xml:space="preserve"> or liens to be discharged on or prior to the Effective Date pursuant to documentation satisfactory to the Administrative Agent. All UCC financing statements and similar documents required to be filed in order to create in favor of the Administrative Agent, for the benefit of the Lenders, a first priority perfected security interest in the Collateral (to the extent that such a security interest may be perfected by a filing under the Uniform Commercial Code) shall have been properly filed in each jurisdiction required.</w:t>
      </w:r>
    </w:p>
    <w:p>
      <w:pPr>
        <w:spacing w:after="0" w:line="185" w:lineRule="exact"/>
        <w:rPr>
          <w:rFonts w:ascii="Arial" w:cs="Arial" w:eastAsia="Arial" w:hAnsi="Arial"/>
          <w:sz w:val="14"/>
          <w:szCs w:val="14"/>
          <w:color w:val="auto"/>
        </w:rPr>
      </w:pPr>
    </w:p>
    <w:p>
      <w:pPr>
        <w:jc w:val="both"/>
        <w:ind w:right="20" w:firstLine="1735"/>
        <w:spacing w:after="0" w:line="255" w:lineRule="auto"/>
        <w:tabs>
          <w:tab w:leader="none" w:pos="2535" w:val="left"/>
        </w:tabs>
        <w:numPr>
          <w:ilvl w:val="1"/>
          <w:numId w:val="109"/>
        </w:numPr>
        <w:rPr>
          <w:rFonts w:ascii="Arial" w:cs="Arial" w:eastAsia="Arial" w:hAnsi="Arial"/>
          <w:sz w:val="13"/>
          <w:szCs w:val="13"/>
          <w:color w:val="auto"/>
        </w:rPr>
      </w:pPr>
      <w:r>
        <w:rPr>
          <w:rFonts w:ascii="Arial" w:cs="Arial" w:eastAsia="Arial" w:hAnsi="Arial"/>
          <w:sz w:val="13"/>
          <w:szCs w:val="13"/>
          <w:u w:val="single" w:color="auto"/>
          <w:color w:val="auto"/>
        </w:rPr>
        <w:t>Consents</w:t>
      </w:r>
      <w:r>
        <w:rPr>
          <w:rFonts w:ascii="Arial" w:cs="Arial" w:eastAsia="Arial" w:hAnsi="Arial"/>
          <w:sz w:val="13"/>
          <w:szCs w:val="13"/>
          <w:color w:val="auto"/>
        </w:rPr>
        <w:t>. The Borrower shall have obtained and delivered to the Administrative Agent certified copies of all consents, approvals, authorizations, registrations, or filings required to be made or obtained by the Borrower and all guarantors in connection with the Transactions and any transaction being financed with the proceeds of the Loans, and such consents, approvals, authorizations, registrations, filings and orders shall be in full force and effect and all applicable waiting periods shall have expired and no investigation or inquiry by any Governmental Authority regarding the Transactions or any transaction being financed with the proceeds of the Loans shall be ongoing.</w:t>
      </w:r>
    </w:p>
    <w:p>
      <w:pPr>
        <w:spacing w:after="0" w:line="174" w:lineRule="exact"/>
        <w:rPr>
          <w:rFonts w:ascii="Arial" w:cs="Arial" w:eastAsia="Arial" w:hAnsi="Arial"/>
          <w:sz w:val="13"/>
          <w:szCs w:val="13"/>
          <w:color w:val="auto"/>
        </w:rPr>
      </w:pPr>
    </w:p>
    <w:p>
      <w:pPr>
        <w:ind w:left="2560" w:hanging="825"/>
        <w:spacing w:after="0"/>
        <w:tabs>
          <w:tab w:leader="none" w:pos="2560" w:val="left"/>
        </w:tabs>
        <w:numPr>
          <w:ilvl w:val="1"/>
          <w:numId w:val="109"/>
        </w:numPr>
        <w:rPr>
          <w:rFonts w:ascii="Arial" w:cs="Arial" w:eastAsia="Arial" w:hAnsi="Arial"/>
          <w:sz w:val="13"/>
          <w:szCs w:val="13"/>
          <w:color w:val="auto"/>
        </w:rPr>
      </w:pPr>
      <w:r>
        <w:rPr>
          <w:rFonts w:ascii="Arial" w:cs="Arial" w:eastAsia="Arial" w:hAnsi="Arial"/>
          <w:sz w:val="13"/>
          <w:szCs w:val="13"/>
          <w:u w:val="single" w:color="auto"/>
          <w:color w:val="auto"/>
        </w:rPr>
        <w:t>Fees and Expenses</w:t>
      </w:r>
      <w:r>
        <w:rPr>
          <w:rFonts w:ascii="Arial" w:cs="Arial" w:eastAsia="Arial" w:hAnsi="Arial"/>
          <w:sz w:val="13"/>
          <w:szCs w:val="13"/>
          <w:color w:val="auto"/>
        </w:rPr>
        <w:t>. The Borrower shall have paid in full to the Administrative Agent all fees and expenses related to this Agreement owing on the</w:t>
      </w:r>
    </w:p>
    <w:p>
      <w:pPr>
        <w:spacing w:after="0" w:line="11" w:lineRule="exact"/>
        <w:rPr>
          <w:rFonts w:ascii="Arial" w:cs="Arial" w:eastAsia="Arial" w:hAnsi="Arial"/>
          <w:sz w:val="13"/>
          <w:szCs w:val="13"/>
          <w:color w:val="auto"/>
        </w:rPr>
      </w:pPr>
    </w:p>
    <w:p>
      <w:pPr>
        <w:spacing w:after="0"/>
        <w:rPr>
          <w:rFonts w:ascii="Arial" w:cs="Arial" w:eastAsia="Arial" w:hAnsi="Arial"/>
          <w:sz w:val="13"/>
          <w:szCs w:val="13"/>
          <w:color w:val="auto"/>
        </w:rPr>
      </w:pPr>
      <w:r>
        <w:rPr>
          <w:rFonts w:ascii="Arial" w:cs="Arial" w:eastAsia="Arial" w:hAnsi="Arial"/>
          <w:sz w:val="14"/>
          <w:szCs w:val="14"/>
          <w:color w:val="auto"/>
        </w:rPr>
        <w:t>Effective Date.</w:t>
      </w:r>
    </w:p>
    <w:p>
      <w:pPr>
        <w:spacing w:after="0" w:line="191" w:lineRule="exact"/>
        <w:rPr>
          <w:rFonts w:ascii="Arial" w:cs="Arial" w:eastAsia="Arial" w:hAnsi="Arial"/>
          <w:sz w:val="13"/>
          <w:szCs w:val="13"/>
          <w:color w:val="auto"/>
        </w:rPr>
      </w:pPr>
    </w:p>
    <w:p>
      <w:pPr>
        <w:ind w:right="20" w:firstLine="1735"/>
        <w:spacing w:after="0" w:line="253" w:lineRule="auto"/>
        <w:tabs>
          <w:tab w:leader="none" w:pos="2535" w:val="left"/>
        </w:tabs>
        <w:numPr>
          <w:ilvl w:val="1"/>
          <w:numId w:val="109"/>
        </w:numPr>
        <w:rPr>
          <w:rFonts w:ascii="Arial" w:cs="Arial" w:eastAsia="Arial" w:hAnsi="Arial"/>
          <w:sz w:val="14"/>
          <w:szCs w:val="14"/>
          <w:color w:val="auto"/>
        </w:rPr>
      </w:pPr>
      <w:r>
        <w:rPr>
          <w:rFonts w:ascii="Arial" w:cs="Arial" w:eastAsia="Arial" w:hAnsi="Arial"/>
          <w:sz w:val="14"/>
          <w:szCs w:val="14"/>
          <w:u w:val="single" w:color="auto"/>
          <w:color w:val="auto"/>
        </w:rPr>
        <w:t>Other Documents</w:t>
      </w:r>
      <w:r>
        <w:rPr>
          <w:rFonts w:ascii="Arial" w:cs="Arial" w:eastAsia="Arial" w:hAnsi="Arial"/>
          <w:sz w:val="14"/>
          <w:szCs w:val="14"/>
          <w:color w:val="auto"/>
        </w:rPr>
        <w:t>. The Administrative Agent shall have received such other documents as the Administrative Agent or any Lender may reasonably request in form and substance satisfactory to the Administrative Agent.</w:t>
      </w:r>
    </w:p>
    <w:p>
      <w:pPr>
        <w:spacing w:after="0" w:line="174" w:lineRule="exact"/>
        <w:rPr>
          <w:sz w:val="20"/>
          <w:szCs w:val="20"/>
          <w:color w:val="auto"/>
        </w:rPr>
      </w:pPr>
    </w:p>
    <w:p>
      <w:pPr>
        <w:ind w:left="1740"/>
        <w:spacing w:after="0"/>
        <w:rPr>
          <w:sz w:val="20"/>
          <w:szCs w:val="20"/>
          <w:color w:val="auto"/>
        </w:rPr>
      </w:pPr>
      <w:r>
        <w:rPr>
          <w:rFonts w:ascii="Arial" w:cs="Arial" w:eastAsia="Arial" w:hAnsi="Arial"/>
          <w:sz w:val="13"/>
          <w:szCs w:val="13"/>
          <w:color w:val="auto"/>
        </w:rPr>
        <w:t xml:space="preserve">SECTION 4.02.  </w:t>
      </w:r>
      <w:r>
        <w:rPr>
          <w:rFonts w:ascii="Arial" w:cs="Arial" w:eastAsia="Arial" w:hAnsi="Arial"/>
          <w:sz w:val="13"/>
          <w:szCs w:val="13"/>
          <w:u w:val="single" w:color="auto"/>
          <w:color w:val="auto"/>
        </w:rPr>
        <w:t>Each Credit Event</w:t>
      </w:r>
      <w:r>
        <w:rPr>
          <w:rFonts w:ascii="Arial" w:cs="Arial" w:eastAsia="Arial" w:hAnsi="Arial"/>
          <w:sz w:val="13"/>
          <w:szCs w:val="13"/>
          <w:color w:val="auto"/>
        </w:rPr>
        <w:t>.  The obligation of each Lender to make any Loan, and of the Issuing Bank to issue, amend, renew or extend any Letter of</w:t>
      </w:r>
    </w:p>
    <w:p>
      <w:pPr>
        <w:spacing w:after="0" w:line="11" w:lineRule="exact"/>
        <w:rPr>
          <w:sz w:val="20"/>
          <w:szCs w:val="20"/>
          <w:color w:val="auto"/>
        </w:rPr>
      </w:pPr>
    </w:p>
    <w:p>
      <w:pPr>
        <w:spacing w:after="0"/>
        <w:rPr>
          <w:sz w:val="20"/>
          <w:szCs w:val="20"/>
          <w:color w:val="auto"/>
        </w:rPr>
      </w:pPr>
      <w:r>
        <w:rPr>
          <w:rFonts w:ascii="Arial" w:cs="Arial" w:eastAsia="Arial" w:hAnsi="Arial"/>
          <w:sz w:val="14"/>
          <w:szCs w:val="14"/>
          <w:color w:val="auto"/>
        </w:rPr>
        <w:t>Credit, is additionally subject to the satisfaction of the following conditions:</w:t>
      </w:r>
    </w:p>
    <w:p>
      <w:pPr>
        <w:spacing w:after="0" w:line="192" w:lineRule="exact"/>
        <w:rPr>
          <w:sz w:val="20"/>
          <w:szCs w:val="20"/>
          <w:color w:val="auto"/>
        </w:rPr>
      </w:pPr>
    </w:p>
    <w:p>
      <w:pPr>
        <w:jc w:val="both"/>
        <w:ind w:right="20" w:firstLine="1735"/>
        <w:spacing w:after="0" w:line="264" w:lineRule="auto"/>
        <w:tabs>
          <w:tab w:leader="none" w:pos="2535" w:val="left"/>
        </w:tabs>
        <w:numPr>
          <w:ilvl w:val="0"/>
          <w:numId w:val="110"/>
        </w:numPr>
        <w:rPr>
          <w:rFonts w:ascii="Arial" w:cs="Arial" w:eastAsia="Arial" w:hAnsi="Arial"/>
          <w:sz w:val="13"/>
          <w:szCs w:val="13"/>
          <w:color w:val="auto"/>
        </w:rPr>
      </w:pPr>
      <w:r>
        <w:rPr>
          <w:rFonts w:ascii="Arial" w:cs="Arial" w:eastAsia="Arial" w:hAnsi="Arial"/>
          <w:sz w:val="13"/>
          <w:szCs w:val="13"/>
          <w:color w:val="auto"/>
        </w:rPr>
        <w:t>the representations and warranties of the Borrower set forth in this Agreement and in the other Loan Documents shall be true and correct in all material respects (or, in the case of any portion of any representations and warranties already subject to a materiality qualifier, true and correct in all respects) on and as of the date of such Loan or the date of issuance, amendment, renewal or extension of such Letter of Credit, as applicable, or, as to any such representation or warranty that refers to a specific date, as of such specific date;</w:t>
      </w:r>
    </w:p>
    <w:p>
      <w:pPr>
        <w:spacing w:after="0" w:line="200" w:lineRule="exact"/>
        <w:rPr>
          <w:sz w:val="20"/>
          <w:szCs w:val="20"/>
          <w:color w:val="auto"/>
        </w:rPr>
      </w:pPr>
    </w:p>
    <w:p>
      <w:pPr>
        <w:spacing w:after="0" w:line="38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7580" w:type="dxa"/>
            <w:vAlign w:val="bottom"/>
          </w:tcPr>
          <w:p>
            <w:pPr>
              <w:jc w:val="right"/>
              <w:ind w:right="1808"/>
              <w:spacing w:after="0"/>
              <w:rPr>
                <w:sz w:val="20"/>
                <w:szCs w:val="20"/>
                <w:color w:val="auto"/>
              </w:rPr>
            </w:pPr>
            <w:r>
              <w:rPr>
                <w:rFonts w:ascii="Arial" w:cs="Arial" w:eastAsia="Arial" w:hAnsi="Arial"/>
                <w:sz w:val="14"/>
                <w:szCs w:val="14"/>
                <w:color w:val="auto"/>
              </w:rPr>
              <w:t>41</w:t>
            </w:r>
          </w:p>
        </w:tc>
        <w:tc>
          <w:tcPr>
            <w:tcW w:w="3680" w:type="dxa"/>
            <w:vAlign w:val="bottom"/>
          </w:tcPr>
          <w:p>
            <w:pPr>
              <w:jc w:val="right"/>
              <w:spacing w:after="0"/>
              <w:rPr>
                <w:sz w:val="20"/>
                <w:szCs w:val="20"/>
                <w:color w:val="auto"/>
              </w:rPr>
            </w:pPr>
            <w:r>
              <w:rPr>
                <w:rFonts w:ascii="Arial" w:cs="Arial" w:eastAsia="Arial" w:hAnsi="Arial"/>
                <w:sz w:val="14"/>
                <w:szCs w:val="14"/>
                <w:i w:val="1"/>
                <w:iCs w:val="1"/>
                <w:color w:val="auto"/>
              </w:rPr>
              <w:t>Second Amended and Restated</w:t>
            </w:r>
          </w:p>
        </w:tc>
      </w:tr>
      <w:tr>
        <w:trPr>
          <w:trHeight w:val="182"/>
        </w:trPr>
        <w:tc>
          <w:tcPr>
            <w:tcW w:w="7580" w:type="dxa"/>
            <w:vAlign w:val="bottom"/>
          </w:tcPr>
          <w:p>
            <w:pPr>
              <w:spacing w:after="0"/>
              <w:rPr>
                <w:sz w:val="15"/>
                <w:szCs w:val="15"/>
                <w:color w:val="auto"/>
              </w:rPr>
            </w:pPr>
          </w:p>
        </w:tc>
        <w:tc>
          <w:tcPr>
            <w:tcW w:w="3680" w:type="dxa"/>
            <w:vAlign w:val="bottom"/>
          </w:tcPr>
          <w:p>
            <w:pPr>
              <w:jc w:val="right"/>
              <w:spacing w:after="0"/>
              <w:rPr>
                <w:sz w:val="20"/>
                <w:szCs w:val="20"/>
                <w:color w:val="auto"/>
              </w:rPr>
            </w:pPr>
            <w:r>
              <w:rPr>
                <w:rFonts w:ascii="Arial" w:cs="Arial" w:eastAsia="Arial" w:hAnsi="Arial"/>
                <w:sz w:val="14"/>
                <w:szCs w:val="14"/>
                <w:i w:val="1"/>
                <w:iCs w:val="1"/>
                <w:color w:val="auto"/>
              </w:rPr>
              <w:t>Revolving Credit Agreement</w:t>
            </w:r>
          </w:p>
        </w:tc>
      </w:tr>
      <w:tr>
        <w:trPr>
          <w:trHeight w:val="316"/>
        </w:trPr>
        <w:tc>
          <w:tcPr>
            <w:tcW w:w="7580" w:type="dxa"/>
            <w:vAlign w:val="bottom"/>
            <w:tcBorders>
              <w:bottom w:val="single" w:sz="8" w:color="9A9A9A"/>
            </w:tcBorders>
          </w:tcPr>
          <w:p>
            <w:pPr>
              <w:spacing w:after="0"/>
              <w:rPr>
                <w:sz w:val="24"/>
                <w:szCs w:val="24"/>
                <w:color w:val="auto"/>
              </w:rPr>
            </w:pPr>
          </w:p>
        </w:tc>
        <w:tc>
          <w:tcPr>
            <w:tcW w:w="368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7145655</wp:posOffset>
            </wp:positionH>
            <wp:positionV relativeFrom="paragraph">
              <wp:posOffset>-7620</wp:posOffset>
            </wp:positionV>
            <wp:extent cx="8255" cy="8255"/>
            <wp:wrapNone/>
            <wp:docPr id="187" name="Picture 1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7"/>
                    <pic:cNvPicPr>
                      <a:picLocks noChangeAspect="1" noChangeArrowheads="1"/>
                    </pic:cNvPicPr>
                  </pic:nvPicPr>
                  <pic:blipFill>
                    <a:blip r:embed="rId194">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-16510</wp:posOffset>
            </wp:positionV>
            <wp:extent cx="8890" cy="17145"/>
            <wp:wrapNone/>
            <wp:docPr id="188" name="Picture 1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8"/>
                    <pic:cNvPicPr>
                      <a:picLocks noChangeAspect="1" noChangeArrowheads="1"/>
                    </pic:cNvPicPr>
                  </pic:nvPicPr>
                  <pic:blipFill>
                    <a:blip r:embed="rId195">
                      <a:extLst>
                        <a:ext uri="{28A0092B-C50C-407E-A947-70E740481C1C}"/>
                      </a:extLst>
                    </a:blip>
                    <a:srcRect/>
                    <a:stretch>
                      <a:fillRect/>
                    </a:stretch>
                  </pic:blipFill>
                  <pic:spPr bwMode="auto">
                    <a:xfrm>
                      <a:off x="0" y="0"/>
                      <a:ext cx="8890" cy="17145"/>
                    </a:xfrm>
                    <a:prstGeom prst="rect">
                      <a:avLst/>
                    </a:prstGeom>
                    <a:noFill/>
                  </pic:spPr>
                </pic:pic>
              </a:graphicData>
            </a:graphic>
          </wp:anchor>
        </w:drawing>
      </w:r>
    </w:p>
    <w:p>
      <w:pPr>
        <w:sectPr>
          <w:pgSz w:w="11900" w:h="16838" w:orient="portrait"/>
          <w:cols w:equalWidth="0" w:num="1">
            <w:col w:w="11260"/>
          </w:cols>
          <w:pgMar w:left="320" w:top="337" w:right="319" w:bottom="1440" w:gutter="0" w:footer="0" w:header="0"/>
        </w:sectPr>
      </w:pPr>
    </w:p>
    <w:bookmarkStart w:id="104" w:name="page105"/>
    <w:bookmarkEnd w:id="104"/>
    <w:p>
      <w:pPr>
        <w:ind w:right="20" w:firstLine="1735"/>
        <w:spacing w:after="0" w:line="253" w:lineRule="auto"/>
        <w:tabs>
          <w:tab w:leader="none" w:pos="2543" w:val="left"/>
        </w:tabs>
        <w:numPr>
          <w:ilvl w:val="0"/>
          <w:numId w:val="111"/>
        </w:numPr>
        <w:rPr>
          <w:rFonts w:ascii="Arial" w:cs="Arial" w:eastAsia="Arial" w:hAnsi="Arial"/>
          <w:sz w:val="14"/>
          <w:szCs w:val="14"/>
          <w:color w:val="auto"/>
        </w:rPr>
      </w:pPr>
      <w:r>
        <w:rPr>
          <w:rFonts w:ascii="Arial" w:cs="Arial" w:eastAsia="Arial" w:hAnsi="Arial"/>
          <w:sz w:val="14"/>
          <w:szCs w:val="14"/>
          <w:color w:val="auto"/>
        </w:rPr>
        <w:t>at the time of and immediately after giving effect to such Loan or the issuance, amendment, renewal or extension of such Letter of Credit, as applicable, no Default shall have occurred and be continuing; and</w:t>
      </w:r>
    </w:p>
    <w:p>
      <w:pPr>
        <w:spacing w:after="0" w:line="173" w:lineRule="exact"/>
        <w:rPr>
          <w:rFonts w:ascii="Arial" w:cs="Arial" w:eastAsia="Arial" w:hAnsi="Arial"/>
          <w:sz w:val="14"/>
          <w:szCs w:val="14"/>
          <w:color w:val="auto"/>
        </w:rPr>
      </w:pPr>
    </w:p>
    <w:p>
      <w:pPr>
        <w:jc w:val="both"/>
        <w:ind w:right="20" w:firstLine="1735"/>
        <w:spacing w:after="0" w:line="233" w:lineRule="auto"/>
        <w:tabs>
          <w:tab w:leader="none" w:pos="2535" w:val="left"/>
        </w:tabs>
        <w:numPr>
          <w:ilvl w:val="0"/>
          <w:numId w:val="111"/>
        </w:numPr>
        <w:rPr>
          <w:rFonts w:ascii="Arial" w:cs="Arial" w:eastAsia="Arial" w:hAnsi="Arial"/>
          <w:sz w:val="14"/>
          <w:szCs w:val="14"/>
          <w:color w:val="auto"/>
        </w:rPr>
      </w:pPr>
      <w:r>
        <w:rPr>
          <w:rFonts w:ascii="Arial" w:cs="Arial" w:eastAsia="Arial" w:hAnsi="Arial"/>
          <w:sz w:val="14"/>
          <w:szCs w:val="14"/>
          <w:color w:val="auto"/>
        </w:rPr>
        <w:t>either (i) the aggregate Covered Debt Amount (after giving effect to such extension of credit) shall not exceed the Borrowing Base reflected on the Borrowing Base Certificate most recently delivered to the Administrative Agent or (ii) the Borrower shall have delivered an updated Borrowing Base Certificate demonstrating that the Covered Debt Amount (after giving effect to such extension of credit) shall not exceed the Borrowing Base after giving effect to such extension of credit as well as any concurrent acquisitions of Portfolio Investments or payment of outstanding Loans or Other Covered Indebtedness.</w:t>
      </w:r>
    </w:p>
    <w:p>
      <w:pPr>
        <w:spacing w:after="0" w:line="185" w:lineRule="exact"/>
        <w:rPr>
          <w:sz w:val="20"/>
          <w:szCs w:val="20"/>
          <w:color w:val="auto"/>
        </w:rPr>
      </w:pPr>
    </w:p>
    <w:p>
      <w:pPr>
        <w:jc w:val="both"/>
        <w:ind w:right="20" w:firstLine="1727"/>
        <w:spacing w:after="0" w:line="238" w:lineRule="auto"/>
        <w:rPr>
          <w:sz w:val="20"/>
          <w:szCs w:val="20"/>
          <w:color w:val="auto"/>
        </w:rPr>
      </w:pPr>
      <w:r>
        <w:rPr>
          <w:rFonts w:ascii="Arial" w:cs="Arial" w:eastAsia="Arial" w:hAnsi="Arial"/>
          <w:sz w:val="14"/>
          <w:szCs w:val="14"/>
          <w:color w:val="auto"/>
        </w:rPr>
        <w:t>Each Borrowing and each issuance, amendment, renewal or extension of a Letter of Credit shall be deemed to constitute a representation and warranty by the Borrower on the date thereof as to the matters specified in the preceding sentence. For the avoidance of doubt, the conversion or continuation of a Borrowing as the same or a different Type (without an increase in the principal amount thereof) shall not be considered the making of a Loan.</w:t>
      </w:r>
    </w:p>
    <w:p>
      <w:pPr>
        <w:spacing w:after="0" w:line="183" w:lineRule="exact"/>
        <w:rPr>
          <w:sz w:val="20"/>
          <w:szCs w:val="20"/>
          <w:color w:val="auto"/>
        </w:rPr>
      </w:pPr>
    </w:p>
    <w:p>
      <w:pPr>
        <w:jc w:val="center"/>
        <w:ind w:right="20"/>
        <w:spacing w:after="0"/>
        <w:rPr>
          <w:sz w:val="20"/>
          <w:szCs w:val="20"/>
          <w:color w:val="auto"/>
        </w:rPr>
      </w:pPr>
      <w:r>
        <w:rPr>
          <w:rFonts w:ascii="Arial" w:cs="Arial" w:eastAsia="Arial" w:hAnsi="Arial"/>
          <w:sz w:val="14"/>
          <w:szCs w:val="14"/>
          <w:color w:val="auto"/>
        </w:rPr>
        <w:t>ARTICLE V</w:t>
      </w:r>
    </w:p>
    <w:p>
      <w:pPr>
        <w:spacing w:after="0" w:line="136" w:lineRule="exact"/>
        <w:rPr>
          <w:sz w:val="20"/>
          <w:szCs w:val="20"/>
          <w:color w:val="auto"/>
        </w:rPr>
      </w:pPr>
    </w:p>
    <w:p>
      <w:pPr>
        <w:jc w:val="center"/>
        <w:ind w:right="20"/>
        <w:spacing w:after="0"/>
        <w:rPr>
          <w:sz w:val="20"/>
          <w:szCs w:val="20"/>
          <w:color w:val="auto"/>
        </w:rPr>
      </w:pPr>
      <w:r>
        <w:rPr>
          <w:rFonts w:ascii="Arial" w:cs="Arial" w:eastAsia="Arial" w:hAnsi="Arial"/>
          <w:sz w:val="14"/>
          <w:szCs w:val="14"/>
          <w:u w:val="single" w:color="auto"/>
          <w:color w:val="auto"/>
        </w:rPr>
        <w:t>AFFIRMATIVE COVENANTS</w:t>
      </w:r>
    </w:p>
    <w:p>
      <w:pPr>
        <w:spacing w:after="0" w:line="204" w:lineRule="exact"/>
        <w:rPr>
          <w:sz w:val="20"/>
          <w:szCs w:val="20"/>
          <w:color w:val="auto"/>
        </w:rPr>
      </w:pPr>
    </w:p>
    <w:p>
      <w:pPr>
        <w:jc w:val="both"/>
        <w:ind w:right="20" w:firstLine="1727"/>
        <w:spacing w:after="0" w:line="238" w:lineRule="auto"/>
        <w:rPr>
          <w:sz w:val="20"/>
          <w:szCs w:val="20"/>
          <w:color w:val="auto"/>
        </w:rPr>
      </w:pPr>
      <w:r>
        <w:rPr>
          <w:rFonts w:ascii="Arial" w:cs="Arial" w:eastAsia="Arial" w:hAnsi="Arial"/>
          <w:sz w:val="14"/>
          <w:szCs w:val="14"/>
          <w:color w:val="auto"/>
        </w:rPr>
        <w:t>Until the Commitments have expired or been terminated and the principal of and interest on each Loan and all fees payable hereunder shall have been paid in full and all Letters of Credit shall have expired, been terminated, Cash Collateralized or backstopped and all LC Disbursements shall have been reimbursed, the Borrower covenants and agrees with the Lenders that:</w:t>
      </w:r>
    </w:p>
    <w:p>
      <w:pPr>
        <w:spacing w:after="0" w:line="183" w:lineRule="exact"/>
        <w:rPr>
          <w:sz w:val="20"/>
          <w:szCs w:val="20"/>
          <w:color w:val="auto"/>
        </w:rPr>
      </w:pPr>
    </w:p>
    <w:p>
      <w:pPr>
        <w:jc w:val="center"/>
        <w:ind w:right="-39"/>
        <w:spacing w:after="0"/>
        <w:rPr>
          <w:sz w:val="20"/>
          <w:szCs w:val="20"/>
          <w:color w:val="auto"/>
        </w:rPr>
      </w:pPr>
      <w:r>
        <w:rPr>
          <w:rFonts w:ascii="Arial" w:cs="Arial" w:eastAsia="Arial" w:hAnsi="Arial"/>
          <w:sz w:val="14"/>
          <w:szCs w:val="14"/>
          <w:color w:val="auto"/>
        </w:rPr>
        <w:t xml:space="preserve">SECTION 5.01. </w:t>
      </w:r>
      <w:r>
        <w:rPr>
          <w:rFonts w:ascii="Arial" w:cs="Arial" w:eastAsia="Arial" w:hAnsi="Arial"/>
          <w:sz w:val="14"/>
          <w:szCs w:val="14"/>
          <w:u w:val="single" w:color="auto"/>
          <w:color w:val="auto"/>
        </w:rPr>
        <w:t>Financial Statements and Other Information</w:t>
      </w:r>
      <w:r>
        <w:rPr>
          <w:rFonts w:ascii="Arial" w:cs="Arial" w:eastAsia="Arial" w:hAnsi="Arial"/>
          <w:sz w:val="14"/>
          <w:szCs w:val="14"/>
          <w:color w:val="auto"/>
        </w:rPr>
        <w:t>. The Borrower will furnish to the Administrative Agent and each Lender:</w:t>
      </w:r>
    </w:p>
    <w:p>
      <w:pPr>
        <w:spacing w:after="0" w:line="204" w:lineRule="exact"/>
        <w:rPr>
          <w:sz w:val="20"/>
          <w:szCs w:val="20"/>
          <w:color w:val="auto"/>
        </w:rPr>
      </w:pPr>
    </w:p>
    <w:p>
      <w:pPr>
        <w:jc w:val="both"/>
        <w:ind w:right="20" w:firstLine="1735"/>
        <w:spacing w:after="0" w:line="251" w:lineRule="auto"/>
        <w:tabs>
          <w:tab w:leader="none" w:pos="2535" w:val="left"/>
        </w:tabs>
        <w:numPr>
          <w:ilvl w:val="1"/>
          <w:numId w:val="112"/>
        </w:numPr>
        <w:rPr>
          <w:rFonts w:ascii="Arial" w:cs="Arial" w:eastAsia="Arial" w:hAnsi="Arial"/>
          <w:sz w:val="13"/>
          <w:szCs w:val="13"/>
          <w:color w:val="auto"/>
        </w:rPr>
      </w:pPr>
      <w:r>
        <w:rPr>
          <w:rFonts w:ascii="Arial" w:cs="Arial" w:eastAsia="Arial" w:hAnsi="Arial"/>
          <w:sz w:val="13"/>
          <w:szCs w:val="13"/>
          <w:color w:val="auto"/>
        </w:rPr>
        <w:t xml:space="preserve">within 90 days after the end of each fiscal year of the Borrower, the audited consolidated statements of assets and liabilities, operations, changes in net assets and cash flows of the Borrower and its Subsidiaries as of the end of and for such year, setting forth in each case in comparative form the figures for the previous fiscal year, all reported on by KPMG or other independent public accountants of recognized national standing to the effect that such consolidated financial statements present fairly in all material respects the financial condition and results of operations of the Borrower and its Subsidiaries on a consolidated basis in accordance with GAAP consistently applied; </w:t>
      </w:r>
      <w:r>
        <w:rPr>
          <w:rFonts w:ascii="Arial" w:cs="Arial" w:eastAsia="Arial" w:hAnsi="Arial"/>
          <w:sz w:val="13"/>
          <w:szCs w:val="13"/>
          <w:u w:val="single" w:color="auto"/>
          <w:color w:val="auto"/>
        </w:rPr>
        <w:t>provided</w:t>
      </w:r>
      <w:r>
        <w:rPr>
          <w:rFonts w:ascii="Arial" w:cs="Arial" w:eastAsia="Arial" w:hAnsi="Arial"/>
          <w:sz w:val="13"/>
          <w:szCs w:val="13"/>
          <w:color w:val="auto"/>
        </w:rPr>
        <w:t xml:space="preserve"> that the requirements set forth in this </w:t>
      </w:r>
      <w:r>
        <w:rPr>
          <w:rFonts w:ascii="Arial" w:cs="Arial" w:eastAsia="Arial" w:hAnsi="Arial"/>
          <w:sz w:val="13"/>
          <w:szCs w:val="13"/>
          <w:u w:val="single" w:color="auto"/>
          <w:color w:val="auto"/>
        </w:rPr>
        <w:t>clause (a)</w:t>
      </w:r>
      <w:r>
        <w:rPr>
          <w:rFonts w:ascii="Arial" w:cs="Arial" w:eastAsia="Arial" w:hAnsi="Arial"/>
          <w:sz w:val="13"/>
          <w:szCs w:val="13"/>
          <w:color w:val="auto"/>
        </w:rPr>
        <w:t xml:space="preserve"> may be fulfilled by providing to the Administrative Agent and the Lenders the report of the Borrower to the SEC on Form 10-K for the applicable fiscal year;</w:t>
      </w:r>
    </w:p>
    <w:p>
      <w:pPr>
        <w:spacing w:after="0" w:line="176" w:lineRule="exact"/>
        <w:rPr>
          <w:rFonts w:ascii="Arial" w:cs="Arial" w:eastAsia="Arial" w:hAnsi="Arial"/>
          <w:sz w:val="13"/>
          <w:szCs w:val="13"/>
          <w:color w:val="auto"/>
        </w:rPr>
      </w:pPr>
    </w:p>
    <w:p>
      <w:pPr>
        <w:jc w:val="both"/>
        <w:ind w:right="20" w:firstLine="1735"/>
        <w:spacing w:after="0" w:line="248" w:lineRule="auto"/>
        <w:tabs>
          <w:tab w:leader="none" w:pos="2543" w:val="left"/>
        </w:tabs>
        <w:numPr>
          <w:ilvl w:val="1"/>
          <w:numId w:val="112"/>
        </w:numPr>
        <w:rPr>
          <w:rFonts w:ascii="Arial" w:cs="Arial" w:eastAsia="Arial" w:hAnsi="Arial"/>
          <w:sz w:val="13"/>
          <w:szCs w:val="13"/>
          <w:color w:val="auto"/>
        </w:rPr>
      </w:pPr>
      <w:r>
        <w:rPr>
          <w:rFonts w:ascii="Arial" w:cs="Arial" w:eastAsia="Arial" w:hAnsi="Arial"/>
          <w:sz w:val="13"/>
          <w:szCs w:val="13"/>
          <w:color w:val="auto"/>
        </w:rPr>
        <w:t xml:space="preserve">within 45 days after the end of each of the first three fiscal quarters of each fiscal year of the Borrower, the consolidated statements of assets and liabilities, operations, changes in net assets and cash flows of the Borrower and its Subsidiaries as of the end of and for such fiscal quarter and the then elapsed portion of the fiscal year, setting forth in each case in comparative form the figures for (or, in the case of the statements of assets and liabilities, operations, changes in net assets and cash flows, as of the end of) the corresponding period or periods of the previous fiscal year, all certified by a Financial Officer of the Borrower as presenting fairly in all material respects the financial condition and results of operations of the Borrower and its Subsidiaries on a consolidated basis in accordance with GAAP consistently applied, subject to normal year-end audit adjustments and the absence of footnotes; </w:t>
      </w:r>
      <w:r>
        <w:rPr>
          <w:rFonts w:ascii="Arial" w:cs="Arial" w:eastAsia="Arial" w:hAnsi="Arial"/>
          <w:sz w:val="13"/>
          <w:szCs w:val="13"/>
          <w:u w:val="single" w:color="auto"/>
          <w:color w:val="auto"/>
        </w:rPr>
        <w:t>provided</w:t>
      </w:r>
      <w:r>
        <w:rPr>
          <w:rFonts w:ascii="Arial" w:cs="Arial" w:eastAsia="Arial" w:hAnsi="Arial"/>
          <w:sz w:val="13"/>
          <w:szCs w:val="13"/>
          <w:color w:val="auto"/>
        </w:rPr>
        <w:t xml:space="preserve"> that the requirements set forth in this </w:t>
      </w:r>
      <w:r>
        <w:rPr>
          <w:rFonts w:ascii="Arial" w:cs="Arial" w:eastAsia="Arial" w:hAnsi="Arial"/>
          <w:sz w:val="13"/>
          <w:szCs w:val="13"/>
          <w:u w:val="single" w:color="auto"/>
          <w:color w:val="auto"/>
        </w:rPr>
        <w:t>clause (b)</w:t>
      </w:r>
      <w:r>
        <w:rPr>
          <w:rFonts w:ascii="Arial" w:cs="Arial" w:eastAsia="Arial" w:hAnsi="Arial"/>
          <w:sz w:val="13"/>
          <w:szCs w:val="13"/>
          <w:color w:val="auto"/>
        </w:rPr>
        <w:t xml:space="preserve"> may be fulfilled by providing to the Lenders the report of the Borrower to the SEC on Form 10-Q for the applicable quarterly period;</w:t>
      </w:r>
    </w:p>
    <w:p>
      <w:pPr>
        <w:spacing w:after="0" w:line="180" w:lineRule="exact"/>
        <w:rPr>
          <w:rFonts w:ascii="Arial" w:cs="Arial" w:eastAsia="Arial" w:hAnsi="Arial"/>
          <w:sz w:val="13"/>
          <w:szCs w:val="13"/>
          <w:color w:val="auto"/>
        </w:rPr>
      </w:pPr>
    </w:p>
    <w:p>
      <w:pPr>
        <w:ind w:left="2540" w:hanging="805"/>
        <w:spacing w:after="0"/>
        <w:tabs>
          <w:tab w:leader="none" w:pos="2540" w:val="left"/>
        </w:tabs>
        <w:numPr>
          <w:ilvl w:val="1"/>
          <w:numId w:val="112"/>
        </w:numPr>
        <w:rPr>
          <w:rFonts w:ascii="Arial" w:cs="Arial" w:eastAsia="Arial" w:hAnsi="Arial"/>
          <w:sz w:val="13"/>
          <w:szCs w:val="13"/>
          <w:color w:val="auto"/>
        </w:rPr>
      </w:pPr>
      <w:r>
        <w:rPr>
          <w:rFonts w:ascii="Arial" w:cs="Arial" w:eastAsia="Arial" w:hAnsi="Arial"/>
          <w:sz w:val="13"/>
          <w:szCs w:val="13"/>
          <w:color w:val="auto"/>
        </w:rPr>
        <w:t xml:space="preserve">concurrently with any delivery of financial statements under </w:t>
      </w:r>
      <w:r>
        <w:rPr>
          <w:rFonts w:ascii="Arial" w:cs="Arial" w:eastAsia="Arial" w:hAnsi="Arial"/>
          <w:sz w:val="13"/>
          <w:szCs w:val="13"/>
          <w:u w:val="single" w:color="auto"/>
          <w:color w:val="auto"/>
        </w:rPr>
        <w:t>clause (a)</w:t>
      </w:r>
      <w:r>
        <w:rPr>
          <w:rFonts w:ascii="Arial" w:cs="Arial" w:eastAsia="Arial" w:hAnsi="Arial"/>
          <w:sz w:val="13"/>
          <w:szCs w:val="13"/>
          <w:color w:val="auto"/>
        </w:rPr>
        <w:t xml:space="preserve"> or </w:t>
      </w:r>
      <w:r>
        <w:rPr>
          <w:rFonts w:ascii="Arial" w:cs="Arial" w:eastAsia="Arial" w:hAnsi="Arial"/>
          <w:sz w:val="13"/>
          <w:szCs w:val="13"/>
          <w:u w:val="single" w:color="auto"/>
          <w:color w:val="auto"/>
        </w:rPr>
        <w:t>(b)</w:t>
      </w:r>
      <w:r>
        <w:rPr>
          <w:rFonts w:ascii="Arial" w:cs="Arial" w:eastAsia="Arial" w:hAnsi="Arial"/>
          <w:sz w:val="13"/>
          <w:szCs w:val="13"/>
          <w:color w:val="auto"/>
        </w:rPr>
        <w:t xml:space="preserve"> of this Section, a certificate of a Financial Officer of the Borrower</w:t>
      </w:r>
    </w:p>
    <w:p>
      <w:pPr>
        <w:spacing w:after="0" w:line="11" w:lineRule="exact"/>
        <w:rPr>
          <w:rFonts w:ascii="Arial" w:cs="Arial" w:eastAsia="Arial" w:hAnsi="Arial"/>
          <w:sz w:val="13"/>
          <w:szCs w:val="13"/>
          <w:color w:val="auto"/>
        </w:rPr>
      </w:pPr>
    </w:p>
    <w:p>
      <w:pPr>
        <w:jc w:val="both"/>
        <w:ind w:right="20" w:firstLine="8"/>
        <w:spacing w:after="0" w:line="238" w:lineRule="auto"/>
        <w:tabs>
          <w:tab w:leader="none" w:pos="176" w:val="left"/>
        </w:tabs>
        <w:numPr>
          <w:ilvl w:val="0"/>
          <w:numId w:val="113"/>
        </w:numPr>
        <w:rPr>
          <w:rFonts w:ascii="Arial" w:cs="Arial" w:eastAsia="Arial" w:hAnsi="Arial"/>
          <w:sz w:val="13"/>
          <w:szCs w:val="13"/>
          <w:color w:val="auto"/>
        </w:rPr>
      </w:pPr>
      <w:r>
        <w:rPr>
          <w:rFonts w:ascii="Arial" w:cs="Arial" w:eastAsia="Arial" w:hAnsi="Arial"/>
          <w:sz w:val="13"/>
          <w:szCs w:val="13"/>
          <w:color w:val="auto"/>
        </w:rPr>
        <w:t>certifying that such statements are consistent with the financial statements filed by the Borrower with the Securities and Exchange Commission, (ii) certifying as to whether the Borrower has knowledge that a Default has occurred during the applicable period and, if a Default has occurred, specifying the details thereof and any action taken or proposed to be taken with respect thereto,</w:t>
      </w:r>
    </w:p>
    <w:p>
      <w:pPr>
        <w:jc w:val="both"/>
        <w:ind w:right="20" w:firstLine="8"/>
        <w:spacing w:after="0" w:line="232" w:lineRule="auto"/>
        <w:tabs>
          <w:tab w:leader="none" w:pos="270" w:val="left"/>
        </w:tabs>
        <w:numPr>
          <w:ilvl w:val="0"/>
          <w:numId w:val="114"/>
        </w:numPr>
        <w:rPr>
          <w:rFonts w:ascii="Arial" w:cs="Arial" w:eastAsia="Arial" w:hAnsi="Arial"/>
          <w:sz w:val="14"/>
          <w:szCs w:val="14"/>
          <w:color w:val="auto"/>
        </w:rPr>
      </w:pPr>
      <w:r>
        <w:rPr>
          <w:rFonts w:ascii="Arial" w:cs="Arial" w:eastAsia="Arial" w:hAnsi="Arial"/>
          <w:sz w:val="14"/>
          <w:szCs w:val="14"/>
          <w:color w:val="auto"/>
        </w:rPr>
        <w:t xml:space="preserve">setting forth reasonably detailed calculations demonstrating compliance with </w:t>
      </w:r>
      <w:r>
        <w:rPr>
          <w:rFonts w:ascii="Arial" w:cs="Arial" w:eastAsia="Arial" w:hAnsi="Arial"/>
          <w:sz w:val="14"/>
          <w:szCs w:val="14"/>
          <w:u w:val="single" w:color="auto"/>
          <w:color w:val="auto"/>
        </w:rPr>
        <w:t>Sections 6.01</w:t>
      </w:r>
      <w:r>
        <w:rPr>
          <w:rFonts w:ascii="Arial" w:cs="Arial" w:eastAsia="Arial" w:hAnsi="Arial"/>
          <w:sz w:val="14"/>
          <w:szCs w:val="14"/>
          <w:color w:val="auto"/>
        </w:rPr>
        <w:t xml:space="preserve">, </w:t>
      </w:r>
      <w:r>
        <w:rPr>
          <w:rFonts w:ascii="Arial" w:cs="Arial" w:eastAsia="Arial" w:hAnsi="Arial"/>
          <w:sz w:val="14"/>
          <w:szCs w:val="14"/>
          <w:u w:val="single" w:color="auto"/>
          <w:color w:val="auto"/>
        </w:rPr>
        <w:t>6.02</w:t>
      </w:r>
      <w:r>
        <w:rPr>
          <w:rFonts w:ascii="Arial" w:cs="Arial" w:eastAsia="Arial" w:hAnsi="Arial"/>
          <w:sz w:val="14"/>
          <w:szCs w:val="14"/>
          <w:color w:val="auto"/>
        </w:rPr>
        <w:t xml:space="preserve">, </w:t>
      </w:r>
      <w:r>
        <w:rPr>
          <w:rFonts w:ascii="Arial" w:cs="Arial" w:eastAsia="Arial" w:hAnsi="Arial"/>
          <w:sz w:val="14"/>
          <w:szCs w:val="14"/>
          <w:u w:val="single" w:color="auto"/>
          <w:color w:val="auto"/>
        </w:rPr>
        <w:t>6.04</w:t>
      </w:r>
      <w:r>
        <w:rPr>
          <w:rFonts w:ascii="Arial" w:cs="Arial" w:eastAsia="Arial" w:hAnsi="Arial"/>
          <w:sz w:val="14"/>
          <w:szCs w:val="14"/>
          <w:color w:val="auto"/>
        </w:rPr>
        <w:t xml:space="preserve"> and </w:t>
      </w:r>
      <w:r>
        <w:rPr>
          <w:rFonts w:ascii="Arial" w:cs="Arial" w:eastAsia="Arial" w:hAnsi="Arial"/>
          <w:sz w:val="14"/>
          <w:szCs w:val="14"/>
          <w:u w:val="single" w:color="auto"/>
          <w:color w:val="auto"/>
        </w:rPr>
        <w:t>6.07</w:t>
      </w:r>
      <w:r>
        <w:rPr>
          <w:rFonts w:ascii="Arial" w:cs="Arial" w:eastAsia="Arial" w:hAnsi="Arial"/>
          <w:sz w:val="14"/>
          <w:szCs w:val="14"/>
          <w:color w:val="auto"/>
        </w:rPr>
        <w:t xml:space="preserve"> and (iv) stating whether any change in GAAP as applied by (or in the application of GAAP by) the Borrower has occurred since the Effective Date and, if any such change has occurred, specifying the effect as determined by the Borrower of such change on the financial statements accompanying such certificate;</w:t>
      </w:r>
    </w:p>
    <w:p>
      <w:pPr>
        <w:spacing w:after="0" w:line="182" w:lineRule="exact"/>
        <w:rPr>
          <w:rFonts w:ascii="Arial" w:cs="Arial" w:eastAsia="Arial" w:hAnsi="Arial"/>
          <w:sz w:val="14"/>
          <w:szCs w:val="14"/>
          <w:color w:val="auto"/>
        </w:rPr>
      </w:pPr>
    </w:p>
    <w:p>
      <w:pPr>
        <w:ind w:right="40" w:firstLine="1735"/>
        <w:spacing w:after="0" w:line="253" w:lineRule="auto"/>
        <w:tabs>
          <w:tab w:leader="none" w:pos="2543" w:val="left"/>
        </w:tabs>
        <w:numPr>
          <w:ilvl w:val="1"/>
          <w:numId w:val="114"/>
        </w:numPr>
        <w:rPr>
          <w:rFonts w:ascii="Arial" w:cs="Arial" w:eastAsia="Arial" w:hAnsi="Arial"/>
          <w:sz w:val="14"/>
          <w:szCs w:val="14"/>
          <w:color w:val="auto"/>
        </w:rPr>
      </w:pPr>
      <w:r>
        <w:rPr>
          <w:rFonts w:ascii="Arial" w:cs="Arial" w:eastAsia="Arial" w:hAnsi="Arial"/>
          <w:sz w:val="14"/>
          <w:szCs w:val="14"/>
          <w:color w:val="auto"/>
        </w:rPr>
        <w:t>as soon as available and in any event not later than 20 days after the end of each monthly accounting period (ending on the last day of each calendar month) of the Borrower and its Subsidiaries, a Borrowing Base Certificate as at the last day of such accounting period;</w:t>
      </w:r>
    </w:p>
    <w:p>
      <w:pPr>
        <w:spacing w:after="0" w:line="173" w:lineRule="exact"/>
        <w:rPr>
          <w:rFonts w:ascii="Arial" w:cs="Arial" w:eastAsia="Arial" w:hAnsi="Arial"/>
          <w:sz w:val="14"/>
          <w:szCs w:val="14"/>
          <w:color w:val="auto"/>
        </w:rPr>
      </w:pPr>
    </w:p>
    <w:p>
      <w:pPr>
        <w:jc w:val="both"/>
        <w:ind w:right="20" w:firstLine="1735"/>
        <w:spacing w:after="0" w:line="233" w:lineRule="auto"/>
        <w:tabs>
          <w:tab w:leader="none" w:pos="2535" w:val="left"/>
        </w:tabs>
        <w:numPr>
          <w:ilvl w:val="1"/>
          <w:numId w:val="114"/>
        </w:numPr>
        <w:rPr>
          <w:rFonts w:ascii="Arial" w:cs="Arial" w:eastAsia="Arial" w:hAnsi="Arial"/>
          <w:sz w:val="14"/>
          <w:szCs w:val="14"/>
          <w:color w:val="auto"/>
        </w:rPr>
      </w:pPr>
      <w:r>
        <w:rPr>
          <w:rFonts w:ascii="Arial" w:cs="Arial" w:eastAsia="Arial" w:hAnsi="Arial"/>
          <w:sz w:val="14"/>
          <w:szCs w:val="14"/>
          <w:color w:val="auto"/>
        </w:rPr>
        <w:t>promptly but no later than five Business Days after any Responsible Officer of the Borrower shall at any time have knowledge that there is a Borrowing Base Deficiency, a Borrowing Base Certificate as at the date such Responsible Officer of the Borrower has knowledge of such Borrowing Base Deficiency indicating the amount of the Borrowing Base Deficiency as at the date such Responsible Officer obtained knowledge of such deficiency and the amount of the Borrowing Base Deficiency as of the date not earlier than one Business Day prior to the date the Borrowing Base Certificate is delivered pursuant to this paragraph;</w:t>
      </w:r>
    </w:p>
    <w:p>
      <w:pPr>
        <w:spacing w:after="0" w:line="184" w:lineRule="exact"/>
        <w:rPr>
          <w:rFonts w:ascii="Arial" w:cs="Arial" w:eastAsia="Arial" w:hAnsi="Arial"/>
          <w:sz w:val="14"/>
          <w:szCs w:val="14"/>
          <w:color w:val="auto"/>
        </w:rPr>
      </w:pPr>
    </w:p>
    <w:p>
      <w:pPr>
        <w:jc w:val="both"/>
        <w:ind w:right="20" w:firstLine="1735"/>
        <w:spacing w:after="0" w:line="238" w:lineRule="auto"/>
        <w:tabs>
          <w:tab w:leader="none" w:pos="2519" w:val="left"/>
        </w:tabs>
        <w:numPr>
          <w:ilvl w:val="1"/>
          <w:numId w:val="114"/>
        </w:numPr>
        <w:rPr>
          <w:rFonts w:ascii="Arial" w:cs="Arial" w:eastAsia="Arial" w:hAnsi="Arial"/>
          <w:sz w:val="14"/>
          <w:szCs w:val="14"/>
          <w:color w:val="auto"/>
        </w:rPr>
      </w:pPr>
      <w:r>
        <w:rPr>
          <w:rFonts w:ascii="Arial" w:cs="Arial" w:eastAsia="Arial" w:hAnsi="Arial"/>
          <w:sz w:val="14"/>
          <w:szCs w:val="14"/>
          <w:color w:val="auto"/>
        </w:rPr>
        <w:t>promptly upon receipt thereof copies of all significant reports submitted by the Borrower’s independent public accountants in connection with each annual, interim or special audit or review of any type of the financial statements or related internal control systems of the Borrower or any of its Subsidiaries delivered by such accountants to the management or board of directors of the Borrower;</w:t>
      </w:r>
    </w:p>
    <w:p>
      <w:pPr>
        <w:spacing w:after="0" w:line="200" w:lineRule="exact"/>
        <w:rPr>
          <w:sz w:val="20"/>
          <w:szCs w:val="20"/>
          <w:color w:val="auto"/>
        </w:rPr>
      </w:pPr>
    </w:p>
    <w:p>
      <w:pPr>
        <w:spacing w:after="0" w:line="200" w:lineRule="exact"/>
        <w:rPr>
          <w:sz w:val="20"/>
          <w:szCs w:val="20"/>
          <w:color w:val="auto"/>
        </w:rPr>
      </w:pPr>
    </w:p>
    <w:p>
      <w:pPr>
        <w:spacing w:after="0" w:line="20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7580" w:type="dxa"/>
            <w:vAlign w:val="bottom"/>
          </w:tcPr>
          <w:p>
            <w:pPr>
              <w:jc w:val="right"/>
              <w:ind w:right="1808"/>
              <w:spacing w:after="0"/>
              <w:rPr>
                <w:sz w:val="20"/>
                <w:szCs w:val="20"/>
                <w:color w:val="auto"/>
              </w:rPr>
            </w:pPr>
            <w:r>
              <w:rPr>
                <w:rFonts w:ascii="Arial" w:cs="Arial" w:eastAsia="Arial" w:hAnsi="Arial"/>
                <w:sz w:val="14"/>
                <w:szCs w:val="14"/>
                <w:color w:val="auto"/>
              </w:rPr>
              <w:t>42</w:t>
            </w:r>
          </w:p>
        </w:tc>
        <w:tc>
          <w:tcPr>
            <w:tcW w:w="3680" w:type="dxa"/>
            <w:vAlign w:val="bottom"/>
          </w:tcPr>
          <w:p>
            <w:pPr>
              <w:jc w:val="right"/>
              <w:spacing w:after="0"/>
              <w:rPr>
                <w:sz w:val="20"/>
                <w:szCs w:val="20"/>
                <w:color w:val="auto"/>
              </w:rPr>
            </w:pPr>
            <w:r>
              <w:rPr>
                <w:rFonts w:ascii="Arial" w:cs="Arial" w:eastAsia="Arial" w:hAnsi="Arial"/>
                <w:sz w:val="14"/>
                <w:szCs w:val="14"/>
                <w:i w:val="1"/>
                <w:iCs w:val="1"/>
                <w:color w:val="auto"/>
              </w:rPr>
              <w:t>Second Amended and Restated</w:t>
            </w:r>
          </w:p>
        </w:tc>
      </w:tr>
      <w:tr>
        <w:trPr>
          <w:trHeight w:val="182"/>
        </w:trPr>
        <w:tc>
          <w:tcPr>
            <w:tcW w:w="7580" w:type="dxa"/>
            <w:vAlign w:val="bottom"/>
          </w:tcPr>
          <w:p>
            <w:pPr>
              <w:spacing w:after="0"/>
              <w:rPr>
                <w:sz w:val="15"/>
                <w:szCs w:val="15"/>
                <w:color w:val="auto"/>
              </w:rPr>
            </w:pPr>
          </w:p>
        </w:tc>
        <w:tc>
          <w:tcPr>
            <w:tcW w:w="3680" w:type="dxa"/>
            <w:vAlign w:val="bottom"/>
          </w:tcPr>
          <w:p>
            <w:pPr>
              <w:jc w:val="right"/>
              <w:spacing w:after="0"/>
              <w:rPr>
                <w:sz w:val="20"/>
                <w:szCs w:val="20"/>
                <w:color w:val="auto"/>
              </w:rPr>
            </w:pPr>
            <w:r>
              <w:rPr>
                <w:rFonts w:ascii="Arial" w:cs="Arial" w:eastAsia="Arial" w:hAnsi="Arial"/>
                <w:sz w:val="14"/>
                <w:szCs w:val="14"/>
                <w:i w:val="1"/>
                <w:iCs w:val="1"/>
                <w:color w:val="auto"/>
              </w:rPr>
              <w:t>Revolving Credit Agreement</w:t>
            </w:r>
          </w:p>
        </w:tc>
      </w:tr>
      <w:tr>
        <w:trPr>
          <w:trHeight w:val="316"/>
        </w:trPr>
        <w:tc>
          <w:tcPr>
            <w:tcW w:w="7580" w:type="dxa"/>
            <w:vAlign w:val="bottom"/>
            <w:tcBorders>
              <w:bottom w:val="single" w:sz="8" w:color="9A9A9A"/>
            </w:tcBorders>
          </w:tcPr>
          <w:p>
            <w:pPr>
              <w:spacing w:after="0"/>
              <w:rPr>
                <w:sz w:val="24"/>
                <w:szCs w:val="24"/>
                <w:color w:val="auto"/>
              </w:rPr>
            </w:pPr>
          </w:p>
        </w:tc>
        <w:tc>
          <w:tcPr>
            <w:tcW w:w="368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7145655</wp:posOffset>
            </wp:positionH>
            <wp:positionV relativeFrom="paragraph">
              <wp:posOffset>-8255</wp:posOffset>
            </wp:positionV>
            <wp:extent cx="8255" cy="8890"/>
            <wp:wrapNone/>
            <wp:docPr id="189" name="Picture 1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9"/>
                    <pic:cNvPicPr>
                      <a:picLocks noChangeAspect="1" noChangeArrowheads="1"/>
                    </pic:cNvPicPr>
                  </pic:nvPicPr>
                  <pic:blipFill>
                    <a:blip r:embed="rId196">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-16510</wp:posOffset>
            </wp:positionV>
            <wp:extent cx="8890" cy="17145"/>
            <wp:wrapNone/>
            <wp:docPr id="190" name="Picture 1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0"/>
                    <pic:cNvPicPr>
                      <a:picLocks noChangeAspect="1" noChangeArrowheads="1"/>
                    </pic:cNvPicPr>
                  </pic:nvPicPr>
                  <pic:blipFill>
                    <a:blip r:embed="rId197">
                      <a:extLst>
                        <a:ext uri="{28A0092B-C50C-407E-A947-70E740481C1C}"/>
                      </a:extLst>
                    </a:blip>
                    <a:srcRect/>
                    <a:stretch>
                      <a:fillRect/>
                    </a:stretch>
                  </pic:blipFill>
                  <pic:spPr bwMode="auto">
                    <a:xfrm>
                      <a:off x="0" y="0"/>
                      <a:ext cx="8890" cy="17145"/>
                    </a:xfrm>
                    <a:prstGeom prst="rect">
                      <a:avLst/>
                    </a:prstGeom>
                    <a:noFill/>
                  </pic:spPr>
                </pic:pic>
              </a:graphicData>
            </a:graphic>
          </wp:anchor>
        </w:drawing>
      </w:r>
    </w:p>
    <w:p>
      <w:pPr>
        <w:sectPr>
          <w:pgSz w:w="11900" w:h="16838" w:orient="portrait"/>
          <w:cols w:equalWidth="0" w:num="1">
            <w:col w:w="11260"/>
          </w:cols>
          <w:pgMar w:left="320" w:top="337" w:right="319" w:bottom="1440" w:gutter="0" w:footer="0" w:header="0"/>
        </w:sectPr>
      </w:pPr>
    </w:p>
    <w:bookmarkStart w:id="105" w:name="page106"/>
    <w:bookmarkEnd w:id="105"/>
    <w:p>
      <w:pPr>
        <w:jc w:val="both"/>
        <w:ind w:right="20" w:firstLine="1735"/>
        <w:spacing w:after="0" w:line="238" w:lineRule="auto"/>
        <w:tabs>
          <w:tab w:leader="none" w:pos="2543" w:val="left"/>
        </w:tabs>
        <w:numPr>
          <w:ilvl w:val="0"/>
          <w:numId w:val="115"/>
        </w:numPr>
        <w:rPr>
          <w:rFonts w:ascii="Arial" w:cs="Arial" w:eastAsia="Arial" w:hAnsi="Arial"/>
          <w:sz w:val="14"/>
          <w:szCs w:val="14"/>
          <w:color w:val="auto"/>
        </w:rPr>
      </w:pPr>
      <w:r>
        <w:rPr>
          <w:rFonts w:ascii="Arial" w:cs="Arial" w:eastAsia="Arial" w:hAnsi="Arial"/>
          <w:sz w:val="14"/>
          <w:szCs w:val="14"/>
          <w:color w:val="auto"/>
        </w:rPr>
        <w:t>promptly after the same become publicly available, copies of all periodic and other reports, proxy statements and other materials filed by the Borrower or any of its Subsidiaries with the Securities and Exchange Commission, or any Governmental Authority succeeding to any or all of the functions of said Commission, or with any national securities exchange, as the case may be; and</w:t>
      </w:r>
    </w:p>
    <w:p>
      <w:pPr>
        <w:spacing w:after="0" w:line="182" w:lineRule="exact"/>
        <w:rPr>
          <w:rFonts w:ascii="Arial" w:cs="Arial" w:eastAsia="Arial" w:hAnsi="Arial"/>
          <w:sz w:val="14"/>
          <w:szCs w:val="14"/>
          <w:color w:val="auto"/>
        </w:rPr>
      </w:pPr>
    </w:p>
    <w:p>
      <w:pPr>
        <w:ind w:right="20" w:firstLine="1735"/>
        <w:spacing w:after="0" w:line="290" w:lineRule="auto"/>
        <w:tabs>
          <w:tab w:leader="none" w:pos="2543" w:val="left"/>
        </w:tabs>
        <w:numPr>
          <w:ilvl w:val="0"/>
          <w:numId w:val="115"/>
        </w:numPr>
        <w:rPr>
          <w:rFonts w:ascii="Arial" w:cs="Arial" w:eastAsia="Arial" w:hAnsi="Arial"/>
          <w:sz w:val="13"/>
          <w:szCs w:val="13"/>
          <w:color w:val="auto"/>
        </w:rPr>
      </w:pPr>
      <w:r>
        <w:rPr>
          <w:rFonts w:ascii="Arial" w:cs="Arial" w:eastAsia="Arial" w:hAnsi="Arial"/>
          <w:sz w:val="13"/>
          <w:szCs w:val="13"/>
          <w:color w:val="auto"/>
        </w:rPr>
        <w:t>promptly following any request therefor, such other information regarding the operations, business affairs and financial condition of the Borrower or any of its Subsidiaries, or compliance with the terms of this Agreement and the other Loan Documents, as the Administrative Agent or any Lender may reasonably request.</w:t>
      </w:r>
    </w:p>
    <w:p>
      <w:pPr>
        <w:spacing w:after="0" w:line="151" w:lineRule="exact"/>
        <w:rPr>
          <w:rFonts w:ascii="Arial" w:cs="Arial" w:eastAsia="Arial" w:hAnsi="Arial"/>
          <w:sz w:val="13"/>
          <w:szCs w:val="13"/>
          <w:color w:val="auto"/>
        </w:rPr>
      </w:pPr>
    </w:p>
    <w:p>
      <w:pPr>
        <w:jc w:val="both"/>
        <w:ind w:right="20" w:firstLine="1735"/>
        <w:spacing w:after="0" w:line="228" w:lineRule="auto"/>
        <w:tabs>
          <w:tab w:leader="none" w:pos="2511" w:val="left"/>
        </w:tabs>
        <w:numPr>
          <w:ilvl w:val="0"/>
          <w:numId w:val="115"/>
        </w:numPr>
        <w:rPr>
          <w:rFonts w:ascii="Arial" w:cs="Arial" w:eastAsia="Arial" w:hAnsi="Arial"/>
          <w:sz w:val="14"/>
          <w:szCs w:val="14"/>
          <w:color w:val="auto"/>
        </w:rPr>
      </w:pPr>
      <w:r>
        <w:rPr>
          <w:rFonts w:ascii="Arial" w:cs="Arial" w:eastAsia="Arial" w:hAnsi="Arial"/>
          <w:sz w:val="14"/>
          <w:szCs w:val="14"/>
          <w:color w:val="auto"/>
        </w:rPr>
        <w:t xml:space="preserve">Borrower and each Lender acknowledge that certain of the Lenders may be Public Lenders and, if documents or notices required to be delivered pursuant to this </w:t>
      </w:r>
      <w:r>
        <w:rPr>
          <w:rFonts w:ascii="Arial" w:cs="Arial" w:eastAsia="Arial" w:hAnsi="Arial"/>
          <w:sz w:val="14"/>
          <w:szCs w:val="14"/>
          <w:u w:val="single" w:color="auto"/>
          <w:color w:val="auto"/>
        </w:rPr>
        <w:t>Section 5.01</w:t>
      </w:r>
      <w:r>
        <w:rPr>
          <w:rFonts w:ascii="Arial" w:cs="Arial" w:eastAsia="Arial" w:hAnsi="Arial"/>
          <w:sz w:val="14"/>
          <w:szCs w:val="14"/>
          <w:color w:val="auto"/>
        </w:rPr>
        <w:t xml:space="preserve"> or otherwise are being distributed through IntraLinks™/IntraAgency, SyndTrak or another relevant website or other information platform (the “Platform”), any document or notice that Borrower has indicated contains Non-Public Information shall not be posted by Administrative Agent on that portion of the Platform designated for such Public Lenders. Borrower agrees to clearly designate all information provided to Administrative Agent by or on behalf of Borrower or any of its Subsidiaries which is suitable to make available to Public Lenders. If Borrower has not indicated whether a document or notice delivered pursuant to this </w:t>
      </w:r>
      <w:r>
        <w:rPr>
          <w:rFonts w:ascii="Arial" w:cs="Arial" w:eastAsia="Arial" w:hAnsi="Arial"/>
          <w:sz w:val="14"/>
          <w:szCs w:val="14"/>
          <w:u w:val="single" w:color="auto"/>
          <w:color w:val="auto"/>
        </w:rPr>
        <w:t>Section 5.01</w:t>
      </w:r>
      <w:r>
        <w:rPr>
          <w:rFonts w:ascii="Arial" w:cs="Arial" w:eastAsia="Arial" w:hAnsi="Arial"/>
          <w:sz w:val="14"/>
          <w:szCs w:val="14"/>
          <w:color w:val="auto"/>
        </w:rPr>
        <w:t xml:space="preserve"> contains Non-Public Information, the Administrative Agent reserves the right to post such document or notice solely on that portion of the Platform designated for Lenders who wish to receive material Non-Public Information with respect to Borrower, its Subsidiaries and their Securities (as such term is defined in </w:t>
      </w:r>
      <w:r>
        <w:rPr>
          <w:rFonts w:ascii="Arial" w:cs="Arial" w:eastAsia="Arial" w:hAnsi="Arial"/>
          <w:sz w:val="14"/>
          <w:szCs w:val="14"/>
          <w:u w:val="single" w:color="auto"/>
          <w:color w:val="auto"/>
        </w:rPr>
        <w:t>Section 5.13</w:t>
      </w:r>
      <w:r>
        <w:rPr>
          <w:rFonts w:ascii="Arial" w:cs="Arial" w:eastAsia="Arial" w:hAnsi="Arial"/>
          <w:sz w:val="14"/>
          <w:szCs w:val="14"/>
          <w:color w:val="auto"/>
        </w:rPr>
        <w:t xml:space="preserve"> of this Agreement).</w:t>
      </w:r>
    </w:p>
    <w:p>
      <w:pPr>
        <w:spacing w:after="0" w:line="184" w:lineRule="exact"/>
        <w:rPr>
          <w:rFonts w:ascii="Arial" w:cs="Arial" w:eastAsia="Arial" w:hAnsi="Arial"/>
          <w:sz w:val="14"/>
          <w:szCs w:val="14"/>
          <w:color w:val="auto"/>
        </w:rPr>
      </w:pPr>
    </w:p>
    <w:p>
      <w:pPr>
        <w:jc w:val="both"/>
        <w:ind w:right="20" w:firstLine="1735"/>
        <w:spacing w:after="0" w:line="238" w:lineRule="auto"/>
        <w:tabs>
          <w:tab w:leader="none" w:pos="2511" w:val="left"/>
        </w:tabs>
        <w:numPr>
          <w:ilvl w:val="0"/>
          <w:numId w:val="115"/>
        </w:numPr>
        <w:rPr>
          <w:rFonts w:ascii="Arial" w:cs="Arial" w:eastAsia="Arial" w:hAnsi="Arial"/>
          <w:sz w:val="14"/>
          <w:szCs w:val="14"/>
          <w:color w:val="auto"/>
        </w:rPr>
      </w:pPr>
      <w:r>
        <w:rPr>
          <w:rFonts w:ascii="Arial" w:cs="Arial" w:eastAsia="Arial" w:hAnsi="Arial"/>
          <w:sz w:val="14"/>
          <w:szCs w:val="14"/>
          <w:color w:val="auto"/>
        </w:rPr>
        <w:t xml:space="preserve">Notwithstanding anything to the contrary herein, the requirements to deliver documents set forth in </w:t>
      </w:r>
      <w:r>
        <w:rPr>
          <w:rFonts w:ascii="Arial" w:cs="Arial" w:eastAsia="Arial" w:hAnsi="Arial"/>
          <w:sz w:val="14"/>
          <w:szCs w:val="14"/>
          <w:u w:val="single" w:color="auto"/>
          <w:color w:val="auto"/>
        </w:rPr>
        <w:t>Section 5.01(a)</w:t>
      </w:r>
      <w:r>
        <w:rPr>
          <w:rFonts w:ascii="Arial" w:cs="Arial" w:eastAsia="Arial" w:hAnsi="Arial"/>
          <w:sz w:val="14"/>
          <w:szCs w:val="14"/>
          <w:color w:val="auto"/>
        </w:rPr>
        <w:t xml:space="preserve">, </w:t>
      </w:r>
      <w:r>
        <w:rPr>
          <w:rFonts w:ascii="Arial" w:cs="Arial" w:eastAsia="Arial" w:hAnsi="Arial"/>
          <w:sz w:val="14"/>
          <w:szCs w:val="14"/>
          <w:u w:val="single" w:color="auto"/>
          <w:color w:val="auto"/>
        </w:rPr>
        <w:t>(b)</w:t>
      </w:r>
      <w:r>
        <w:rPr>
          <w:rFonts w:ascii="Arial" w:cs="Arial" w:eastAsia="Arial" w:hAnsi="Arial"/>
          <w:sz w:val="14"/>
          <w:szCs w:val="14"/>
          <w:color w:val="auto"/>
        </w:rPr>
        <w:t xml:space="preserve"> and </w:t>
      </w:r>
      <w:r>
        <w:rPr>
          <w:rFonts w:ascii="Arial" w:cs="Arial" w:eastAsia="Arial" w:hAnsi="Arial"/>
          <w:sz w:val="14"/>
          <w:szCs w:val="14"/>
          <w:u w:val="single" w:color="auto"/>
          <w:color w:val="auto"/>
        </w:rPr>
        <w:t>(g)</w:t>
      </w:r>
      <w:r>
        <w:rPr>
          <w:rFonts w:ascii="Arial" w:cs="Arial" w:eastAsia="Arial" w:hAnsi="Arial"/>
          <w:sz w:val="14"/>
          <w:szCs w:val="14"/>
          <w:color w:val="auto"/>
        </w:rPr>
        <w:t xml:space="preserve"> will be fulfilled by filing by the Borrower of the applicable documents for public availability on the SEC’s Electronic Data Gathering and Retrieval system; provided, that the Borrower shall notify the Administrative Agent (by telecopier or electronic mail) of the posting of any such documents.</w:t>
      </w:r>
    </w:p>
    <w:p>
      <w:pPr>
        <w:spacing w:after="0" w:line="183" w:lineRule="exact"/>
        <w:rPr>
          <w:sz w:val="20"/>
          <w:szCs w:val="20"/>
          <w:color w:val="auto"/>
        </w:rPr>
      </w:pPr>
    </w:p>
    <w:p>
      <w:pPr>
        <w:ind w:right="20" w:firstLine="1727"/>
        <w:spacing w:after="0" w:line="253" w:lineRule="auto"/>
        <w:rPr>
          <w:sz w:val="20"/>
          <w:szCs w:val="20"/>
          <w:color w:val="auto"/>
        </w:rPr>
      </w:pPr>
      <w:r>
        <w:rPr>
          <w:rFonts w:ascii="Arial" w:cs="Arial" w:eastAsia="Arial" w:hAnsi="Arial"/>
          <w:sz w:val="14"/>
          <w:szCs w:val="14"/>
          <w:color w:val="auto"/>
        </w:rPr>
        <w:t xml:space="preserve">SECTION 5.02. </w:t>
      </w:r>
      <w:r>
        <w:rPr>
          <w:rFonts w:ascii="Arial" w:cs="Arial" w:eastAsia="Arial" w:hAnsi="Arial"/>
          <w:sz w:val="14"/>
          <w:szCs w:val="14"/>
          <w:u w:val="single" w:color="auto"/>
          <w:color w:val="auto"/>
        </w:rPr>
        <w:t>Notices of Material Events</w:t>
      </w:r>
      <w:r>
        <w:rPr>
          <w:rFonts w:ascii="Arial" w:cs="Arial" w:eastAsia="Arial" w:hAnsi="Arial"/>
          <w:sz w:val="14"/>
          <w:szCs w:val="14"/>
          <w:color w:val="auto"/>
        </w:rPr>
        <w:t>. The Borrower will furnish to the Administrative Agent and each Lender prompt written notice upon any Responsible Officer obtaining actual knowledge of the following:</w:t>
      </w:r>
    </w:p>
    <w:p>
      <w:pPr>
        <w:spacing w:after="0" w:line="174" w:lineRule="exact"/>
        <w:rPr>
          <w:sz w:val="20"/>
          <w:szCs w:val="20"/>
          <w:color w:val="auto"/>
        </w:rPr>
      </w:pPr>
    </w:p>
    <w:p>
      <w:pPr>
        <w:ind w:left="2540" w:hanging="805"/>
        <w:spacing w:after="0"/>
        <w:tabs>
          <w:tab w:leader="none" w:pos="2540" w:val="left"/>
        </w:tabs>
        <w:numPr>
          <w:ilvl w:val="0"/>
          <w:numId w:val="116"/>
        </w:numPr>
        <w:rPr>
          <w:rFonts w:ascii="Arial" w:cs="Arial" w:eastAsia="Arial" w:hAnsi="Arial"/>
          <w:sz w:val="14"/>
          <w:szCs w:val="14"/>
          <w:color w:val="auto"/>
        </w:rPr>
      </w:pPr>
      <w:r>
        <w:rPr>
          <w:rFonts w:ascii="Arial" w:cs="Arial" w:eastAsia="Arial" w:hAnsi="Arial"/>
          <w:sz w:val="14"/>
          <w:szCs w:val="14"/>
          <w:color w:val="auto"/>
        </w:rPr>
        <w:t>the occurrence of any Default;</w:t>
      </w:r>
    </w:p>
    <w:p>
      <w:pPr>
        <w:spacing w:after="0" w:line="203" w:lineRule="exact"/>
        <w:rPr>
          <w:rFonts w:ascii="Arial" w:cs="Arial" w:eastAsia="Arial" w:hAnsi="Arial"/>
          <w:sz w:val="14"/>
          <w:szCs w:val="14"/>
          <w:color w:val="auto"/>
        </w:rPr>
      </w:pPr>
    </w:p>
    <w:p>
      <w:pPr>
        <w:ind w:right="20" w:firstLine="1735"/>
        <w:spacing w:after="0" w:line="253" w:lineRule="auto"/>
        <w:tabs>
          <w:tab w:leader="none" w:pos="2543" w:val="left"/>
        </w:tabs>
        <w:numPr>
          <w:ilvl w:val="0"/>
          <w:numId w:val="116"/>
        </w:numPr>
        <w:rPr>
          <w:rFonts w:ascii="Arial" w:cs="Arial" w:eastAsia="Arial" w:hAnsi="Arial"/>
          <w:sz w:val="14"/>
          <w:szCs w:val="14"/>
          <w:color w:val="auto"/>
        </w:rPr>
      </w:pPr>
      <w:r>
        <w:rPr>
          <w:rFonts w:ascii="Arial" w:cs="Arial" w:eastAsia="Arial" w:hAnsi="Arial"/>
          <w:sz w:val="14"/>
          <w:szCs w:val="14"/>
          <w:color w:val="auto"/>
        </w:rPr>
        <w:t>the filing or commencement of any action, suit or proceeding by or before any arbitrator or Governmental Authority against or affecting the Borrower or any of its Affiliates that, if adversely determined, could reasonably be expected to result in a Material Adverse Effect;</w:t>
      </w:r>
    </w:p>
    <w:p>
      <w:pPr>
        <w:spacing w:after="0" w:line="173" w:lineRule="exact"/>
        <w:rPr>
          <w:rFonts w:ascii="Arial" w:cs="Arial" w:eastAsia="Arial" w:hAnsi="Arial"/>
          <w:sz w:val="14"/>
          <w:szCs w:val="14"/>
          <w:color w:val="auto"/>
        </w:rPr>
      </w:pPr>
    </w:p>
    <w:p>
      <w:pPr>
        <w:ind w:right="20" w:firstLine="1735"/>
        <w:spacing w:after="0" w:line="253" w:lineRule="auto"/>
        <w:tabs>
          <w:tab w:leader="none" w:pos="2535" w:val="left"/>
        </w:tabs>
        <w:numPr>
          <w:ilvl w:val="0"/>
          <w:numId w:val="116"/>
        </w:numPr>
        <w:rPr>
          <w:rFonts w:ascii="Arial" w:cs="Arial" w:eastAsia="Arial" w:hAnsi="Arial"/>
          <w:sz w:val="14"/>
          <w:szCs w:val="14"/>
          <w:color w:val="auto"/>
        </w:rPr>
      </w:pPr>
      <w:r>
        <w:rPr>
          <w:rFonts w:ascii="Arial" w:cs="Arial" w:eastAsia="Arial" w:hAnsi="Arial"/>
          <w:sz w:val="14"/>
          <w:szCs w:val="14"/>
          <w:color w:val="auto"/>
        </w:rPr>
        <w:t>the occurrence of any ERISA Event that, alone or together with any other ERISA Events that have occurred after the First Amendment Effective Date, could reasonably be expected to result in liability of the Borrower and its Subsidiaries in an aggregate amount exceeding $7,500,000; and</w:t>
      </w:r>
    </w:p>
    <w:p>
      <w:pPr>
        <w:spacing w:after="0" w:line="173" w:lineRule="exact"/>
        <w:rPr>
          <w:rFonts w:ascii="Arial" w:cs="Arial" w:eastAsia="Arial" w:hAnsi="Arial"/>
          <w:sz w:val="14"/>
          <w:szCs w:val="14"/>
          <w:color w:val="auto"/>
        </w:rPr>
      </w:pPr>
    </w:p>
    <w:p>
      <w:pPr>
        <w:ind w:right="40" w:firstLine="1735"/>
        <w:spacing w:after="0" w:line="253" w:lineRule="auto"/>
        <w:tabs>
          <w:tab w:leader="none" w:pos="2543" w:val="left"/>
        </w:tabs>
        <w:numPr>
          <w:ilvl w:val="0"/>
          <w:numId w:val="116"/>
        </w:numPr>
        <w:rPr>
          <w:rFonts w:ascii="Arial" w:cs="Arial" w:eastAsia="Arial" w:hAnsi="Arial"/>
          <w:sz w:val="14"/>
          <w:szCs w:val="14"/>
          <w:color w:val="auto"/>
        </w:rPr>
      </w:pPr>
      <w:r>
        <w:rPr>
          <w:rFonts w:ascii="Arial" w:cs="Arial" w:eastAsia="Arial" w:hAnsi="Arial"/>
          <w:sz w:val="14"/>
          <w:szCs w:val="14"/>
          <w:color w:val="auto"/>
        </w:rPr>
        <w:t>any other development (excluding matters of a general economic, financial or political nature to the extent that they could not reasonably be expected to have a disproportionate effect on the Borrower) that results in, or could reasonably be expected to result in, a Material Adverse Effect.</w:t>
      </w:r>
    </w:p>
    <w:p>
      <w:pPr>
        <w:spacing w:after="0" w:line="174" w:lineRule="exact"/>
        <w:rPr>
          <w:sz w:val="20"/>
          <w:szCs w:val="20"/>
          <w:color w:val="auto"/>
        </w:rPr>
      </w:pPr>
    </w:p>
    <w:p>
      <w:pPr>
        <w:jc w:val="both"/>
        <w:ind w:right="20" w:firstLine="1727"/>
        <w:spacing w:after="0" w:line="253" w:lineRule="auto"/>
        <w:rPr>
          <w:sz w:val="20"/>
          <w:szCs w:val="20"/>
          <w:color w:val="auto"/>
        </w:rPr>
      </w:pPr>
      <w:r>
        <w:rPr>
          <w:rFonts w:ascii="Arial" w:cs="Arial" w:eastAsia="Arial" w:hAnsi="Arial"/>
          <w:sz w:val="14"/>
          <w:szCs w:val="14"/>
          <w:color w:val="auto"/>
        </w:rPr>
        <w:t>Each notice delivered under this Section shall be accompanied by a statement of a Financial Officer or other executive officer of the Borrower setting forth the details of the event or development requiring such notice and any action taken or proposed to be taken with respect thereto.</w:t>
      </w:r>
    </w:p>
    <w:p>
      <w:pPr>
        <w:spacing w:after="0" w:line="174" w:lineRule="exact"/>
        <w:rPr>
          <w:sz w:val="20"/>
          <w:szCs w:val="20"/>
          <w:color w:val="auto"/>
        </w:rPr>
      </w:pPr>
    </w:p>
    <w:p>
      <w:pPr>
        <w:jc w:val="both"/>
        <w:ind w:right="20" w:firstLine="1727"/>
        <w:spacing w:after="0" w:line="238" w:lineRule="auto"/>
        <w:rPr>
          <w:sz w:val="20"/>
          <w:szCs w:val="20"/>
          <w:color w:val="auto"/>
        </w:rPr>
      </w:pPr>
      <w:r>
        <w:rPr>
          <w:rFonts w:ascii="Arial" w:cs="Arial" w:eastAsia="Arial" w:hAnsi="Arial"/>
          <w:sz w:val="14"/>
          <w:szCs w:val="14"/>
          <w:color w:val="auto"/>
        </w:rPr>
        <w:t xml:space="preserve">SECTION 5.03. </w:t>
      </w:r>
      <w:r>
        <w:rPr>
          <w:rFonts w:ascii="Arial" w:cs="Arial" w:eastAsia="Arial" w:hAnsi="Arial"/>
          <w:sz w:val="14"/>
          <w:szCs w:val="14"/>
          <w:u w:val="single" w:color="auto"/>
          <w:color w:val="auto"/>
        </w:rPr>
        <w:t>Existence; Conduct of Business</w:t>
      </w:r>
      <w:r>
        <w:rPr>
          <w:rFonts w:ascii="Arial" w:cs="Arial" w:eastAsia="Arial" w:hAnsi="Arial"/>
          <w:sz w:val="14"/>
          <w:szCs w:val="14"/>
          <w:color w:val="auto"/>
        </w:rPr>
        <w:t xml:space="preserve">. The Borrower will, and will cause each of its Subsidiaries (other than Immaterial Subsidiaries) to, do or cause to be done all things necessary to preserve, renew and keep in full force and effect its legal existence and the rights, licenses, permits, privileges and franchises material to the conduct of its business; </w:t>
      </w:r>
      <w:r>
        <w:rPr>
          <w:rFonts w:ascii="Arial" w:cs="Arial" w:eastAsia="Arial" w:hAnsi="Arial"/>
          <w:sz w:val="14"/>
          <w:szCs w:val="14"/>
          <w:u w:val="single" w:color="auto"/>
          <w:color w:val="auto"/>
        </w:rPr>
        <w:t>provided</w:t>
      </w:r>
      <w:r>
        <w:rPr>
          <w:rFonts w:ascii="Arial" w:cs="Arial" w:eastAsia="Arial" w:hAnsi="Arial"/>
          <w:sz w:val="14"/>
          <w:szCs w:val="14"/>
          <w:color w:val="auto"/>
        </w:rPr>
        <w:t xml:space="preserve"> that the foregoing shall not prohibit any merger, consolidation, liquidation or dissolution permitted under </w:t>
      </w:r>
      <w:r>
        <w:rPr>
          <w:rFonts w:ascii="Arial" w:cs="Arial" w:eastAsia="Arial" w:hAnsi="Arial"/>
          <w:sz w:val="14"/>
          <w:szCs w:val="14"/>
          <w:u w:val="single" w:color="auto"/>
          <w:color w:val="auto"/>
        </w:rPr>
        <w:t>Section 6.03</w:t>
      </w:r>
      <w:r>
        <w:rPr>
          <w:rFonts w:ascii="Arial" w:cs="Arial" w:eastAsia="Arial" w:hAnsi="Arial"/>
          <w:sz w:val="14"/>
          <w:szCs w:val="14"/>
          <w:color w:val="auto"/>
        </w:rPr>
        <w:t>.</w:t>
      </w:r>
    </w:p>
    <w:p>
      <w:pPr>
        <w:spacing w:after="0" w:line="183" w:lineRule="exact"/>
        <w:rPr>
          <w:sz w:val="20"/>
          <w:szCs w:val="20"/>
          <w:color w:val="auto"/>
        </w:rPr>
      </w:pPr>
    </w:p>
    <w:p>
      <w:pPr>
        <w:jc w:val="both"/>
        <w:ind w:right="20" w:firstLine="1727"/>
        <w:spacing w:after="0" w:line="255" w:lineRule="auto"/>
        <w:rPr>
          <w:sz w:val="20"/>
          <w:szCs w:val="20"/>
          <w:color w:val="auto"/>
        </w:rPr>
      </w:pPr>
      <w:r>
        <w:rPr>
          <w:rFonts w:ascii="Arial" w:cs="Arial" w:eastAsia="Arial" w:hAnsi="Arial"/>
          <w:sz w:val="13"/>
          <w:szCs w:val="13"/>
          <w:color w:val="auto"/>
        </w:rPr>
        <w:t xml:space="preserve">SECTION 5.04. </w:t>
      </w:r>
      <w:r>
        <w:rPr>
          <w:rFonts w:ascii="Arial" w:cs="Arial" w:eastAsia="Arial" w:hAnsi="Arial"/>
          <w:sz w:val="13"/>
          <w:szCs w:val="13"/>
          <w:u w:val="single" w:color="auto"/>
          <w:color w:val="auto"/>
        </w:rPr>
        <w:t>Payment of Obligations</w:t>
      </w:r>
      <w:r>
        <w:rPr>
          <w:rFonts w:ascii="Arial" w:cs="Arial" w:eastAsia="Arial" w:hAnsi="Arial"/>
          <w:sz w:val="13"/>
          <w:szCs w:val="13"/>
          <w:color w:val="auto"/>
        </w:rPr>
        <w:t>. The Borrower will, and will cause each of its Subsidiaries to, pay its obligations, including income Tax and other material Tax liabilities and material contractual obligations, that, if not paid, could reasonably be expected to result in a Material Adverse Effect before the same shall become delinquent or in default, except where (a) the validity or amount thereof is being contested in good faith by appropriate proceedings, (b) the Borrower or such Subsidiary has set aside on its books adequate reserves with respect thereto in accordance with GAAP and (c) the failure to make payment pending such contest could not reasonably be expected to result in a Material Adverse Effect.</w:t>
      </w:r>
    </w:p>
    <w:p>
      <w:pPr>
        <w:spacing w:after="0" w:line="175" w:lineRule="exact"/>
        <w:rPr>
          <w:sz w:val="20"/>
          <w:szCs w:val="20"/>
          <w:color w:val="auto"/>
        </w:rPr>
      </w:pPr>
    </w:p>
    <w:p>
      <w:pPr>
        <w:jc w:val="both"/>
        <w:ind w:right="20" w:firstLine="1727"/>
        <w:spacing w:after="0" w:line="233" w:lineRule="auto"/>
        <w:rPr>
          <w:sz w:val="20"/>
          <w:szCs w:val="20"/>
          <w:color w:val="auto"/>
        </w:rPr>
      </w:pPr>
      <w:r>
        <w:rPr>
          <w:rFonts w:ascii="Arial" w:cs="Arial" w:eastAsia="Arial" w:hAnsi="Arial"/>
          <w:sz w:val="14"/>
          <w:szCs w:val="14"/>
          <w:color w:val="auto"/>
        </w:rPr>
        <w:t xml:space="preserve">SECTION 5.05. </w:t>
      </w:r>
      <w:r>
        <w:rPr>
          <w:rFonts w:ascii="Arial" w:cs="Arial" w:eastAsia="Arial" w:hAnsi="Arial"/>
          <w:sz w:val="14"/>
          <w:szCs w:val="14"/>
          <w:u w:val="single" w:color="auto"/>
          <w:color w:val="auto"/>
        </w:rPr>
        <w:t>Maintenance of Properties; Insurance</w:t>
      </w:r>
      <w:r>
        <w:rPr>
          <w:rFonts w:ascii="Arial" w:cs="Arial" w:eastAsia="Arial" w:hAnsi="Arial"/>
          <w:sz w:val="14"/>
          <w:szCs w:val="14"/>
          <w:color w:val="auto"/>
        </w:rPr>
        <w:t>. The Borrower will, and will cause each of its Subsidiaries (other than Immaterial Subsidiaries) to, (a) keep and maintain all property material to the conduct of its business in good working order and condition, ordinary wear and tear excepted, and (b) maintain, with financially sound and reputable insurance companies, insurance in such amounts and against such risks as are customarily maintained by companies engaged in the same or similar businesses operating in the same or similar locations.</w:t>
      </w:r>
    </w:p>
    <w:p>
      <w:pPr>
        <w:spacing w:after="0" w:line="200" w:lineRule="exact"/>
        <w:rPr>
          <w:sz w:val="20"/>
          <w:szCs w:val="20"/>
          <w:color w:val="auto"/>
        </w:rPr>
      </w:pPr>
    </w:p>
    <w:p>
      <w:pPr>
        <w:spacing w:after="0" w:line="200" w:lineRule="exact"/>
        <w:rPr>
          <w:sz w:val="20"/>
          <w:szCs w:val="20"/>
          <w:color w:val="auto"/>
        </w:rPr>
      </w:pPr>
    </w:p>
    <w:p>
      <w:pPr>
        <w:spacing w:after="0" w:line="20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7580" w:type="dxa"/>
            <w:vAlign w:val="bottom"/>
          </w:tcPr>
          <w:p>
            <w:pPr>
              <w:jc w:val="right"/>
              <w:ind w:right="1808"/>
              <w:spacing w:after="0"/>
              <w:rPr>
                <w:sz w:val="20"/>
                <w:szCs w:val="20"/>
                <w:color w:val="auto"/>
              </w:rPr>
            </w:pPr>
            <w:r>
              <w:rPr>
                <w:rFonts w:ascii="Arial" w:cs="Arial" w:eastAsia="Arial" w:hAnsi="Arial"/>
                <w:sz w:val="14"/>
                <w:szCs w:val="14"/>
                <w:color w:val="auto"/>
              </w:rPr>
              <w:t>43</w:t>
            </w:r>
          </w:p>
        </w:tc>
        <w:tc>
          <w:tcPr>
            <w:tcW w:w="3680" w:type="dxa"/>
            <w:vAlign w:val="bottom"/>
          </w:tcPr>
          <w:p>
            <w:pPr>
              <w:jc w:val="right"/>
              <w:spacing w:after="0"/>
              <w:rPr>
                <w:sz w:val="20"/>
                <w:szCs w:val="20"/>
                <w:color w:val="auto"/>
              </w:rPr>
            </w:pPr>
            <w:r>
              <w:rPr>
                <w:rFonts w:ascii="Arial" w:cs="Arial" w:eastAsia="Arial" w:hAnsi="Arial"/>
                <w:sz w:val="14"/>
                <w:szCs w:val="14"/>
                <w:i w:val="1"/>
                <w:iCs w:val="1"/>
                <w:color w:val="auto"/>
              </w:rPr>
              <w:t>Second Amended and Restated</w:t>
            </w:r>
          </w:p>
        </w:tc>
      </w:tr>
      <w:tr>
        <w:trPr>
          <w:trHeight w:val="182"/>
        </w:trPr>
        <w:tc>
          <w:tcPr>
            <w:tcW w:w="7580" w:type="dxa"/>
            <w:vAlign w:val="bottom"/>
          </w:tcPr>
          <w:p>
            <w:pPr>
              <w:spacing w:after="0"/>
              <w:rPr>
                <w:sz w:val="15"/>
                <w:szCs w:val="15"/>
                <w:color w:val="auto"/>
              </w:rPr>
            </w:pPr>
          </w:p>
        </w:tc>
        <w:tc>
          <w:tcPr>
            <w:tcW w:w="3680" w:type="dxa"/>
            <w:vAlign w:val="bottom"/>
          </w:tcPr>
          <w:p>
            <w:pPr>
              <w:jc w:val="right"/>
              <w:spacing w:after="0"/>
              <w:rPr>
                <w:sz w:val="20"/>
                <w:szCs w:val="20"/>
                <w:color w:val="auto"/>
              </w:rPr>
            </w:pPr>
            <w:r>
              <w:rPr>
                <w:rFonts w:ascii="Arial" w:cs="Arial" w:eastAsia="Arial" w:hAnsi="Arial"/>
                <w:sz w:val="14"/>
                <w:szCs w:val="14"/>
                <w:i w:val="1"/>
                <w:iCs w:val="1"/>
                <w:color w:val="auto"/>
              </w:rPr>
              <w:t>Revolving Credit Agreement</w:t>
            </w:r>
          </w:p>
        </w:tc>
      </w:tr>
      <w:tr>
        <w:trPr>
          <w:trHeight w:val="316"/>
        </w:trPr>
        <w:tc>
          <w:tcPr>
            <w:tcW w:w="7580" w:type="dxa"/>
            <w:vAlign w:val="bottom"/>
            <w:tcBorders>
              <w:bottom w:val="single" w:sz="8" w:color="9A9A9A"/>
            </w:tcBorders>
          </w:tcPr>
          <w:p>
            <w:pPr>
              <w:spacing w:after="0"/>
              <w:rPr>
                <w:sz w:val="24"/>
                <w:szCs w:val="24"/>
                <w:color w:val="auto"/>
              </w:rPr>
            </w:pPr>
          </w:p>
        </w:tc>
        <w:tc>
          <w:tcPr>
            <w:tcW w:w="368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7145655</wp:posOffset>
            </wp:positionH>
            <wp:positionV relativeFrom="paragraph">
              <wp:posOffset>-7620</wp:posOffset>
            </wp:positionV>
            <wp:extent cx="8255" cy="8255"/>
            <wp:wrapNone/>
            <wp:docPr id="191" name="Picture 1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1"/>
                    <pic:cNvPicPr>
                      <a:picLocks noChangeAspect="1" noChangeArrowheads="1"/>
                    </pic:cNvPicPr>
                  </pic:nvPicPr>
                  <pic:blipFill>
                    <a:blip r:embed="rId198">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-16510</wp:posOffset>
            </wp:positionV>
            <wp:extent cx="8890" cy="17145"/>
            <wp:wrapNone/>
            <wp:docPr id="192" name="Picture 1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2"/>
                    <pic:cNvPicPr>
                      <a:picLocks noChangeAspect="1" noChangeArrowheads="1"/>
                    </pic:cNvPicPr>
                  </pic:nvPicPr>
                  <pic:blipFill>
                    <a:blip r:embed="rId199">
                      <a:extLst>
                        <a:ext uri="{28A0092B-C50C-407E-A947-70E740481C1C}"/>
                      </a:extLst>
                    </a:blip>
                    <a:srcRect/>
                    <a:stretch>
                      <a:fillRect/>
                    </a:stretch>
                  </pic:blipFill>
                  <pic:spPr bwMode="auto">
                    <a:xfrm>
                      <a:off x="0" y="0"/>
                      <a:ext cx="8890" cy="17145"/>
                    </a:xfrm>
                    <a:prstGeom prst="rect">
                      <a:avLst/>
                    </a:prstGeom>
                    <a:noFill/>
                  </pic:spPr>
                </pic:pic>
              </a:graphicData>
            </a:graphic>
          </wp:anchor>
        </w:drawing>
      </w:r>
    </w:p>
    <w:p>
      <w:pPr>
        <w:sectPr>
          <w:pgSz w:w="11900" w:h="16838" w:orient="portrait"/>
          <w:cols w:equalWidth="0" w:num="1">
            <w:col w:w="11260"/>
          </w:cols>
          <w:pgMar w:left="320" w:top="337" w:right="319" w:bottom="1440" w:gutter="0" w:footer="0" w:header="0"/>
        </w:sectPr>
      </w:pPr>
    </w:p>
    <w:bookmarkStart w:id="106" w:name="page107"/>
    <w:bookmarkEnd w:id="106"/>
    <w:p>
      <w:pPr>
        <w:ind w:left="1740"/>
        <w:spacing w:after="0"/>
        <w:rPr>
          <w:sz w:val="20"/>
          <w:szCs w:val="20"/>
          <w:color w:val="auto"/>
        </w:rPr>
      </w:pPr>
      <w:r>
        <w:rPr>
          <w:rFonts w:ascii="Arial" w:cs="Arial" w:eastAsia="Arial" w:hAnsi="Arial"/>
          <w:sz w:val="14"/>
          <w:szCs w:val="14"/>
          <w:color w:val="auto"/>
        </w:rPr>
        <w:t xml:space="preserve">SECTION 5.06. </w:t>
      </w:r>
      <w:r>
        <w:rPr>
          <w:rFonts w:ascii="Arial" w:cs="Arial" w:eastAsia="Arial" w:hAnsi="Arial"/>
          <w:sz w:val="14"/>
          <w:szCs w:val="14"/>
          <w:u w:val="single" w:color="auto"/>
          <w:color w:val="auto"/>
        </w:rPr>
        <w:t>Books and Records; Inspection and Audit Rights</w:t>
      </w:r>
      <w:r>
        <w:rPr>
          <w:rFonts w:ascii="Arial" w:cs="Arial" w:eastAsia="Arial" w:hAnsi="Arial"/>
          <w:sz w:val="14"/>
          <w:szCs w:val="14"/>
          <w:color w:val="auto"/>
        </w:rPr>
        <w:t>.</w:t>
      </w:r>
    </w:p>
    <w:p>
      <w:pPr>
        <w:spacing w:after="0" w:line="204" w:lineRule="exact"/>
        <w:rPr>
          <w:sz w:val="20"/>
          <w:szCs w:val="20"/>
          <w:color w:val="auto"/>
        </w:rPr>
      </w:pPr>
    </w:p>
    <w:p>
      <w:pPr>
        <w:jc w:val="both"/>
        <w:ind w:right="20" w:firstLine="1735"/>
        <w:spacing w:after="0" w:line="229" w:lineRule="auto"/>
        <w:tabs>
          <w:tab w:leader="none" w:pos="2535" w:val="left"/>
        </w:tabs>
        <w:numPr>
          <w:ilvl w:val="0"/>
          <w:numId w:val="117"/>
        </w:numPr>
        <w:rPr>
          <w:rFonts w:ascii="Arial" w:cs="Arial" w:eastAsia="Arial" w:hAnsi="Arial"/>
          <w:sz w:val="14"/>
          <w:szCs w:val="14"/>
          <w:color w:val="auto"/>
        </w:rPr>
      </w:pPr>
      <w:r>
        <w:rPr>
          <w:rFonts w:ascii="Arial" w:cs="Arial" w:eastAsia="Arial" w:hAnsi="Arial"/>
          <w:sz w:val="14"/>
          <w:szCs w:val="14"/>
          <w:u w:val="single" w:color="auto"/>
          <w:color w:val="auto"/>
        </w:rPr>
        <w:t>Books and Records; Inspection Rights</w:t>
      </w:r>
      <w:r>
        <w:rPr>
          <w:rFonts w:ascii="Arial" w:cs="Arial" w:eastAsia="Arial" w:hAnsi="Arial"/>
          <w:sz w:val="14"/>
          <w:szCs w:val="14"/>
          <w:color w:val="auto"/>
        </w:rPr>
        <w:t xml:space="preserve">. The Borrower will, and will cause each of its Subsidiaries to, keep books of record and account in accordance with GAAP. The Borrower will, and will cause each of its Subsidiaries to, permit any representatives designated by the Administrative Agent or any Lender, upon reasonable prior notice, to visit and inspect its properties during business hours, to examine and make extracts from its books and records, and to discuss its affairs, finances and condition with its officers and independent accountants, all at such reasonable times and as often as reasonably requested, in each case, to the extent such inspection or requests for such information are reasonable and such information can be provided or discussed without violation of law, rule, regulation or contract; </w:t>
      </w:r>
      <w:r>
        <w:rPr>
          <w:rFonts w:ascii="Arial" w:cs="Arial" w:eastAsia="Arial" w:hAnsi="Arial"/>
          <w:sz w:val="14"/>
          <w:szCs w:val="14"/>
          <w:u w:val="single" w:color="auto"/>
          <w:color w:val="auto"/>
        </w:rPr>
        <w:t>provided</w:t>
      </w:r>
      <w:r>
        <w:rPr>
          <w:rFonts w:ascii="Arial" w:cs="Arial" w:eastAsia="Arial" w:hAnsi="Arial"/>
          <w:sz w:val="14"/>
          <w:szCs w:val="14"/>
          <w:color w:val="auto"/>
        </w:rPr>
        <w:t xml:space="preserve"> that the Borrower or such Subsidiary shall be entitled to have its representatives and advisors present during any inspection of its books and records.</w:t>
      </w:r>
    </w:p>
    <w:p>
      <w:pPr>
        <w:spacing w:after="0" w:line="185" w:lineRule="exact"/>
        <w:rPr>
          <w:rFonts w:ascii="Arial" w:cs="Arial" w:eastAsia="Arial" w:hAnsi="Arial"/>
          <w:sz w:val="14"/>
          <w:szCs w:val="14"/>
          <w:color w:val="auto"/>
        </w:rPr>
      </w:pPr>
    </w:p>
    <w:p>
      <w:pPr>
        <w:jc w:val="both"/>
        <w:ind w:right="20" w:firstLine="1735"/>
        <w:spacing w:after="0" w:line="247" w:lineRule="auto"/>
        <w:tabs>
          <w:tab w:leader="none" w:pos="2543" w:val="left"/>
        </w:tabs>
        <w:numPr>
          <w:ilvl w:val="0"/>
          <w:numId w:val="117"/>
        </w:numPr>
        <w:rPr>
          <w:rFonts w:ascii="Arial" w:cs="Arial" w:eastAsia="Arial" w:hAnsi="Arial"/>
          <w:sz w:val="13"/>
          <w:szCs w:val="13"/>
          <w:color w:val="auto"/>
        </w:rPr>
      </w:pPr>
      <w:r>
        <w:rPr>
          <w:rFonts w:ascii="Arial" w:cs="Arial" w:eastAsia="Arial" w:hAnsi="Arial"/>
          <w:sz w:val="13"/>
          <w:szCs w:val="13"/>
          <w:u w:val="single" w:color="auto"/>
          <w:color w:val="auto"/>
        </w:rPr>
        <w:t>Audit Rights</w:t>
      </w:r>
      <w:r>
        <w:rPr>
          <w:rFonts w:ascii="Arial" w:cs="Arial" w:eastAsia="Arial" w:hAnsi="Arial"/>
          <w:sz w:val="13"/>
          <w:szCs w:val="13"/>
          <w:color w:val="auto"/>
        </w:rPr>
        <w:t xml:space="preserve">. The Borrower will, and will cause each of its Subsidiaries to, permit any representatives designated by Administrative Agent (including any consultants, accountants, lawyers and appraisers retained by the Administrative Agent) to conduct evaluations and appraisals of the Borrower’s computation of the Borrowing Base and the assets included in the Borrowing Base, all at such reasonable times and as often as reasonably requested. The Borrower shall pay the reasonable fees and expenses of any representatives retained by the Administrative Agent to conduct any such evaluation or appraisal; </w:t>
      </w:r>
      <w:r>
        <w:rPr>
          <w:rFonts w:ascii="Arial" w:cs="Arial" w:eastAsia="Arial" w:hAnsi="Arial"/>
          <w:sz w:val="13"/>
          <w:szCs w:val="13"/>
          <w:u w:val="single" w:color="auto"/>
          <w:color w:val="auto"/>
        </w:rPr>
        <w:t>provided</w:t>
      </w:r>
      <w:r>
        <w:rPr>
          <w:rFonts w:ascii="Arial" w:cs="Arial" w:eastAsia="Arial" w:hAnsi="Arial"/>
          <w:sz w:val="13"/>
          <w:szCs w:val="13"/>
          <w:color w:val="auto"/>
        </w:rPr>
        <w:t xml:space="preserve"> that the Borrower shall not be required to pay such fees and expenses for more than one such evaluation or appraisal during any calendar year unless an Event of Default has occurred and is continuing at the time of any subsequent evaluation or appraisal during such calendar year. The Borrower also agrees to modify or adjust the computation of the Borrowing Base to the extent required by the Administrative Agent or the Required Lenders as a result of any such evaluation or appraisal; </w:t>
      </w:r>
      <w:r>
        <w:rPr>
          <w:rFonts w:ascii="Arial" w:cs="Arial" w:eastAsia="Arial" w:hAnsi="Arial"/>
          <w:sz w:val="13"/>
          <w:szCs w:val="13"/>
          <w:u w:val="single" w:color="auto"/>
          <w:color w:val="auto"/>
        </w:rPr>
        <w:t>provided</w:t>
      </w:r>
      <w:r>
        <w:rPr>
          <w:rFonts w:ascii="Arial" w:cs="Arial" w:eastAsia="Arial" w:hAnsi="Arial"/>
          <w:sz w:val="13"/>
          <w:szCs w:val="13"/>
          <w:color w:val="auto"/>
        </w:rPr>
        <w:t xml:space="preserve"> that if the Borrower demonstrates that such evaluation or appraisal is incorrect, the Borrower shall be permitted to re-adjust its computation of the Borrowing Base.</w:t>
      </w:r>
    </w:p>
    <w:p>
      <w:pPr>
        <w:spacing w:after="0" w:line="179" w:lineRule="exact"/>
        <w:rPr>
          <w:sz w:val="20"/>
          <w:szCs w:val="20"/>
          <w:color w:val="auto"/>
        </w:rPr>
      </w:pPr>
    </w:p>
    <w:p>
      <w:pPr>
        <w:jc w:val="both"/>
        <w:ind w:right="20" w:firstLine="1727"/>
        <w:spacing w:after="0" w:line="248" w:lineRule="auto"/>
        <w:rPr>
          <w:sz w:val="20"/>
          <w:szCs w:val="20"/>
          <w:color w:val="auto"/>
        </w:rPr>
      </w:pPr>
      <w:r>
        <w:rPr>
          <w:rFonts w:ascii="Arial" w:cs="Arial" w:eastAsia="Arial" w:hAnsi="Arial"/>
          <w:sz w:val="13"/>
          <w:szCs w:val="13"/>
          <w:color w:val="auto"/>
        </w:rPr>
        <w:t xml:space="preserve">SECTION 5.07. </w:t>
      </w:r>
      <w:r>
        <w:rPr>
          <w:rFonts w:ascii="Arial" w:cs="Arial" w:eastAsia="Arial" w:hAnsi="Arial"/>
          <w:sz w:val="13"/>
          <w:szCs w:val="13"/>
          <w:u w:val="single" w:color="auto"/>
          <w:color w:val="auto"/>
        </w:rPr>
        <w:t>Compliance with Laws</w:t>
      </w:r>
      <w:r>
        <w:rPr>
          <w:rFonts w:ascii="Arial" w:cs="Arial" w:eastAsia="Arial" w:hAnsi="Arial"/>
          <w:sz w:val="13"/>
          <w:szCs w:val="13"/>
          <w:color w:val="auto"/>
        </w:rPr>
        <w:t>. The Borrower will, and will cause each of its Subsidiaries to, comply with all laws, rules, regulations, including the Investment Company Act, and orders of any Governmental Authority applicable to it or its property, except where the failure to do so, individually or in the aggregate, could not reasonably be expected to result in a Material Adverse Effect. Without limiting the generality of the foregoing, the Borrower will, and will cause its Subsidiaries to, conduct its business and other activities in compliance in all material respects with the provisions of the Investment Company Act and any applicable rules, regulations or orders issued by the Securities and Exchange Commission thereunder. The Borrower will maintain policies, procedures and internal controls reasonably designed to ensure compliance with the economic sanctions and trade embargo regulations promulgated by OFAC, the U.S. Department of State, the United Nations Security Council, Her Majesty’s Treasury or the European Union and Anti-Corruption Laws.</w:t>
      </w:r>
    </w:p>
    <w:p>
      <w:pPr>
        <w:spacing w:after="0" w:line="180" w:lineRule="exact"/>
        <w:rPr>
          <w:sz w:val="20"/>
          <w:szCs w:val="20"/>
          <w:color w:val="auto"/>
        </w:rPr>
      </w:pPr>
    </w:p>
    <w:p>
      <w:pPr>
        <w:ind w:left="1740"/>
        <w:spacing w:after="0"/>
        <w:rPr>
          <w:sz w:val="20"/>
          <w:szCs w:val="20"/>
          <w:color w:val="auto"/>
        </w:rPr>
      </w:pPr>
      <w:r>
        <w:rPr>
          <w:rFonts w:ascii="Arial" w:cs="Arial" w:eastAsia="Arial" w:hAnsi="Arial"/>
          <w:sz w:val="14"/>
          <w:szCs w:val="14"/>
          <w:color w:val="auto"/>
        </w:rPr>
        <w:t xml:space="preserve">SECTION 5.08. </w:t>
      </w:r>
      <w:r>
        <w:rPr>
          <w:rFonts w:ascii="Arial" w:cs="Arial" w:eastAsia="Arial" w:hAnsi="Arial"/>
          <w:sz w:val="14"/>
          <w:szCs w:val="14"/>
          <w:u w:val="single" w:color="auto"/>
          <w:color w:val="auto"/>
        </w:rPr>
        <w:t>Certain Obligations Respecting Subsidiaries; Further Assurances</w:t>
      </w:r>
      <w:r>
        <w:rPr>
          <w:rFonts w:ascii="Arial" w:cs="Arial" w:eastAsia="Arial" w:hAnsi="Arial"/>
          <w:sz w:val="14"/>
          <w:szCs w:val="14"/>
          <w:color w:val="auto"/>
        </w:rPr>
        <w:t>.</w:t>
      </w:r>
    </w:p>
    <w:p>
      <w:pPr>
        <w:spacing w:after="0" w:line="204" w:lineRule="exact"/>
        <w:rPr>
          <w:sz w:val="20"/>
          <w:szCs w:val="20"/>
          <w:color w:val="auto"/>
        </w:rPr>
      </w:pPr>
    </w:p>
    <w:p>
      <w:pPr>
        <w:jc w:val="both"/>
        <w:ind w:right="20" w:firstLine="1735"/>
        <w:spacing w:after="0" w:line="255" w:lineRule="auto"/>
        <w:tabs>
          <w:tab w:leader="none" w:pos="2535" w:val="left"/>
        </w:tabs>
        <w:numPr>
          <w:ilvl w:val="0"/>
          <w:numId w:val="118"/>
        </w:numPr>
        <w:rPr>
          <w:rFonts w:ascii="Arial" w:cs="Arial" w:eastAsia="Arial" w:hAnsi="Arial"/>
          <w:sz w:val="13"/>
          <w:szCs w:val="13"/>
          <w:color w:val="auto"/>
        </w:rPr>
      </w:pPr>
      <w:r>
        <w:rPr>
          <w:rFonts w:ascii="Arial" w:cs="Arial" w:eastAsia="Arial" w:hAnsi="Arial"/>
          <w:sz w:val="13"/>
          <w:szCs w:val="13"/>
          <w:u w:val="single" w:color="auto"/>
          <w:color w:val="auto"/>
        </w:rPr>
        <w:t>Subsidiary Guarantors</w:t>
      </w:r>
      <w:r>
        <w:rPr>
          <w:rFonts w:ascii="Arial" w:cs="Arial" w:eastAsia="Arial" w:hAnsi="Arial"/>
          <w:sz w:val="13"/>
          <w:szCs w:val="13"/>
          <w:color w:val="auto"/>
        </w:rPr>
        <w:t xml:space="preserve">. In the event that the Borrower or any of its Subsidiaries shall form or acquire any new Subsidiary (other than a Financing Subsidiary, a Foreign Subsidiary or an Immaterial Subsidiary) the Borrower will cause such new Subsidiary to become a “Subsidiary Guarantor” (and, thereby, an “Obligor”) under the Guarantee and Security Agreement pursuant to a Guarantee Assumption Agreement and to deliver such proof of corporate or other action, incumbency of officers, opinions of counsel and other documents as is consistent with those delivered by the Borrower pursuant to </w:t>
      </w:r>
      <w:r>
        <w:rPr>
          <w:rFonts w:ascii="Arial" w:cs="Arial" w:eastAsia="Arial" w:hAnsi="Arial"/>
          <w:sz w:val="13"/>
          <w:szCs w:val="13"/>
          <w:u w:val="single" w:color="auto"/>
          <w:color w:val="auto"/>
        </w:rPr>
        <w:t>Section 4.01</w:t>
      </w:r>
      <w:r>
        <w:rPr>
          <w:rFonts w:ascii="Arial" w:cs="Arial" w:eastAsia="Arial" w:hAnsi="Arial"/>
          <w:sz w:val="13"/>
          <w:szCs w:val="13"/>
          <w:color w:val="auto"/>
        </w:rPr>
        <w:t xml:space="preserve"> upon the Effective Date or as the Administrative Agent shall have reasonably requested.</w:t>
      </w:r>
    </w:p>
    <w:p>
      <w:pPr>
        <w:spacing w:after="0" w:line="174" w:lineRule="exact"/>
        <w:rPr>
          <w:rFonts w:ascii="Arial" w:cs="Arial" w:eastAsia="Arial" w:hAnsi="Arial"/>
          <w:sz w:val="13"/>
          <w:szCs w:val="13"/>
          <w:color w:val="auto"/>
        </w:rPr>
      </w:pPr>
    </w:p>
    <w:p>
      <w:pPr>
        <w:ind w:right="20" w:firstLine="1735"/>
        <w:spacing w:after="0" w:line="253" w:lineRule="auto"/>
        <w:tabs>
          <w:tab w:leader="none" w:pos="2543" w:val="left"/>
        </w:tabs>
        <w:numPr>
          <w:ilvl w:val="0"/>
          <w:numId w:val="118"/>
        </w:numPr>
        <w:rPr>
          <w:rFonts w:ascii="Arial" w:cs="Arial" w:eastAsia="Arial" w:hAnsi="Arial"/>
          <w:sz w:val="14"/>
          <w:szCs w:val="14"/>
          <w:color w:val="auto"/>
        </w:rPr>
      </w:pPr>
      <w:r>
        <w:rPr>
          <w:rFonts w:ascii="Arial" w:cs="Arial" w:eastAsia="Arial" w:hAnsi="Arial"/>
          <w:sz w:val="14"/>
          <w:szCs w:val="14"/>
          <w:u w:val="single" w:color="auto"/>
          <w:color w:val="auto"/>
        </w:rPr>
        <w:t>Ownership of Subsidiaries</w:t>
      </w:r>
      <w:r>
        <w:rPr>
          <w:rFonts w:ascii="Arial" w:cs="Arial" w:eastAsia="Arial" w:hAnsi="Arial"/>
          <w:sz w:val="14"/>
          <w:szCs w:val="14"/>
          <w:color w:val="auto"/>
        </w:rPr>
        <w:t>. The Borrower will, and will cause each of its Subsidiaries to, take such action from time to time as shall be necessary to ensure that each of its Subsidiaries is a wholly owned Subsidiary.</w:t>
      </w:r>
    </w:p>
    <w:p>
      <w:pPr>
        <w:spacing w:after="0" w:line="173" w:lineRule="exact"/>
        <w:rPr>
          <w:rFonts w:ascii="Arial" w:cs="Arial" w:eastAsia="Arial" w:hAnsi="Arial"/>
          <w:sz w:val="14"/>
          <w:szCs w:val="14"/>
          <w:color w:val="auto"/>
        </w:rPr>
      </w:pPr>
    </w:p>
    <w:p>
      <w:pPr>
        <w:jc w:val="both"/>
        <w:ind w:right="20" w:firstLine="1735"/>
        <w:spacing w:after="0" w:line="241" w:lineRule="auto"/>
        <w:tabs>
          <w:tab w:leader="none" w:pos="2535" w:val="left"/>
        </w:tabs>
        <w:numPr>
          <w:ilvl w:val="0"/>
          <w:numId w:val="118"/>
        </w:numPr>
        <w:rPr>
          <w:rFonts w:ascii="Arial" w:cs="Arial" w:eastAsia="Arial" w:hAnsi="Arial"/>
          <w:sz w:val="13"/>
          <w:szCs w:val="13"/>
          <w:color w:val="auto"/>
        </w:rPr>
      </w:pPr>
      <w:r>
        <w:rPr>
          <w:rFonts w:ascii="Arial" w:cs="Arial" w:eastAsia="Arial" w:hAnsi="Arial"/>
          <w:sz w:val="13"/>
          <w:szCs w:val="13"/>
          <w:u w:val="single" w:color="auto"/>
          <w:color w:val="auto"/>
        </w:rPr>
        <w:t>Further Assurances</w:t>
      </w:r>
      <w:r>
        <w:rPr>
          <w:rFonts w:ascii="Arial" w:cs="Arial" w:eastAsia="Arial" w:hAnsi="Arial"/>
          <w:sz w:val="13"/>
          <w:szCs w:val="13"/>
          <w:color w:val="auto"/>
        </w:rPr>
        <w:t xml:space="preserve">. The Borrower will, and will cause each of the Subsidiary Guarantors to, take such action from time to time as shall reasonably be requested by the Administrative Agent to effectuate the purposes and objectives of this Agreement. Without limiting the generality of the foregoing, the Borrower will, and will cause each of the Subsidiary Guarantors to, take such action from time to time (including filing appropriate Uniform Commercial Code financing statements and executing and delivering such assignments, security agreements and other instruments) as shall be reasonably requested by the Administrative Agent: (i) to create, in favor of the Collateral Agent, for the benefit of the Secured Parties (as defined in the Guarantee and Security Agreement), perfected security interests and Liens in the Collateral; </w:t>
      </w:r>
      <w:r>
        <w:rPr>
          <w:rFonts w:ascii="Arial" w:cs="Arial" w:eastAsia="Arial" w:hAnsi="Arial"/>
          <w:sz w:val="13"/>
          <w:szCs w:val="13"/>
          <w:u w:val="single" w:color="auto"/>
          <w:color w:val="auto"/>
        </w:rPr>
        <w:t>provided</w:t>
      </w:r>
      <w:r>
        <w:rPr>
          <w:rFonts w:ascii="Arial" w:cs="Arial" w:eastAsia="Arial" w:hAnsi="Arial"/>
          <w:sz w:val="13"/>
          <w:szCs w:val="13"/>
          <w:color w:val="auto"/>
        </w:rPr>
        <w:t xml:space="preserve"> that any such security interest or Lien shall be subject to the relevant requirements of the Security Documents, (ii) to cause any bank or securities intermediary (within the meaning of the Uniform Commercial Code) to enter into such arrangements with the Collateral Agent as shall be appropriate in order that the Collateral Agent has “</w:t>
      </w:r>
      <w:r>
        <w:rPr>
          <w:rFonts w:ascii="Arial" w:cs="Arial" w:eastAsia="Arial" w:hAnsi="Arial"/>
          <w:sz w:val="13"/>
          <w:szCs w:val="13"/>
          <w:u w:val="single" w:color="auto"/>
          <w:color w:val="auto"/>
        </w:rPr>
        <w:t>control</w:t>
      </w:r>
      <w:r>
        <w:rPr>
          <w:rFonts w:ascii="Arial" w:cs="Arial" w:eastAsia="Arial" w:hAnsi="Arial"/>
          <w:sz w:val="13"/>
          <w:szCs w:val="13"/>
          <w:color w:val="auto"/>
        </w:rPr>
        <w:t xml:space="preserve">” (within the meaning of the Uniform Commercial Code) over each bank account or securities account of the Obligors (other than “Excluded Accounts” as defined in the Guarantee and Security Agreement), and in that connection, the Borrower agrees to cause all cash and other proceeds of Portfolio Investments received by any Obligor to be promptly deposited into such an account (or otherwise delivered to, or registered in the name of, the Collateral Agent) and, until such deposit, delivery or registration such cash and other proceeds shall be held in trust by the Borrower for and as the property of the Collateral Agent and shall not be commingled with any other finds or property of such Obligor, (iii) in the case of any Portfolio Investment consisting of a Bank Loan (as defined in </w:t>
      </w:r>
      <w:r>
        <w:rPr>
          <w:rFonts w:ascii="Arial" w:cs="Arial" w:eastAsia="Arial" w:hAnsi="Arial"/>
          <w:sz w:val="13"/>
          <w:szCs w:val="13"/>
          <w:u w:val="single" w:color="auto"/>
          <w:color w:val="auto"/>
        </w:rPr>
        <w:t>Section 5.13</w:t>
      </w:r>
      <w:r>
        <w:rPr>
          <w:rFonts w:ascii="Arial" w:cs="Arial" w:eastAsia="Arial" w:hAnsi="Arial"/>
          <w:sz w:val="13"/>
          <w:szCs w:val="13"/>
          <w:color w:val="auto"/>
        </w:rPr>
        <w:t>) that does not constitute all of the credit extended to the underlying borrower under the relevant underlying loan documents and a Financing Subsidiary holds any interest in the loans or other extensions of credit under such loan documents, (x) to cause such Financing Subsidiary to be party to such underlying loan documents as a “</w:t>
      </w:r>
      <w:r>
        <w:rPr>
          <w:rFonts w:ascii="Arial" w:cs="Arial" w:eastAsia="Arial" w:hAnsi="Arial"/>
          <w:sz w:val="13"/>
          <w:szCs w:val="13"/>
          <w:u w:val="single" w:color="auto"/>
          <w:color w:val="auto"/>
        </w:rPr>
        <w:t>lender</w:t>
      </w:r>
      <w:r>
        <w:rPr>
          <w:rFonts w:ascii="Arial" w:cs="Arial" w:eastAsia="Arial" w:hAnsi="Arial"/>
          <w:sz w:val="13"/>
          <w:szCs w:val="13"/>
          <w:color w:val="auto"/>
        </w:rPr>
        <w:t>” having a direct interest (or a participation not acquired from an Obligor) in such underlying loan documents and the extensions of credit thereunder and (y) to ensure that all amounts owing to such Obligor or Financing Subsidiary by the underlying borrower or other obligated party are remitted by such borrower or obligated party directly to separate accounts of such Obligor and such Financing Subsidiary, (iv) in the event that any Obligor is acting as an agent or administrative agent under any loan documents with respect to any Bank Loan that does not constitute all of the credit extended to the underlying borrower under the relevant underlying loan documents, to ensure that all funds held by such Obligor in such capacity as agent or administrative agent is segregated from all other funds of such Obligor and clearly identified as being held in an agency capacity and (v) to cause the closing sets and all executed amendments, consents, forbearances and other modifications and assignment agreements relating to any Portfolio Investment and any other</w:t>
      </w: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7580" w:type="dxa"/>
            <w:vAlign w:val="bottom"/>
          </w:tcPr>
          <w:p>
            <w:pPr>
              <w:jc w:val="right"/>
              <w:ind w:right="1808"/>
              <w:spacing w:after="0"/>
              <w:rPr>
                <w:sz w:val="20"/>
                <w:szCs w:val="20"/>
                <w:color w:val="auto"/>
              </w:rPr>
            </w:pPr>
            <w:r>
              <w:rPr>
                <w:rFonts w:ascii="Arial" w:cs="Arial" w:eastAsia="Arial" w:hAnsi="Arial"/>
                <w:sz w:val="14"/>
                <w:szCs w:val="14"/>
                <w:color w:val="auto"/>
              </w:rPr>
              <w:t>44</w:t>
            </w:r>
          </w:p>
        </w:tc>
        <w:tc>
          <w:tcPr>
            <w:tcW w:w="3680" w:type="dxa"/>
            <w:vAlign w:val="bottom"/>
          </w:tcPr>
          <w:p>
            <w:pPr>
              <w:jc w:val="right"/>
              <w:spacing w:after="0"/>
              <w:rPr>
                <w:sz w:val="20"/>
                <w:szCs w:val="20"/>
                <w:color w:val="auto"/>
              </w:rPr>
            </w:pPr>
            <w:r>
              <w:rPr>
                <w:rFonts w:ascii="Arial" w:cs="Arial" w:eastAsia="Arial" w:hAnsi="Arial"/>
                <w:sz w:val="14"/>
                <w:szCs w:val="14"/>
                <w:i w:val="1"/>
                <w:iCs w:val="1"/>
                <w:color w:val="auto"/>
              </w:rPr>
              <w:t>Second Amended and Restated</w:t>
            </w:r>
          </w:p>
        </w:tc>
      </w:tr>
      <w:tr>
        <w:trPr>
          <w:trHeight w:val="182"/>
        </w:trPr>
        <w:tc>
          <w:tcPr>
            <w:tcW w:w="7580" w:type="dxa"/>
            <w:vAlign w:val="bottom"/>
          </w:tcPr>
          <w:p>
            <w:pPr>
              <w:spacing w:after="0"/>
              <w:rPr>
                <w:sz w:val="15"/>
                <w:szCs w:val="15"/>
                <w:color w:val="auto"/>
              </w:rPr>
            </w:pPr>
          </w:p>
        </w:tc>
        <w:tc>
          <w:tcPr>
            <w:tcW w:w="3680" w:type="dxa"/>
            <w:vAlign w:val="bottom"/>
          </w:tcPr>
          <w:p>
            <w:pPr>
              <w:jc w:val="right"/>
              <w:spacing w:after="0"/>
              <w:rPr>
                <w:sz w:val="20"/>
                <w:szCs w:val="20"/>
                <w:color w:val="auto"/>
              </w:rPr>
            </w:pPr>
            <w:r>
              <w:rPr>
                <w:rFonts w:ascii="Arial" w:cs="Arial" w:eastAsia="Arial" w:hAnsi="Arial"/>
                <w:sz w:val="14"/>
                <w:szCs w:val="14"/>
                <w:i w:val="1"/>
                <w:iCs w:val="1"/>
                <w:color w:val="auto"/>
              </w:rPr>
              <w:t>Revolving Credit Agreement</w:t>
            </w:r>
          </w:p>
        </w:tc>
      </w:tr>
      <w:tr>
        <w:trPr>
          <w:trHeight w:val="316"/>
        </w:trPr>
        <w:tc>
          <w:tcPr>
            <w:tcW w:w="7580" w:type="dxa"/>
            <w:vAlign w:val="bottom"/>
            <w:tcBorders>
              <w:bottom w:val="single" w:sz="8" w:color="9A9A9A"/>
            </w:tcBorders>
          </w:tcPr>
          <w:p>
            <w:pPr>
              <w:spacing w:after="0"/>
              <w:rPr>
                <w:sz w:val="24"/>
                <w:szCs w:val="24"/>
                <w:color w:val="auto"/>
              </w:rPr>
            </w:pPr>
          </w:p>
        </w:tc>
        <w:tc>
          <w:tcPr>
            <w:tcW w:w="368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7145655</wp:posOffset>
            </wp:positionH>
            <wp:positionV relativeFrom="paragraph">
              <wp:posOffset>-8255</wp:posOffset>
            </wp:positionV>
            <wp:extent cx="8255" cy="8890"/>
            <wp:wrapNone/>
            <wp:docPr id="193" name="Picture 1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3"/>
                    <pic:cNvPicPr>
                      <a:picLocks noChangeAspect="1" noChangeArrowheads="1"/>
                    </pic:cNvPicPr>
                  </pic:nvPicPr>
                  <pic:blipFill>
                    <a:blip r:embed="rId200">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-16510</wp:posOffset>
            </wp:positionV>
            <wp:extent cx="8890" cy="17145"/>
            <wp:wrapNone/>
            <wp:docPr id="194" name="Picture 1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4"/>
                    <pic:cNvPicPr>
                      <a:picLocks noChangeAspect="1" noChangeArrowheads="1"/>
                    </pic:cNvPicPr>
                  </pic:nvPicPr>
                  <pic:blipFill>
                    <a:blip r:embed="rId201">
                      <a:extLst>
                        <a:ext uri="{28A0092B-C50C-407E-A947-70E740481C1C}"/>
                      </a:extLst>
                    </a:blip>
                    <a:srcRect/>
                    <a:stretch>
                      <a:fillRect/>
                    </a:stretch>
                  </pic:blipFill>
                  <pic:spPr bwMode="auto">
                    <a:xfrm>
                      <a:off x="0" y="0"/>
                      <a:ext cx="8890" cy="17145"/>
                    </a:xfrm>
                    <a:prstGeom prst="rect">
                      <a:avLst/>
                    </a:prstGeom>
                    <a:noFill/>
                  </pic:spPr>
                </pic:pic>
              </a:graphicData>
            </a:graphic>
          </wp:anchor>
        </w:drawing>
      </w:r>
    </w:p>
    <w:p>
      <w:pPr>
        <w:sectPr>
          <w:pgSz w:w="11900" w:h="16838" w:orient="portrait"/>
          <w:cols w:equalWidth="0" w:num="1">
            <w:col w:w="11260"/>
          </w:cols>
          <w:pgMar w:left="320" w:top="337" w:right="319" w:bottom="1440" w:gutter="0" w:footer="0" w:header="0"/>
        </w:sectPr>
      </w:pPr>
    </w:p>
    <w:bookmarkStart w:id="107" w:name="page108"/>
    <w:bookmarkEnd w:id="107"/>
    <w:p>
      <w:pPr>
        <w:jc w:val="both"/>
        <w:ind w:right="20"/>
        <w:spacing w:after="0" w:line="253" w:lineRule="auto"/>
        <w:rPr>
          <w:sz w:val="20"/>
          <w:szCs w:val="20"/>
          <w:color w:val="auto"/>
        </w:rPr>
      </w:pPr>
      <w:r>
        <w:rPr>
          <w:rFonts w:ascii="Arial" w:cs="Arial" w:eastAsia="Arial" w:hAnsi="Arial"/>
          <w:sz w:val="14"/>
          <w:szCs w:val="14"/>
          <w:color w:val="auto"/>
        </w:rPr>
        <w:t>documents relating to any Portfolio Investment requested by the Collateral Agent, in each case to be held by the Collateral Agent or a custodian pursuant to the terms of a custodian agreement reasonably satisfactory to the Collateral Agent.</w:t>
      </w:r>
    </w:p>
    <w:p>
      <w:pPr>
        <w:spacing w:after="0" w:line="174" w:lineRule="exact"/>
        <w:rPr>
          <w:sz w:val="20"/>
          <w:szCs w:val="20"/>
          <w:color w:val="auto"/>
        </w:rPr>
      </w:pPr>
    </w:p>
    <w:p>
      <w:pPr>
        <w:jc w:val="both"/>
        <w:ind w:right="20" w:firstLine="1727"/>
        <w:spacing w:after="0" w:line="244" w:lineRule="auto"/>
        <w:rPr>
          <w:sz w:val="20"/>
          <w:szCs w:val="20"/>
          <w:color w:val="auto"/>
        </w:rPr>
      </w:pPr>
      <w:r>
        <w:rPr>
          <w:rFonts w:ascii="Arial" w:cs="Arial" w:eastAsia="Arial" w:hAnsi="Arial"/>
          <w:sz w:val="13"/>
          <w:szCs w:val="13"/>
          <w:color w:val="auto"/>
        </w:rPr>
        <w:t xml:space="preserve">SECTION 5.09. </w:t>
      </w:r>
      <w:r>
        <w:rPr>
          <w:rFonts w:ascii="Arial" w:cs="Arial" w:eastAsia="Arial" w:hAnsi="Arial"/>
          <w:sz w:val="13"/>
          <w:szCs w:val="13"/>
          <w:u w:val="single" w:color="auto"/>
          <w:color w:val="auto"/>
        </w:rPr>
        <w:t>Use of Proceeds</w:t>
      </w:r>
      <w:r>
        <w:rPr>
          <w:rFonts w:ascii="Arial" w:cs="Arial" w:eastAsia="Arial" w:hAnsi="Arial"/>
          <w:sz w:val="13"/>
          <w:szCs w:val="13"/>
          <w:color w:val="auto"/>
        </w:rPr>
        <w:t xml:space="preserve">. The Borrower will use the proceeds of the Loans only for general corporate purposes of the Borrower in the ordinary course of business, including the acquisition and funding (either directly or through one or more wholly-owned Subsidiaries) of leveraged loans, mezzanine loans, high-yield securities, convertible securities, preferred stock, common stock and other Portfolio Investments; </w:t>
      </w:r>
      <w:r>
        <w:rPr>
          <w:rFonts w:ascii="Arial" w:cs="Arial" w:eastAsia="Arial" w:hAnsi="Arial"/>
          <w:sz w:val="13"/>
          <w:szCs w:val="13"/>
          <w:u w:val="single" w:color="auto"/>
          <w:color w:val="auto"/>
        </w:rPr>
        <w:t>provided</w:t>
      </w:r>
      <w:r>
        <w:rPr>
          <w:rFonts w:ascii="Arial" w:cs="Arial" w:eastAsia="Arial" w:hAnsi="Arial"/>
          <w:sz w:val="13"/>
          <w:szCs w:val="13"/>
          <w:color w:val="auto"/>
        </w:rPr>
        <w:t xml:space="preserve"> that neither the Administrative Agent nor any Lender shall have any responsibility as to the use of any of such proceeds. No part of the proceeds of any Loan will be used in violation of applicable law or, directly or indirectly, for the purpose, whether immediate, incidental or ultimate, of buying or carrying any Margin Stock. Margin Stock shall be purchased by the Obligors only with the proceeds of Indebtedness not directly or indirectly secured by Margin Stock, or with the proceeds of equity capital of the Borrower. No Obligor will directly or knowingly indirectly use the proceeds of the Loans or otherwise make available such proceeds (i) to any Person for the purpose of financing the activities of any Person that is subject to, or the subject of, Sanctions, or in any country, region or territory, that, at the time of such financing, is subject to, or the subject of, any comprehensive Sanctions or (ii) for any payments to any governmental official or employee, political party, official of a political party, candidate for political office, or anyone else acting in an official capacity, in order to obtain, retain or direct business or obtain any improper advantage, in violation of any Anti-Corruption Laws.</w:t>
      </w:r>
    </w:p>
    <w:p>
      <w:pPr>
        <w:spacing w:after="0" w:line="185" w:lineRule="exact"/>
        <w:rPr>
          <w:sz w:val="20"/>
          <w:szCs w:val="20"/>
          <w:color w:val="auto"/>
        </w:rPr>
      </w:pPr>
    </w:p>
    <w:p>
      <w:pPr>
        <w:jc w:val="both"/>
        <w:ind w:right="40" w:firstLine="1727"/>
        <w:spacing w:after="0" w:line="253" w:lineRule="auto"/>
        <w:rPr>
          <w:sz w:val="20"/>
          <w:szCs w:val="20"/>
          <w:color w:val="auto"/>
        </w:rPr>
      </w:pPr>
      <w:r>
        <w:rPr>
          <w:rFonts w:ascii="Arial" w:cs="Arial" w:eastAsia="Arial" w:hAnsi="Arial"/>
          <w:sz w:val="14"/>
          <w:szCs w:val="14"/>
          <w:color w:val="auto"/>
        </w:rPr>
        <w:t xml:space="preserve">SECTION 5.10. </w:t>
      </w:r>
      <w:r>
        <w:rPr>
          <w:rFonts w:ascii="Arial" w:cs="Arial" w:eastAsia="Arial" w:hAnsi="Arial"/>
          <w:sz w:val="14"/>
          <w:szCs w:val="14"/>
          <w:u w:val="single" w:color="auto"/>
          <w:color w:val="auto"/>
        </w:rPr>
        <w:t>Status of RIC and BDC</w:t>
      </w:r>
      <w:r>
        <w:rPr>
          <w:rFonts w:ascii="Arial" w:cs="Arial" w:eastAsia="Arial" w:hAnsi="Arial"/>
          <w:sz w:val="14"/>
          <w:szCs w:val="14"/>
          <w:color w:val="auto"/>
        </w:rPr>
        <w:t>. The Borrower shall at all times maintain its status as a RIC under the Code, and as a “business development company” under the Investment Company Act.</w:t>
      </w:r>
    </w:p>
    <w:p>
      <w:pPr>
        <w:spacing w:after="0" w:line="174" w:lineRule="exact"/>
        <w:rPr>
          <w:sz w:val="20"/>
          <w:szCs w:val="20"/>
          <w:color w:val="auto"/>
        </w:rPr>
      </w:pPr>
    </w:p>
    <w:p>
      <w:pPr>
        <w:jc w:val="both"/>
        <w:ind w:right="20" w:firstLine="1727"/>
        <w:spacing w:after="0" w:line="233" w:lineRule="auto"/>
        <w:rPr>
          <w:sz w:val="20"/>
          <w:szCs w:val="20"/>
          <w:color w:val="auto"/>
        </w:rPr>
      </w:pPr>
      <w:r>
        <w:rPr>
          <w:rFonts w:ascii="Arial" w:cs="Arial" w:eastAsia="Arial" w:hAnsi="Arial"/>
          <w:sz w:val="14"/>
          <w:szCs w:val="14"/>
          <w:color w:val="auto"/>
        </w:rPr>
        <w:t xml:space="preserve">SECTION 5.11. </w:t>
      </w:r>
      <w:r>
        <w:rPr>
          <w:rFonts w:ascii="Arial" w:cs="Arial" w:eastAsia="Arial" w:hAnsi="Arial"/>
          <w:sz w:val="14"/>
          <w:szCs w:val="14"/>
          <w:u w:val="single" w:color="auto"/>
          <w:color w:val="auto"/>
        </w:rPr>
        <w:t>Investment Policies</w:t>
      </w:r>
      <w:r>
        <w:rPr>
          <w:rFonts w:ascii="Arial" w:cs="Arial" w:eastAsia="Arial" w:hAnsi="Arial"/>
          <w:sz w:val="14"/>
          <w:szCs w:val="14"/>
          <w:color w:val="auto"/>
        </w:rPr>
        <w:t xml:space="preserve">. The Borrower shall at all times be in compliance in all material respects with its Investment Policies (after giving effect to any Permitted Policy Amendments); </w:t>
      </w:r>
      <w:r>
        <w:rPr>
          <w:rFonts w:ascii="Arial" w:cs="Arial" w:eastAsia="Arial" w:hAnsi="Arial"/>
          <w:sz w:val="14"/>
          <w:szCs w:val="14"/>
          <w:u w:val="single" w:color="auto"/>
          <w:color w:val="auto"/>
        </w:rPr>
        <w:t>provided</w:t>
      </w:r>
      <w:r>
        <w:rPr>
          <w:rFonts w:ascii="Arial" w:cs="Arial" w:eastAsia="Arial" w:hAnsi="Arial"/>
          <w:sz w:val="14"/>
          <w:szCs w:val="14"/>
          <w:color w:val="auto"/>
        </w:rPr>
        <w:t xml:space="preserve"> that it shall not be deemed a material change in the Investment Policies if (i) investment size (which as of the Effective Date is to normally range from between $5,000,000 and $50,000,000) proportionately increases as the size of the Borrower’s capital base changes or (ii) the Borrower and its Subsidiaries, taken as a whole, invest up to 30% of their assets in non-U.S. companies.</w:t>
      </w:r>
    </w:p>
    <w:p>
      <w:pPr>
        <w:spacing w:after="0" w:line="185" w:lineRule="exact"/>
        <w:rPr>
          <w:sz w:val="20"/>
          <w:szCs w:val="20"/>
          <w:color w:val="auto"/>
        </w:rPr>
      </w:pPr>
    </w:p>
    <w:p>
      <w:pPr>
        <w:ind w:left="1740"/>
        <w:spacing w:after="0"/>
        <w:rPr>
          <w:sz w:val="20"/>
          <w:szCs w:val="20"/>
          <w:color w:val="auto"/>
        </w:rPr>
      </w:pPr>
      <w:r>
        <w:rPr>
          <w:rFonts w:ascii="Arial" w:cs="Arial" w:eastAsia="Arial" w:hAnsi="Arial"/>
          <w:sz w:val="14"/>
          <w:szCs w:val="14"/>
          <w:color w:val="auto"/>
        </w:rPr>
        <w:t xml:space="preserve">SECTION 5.12. </w:t>
      </w:r>
      <w:r>
        <w:rPr>
          <w:rFonts w:ascii="Arial" w:cs="Arial" w:eastAsia="Arial" w:hAnsi="Arial"/>
          <w:sz w:val="14"/>
          <w:szCs w:val="14"/>
          <w:u w:val="single" w:color="auto"/>
          <w:color w:val="auto"/>
        </w:rPr>
        <w:t>Portfolio Valuation and Diversification Etc</w:t>
      </w:r>
      <w:r>
        <w:rPr>
          <w:rFonts w:ascii="Arial" w:cs="Arial" w:eastAsia="Arial" w:hAnsi="Arial"/>
          <w:sz w:val="14"/>
          <w:szCs w:val="14"/>
          <w:color w:val="auto"/>
        </w:rPr>
        <w:t>.</w:t>
      </w:r>
    </w:p>
    <w:p>
      <w:pPr>
        <w:spacing w:after="0" w:line="204" w:lineRule="exact"/>
        <w:rPr>
          <w:sz w:val="20"/>
          <w:szCs w:val="20"/>
          <w:color w:val="auto"/>
        </w:rPr>
      </w:pPr>
    </w:p>
    <w:p>
      <w:pPr>
        <w:jc w:val="both"/>
        <w:ind w:right="20" w:firstLine="1735"/>
        <w:spacing w:after="0" w:line="255" w:lineRule="auto"/>
        <w:tabs>
          <w:tab w:leader="none" w:pos="2535" w:val="left"/>
        </w:tabs>
        <w:numPr>
          <w:ilvl w:val="1"/>
          <w:numId w:val="119"/>
        </w:numPr>
        <w:rPr>
          <w:rFonts w:ascii="Arial" w:cs="Arial" w:eastAsia="Arial" w:hAnsi="Arial"/>
          <w:sz w:val="13"/>
          <w:szCs w:val="13"/>
          <w:color w:val="auto"/>
        </w:rPr>
      </w:pPr>
      <w:r>
        <w:rPr>
          <w:rFonts w:ascii="Arial" w:cs="Arial" w:eastAsia="Arial" w:hAnsi="Arial"/>
          <w:sz w:val="13"/>
          <w:szCs w:val="13"/>
          <w:u w:val="single" w:color="auto"/>
          <w:color w:val="auto"/>
        </w:rPr>
        <w:t>Industry Classification Groups</w:t>
      </w:r>
      <w:r>
        <w:rPr>
          <w:rFonts w:ascii="Arial" w:cs="Arial" w:eastAsia="Arial" w:hAnsi="Arial"/>
          <w:sz w:val="13"/>
          <w:szCs w:val="13"/>
          <w:color w:val="auto"/>
        </w:rPr>
        <w:t>. For purposes of this Agreement, the Borrower shall assign each Portfolio Investment to an Industry Classification Group. To the extent that any Portfolio Investment is not correlated with the risks of other Portfolio Investments in an Industry Classification Group, such Portfolio Investment may be assigned by the Borrower to an Industry Classification Group that is more closely correlated to such Portfolio Investment. In the absence of any correlation, the Borrower shall be permitted, upon prior notice to the Administrative Agent and each Lender, to create up to three additional industry classification groups for purposes of this Agreement.</w:t>
      </w:r>
    </w:p>
    <w:p>
      <w:pPr>
        <w:spacing w:after="0" w:line="174" w:lineRule="exact"/>
        <w:rPr>
          <w:rFonts w:ascii="Arial" w:cs="Arial" w:eastAsia="Arial" w:hAnsi="Arial"/>
          <w:sz w:val="13"/>
          <w:szCs w:val="13"/>
          <w:color w:val="auto"/>
        </w:rPr>
      </w:pPr>
    </w:p>
    <w:p>
      <w:pPr>
        <w:ind w:left="2560" w:hanging="825"/>
        <w:spacing w:after="0"/>
        <w:tabs>
          <w:tab w:leader="none" w:pos="2560" w:val="left"/>
        </w:tabs>
        <w:numPr>
          <w:ilvl w:val="1"/>
          <w:numId w:val="119"/>
        </w:numPr>
        <w:rPr>
          <w:rFonts w:ascii="Arial" w:cs="Arial" w:eastAsia="Arial" w:hAnsi="Arial"/>
          <w:sz w:val="14"/>
          <w:szCs w:val="14"/>
          <w:color w:val="auto"/>
        </w:rPr>
      </w:pPr>
      <w:r>
        <w:rPr>
          <w:rFonts w:ascii="Arial" w:cs="Arial" w:eastAsia="Arial" w:hAnsi="Arial"/>
          <w:sz w:val="14"/>
          <w:szCs w:val="14"/>
          <w:u w:val="single" w:color="auto"/>
          <w:color w:val="auto"/>
        </w:rPr>
        <w:t>Portfolio Valuation Etc</w:t>
      </w:r>
      <w:r>
        <w:rPr>
          <w:rFonts w:ascii="Arial" w:cs="Arial" w:eastAsia="Arial" w:hAnsi="Arial"/>
          <w:sz w:val="14"/>
          <w:szCs w:val="14"/>
          <w:color w:val="auto"/>
        </w:rPr>
        <w:t>.</w:t>
      </w:r>
    </w:p>
    <w:p>
      <w:pPr>
        <w:spacing w:after="0" w:line="203" w:lineRule="exact"/>
        <w:rPr>
          <w:rFonts w:ascii="Arial" w:cs="Arial" w:eastAsia="Arial" w:hAnsi="Arial"/>
          <w:sz w:val="14"/>
          <w:szCs w:val="14"/>
          <w:color w:val="auto"/>
        </w:rPr>
      </w:pPr>
    </w:p>
    <w:p>
      <w:pPr>
        <w:jc w:val="both"/>
        <w:ind w:left="880" w:right="20" w:firstLine="789"/>
        <w:spacing w:after="0" w:line="233" w:lineRule="auto"/>
        <w:tabs>
          <w:tab w:leader="none" w:pos="2461" w:val="left"/>
        </w:tabs>
        <w:numPr>
          <w:ilvl w:val="0"/>
          <w:numId w:val="120"/>
        </w:numPr>
        <w:rPr>
          <w:rFonts w:ascii="Arial" w:cs="Arial" w:eastAsia="Arial" w:hAnsi="Arial"/>
          <w:sz w:val="14"/>
          <w:szCs w:val="14"/>
          <w:color w:val="auto"/>
        </w:rPr>
      </w:pPr>
      <w:r>
        <w:rPr>
          <w:rFonts w:ascii="Arial" w:cs="Arial" w:eastAsia="Arial" w:hAnsi="Arial"/>
          <w:sz w:val="14"/>
          <w:szCs w:val="14"/>
          <w:u w:val="single" w:color="auto"/>
          <w:color w:val="auto"/>
        </w:rPr>
        <w:t>Settlement Date Basis</w:t>
      </w:r>
      <w:r>
        <w:rPr>
          <w:rFonts w:ascii="Arial" w:cs="Arial" w:eastAsia="Arial" w:hAnsi="Arial"/>
          <w:sz w:val="14"/>
          <w:szCs w:val="14"/>
          <w:color w:val="auto"/>
        </w:rPr>
        <w:t xml:space="preserve">. For purposes of this Agreement, all determinations of whether an investment is to be included as a Portfolio Investment shall be determined on a settlement-date basis (meaning that any investment that has been purchased will not be treated as a Portfolio Investment until such purchase has settled, and any Portfolio Investment which has been sold will not be excluded as a Portfolio Investment until such sale has settled); </w:t>
      </w:r>
      <w:r>
        <w:rPr>
          <w:rFonts w:ascii="Arial" w:cs="Arial" w:eastAsia="Arial" w:hAnsi="Arial"/>
          <w:sz w:val="14"/>
          <w:szCs w:val="14"/>
          <w:u w:val="single" w:color="auto"/>
          <w:color w:val="auto"/>
        </w:rPr>
        <w:t>provided</w:t>
      </w:r>
      <w:r>
        <w:rPr>
          <w:rFonts w:ascii="Arial" w:cs="Arial" w:eastAsia="Arial" w:hAnsi="Arial"/>
          <w:sz w:val="14"/>
          <w:szCs w:val="14"/>
          <w:color w:val="auto"/>
        </w:rPr>
        <w:t xml:space="preserve"> that no such investment shall be included as a Portfolio Investment to the extent it has not been paid for in full.</w:t>
      </w:r>
    </w:p>
    <w:p>
      <w:pPr>
        <w:spacing w:after="0" w:line="184" w:lineRule="exact"/>
        <w:rPr>
          <w:rFonts w:ascii="Arial" w:cs="Arial" w:eastAsia="Arial" w:hAnsi="Arial"/>
          <w:sz w:val="14"/>
          <w:szCs w:val="14"/>
          <w:color w:val="auto"/>
        </w:rPr>
      </w:pPr>
    </w:p>
    <w:p>
      <w:pPr>
        <w:ind w:left="2500" w:hanging="831"/>
        <w:spacing w:after="0"/>
        <w:tabs>
          <w:tab w:leader="none" w:pos="2500" w:val="left"/>
        </w:tabs>
        <w:numPr>
          <w:ilvl w:val="0"/>
          <w:numId w:val="120"/>
        </w:numPr>
        <w:rPr>
          <w:rFonts w:ascii="Arial" w:cs="Arial" w:eastAsia="Arial" w:hAnsi="Arial"/>
          <w:sz w:val="14"/>
          <w:szCs w:val="14"/>
          <w:color w:val="auto"/>
        </w:rPr>
      </w:pPr>
      <w:r>
        <w:rPr>
          <w:rFonts w:ascii="Arial" w:cs="Arial" w:eastAsia="Arial" w:hAnsi="Arial"/>
          <w:sz w:val="14"/>
          <w:szCs w:val="14"/>
          <w:u w:val="single" w:color="auto"/>
          <w:color w:val="auto"/>
        </w:rPr>
        <w:t>Determination of Values</w:t>
      </w:r>
      <w:r>
        <w:rPr>
          <w:rFonts w:ascii="Arial" w:cs="Arial" w:eastAsia="Arial" w:hAnsi="Arial"/>
          <w:sz w:val="14"/>
          <w:szCs w:val="14"/>
          <w:color w:val="auto"/>
        </w:rPr>
        <w:t>. The Borrower will conduct reviews of the value to be assigned to each of its Portfolio Investments as follows:</w:t>
      </w:r>
    </w:p>
    <w:p>
      <w:pPr>
        <w:spacing w:after="0" w:line="203" w:lineRule="exact"/>
        <w:rPr>
          <w:rFonts w:ascii="Arial" w:cs="Arial" w:eastAsia="Arial" w:hAnsi="Arial"/>
          <w:sz w:val="14"/>
          <w:szCs w:val="14"/>
          <w:color w:val="auto"/>
        </w:rPr>
      </w:pPr>
    </w:p>
    <w:p>
      <w:pPr>
        <w:jc w:val="both"/>
        <w:ind w:left="1740" w:right="20" w:firstLine="726"/>
        <w:spacing w:after="0" w:line="238" w:lineRule="auto"/>
        <w:tabs>
          <w:tab w:leader="none" w:pos="3318" w:val="left"/>
        </w:tabs>
        <w:numPr>
          <w:ilvl w:val="2"/>
          <w:numId w:val="120"/>
        </w:numPr>
        <w:rPr>
          <w:rFonts w:ascii="Arial" w:cs="Arial" w:eastAsia="Arial" w:hAnsi="Arial"/>
          <w:sz w:val="14"/>
          <w:szCs w:val="14"/>
          <w:color w:val="auto"/>
        </w:rPr>
      </w:pPr>
      <w:r>
        <w:rPr>
          <w:rFonts w:ascii="Arial" w:cs="Arial" w:eastAsia="Arial" w:hAnsi="Arial"/>
          <w:sz w:val="14"/>
          <w:szCs w:val="14"/>
          <w:u w:val="single" w:color="auto"/>
          <w:color w:val="auto"/>
        </w:rPr>
        <w:t>Quoted Investments - External Review</w:t>
      </w:r>
      <w:r>
        <w:rPr>
          <w:rFonts w:ascii="Arial" w:cs="Arial" w:eastAsia="Arial" w:hAnsi="Arial"/>
          <w:sz w:val="14"/>
          <w:szCs w:val="14"/>
          <w:color w:val="auto"/>
        </w:rPr>
        <w:t>. With respect to Portfolio Investments (including Cash Equivalents) for which market quotations are readily available, the Borrower shall, not less frequently than once each calendar week, determine the market value of such Portfolio Investments which shall, in each case, be determined in accordance with one of the following methodologies (as selected by the Borrower):</w:t>
      </w:r>
    </w:p>
    <w:p>
      <w:pPr>
        <w:spacing w:after="0" w:line="182" w:lineRule="exact"/>
        <w:rPr>
          <w:rFonts w:ascii="Arial" w:cs="Arial" w:eastAsia="Arial" w:hAnsi="Arial"/>
          <w:sz w:val="14"/>
          <w:szCs w:val="14"/>
          <w:color w:val="auto"/>
        </w:rPr>
      </w:pPr>
    </w:p>
    <w:p>
      <w:pPr>
        <w:ind w:left="4120" w:hanging="856"/>
        <w:spacing w:after="0"/>
        <w:tabs>
          <w:tab w:leader="none" w:pos="4120" w:val="left"/>
        </w:tabs>
        <w:numPr>
          <w:ilvl w:val="3"/>
          <w:numId w:val="120"/>
        </w:numPr>
        <w:rPr>
          <w:rFonts w:ascii="Arial" w:cs="Arial" w:eastAsia="Arial" w:hAnsi="Arial"/>
          <w:sz w:val="13"/>
          <w:szCs w:val="13"/>
          <w:color w:val="auto"/>
        </w:rPr>
      </w:pPr>
      <w:r>
        <w:rPr>
          <w:rFonts w:ascii="Arial" w:cs="Arial" w:eastAsia="Arial" w:hAnsi="Arial"/>
          <w:sz w:val="13"/>
          <w:szCs w:val="13"/>
          <w:color w:val="auto"/>
        </w:rPr>
        <w:t>in the case of public and 144A securities, the average of the bid prices as determined by two Approved Dealers selected by</w:t>
      </w:r>
    </w:p>
    <w:p>
      <w:pPr>
        <w:spacing w:after="0" w:line="11" w:lineRule="exact"/>
        <w:rPr>
          <w:rFonts w:ascii="Arial" w:cs="Arial" w:eastAsia="Arial" w:hAnsi="Arial"/>
          <w:sz w:val="13"/>
          <w:szCs w:val="13"/>
          <w:color w:val="auto"/>
        </w:rPr>
      </w:pPr>
    </w:p>
    <w:p>
      <w:pPr>
        <w:ind w:left="2600"/>
        <w:spacing w:after="0"/>
        <w:rPr>
          <w:rFonts w:ascii="Arial" w:cs="Arial" w:eastAsia="Arial" w:hAnsi="Arial"/>
          <w:sz w:val="13"/>
          <w:szCs w:val="13"/>
          <w:color w:val="auto"/>
        </w:rPr>
      </w:pPr>
      <w:r>
        <w:rPr>
          <w:rFonts w:ascii="Arial" w:cs="Arial" w:eastAsia="Arial" w:hAnsi="Arial"/>
          <w:sz w:val="14"/>
          <w:szCs w:val="14"/>
          <w:color w:val="auto"/>
        </w:rPr>
        <w:t>the Borrower,</w:t>
      </w:r>
    </w:p>
    <w:p>
      <w:pPr>
        <w:spacing w:after="0" w:line="191" w:lineRule="exact"/>
        <w:rPr>
          <w:rFonts w:ascii="Arial" w:cs="Arial" w:eastAsia="Arial" w:hAnsi="Arial"/>
          <w:sz w:val="13"/>
          <w:szCs w:val="13"/>
          <w:color w:val="auto"/>
        </w:rPr>
      </w:pPr>
    </w:p>
    <w:p>
      <w:pPr>
        <w:ind w:left="4080" w:hanging="816"/>
        <w:spacing w:after="0"/>
        <w:tabs>
          <w:tab w:leader="none" w:pos="4080" w:val="left"/>
        </w:tabs>
        <w:numPr>
          <w:ilvl w:val="3"/>
          <w:numId w:val="120"/>
        </w:numPr>
        <w:rPr>
          <w:rFonts w:ascii="Arial" w:cs="Arial" w:eastAsia="Arial" w:hAnsi="Arial"/>
          <w:sz w:val="14"/>
          <w:szCs w:val="14"/>
          <w:color w:val="auto"/>
        </w:rPr>
      </w:pPr>
      <w:r>
        <w:rPr>
          <w:rFonts w:ascii="Arial" w:cs="Arial" w:eastAsia="Arial" w:hAnsi="Arial"/>
          <w:sz w:val="14"/>
          <w:szCs w:val="14"/>
          <w:color w:val="auto"/>
        </w:rPr>
        <w:t>in the case of bank loans, the bid price as determined by one Approved Dealer selected by the Borrower,</w:t>
      </w:r>
    </w:p>
    <w:p>
      <w:pPr>
        <w:spacing w:after="0" w:line="203" w:lineRule="exact"/>
        <w:rPr>
          <w:rFonts w:ascii="Arial" w:cs="Arial" w:eastAsia="Arial" w:hAnsi="Arial"/>
          <w:sz w:val="14"/>
          <w:szCs w:val="14"/>
          <w:color w:val="auto"/>
        </w:rPr>
      </w:pPr>
    </w:p>
    <w:p>
      <w:pPr>
        <w:ind w:left="2600" w:right="60" w:firstLine="664"/>
        <w:spacing w:after="0" w:line="253" w:lineRule="auto"/>
        <w:tabs>
          <w:tab w:leader="none" w:pos="4080" w:val="left"/>
        </w:tabs>
        <w:numPr>
          <w:ilvl w:val="3"/>
          <w:numId w:val="120"/>
        </w:numPr>
        <w:rPr>
          <w:rFonts w:ascii="Arial" w:cs="Arial" w:eastAsia="Arial" w:hAnsi="Arial"/>
          <w:sz w:val="14"/>
          <w:szCs w:val="14"/>
          <w:color w:val="auto"/>
        </w:rPr>
      </w:pPr>
      <w:r>
        <w:rPr>
          <w:rFonts w:ascii="Arial" w:cs="Arial" w:eastAsia="Arial" w:hAnsi="Arial"/>
          <w:sz w:val="14"/>
          <w:szCs w:val="14"/>
          <w:color w:val="auto"/>
        </w:rPr>
        <w:t>in the case of any Portfolio Investment traded on an exchange, the closing price for such Portfolio Investment most recently posted on such exchange, and</w:t>
      </w:r>
    </w:p>
    <w:p>
      <w:pPr>
        <w:spacing w:after="0" w:line="173" w:lineRule="exact"/>
        <w:rPr>
          <w:rFonts w:ascii="Arial" w:cs="Arial" w:eastAsia="Arial" w:hAnsi="Arial"/>
          <w:sz w:val="14"/>
          <w:szCs w:val="14"/>
          <w:color w:val="auto"/>
        </w:rPr>
      </w:pPr>
    </w:p>
    <w:p>
      <w:pPr>
        <w:ind w:left="2600" w:right="200" w:firstLine="664"/>
        <w:spacing w:after="0" w:line="253" w:lineRule="auto"/>
        <w:tabs>
          <w:tab w:leader="none" w:pos="4072" w:val="left"/>
        </w:tabs>
        <w:numPr>
          <w:ilvl w:val="3"/>
          <w:numId w:val="120"/>
        </w:numPr>
        <w:rPr>
          <w:rFonts w:ascii="Arial" w:cs="Arial" w:eastAsia="Arial" w:hAnsi="Arial"/>
          <w:sz w:val="14"/>
          <w:szCs w:val="14"/>
          <w:color w:val="auto"/>
        </w:rPr>
      </w:pPr>
      <w:r>
        <w:rPr>
          <w:rFonts w:ascii="Arial" w:cs="Arial" w:eastAsia="Arial" w:hAnsi="Arial"/>
          <w:sz w:val="14"/>
          <w:szCs w:val="14"/>
          <w:color w:val="auto"/>
        </w:rPr>
        <w:t>in the case of any other Portfolio Investment, the fair market value thereof as determined by an Approved Pricing Service selected by the Borrower; and</w:t>
      </w:r>
    </w:p>
    <w:p>
      <w:pPr>
        <w:spacing w:after="0" w:line="173" w:lineRule="exact"/>
        <w:rPr>
          <w:rFonts w:ascii="Arial" w:cs="Arial" w:eastAsia="Arial" w:hAnsi="Arial"/>
          <w:sz w:val="14"/>
          <w:szCs w:val="14"/>
          <w:color w:val="auto"/>
        </w:rPr>
      </w:pPr>
    </w:p>
    <w:p>
      <w:pPr>
        <w:jc w:val="both"/>
        <w:ind w:left="1740" w:right="20" w:firstLine="726"/>
        <w:spacing w:after="0" w:line="238" w:lineRule="auto"/>
        <w:tabs>
          <w:tab w:leader="none" w:pos="3311" w:val="left"/>
        </w:tabs>
        <w:numPr>
          <w:ilvl w:val="2"/>
          <w:numId w:val="120"/>
        </w:numPr>
        <w:rPr>
          <w:rFonts w:ascii="Arial" w:cs="Arial" w:eastAsia="Arial" w:hAnsi="Arial"/>
          <w:sz w:val="14"/>
          <w:szCs w:val="14"/>
          <w:color w:val="auto"/>
        </w:rPr>
      </w:pPr>
      <w:r>
        <w:rPr>
          <w:rFonts w:ascii="Arial" w:cs="Arial" w:eastAsia="Arial" w:hAnsi="Arial"/>
          <w:sz w:val="14"/>
          <w:szCs w:val="14"/>
          <w:u w:val="single" w:color="auto"/>
          <w:color w:val="auto"/>
        </w:rPr>
        <w:t>Unquoted Investments- External Review</w:t>
      </w:r>
      <w:r>
        <w:rPr>
          <w:rFonts w:ascii="Arial" w:cs="Arial" w:eastAsia="Arial" w:hAnsi="Arial"/>
          <w:sz w:val="14"/>
          <w:szCs w:val="14"/>
          <w:color w:val="auto"/>
        </w:rPr>
        <w:t xml:space="preserve">. With respect to Portfolio Investments for which market quotations are not readily available, the Borrower shall request an Approved Third-Party Appraiser to assist the Board of Directors of the Borrower in determining the fair market value of such Portfolio Investments, as at the last day of each fiscal quarter; </w:t>
      </w:r>
      <w:r>
        <w:rPr>
          <w:rFonts w:ascii="Arial" w:cs="Arial" w:eastAsia="Arial" w:hAnsi="Arial"/>
          <w:sz w:val="14"/>
          <w:szCs w:val="14"/>
          <w:u w:val="single" w:color="auto"/>
          <w:color w:val="auto"/>
        </w:rPr>
        <w:t>provided</w:t>
      </w:r>
      <w:r>
        <w:rPr>
          <w:rFonts w:ascii="Arial" w:cs="Arial" w:eastAsia="Arial" w:hAnsi="Arial"/>
          <w:sz w:val="14"/>
          <w:szCs w:val="14"/>
          <w:color w:val="auto"/>
        </w:rPr>
        <w:t xml:space="preserve"> that</w:t>
      </w:r>
    </w:p>
    <w:p>
      <w:pPr>
        <w:spacing w:after="0" w:line="200" w:lineRule="exact"/>
        <w:rPr>
          <w:sz w:val="20"/>
          <w:szCs w:val="20"/>
          <w:color w:val="auto"/>
        </w:rPr>
      </w:pPr>
    </w:p>
    <w:p>
      <w:pPr>
        <w:spacing w:after="0" w:line="200" w:lineRule="exact"/>
        <w:rPr>
          <w:sz w:val="20"/>
          <w:szCs w:val="20"/>
          <w:color w:val="auto"/>
        </w:rPr>
      </w:pPr>
    </w:p>
    <w:p>
      <w:pPr>
        <w:spacing w:after="0" w:line="20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7580" w:type="dxa"/>
            <w:vAlign w:val="bottom"/>
          </w:tcPr>
          <w:p>
            <w:pPr>
              <w:jc w:val="right"/>
              <w:ind w:right="1808"/>
              <w:spacing w:after="0"/>
              <w:rPr>
                <w:sz w:val="20"/>
                <w:szCs w:val="20"/>
                <w:color w:val="auto"/>
              </w:rPr>
            </w:pPr>
            <w:r>
              <w:rPr>
                <w:rFonts w:ascii="Arial" w:cs="Arial" w:eastAsia="Arial" w:hAnsi="Arial"/>
                <w:sz w:val="14"/>
                <w:szCs w:val="14"/>
                <w:color w:val="auto"/>
              </w:rPr>
              <w:t>45</w:t>
            </w:r>
          </w:p>
        </w:tc>
        <w:tc>
          <w:tcPr>
            <w:tcW w:w="3680" w:type="dxa"/>
            <w:vAlign w:val="bottom"/>
          </w:tcPr>
          <w:p>
            <w:pPr>
              <w:jc w:val="right"/>
              <w:spacing w:after="0"/>
              <w:rPr>
                <w:sz w:val="20"/>
                <w:szCs w:val="20"/>
                <w:color w:val="auto"/>
              </w:rPr>
            </w:pPr>
            <w:r>
              <w:rPr>
                <w:rFonts w:ascii="Arial" w:cs="Arial" w:eastAsia="Arial" w:hAnsi="Arial"/>
                <w:sz w:val="14"/>
                <w:szCs w:val="14"/>
                <w:i w:val="1"/>
                <w:iCs w:val="1"/>
                <w:color w:val="auto"/>
              </w:rPr>
              <w:t>Second Amended and Restated</w:t>
            </w:r>
          </w:p>
        </w:tc>
      </w:tr>
      <w:tr>
        <w:trPr>
          <w:trHeight w:val="182"/>
        </w:trPr>
        <w:tc>
          <w:tcPr>
            <w:tcW w:w="7580" w:type="dxa"/>
            <w:vAlign w:val="bottom"/>
          </w:tcPr>
          <w:p>
            <w:pPr>
              <w:spacing w:after="0"/>
              <w:rPr>
                <w:sz w:val="15"/>
                <w:szCs w:val="15"/>
                <w:color w:val="auto"/>
              </w:rPr>
            </w:pPr>
          </w:p>
        </w:tc>
        <w:tc>
          <w:tcPr>
            <w:tcW w:w="3680" w:type="dxa"/>
            <w:vAlign w:val="bottom"/>
          </w:tcPr>
          <w:p>
            <w:pPr>
              <w:jc w:val="right"/>
              <w:spacing w:after="0"/>
              <w:rPr>
                <w:sz w:val="20"/>
                <w:szCs w:val="20"/>
                <w:color w:val="auto"/>
              </w:rPr>
            </w:pPr>
            <w:r>
              <w:rPr>
                <w:rFonts w:ascii="Arial" w:cs="Arial" w:eastAsia="Arial" w:hAnsi="Arial"/>
                <w:sz w:val="14"/>
                <w:szCs w:val="14"/>
                <w:i w:val="1"/>
                <w:iCs w:val="1"/>
                <w:color w:val="auto"/>
              </w:rPr>
              <w:t>Revolving Credit Agreement</w:t>
            </w:r>
          </w:p>
        </w:tc>
      </w:tr>
      <w:tr>
        <w:trPr>
          <w:trHeight w:val="316"/>
        </w:trPr>
        <w:tc>
          <w:tcPr>
            <w:tcW w:w="7580" w:type="dxa"/>
            <w:vAlign w:val="bottom"/>
            <w:tcBorders>
              <w:bottom w:val="single" w:sz="8" w:color="9A9A9A"/>
            </w:tcBorders>
          </w:tcPr>
          <w:p>
            <w:pPr>
              <w:spacing w:after="0"/>
              <w:rPr>
                <w:sz w:val="24"/>
                <w:szCs w:val="24"/>
                <w:color w:val="auto"/>
              </w:rPr>
            </w:pPr>
          </w:p>
        </w:tc>
        <w:tc>
          <w:tcPr>
            <w:tcW w:w="368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7145655</wp:posOffset>
            </wp:positionH>
            <wp:positionV relativeFrom="paragraph">
              <wp:posOffset>-8255</wp:posOffset>
            </wp:positionV>
            <wp:extent cx="8255" cy="8890"/>
            <wp:wrapNone/>
            <wp:docPr id="195" name="Picture 1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5"/>
                    <pic:cNvPicPr>
                      <a:picLocks noChangeAspect="1" noChangeArrowheads="1"/>
                    </pic:cNvPicPr>
                  </pic:nvPicPr>
                  <pic:blipFill>
                    <a:blip r:embed="rId202">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-16510</wp:posOffset>
            </wp:positionV>
            <wp:extent cx="8890" cy="17145"/>
            <wp:wrapNone/>
            <wp:docPr id="196" name="Picture 1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6"/>
                    <pic:cNvPicPr>
                      <a:picLocks noChangeAspect="1" noChangeArrowheads="1"/>
                    </pic:cNvPicPr>
                  </pic:nvPicPr>
                  <pic:blipFill>
                    <a:blip r:embed="rId203">
                      <a:extLst>
                        <a:ext uri="{28A0092B-C50C-407E-A947-70E740481C1C}"/>
                      </a:extLst>
                    </a:blip>
                    <a:srcRect/>
                    <a:stretch>
                      <a:fillRect/>
                    </a:stretch>
                  </pic:blipFill>
                  <pic:spPr bwMode="auto">
                    <a:xfrm>
                      <a:off x="0" y="0"/>
                      <a:ext cx="8890" cy="17145"/>
                    </a:xfrm>
                    <a:prstGeom prst="rect">
                      <a:avLst/>
                    </a:prstGeom>
                    <a:noFill/>
                  </pic:spPr>
                </pic:pic>
              </a:graphicData>
            </a:graphic>
          </wp:anchor>
        </w:drawing>
      </w:r>
    </w:p>
    <w:p>
      <w:pPr>
        <w:sectPr>
          <w:pgSz w:w="11900" w:h="16838" w:orient="portrait"/>
          <w:cols w:equalWidth="0" w:num="1">
            <w:col w:w="11260"/>
          </w:cols>
          <w:pgMar w:left="320" w:top="337" w:right="319" w:bottom="1440" w:gutter="0" w:footer="0" w:header="0"/>
        </w:sectPr>
      </w:pPr>
    </w:p>
    <w:bookmarkStart w:id="108" w:name="page109"/>
    <w:bookmarkEnd w:id="108"/>
    <w:p>
      <w:pPr>
        <w:ind w:left="2600" w:right="80" w:firstLine="664"/>
        <w:spacing w:after="0" w:line="233" w:lineRule="auto"/>
        <w:tabs>
          <w:tab w:leader="none" w:pos="4080" w:val="left"/>
        </w:tabs>
        <w:numPr>
          <w:ilvl w:val="1"/>
          <w:numId w:val="121"/>
        </w:numPr>
        <w:rPr>
          <w:rFonts w:ascii="Arial" w:cs="Arial" w:eastAsia="Arial" w:hAnsi="Arial"/>
          <w:sz w:val="14"/>
          <w:szCs w:val="14"/>
          <w:color w:val="auto"/>
        </w:rPr>
      </w:pPr>
      <w:r>
        <w:rPr>
          <w:rFonts w:ascii="Arial" w:cs="Arial" w:eastAsia="Arial" w:hAnsi="Arial"/>
          <w:sz w:val="14"/>
          <w:szCs w:val="14"/>
          <w:color w:val="auto"/>
        </w:rPr>
        <w:t>except as set forth in clause (z) below, the Value of any such Portfolio Investment (i.e., a Portfolio Investment for which market quotations are not readily available) acquired during a fiscal quarter shall be deemed to be equal to the cost of such Portfolio Investment until such time as the fair market value of such Portfolio Investment is determined in accordance with the foregoing provisions of this sub-clause (B) as at the last day of such fiscal quarter;</w:t>
      </w:r>
    </w:p>
    <w:p>
      <w:pPr>
        <w:spacing w:after="0" w:line="184" w:lineRule="exact"/>
        <w:rPr>
          <w:rFonts w:ascii="Arial" w:cs="Arial" w:eastAsia="Arial" w:hAnsi="Arial"/>
          <w:sz w:val="14"/>
          <w:szCs w:val="14"/>
          <w:color w:val="auto"/>
        </w:rPr>
      </w:pPr>
    </w:p>
    <w:p>
      <w:pPr>
        <w:ind w:left="2600" w:right="20" w:firstLine="664"/>
        <w:spacing w:after="0" w:line="247" w:lineRule="auto"/>
        <w:tabs>
          <w:tab w:leader="none" w:pos="4080" w:val="left"/>
        </w:tabs>
        <w:numPr>
          <w:ilvl w:val="1"/>
          <w:numId w:val="121"/>
        </w:numPr>
        <w:rPr>
          <w:rFonts w:ascii="Arial" w:cs="Arial" w:eastAsia="Arial" w:hAnsi="Arial"/>
          <w:sz w:val="13"/>
          <w:szCs w:val="13"/>
          <w:color w:val="auto"/>
        </w:rPr>
      </w:pPr>
      <w:r>
        <w:rPr>
          <w:rFonts w:ascii="Arial" w:cs="Arial" w:eastAsia="Arial" w:hAnsi="Arial"/>
          <w:sz w:val="13"/>
          <w:szCs w:val="13"/>
          <w:color w:val="auto"/>
        </w:rPr>
        <w:t>notwithstanding the foregoing, the Board of Directors of the Borrower may, without the assistance of an Approved Third-Party Appraiser, determine the fair market value of such unquoted Portfolio Investments so long as the aggregate Value thereof so determined does not at any time exceed 10% of the aggregate Borrowing Base, except that the fair market value of any Portfolio Investment that has been determined without the assistance of an Approved Third-Party Appraiser as at the last day of any fiscal quarter or Testing Quarter shall be deemed to be zero as at the last day of the immediately succeeding fiscal quarter (but effective upon the date upon which the Borrowing Base Certificate for such last day is required to be delivered hereunder) if an Approved Third-Party Appraiser has not assisted the Board of Directors of the Borrower in determining the fair market value of such Portfolio Investments, as at such date; and</w:t>
      </w:r>
    </w:p>
    <w:p>
      <w:pPr>
        <w:spacing w:after="0" w:line="178" w:lineRule="exact"/>
        <w:rPr>
          <w:rFonts w:ascii="Arial" w:cs="Arial" w:eastAsia="Arial" w:hAnsi="Arial"/>
          <w:sz w:val="13"/>
          <w:szCs w:val="13"/>
          <w:color w:val="auto"/>
        </w:rPr>
      </w:pPr>
    </w:p>
    <w:p>
      <w:pPr>
        <w:ind w:left="2600" w:right="240" w:firstLine="664"/>
        <w:spacing w:after="0" w:line="227" w:lineRule="auto"/>
        <w:tabs>
          <w:tab w:leader="none" w:pos="4072" w:val="left"/>
        </w:tabs>
        <w:numPr>
          <w:ilvl w:val="1"/>
          <w:numId w:val="121"/>
        </w:numPr>
        <w:rPr>
          <w:rFonts w:ascii="Arial" w:cs="Arial" w:eastAsia="Arial" w:hAnsi="Arial"/>
          <w:sz w:val="14"/>
          <w:szCs w:val="14"/>
          <w:color w:val="auto"/>
        </w:rPr>
      </w:pPr>
      <w:r>
        <w:rPr>
          <w:rFonts w:ascii="Arial" w:cs="Arial" w:eastAsia="Arial" w:hAnsi="Arial"/>
          <w:sz w:val="14"/>
          <w:szCs w:val="14"/>
          <w:color w:val="auto"/>
        </w:rPr>
        <w:t>the Value, at the end of any fiscal quarter, of any such Portfolio Investment (i.e., a Portfolio Investment for which market quotations are not readily available) that was acquired within thirty (30) days of the end of such fiscal quarter (collectively, the “Market Value Investments”) shall be deemed to be equal to the cost of such Portfolio Investment.</w:t>
      </w:r>
    </w:p>
    <w:p>
      <w:pPr>
        <w:jc w:val="both"/>
        <w:ind w:left="1740" w:right="20" w:firstLine="726"/>
        <w:spacing w:after="0" w:line="243" w:lineRule="auto"/>
        <w:tabs>
          <w:tab w:leader="none" w:pos="3311" w:val="left"/>
        </w:tabs>
        <w:numPr>
          <w:ilvl w:val="0"/>
          <w:numId w:val="122"/>
        </w:numPr>
        <w:rPr>
          <w:rFonts w:ascii="Arial" w:cs="Arial" w:eastAsia="Arial" w:hAnsi="Arial"/>
          <w:sz w:val="13"/>
          <w:szCs w:val="13"/>
          <w:color w:val="auto"/>
        </w:rPr>
      </w:pPr>
      <w:r>
        <w:rPr>
          <w:rFonts w:ascii="Arial" w:cs="Arial" w:eastAsia="Arial" w:hAnsi="Arial"/>
          <w:sz w:val="13"/>
          <w:szCs w:val="13"/>
          <w:u w:val="single" w:color="auto"/>
          <w:color w:val="auto"/>
        </w:rPr>
        <w:t>Internal Review</w:t>
      </w:r>
      <w:r>
        <w:rPr>
          <w:rFonts w:ascii="Arial" w:cs="Arial" w:eastAsia="Arial" w:hAnsi="Arial"/>
          <w:sz w:val="13"/>
          <w:szCs w:val="13"/>
          <w:color w:val="auto"/>
        </w:rPr>
        <w:t xml:space="preserve">. The Borrower shall conduct internal reviews of all Portfolio Investments at least once each calendar week which shall take into account any events of which any Responsible Officer of the Borrower has knowledge that adversely affect the value of the Portfolio Investments. If the value of any Portfolio Investment as most recently determined by the Borrower pursuant to this </w:t>
      </w:r>
      <w:r>
        <w:rPr>
          <w:rFonts w:ascii="Arial" w:cs="Arial" w:eastAsia="Arial" w:hAnsi="Arial"/>
          <w:sz w:val="13"/>
          <w:szCs w:val="13"/>
          <w:u w:val="single" w:color="auto"/>
          <w:color w:val="auto"/>
        </w:rPr>
        <w:t>Section 5.12(b)(ii)(C)</w:t>
      </w:r>
      <w:r>
        <w:rPr>
          <w:rFonts w:ascii="Arial" w:cs="Arial" w:eastAsia="Arial" w:hAnsi="Arial"/>
          <w:sz w:val="13"/>
          <w:szCs w:val="13"/>
          <w:color w:val="auto"/>
        </w:rPr>
        <w:t xml:space="preserve"> is lower than the value of such Portfolio Investment as most recently determined pursuant to </w:t>
      </w:r>
      <w:r>
        <w:rPr>
          <w:rFonts w:ascii="Arial" w:cs="Arial" w:eastAsia="Arial" w:hAnsi="Arial"/>
          <w:sz w:val="13"/>
          <w:szCs w:val="13"/>
          <w:u w:val="single" w:color="auto"/>
          <w:color w:val="auto"/>
        </w:rPr>
        <w:t>Section 5.12(b)(ii)(A)</w:t>
      </w:r>
      <w:r>
        <w:rPr>
          <w:rFonts w:ascii="Arial" w:cs="Arial" w:eastAsia="Arial" w:hAnsi="Arial"/>
          <w:sz w:val="13"/>
          <w:szCs w:val="13"/>
          <w:color w:val="auto"/>
        </w:rPr>
        <w:t xml:space="preserve"> and </w:t>
      </w:r>
      <w:r>
        <w:rPr>
          <w:rFonts w:ascii="Arial" w:cs="Arial" w:eastAsia="Arial" w:hAnsi="Arial"/>
          <w:sz w:val="13"/>
          <w:szCs w:val="13"/>
          <w:u w:val="single" w:color="auto"/>
          <w:color w:val="auto"/>
        </w:rPr>
        <w:t>(B)</w:t>
      </w:r>
      <w:r>
        <w:rPr>
          <w:rFonts w:ascii="Arial" w:cs="Arial" w:eastAsia="Arial" w:hAnsi="Arial"/>
          <w:sz w:val="13"/>
          <w:szCs w:val="13"/>
          <w:color w:val="auto"/>
        </w:rPr>
        <w:t xml:space="preserve">, such lower value shall be deemed to be the “Value” of such Portfolio Investment for purposes hereof; </w:t>
      </w:r>
      <w:r>
        <w:rPr>
          <w:rFonts w:ascii="Arial" w:cs="Arial" w:eastAsia="Arial" w:hAnsi="Arial"/>
          <w:sz w:val="13"/>
          <w:szCs w:val="13"/>
          <w:u w:val="single" w:color="auto"/>
          <w:color w:val="auto"/>
        </w:rPr>
        <w:t>provided</w:t>
      </w:r>
      <w:r>
        <w:rPr>
          <w:rFonts w:ascii="Arial" w:cs="Arial" w:eastAsia="Arial" w:hAnsi="Arial"/>
          <w:sz w:val="13"/>
          <w:szCs w:val="13"/>
          <w:color w:val="auto"/>
        </w:rPr>
        <w:t xml:space="preserve"> that the Value of any Portfolio Investment of the Borrower and its Subsidiaries shall be increased by the net unrealized gain as at the date such Value is determined of any Hedging Agreement entered into to hedge risks associated with such Portfolio Investment and reduced by the net unrealized loss as at such date of any such Hedging Agreement (such net unrealized gain or net unrealized loss, on any date, to be equal to the aggregate amount receivable or payable under the related Hedging Agreement if the same were terminated on such date).</w:t>
      </w:r>
    </w:p>
    <w:p>
      <w:pPr>
        <w:spacing w:after="0" w:line="181" w:lineRule="exact"/>
        <w:rPr>
          <w:rFonts w:ascii="Arial" w:cs="Arial" w:eastAsia="Arial" w:hAnsi="Arial"/>
          <w:sz w:val="13"/>
          <w:szCs w:val="13"/>
          <w:color w:val="auto"/>
        </w:rPr>
      </w:pPr>
    </w:p>
    <w:p>
      <w:pPr>
        <w:ind w:left="1740" w:right="20" w:firstLine="726"/>
        <w:spacing w:after="0" w:line="253" w:lineRule="auto"/>
        <w:tabs>
          <w:tab w:leader="none" w:pos="3318" w:val="left"/>
        </w:tabs>
        <w:numPr>
          <w:ilvl w:val="0"/>
          <w:numId w:val="122"/>
        </w:numPr>
        <w:rPr>
          <w:rFonts w:ascii="Arial" w:cs="Arial" w:eastAsia="Arial" w:hAnsi="Arial"/>
          <w:sz w:val="14"/>
          <w:szCs w:val="14"/>
          <w:color w:val="auto"/>
        </w:rPr>
      </w:pPr>
      <w:r>
        <w:rPr>
          <w:rFonts w:ascii="Arial" w:cs="Arial" w:eastAsia="Arial" w:hAnsi="Arial"/>
          <w:sz w:val="14"/>
          <w:szCs w:val="14"/>
          <w:u w:val="single" w:color="auto"/>
          <w:color w:val="auto"/>
        </w:rPr>
        <w:t>Failure to Determine Values</w:t>
      </w:r>
      <w:r>
        <w:rPr>
          <w:rFonts w:ascii="Arial" w:cs="Arial" w:eastAsia="Arial" w:hAnsi="Arial"/>
          <w:sz w:val="14"/>
          <w:szCs w:val="14"/>
          <w:color w:val="auto"/>
        </w:rPr>
        <w:t xml:space="preserve">. If the Borrower shall fail to determine the value of any Portfolio Investment as at any date pursuant to the requirements of the foregoing </w:t>
      </w:r>
      <w:r>
        <w:rPr>
          <w:rFonts w:ascii="Arial" w:cs="Arial" w:eastAsia="Arial" w:hAnsi="Arial"/>
          <w:sz w:val="14"/>
          <w:szCs w:val="14"/>
          <w:u w:val="single" w:color="auto"/>
          <w:color w:val="auto"/>
        </w:rPr>
        <w:t>sub-clauses (A)</w:t>
      </w:r>
      <w:r>
        <w:rPr>
          <w:rFonts w:ascii="Arial" w:cs="Arial" w:eastAsia="Arial" w:hAnsi="Arial"/>
          <w:sz w:val="14"/>
          <w:szCs w:val="14"/>
          <w:color w:val="auto"/>
        </w:rPr>
        <w:t xml:space="preserve">, </w:t>
      </w:r>
      <w:r>
        <w:rPr>
          <w:rFonts w:ascii="Arial" w:cs="Arial" w:eastAsia="Arial" w:hAnsi="Arial"/>
          <w:sz w:val="14"/>
          <w:szCs w:val="14"/>
          <w:u w:val="single" w:color="auto"/>
          <w:color w:val="auto"/>
        </w:rPr>
        <w:t>(B)</w:t>
      </w:r>
      <w:r>
        <w:rPr>
          <w:rFonts w:ascii="Arial" w:cs="Arial" w:eastAsia="Arial" w:hAnsi="Arial"/>
          <w:sz w:val="14"/>
          <w:szCs w:val="14"/>
          <w:color w:val="auto"/>
        </w:rPr>
        <w:t xml:space="preserve"> or </w:t>
      </w:r>
      <w:r>
        <w:rPr>
          <w:rFonts w:ascii="Arial" w:cs="Arial" w:eastAsia="Arial" w:hAnsi="Arial"/>
          <w:sz w:val="14"/>
          <w:szCs w:val="14"/>
          <w:u w:val="single" w:color="auto"/>
          <w:color w:val="auto"/>
        </w:rPr>
        <w:t>(C)</w:t>
      </w:r>
      <w:r>
        <w:rPr>
          <w:rFonts w:ascii="Arial" w:cs="Arial" w:eastAsia="Arial" w:hAnsi="Arial"/>
          <w:sz w:val="14"/>
          <w:szCs w:val="14"/>
          <w:color w:val="auto"/>
        </w:rPr>
        <w:t>, then the “Value” of such Portfolio Investment as at such date shall be deemed to be zero.</w:t>
      </w:r>
    </w:p>
    <w:p>
      <w:pPr>
        <w:spacing w:after="0" w:line="173" w:lineRule="exact"/>
        <w:rPr>
          <w:rFonts w:ascii="Arial" w:cs="Arial" w:eastAsia="Arial" w:hAnsi="Arial"/>
          <w:sz w:val="14"/>
          <w:szCs w:val="14"/>
          <w:color w:val="auto"/>
        </w:rPr>
      </w:pPr>
    </w:p>
    <w:p>
      <w:pPr>
        <w:ind w:left="3300" w:hanging="834"/>
        <w:spacing w:after="0"/>
        <w:tabs>
          <w:tab w:leader="none" w:pos="3300" w:val="left"/>
        </w:tabs>
        <w:numPr>
          <w:ilvl w:val="0"/>
          <w:numId w:val="122"/>
        </w:numPr>
        <w:rPr>
          <w:rFonts w:ascii="Arial" w:cs="Arial" w:eastAsia="Arial" w:hAnsi="Arial"/>
          <w:sz w:val="14"/>
          <w:szCs w:val="14"/>
          <w:color w:val="auto"/>
        </w:rPr>
      </w:pPr>
      <w:r>
        <w:rPr>
          <w:rFonts w:ascii="Arial" w:cs="Arial" w:eastAsia="Arial" w:hAnsi="Arial"/>
          <w:sz w:val="14"/>
          <w:szCs w:val="14"/>
          <w:u w:val="single" w:color="auto"/>
          <w:color w:val="auto"/>
        </w:rPr>
        <w:t>Testing of Values</w:t>
      </w:r>
      <w:r>
        <w:rPr>
          <w:rFonts w:ascii="Arial" w:cs="Arial" w:eastAsia="Arial" w:hAnsi="Arial"/>
          <w:sz w:val="14"/>
          <w:szCs w:val="14"/>
          <w:color w:val="auto"/>
        </w:rPr>
        <w:t>.</w:t>
      </w:r>
    </w:p>
    <w:p>
      <w:pPr>
        <w:spacing w:after="0" w:line="203" w:lineRule="exact"/>
        <w:rPr>
          <w:rFonts w:ascii="Arial" w:cs="Arial" w:eastAsia="Arial" w:hAnsi="Arial"/>
          <w:sz w:val="14"/>
          <w:szCs w:val="14"/>
          <w:color w:val="auto"/>
        </w:rPr>
      </w:pPr>
    </w:p>
    <w:p>
      <w:pPr>
        <w:ind w:left="2600" w:right="20" w:firstLine="664"/>
        <w:spacing w:after="0" w:line="228" w:lineRule="auto"/>
        <w:tabs>
          <w:tab w:leader="none" w:pos="4116" w:val="left"/>
        </w:tabs>
        <w:numPr>
          <w:ilvl w:val="1"/>
          <w:numId w:val="122"/>
        </w:numPr>
        <w:rPr>
          <w:rFonts w:ascii="Arial" w:cs="Arial" w:eastAsia="Arial" w:hAnsi="Arial"/>
          <w:sz w:val="14"/>
          <w:szCs w:val="14"/>
          <w:color w:val="auto"/>
        </w:rPr>
      </w:pPr>
      <w:r>
        <w:rPr>
          <w:rFonts w:ascii="Arial" w:cs="Arial" w:eastAsia="Arial" w:hAnsi="Arial"/>
          <w:sz w:val="14"/>
          <w:szCs w:val="14"/>
          <w:color w:val="auto"/>
        </w:rPr>
        <w:t>For the second calendar month immediately following the end of each fiscal quarter (the last such fiscal quarter is referred to herein as, the “Testing Quarter”), the Administrative Agent shall cause an Approved Third-Party Appraiser selected by the Administrative Agent to value such number of Unquoted Investments (selected by the Administrative Agent) that collectively have an aggregate Value approximately equal to the Calculation Amount. The Administrative Agent agrees to notify the Borrower of the Unquoted Investments selected by the Administrative Agent to be tested in each Testing Quarter. If there is a difference between the Borrower’s valuation and the Approved Third-Party Appraiser’s valuation of any Unquoted Investment, the Value of such Unquoted Investment for Borrowing Base purposes shall be established as set forth in the third sentence of sub-clause (F) below.</w:t>
      </w:r>
    </w:p>
    <w:p>
      <w:pPr>
        <w:spacing w:after="0" w:line="184" w:lineRule="exact"/>
        <w:rPr>
          <w:rFonts w:ascii="Arial" w:cs="Arial" w:eastAsia="Arial" w:hAnsi="Arial"/>
          <w:sz w:val="14"/>
          <w:szCs w:val="14"/>
          <w:color w:val="auto"/>
        </w:rPr>
      </w:pPr>
    </w:p>
    <w:p>
      <w:pPr>
        <w:ind w:left="2600" w:right="40" w:firstLine="664"/>
        <w:spacing w:after="0" w:line="243" w:lineRule="auto"/>
        <w:tabs>
          <w:tab w:leader="none" w:pos="4080" w:val="left"/>
        </w:tabs>
        <w:numPr>
          <w:ilvl w:val="1"/>
          <w:numId w:val="122"/>
        </w:numPr>
        <w:rPr>
          <w:rFonts w:ascii="Arial" w:cs="Arial" w:eastAsia="Arial" w:hAnsi="Arial"/>
          <w:sz w:val="13"/>
          <w:szCs w:val="13"/>
          <w:color w:val="auto"/>
        </w:rPr>
      </w:pPr>
      <w:r>
        <w:rPr>
          <w:rFonts w:ascii="Arial" w:cs="Arial" w:eastAsia="Arial" w:hAnsi="Arial"/>
          <w:sz w:val="13"/>
          <w:szCs w:val="13"/>
          <w:color w:val="auto"/>
        </w:rPr>
        <w:t>For the avoidance of doubt, the valuation of any Approved Third-Party Appraiser selected by the Administrative Agent would not be as of, or delivered at, the end of any fiscal quarter. Any such valuation would be as of the end of the second month immediately following any fiscal quarter (the “Administrative Agent Appraisal Testing Month”) and would be reflected in the Borrowing Base Certificate for such month (provided that such Approved Third-Party Appraiser delivers such valuation at least seven (7) Business Days before the 20th day after the end of the applicable monthly accounting period and, if such valuation is delivered after such time, it shall be included in the Borrowing Base Certificate for the following monthly period and applied to the then applicable balance of the related Portfolio Investment). For illustrative purposes, if the given fiscal quarter is the fourth quarter ending on December 31, 2014, then (A) the Administrative Agent would initiate the testing of Values (using the December 31, 2014 Calculation Amount for purposes of determining the scope of the testing under clauses (E)(x) during the month of February with the anticipation of receiving the valuations from the applicable Approved Third-Party Appraiser(s) on or after February 28, 2015 and (B)(xx) if such valuations were received before the 7th Business Day before March 20, 2015, such valuations would be included in the March 20, 2015 Borrowing Base Certificate covering the month of February, or (yy) if such valuations were received after such time, they would be included in the April 20, 2015 Borrowing Base Certificate for the month of March.</w:t>
      </w:r>
    </w:p>
    <w:p>
      <w:pPr>
        <w:spacing w:after="0" w:line="182" w:lineRule="exact"/>
        <w:rPr>
          <w:sz w:val="20"/>
          <w:szCs w:val="20"/>
          <w:color w:val="auto"/>
        </w:rPr>
      </w:pPr>
    </w:p>
    <w:p>
      <w:pPr>
        <w:ind w:left="2600" w:right="240"/>
        <w:spacing w:after="0" w:line="253" w:lineRule="auto"/>
        <w:rPr>
          <w:sz w:val="20"/>
          <w:szCs w:val="20"/>
          <w:color w:val="auto"/>
        </w:rPr>
      </w:pPr>
      <w:r>
        <w:rPr>
          <w:rFonts w:ascii="Arial" w:cs="Arial" w:eastAsia="Arial" w:hAnsi="Arial"/>
          <w:sz w:val="14"/>
          <w:szCs w:val="14"/>
          <w:color w:val="auto"/>
        </w:rPr>
        <w:t>For the avoidance of doubt, all calculations of value pursuant to this Section 5.12(b)(ii)(E) shall be determined without application of the Advance Rates.</w:t>
      </w:r>
    </w:p>
    <w:p>
      <w:pPr>
        <w:spacing w:after="0" w:line="200" w:lineRule="exact"/>
        <w:rPr>
          <w:sz w:val="20"/>
          <w:szCs w:val="20"/>
          <w:color w:val="auto"/>
        </w:rPr>
      </w:pPr>
    </w:p>
    <w:p>
      <w:pPr>
        <w:spacing w:after="0" w:line="39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7580" w:type="dxa"/>
            <w:vAlign w:val="bottom"/>
          </w:tcPr>
          <w:p>
            <w:pPr>
              <w:jc w:val="right"/>
              <w:ind w:right="1808"/>
              <w:spacing w:after="0"/>
              <w:rPr>
                <w:sz w:val="20"/>
                <w:szCs w:val="20"/>
                <w:color w:val="auto"/>
              </w:rPr>
            </w:pPr>
            <w:r>
              <w:rPr>
                <w:rFonts w:ascii="Arial" w:cs="Arial" w:eastAsia="Arial" w:hAnsi="Arial"/>
                <w:sz w:val="14"/>
                <w:szCs w:val="14"/>
                <w:color w:val="auto"/>
              </w:rPr>
              <w:t>46</w:t>
            </w:r>
          </w:p>
        </w:tc>
        <w:tc>
          <w:tcPr>
            <w:tcW w:w="3680" w:type="dxa"/>
            <w:vAlign w:val="bottom"/>
          </w:tcPr>
          <w:p>
            <w:pPr>
              <w:jc w:val="right"/>
              <w:spacing w:after="0"/>
              <w:rPr>
                <w:sz w:val="20"/>
                <w:szCs w:val="20"/>
                <w:color w:val="auto"/>
              </w:rPr>
            </w:pPr>
            <w:r>
              <w:rPr>
                <w:rFonts w:ascii="Arial" w:cs="Arial" w:eastAsia="Arial" w:hAnsi="Arial"/>
                <w:sz w:val="14"/>
                <w:szCs w:val="14"/>
                <w:i w:val="1"/>
                <w:iCs w:val="1"/>
                <w:color w:val="auto"/>
              </w:rPr>
              <w:t>Second Amended and Restated</w:t>
            </w:r>
          </w:p>
        </w:tc>
      </w:tr>
      <w:tr>
        <w:trPr>
          <w:trHeight w:val="182"/>
        </w:trPr>
        <w:tc>
          <w:tcPr>
            <w:tcW w:w="7580" w:type="dxa"/>
            <w:vAlign w:val="bottom"/>
          </w:tcPr>
          <w:p>
            <w:pPr>
              <w:spacing w:after="0"/>
              <w:rPr>
                <w:sz w:val="15"/>
                <w:szCs w:val="15"/>
                <w:color w:val="auto"/>
              </w:rPr>
            </w:pPr>
          </w:p>
        </w:tc>
        <w:tc>
          <w:tcPr>
            <w:tcW w:w="3680" w:type="dxa"/>
            <w:vAlign w:val="bottom"/>
          </w:tcPr>
          <w:p>
            <w:pPr>
              <w:jc w:val="right"/>
              <w:spacing w:after="0"/>
              <w:rPr>
                <w:sz w:val="20"/>
                <w:szCs w:val="20"/>
                <w:color w:val="auto"/>
              </w:rPr>
            </w:pPr>
            <w:r>
              <w:rPr>
                <w:rFonts w:ascii="Arial" w:cs="Arial" w:eastAsia="Arial" w:hAnsi="Arial"/>
                <w:sz w:val="14"/>
                <w:szCs w:val="14"/>
                <w:i w:val="1"/>
                <w:iCs w:val="1"/>
                <w:color w:val="auto"/>
              </w:rPr>
              <w:t>Revolving Credit Agreement</w:t>
            </w:r>
          </w:p>
        </w:tc>
      </w:tr>
      <w:tr>
        <w:trPr>
          <w:trHeight w:val="316"/>
        </w:trPr>
        <w:tc>
          <w:tcPr>
            <w:tcW w:w="7580" w:type="dxa"/>
            <w:vAlign w:val="bottom"/>
            <w:tcBorders>
              <w:bottom w:val="single" w:sz="8" w:color="9A9A9A"/>
            </w:tcBorders>
          </w:tcPr>
          <w:p>
            <w:pPr>
              <w:spacing w:after="0"/>
              <w:rPr>
                <w:sz w:val="24"/>
                <w:szCs w:val="24"/>
                <w:color w:val="auto"/>
              </w:rPr>
            </w:pPr>
          </w:p>
        </w:tc>
        <w:tc>
          <w:tcPr>
            <w:tcW w:w="368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7145655</wp:posOffset>
            </wp:positionH>
            <wp:positionV relativeFrom="paragraph">
              <wp:posOffset>-8255</wp:posOffset>
            </wp:positionV>
            <wp:extent cx="8255" cy="8890"/>
            <wp:wrapNone/>
            <wp:docPr id="197" name="Picture 1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7"/>
                    <pic:cNvPicPr>
                      <a:picLocks noChangeAspect="1" noChangeArrowheads="1"/>
                    </pic:cNvPicPr>
                  </pic:nvPicPr>
                  <pic:blipFill>
                    <a:blip r:embed="rId204">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-16510</wp:posOffset>
            </wp:positionV>
            <wp:extent cx="8890" cy="17145"/>
            <wp:wrapNone/>
            <wp:docPr id="198" name="Picture 1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8"/>
                    <pic:cNvPicPr>
                      <a:picLocks noChangeAspect="1" noChangeArrowheads="1"/>
                    </pic:cNvPicPr>
                  </pic:nvPicPr>
                  <pic:blipFill>
                    <a:blip r:embed="rId205">
                      <a:extLst>
                        <a:ext uri="{28A0092B-C50C-407E-A947-70E740481C1C}"/>
                      </a:extLst>
                    </a:blip>
                    <a:srcRect/>
                    <a:stretch>
                      <a:fillRect/>
                    </a:stretch>
                  </pic:blipFill>
                  <pic:spPr bwMode="auto">
                    <a:xfrm>
                      <a:off x="0" y="0"/>
                      <a:ext cx="8890" cy="17145"/>
                    </a:xfrm>
                    <a:prstGeom prst="rect">
                      <a:avLst/>
                    </a:prstGeom>
                    <a:noFill/>
                  </pic:spPr>
                </pic:pic>
              </a:graphicData>
            </a:graphic>
          </wp:anchor>
        </w:drawing>
      </w:r>
    </w:p>
    <w:p>
      <w:pPr>
        <w:sectPr>
          <w:pgSz w:w="11900" w:h="16838" w:orient="portrait"/>
          <w:cols w:equalWidth="0" w:num="1">
            <w:col w:w="11260"/>
          </w:cols>
          <w:pgMar w:left="320" w:top="553" w:right="319" w:bottom="1440" w:gutter="0" w:footer="0" w:header="0"/>
        </w:sectPr>
      </w:pPr>
    </w:p>
    <w:bookmarkStart w:id="109" w:name="page110"/>
    <w:bookmarkEnd w:id="109"/>
    <w:p>
      <w:pPr>
        <w:jc w:val="both"/>
        <w:ind w:left="1740" w:right="20" w:firstLine="726"/>
        <w:spacing w:after="0" w:line="241" w:lineRule="auto"/>
        <w:tabs>
          <w:tab w:leader="none" w:pos="3295" w:val="left"/>
        </w:tabs>
        <w:numPr>
          <w:ilvl w:val="1"/>
          <w:numId w:val="123"/>
        </w:numPr>
        <w:rPr>
          <w:rFonts w:ascii="Arial" w:cs="Arial" w:eastAsia="Arial" w:hAnsi="Arial"/>
          <w:sz w:val="13"/>
          <w:szCs w:val="13"/>
          <w:color w:val="auto"/>
        </w:rPr>
      </w:pPr>
      <w:r>
        <w:rPr>
          <w:rFonts w:ascii="Arial" w:cs="Arial" w:eastAsia="Arial" w:hAnsi="Arial"/>
          <w:sz w:val="13"/>
          <w:szCs w:val="13"/>
          <w:u w:val="single" w:color="auto"/>
          <w:color w:val="auto"/>
        </w:rPr>
        <w:t>Valuation Dispute Resolution</w:t>
      </w:r>
      <w:r>
        <w:rPr>
          <w:rFonts w:ascii="Arial" w:cs="Arial" w:eastAsia="Arial" w:hAnsi="Arial"/>
          <w:sz w:val="13"/>
          <w:szCs w:val="13"/>
          <w:color w:val="auto"/>
        </w:rPr>
        <w:t xml:space="preserve">. Notwithstanding the foregoing, the Administrative Agent shall at any time have the right to request any Portfolio Investment with a value assigned by the Borrower pursuant to </w:t>
      </w:r>
      <w:r>
        <w:rPr>
          <w:rFonts w:ascii="Arial" w:cs="Arial" w:eastAsia="Arial" w:hAnsi="Arial"/>
          <w:sz w:val="13"/>
          <w:szCs w:val="13"/>
          <w:u w:val="single" w:color="auto"/>
          <w:color w:val="auto"/>
        </w:rPr>
        <w:t>Section 5.12(b)(ii)(B)</w:t>
      </w:r>
      <w:r>
        <w:rPr>
          <w:rFonts w:ascii="Arial" w:cs="Arial" w:eastAsia="Arial" w:hAnsi="Arial"/>
          <w:sz w:val="13"/>
          <w:szCs w:val="13"/>
          <w:color w:val="auto"/>
        </w:rPr>
        <w:t xml:space="preserve"> be independently valued by an Approved Third-Party Appraiser retained by the Administrative Agent. There shall be no limit on the number of such appraisals requested by the Administrative Agent and the reasonable and documented out-of-pocket costs of any such valuation shall be at the expense of the Borrower; </w:t>
      </w:r>
      <w:r>
        <w:rPr>
          <w:rFonts w:ascii="Arial" w:cs="Arial" w:eastAsia="Arial" w:hAnsi="Arial"/>
          <w:sz w:val="13"/>
          <w:szCs w:val="13"/>
          <w:u w:val="single" w:color="auto"/>
          <w:color w:val="auto"/>
        </w:rPr>
        <w:t>provided</w:t>
      </w:r>
      <w:r>
        <w:rPr>
          <w:rFonts w:ascii="Arial" w:cs="Arial" w:eastAsia="Arial" w:hAnsi="Arial"/>
          <w:sz w:val="13"/>
          <w:szCs w:val="13"/>
          <w:color w:val="auto"/>
        </w:rPr>
        <w:t xml:space="preserve"> that (x) the applicable Approved Third-Party Appraiser shall use commercially reasonable efforts to ensure that an appraisal shall be conducted in a manner that is not disruptive to the Borrower’s business, (y) the values determined by any appraisal shall be treated as confidential information by the Administrative Agent and the Lenders and shall be deemed to be “Information” hereunder and subject to </w:t>
      </w:r>
      <w:r>
        <w:rPr>
          <w:rFonts w:ascii="Arial" w:cs="Arial" w:eastAsia="Arial" w:hAnsi="Arial"/>
          <w:sz w:val="13"/>
          <w:szCs w:val="13"/>
          <w:u w:val="single" w:color="auto"/>
          <w:color w:val="auto"/>
        </w:rPr>
        <w:t>Section 9.13</w:t>
      </w:r>
      <w:r>
        <w:rPr>
          <w:rFonts w:ascii="Arial" w:cs="Arial" w:eastAsia="Arial" w:hAnsi="Arial"/>
          <w:sz w:val="13"/>
          <w:szCs w:val="13"/>
          <w:color w:val="auto"/>
        </w:rPr>
        <w:t xml:space="preserve"> and (z) unless an Event of Default has occurred and is continuing, the Borrower’s obligation to reimburse valuation costs pursuant to this supplemental testing shall be limited to the greater of (i) $200,000 and (ii) 0.05% of the total amount of the Commitments, per annum. The Administrative Agent shall notify the Borrower of its receipt of the results of any appraisal under this </w:t>
      </w:r>
      <w:r>
        <w:rPr>
          <w:rFonts w:ascii="Arial" w:cs="Arial" w:eastAsia="Arial" w:hAnsi="Arial"/>
          <w:sz w:val="13"/>
          <w:szCs w:val="13"/>
          <w:u w:val="single" w:color="auto"/>
          <w:color w:val="auto"/>
        </w:rPr>
        <w:t>clause (F)</w:t>
      </w:r>
      <w:r>
        <w:rPr>
          <w:rFonts w:ascii="Arial" w:cs="Arial" w:eastAsia="Arial" w:hAnsi="Arial"/>
          <w:sz w:val="13"/>
          <w:szCs w:val="13"/>
          <w:color w:val="auto"/>
        </w:rPr>
        <w:t xml:space="preserve"> from the applicable Approved Third-Party Appraiser and provide a copy of such results and any related reports to the Borrower. If the difference between the Borrower’s valuation pursuant to </w:t>
      </w:r>
      <w:r>
        <w:rPr>
          <w:rFonts w:ascii="Arial" w:cs="Arial" w:eastAsia="Arial" w:hAnsi="Arial"/>
          <w:sz w:val="13"/>
          <w:szCs w:val="13"/>
          <w:u w:val="single" w:color="auto"/>
          <w:color w:val="auto"/>
        </w:rPr>
        <w:t>Section 5.12(b)</w:t>
      </w:r>
      <w:r>
        <w:rPr>
          <w:rFonts w:ascii="Arial" w:cs="Arial" w:eastAsia="Arial" w:hAnsi="Arial"/>
          <w:sz w:val="13"/>
          <w:szCs w:val="13"/>
          <w:color w:val="auto"/>
        </w:rPr>
        <w:t xml:space="preserve"> </w:t>
      </w:r>
      <w:r>
        <w:rPr>
          <w:rFonts w:ascii="Arial" w:cs="Arial" w:eastAsia="Arial" w:hAnsi="Arial"/>
          <w:sz w:val="13"/>
          <w:szCs w:val="13"/>
          <w:u w:val="single" w:color="auto"/>
          <w:color w:val="auto"/>
        </w:rPr>
        <w:t>(ii)(B)</w:t>
      </w:r>
      <w:r>
        <w:rPr>
          <w:rFonts w:ascii="Arial" w:cs="Arial" w:eastAsia="Arial" w:hAnsi="Arial"/>
          <w:sz w:val="13"/>
          <w:szCs w:val="13"/>
          <w:color w:val="auto"/>
        </w:rPr>
        <w:t xml:space="preserve"> and the valuation of any Approved Third-Party Appraiser retained by the Administrative Agent pursuant to </w:t>
      </w:r>
      <w:r>
        <w:rPr>
          <w:rFonts w:ascii="Arial" w:cs="Arial" w:eastAsia="Arial" w:hAnsi="Arial"/>
          <w:sz w:val="13"/>
          <w:szCs w:val="13"/>
          <w:u w:val="single" w:color="auto"/>
          <w:color w:val="auto"/>
        </w:rPr>
        <w:t>Section 5.12(b)(ii)(E)</w:t>
      </w:r>
      <w:r>
        <w:rPr>
          <w:rFonts w:ascii="Arial" w:cs="Arial" w:eastAsia="Arial" w:hAnsi="Arial"/>
          <w:sz w:val="13"/>
          <w:szCs w:val="13"/>
          <w:color w:val="auto"/>
        </w:rPr>
        <w:t xml:space="preserve"> or </w:t>
      </w:r>
      <w:r>
        <w:rPr>
          <w:rFonts w:ascii="Arial" w:cs="Arial" w:eastAsia="Arial" w:hAnsi="Arial"/>
          <w:sz w:val="13"/>
          <w:szCs w:val="13"/>
          <w:u w:val="single" w:color="auto"/>
          <w:color w:val="auto"/>
        </w:rPr>
        <w:t>(F)</w:t>
      </w:r>
      <w:r>
        <w:rPr>
          <w:rFonts w:ascii="Arial" w:cs="Arial" w:eastAsia="Arial" w:hAnsi="Arial"/>
          <w:sz w:val="13"/>
          <w:szCs w:val="13"/>
          <w:color w:val="auto"/>
        </w:rPr>
        <w:t xml:space="preserve"> is (1) less than 5% of the value thereof, then the Borrower’s valuation shall be used, (2) between 5% and 20% of the value thereof, then the valuation of such Portfolio Investment shall be the average of the value determined by the Borrower and the value determined by the Approved Third-Party Appraiser retained by the Administrative Agent and (3) greater than 20% of the value thereof, then the Borrower and the Administrative Agent shall retain an additional Approved Third-Party Appraiser and the valuation of such Portfolio Investment shall be the average of the three valuations (with the Administrative Agent’s Approved Third-Party Appraiser’s valuation to be used until the third valuation is obtained). For the avoidance of doubt, such supplemental values shall be applicable only to and used only for determining value under this Agreement and shall not be deemed fair value of such asset under ASC 820 for purposes of the Borrower’s financial statements, the Investment Company Act or otherwise.</w:t>
      </w:r>
    </w:p>
    <w:p>
      <w:pPr>
        <w:spacing w:after="0" w:line="186" w:lineRule="exact"/>
        <w:rPr>
          <w:rFonts w:ascii="Arial" w:cs="Arial" w:eastAsia="Arial" w:hAnsi="Arial"/>
          <w:sz w:val="13"/>
          <w:szCs w:val="13"/>
          <w:color w:val="auto"/>
        </w:rPr>
      </w:pPr>
    </w:p>
    <w:p>
      <w:pPr>
        <w:jc w:val="both"/>
        <w:ind w:right="20" w:firstLine="1735"/>
        <w:spacing w:after="0" w:line="233" w:lineRule="auto"/>
        <w:tabs>
          <w:tab w:leader="none" w:pos="2535" w:val="left"/>
        </w:tabs>
        <w:numPr>
          <w:ilvl w:val="0"/>
          <w:numId w:val="124"/>
        </w:numPr>
        <w:rPr>
          <w:rFonts w:ascii="Arial" w:cs="Arial" w:eastAsia="Arial" w:hAnsi="Arial"/>
          <w:sz w:val="14"/>
          <w:szCs w:val="14"/>
          <w:color w:val="auto"/>
        </w:rPr>
      </w:pPr>
      <w:r>
        <w:rPr>
          <w:rFonts w:ascii="Arial" w:cs="Arial" w:eastAsia="Arial" w:hAnsi="Arial"/>
          <w:sz w:val="14"/>
          <w:szCs w:val="14"/>
          <w:u w:val="single" w:color="auto"/>
          <w:color w:val="auto"/>
        </w:rPr>
        <w:t>Investment Company Diversification and Tax Requirements</w:t>
      </w:r>
      <w:r>
        <w:rPr>
          <w:rFonts w:ascii="Arial" w:cs="Arial" w:eastAsia="Arial" w:hAnsi="Arial"/>
          <w:sz w:val="14"/>
          <w:szCs w:val="14"/>
          <w:color w:val="auto"/>
        </w:rPr>
        <w:t>. The Borrower will, and will cause its Subsidiaries (other than Financing Subsidiaries that are exempt from the Investment Company Act) at all times to (i) comply in all material respects with the portfolio diversification and similar requirements set forth in the Investment Company Act applicable to business development companies and (ii) subject to applicable grace periods set forth in the Code, comply with the portfolio diversification and similar requirements set forth in the Code applicable to RICs.</w:t>
      </w:r>
    </w:p>
    <w:p>
      <w:pPr>
        <w:spacing w:after="0" w:line="184" w:lineRule="exact"/>
        <w:rPr>
          <w:rFonts w:ascii="Arial" w:cs="Arial" w:eastAsia="Arial" w:hAnsi="Arial"/>
          <w:sz w:val="14"/>
          <w:szCs w:val="14"/>
          <w:color w:val="auto"/>
        </w:rPr>
      </w:pPr>
    </w:p>
    <w:p>
      <w:pPr>
        <w:jc w:val="both"/>
        <w:ind w:right="20" w:firstLine="1735"/>
        <w:spacing w:after="0" w:line="229" w:lineRule="auto"/>
        <w:tabs>
          <w:tab w:leader="none" w:pos="2543" w:val="left"/>
        </w:tabs>
        <w:numPr>
          <w:ilvl w:val="0"/>
          <w:numId w:val="124"/>
        </w:numPr>
        <w:rPr>
          <w:rFonts w:ascii="Arial" w:cs="Arial" w:eastAsia="Arial" w:hAnsi="Arial"/>
          <w:sz w:val="14"/>
          <w:szCs w:val="14"/>
          <w:color w:val="auto"/>
        </w:rPr>
      </w:pPr>
      <w:r>
        <w:rPr>
          <w:rFonts w:ascii="Arial" w:cs="Arial" w:eastAsia="Arial" w:hAnsi="Arial"/>
          <w:sz w:val="14"/>
          <w:szCs w:val="14"/>
          <w:u w:val="single" w:color="auto"/>
          <w:color w:val="auto"/>
        </w:rPr>
        <w:t>Commitments under Portfolio Investments</w:t>
      </w:r>
      <w:r>
        <w:rPr>
          <w:rFonts w:ascii="Arial" w:cs="Arial" w:eastAsia="Arial" w:hAnsi="Arial"/>
          <w:sz w:val="14"/>
          <w:szCs w:val="14"/>
          <w:color w:val="auto"/>
        </w:rPr>
        <w:t>. The Borrower will, and will cause its Subsidiaries to, acquire Portfolio Investments (it being understood that neither (x) the receipt of Portfolio Investments as part of a restructuring or workout nor (y) any new or additional borrowing under an existing Portfolio Investment shall constitute an “acquisition” of such Portfolio Investments) constituting revolving credit facilities or delayed draw term loans with revolving or future commitments only if the aggregate commitments or future commitments under such revolving credit facilities or delayed draw term loans (excluding discretionary future commitments, such as accordions and commitment increase options) does not exceed (i) prior to the Commitment Termination Date, 20% of the aggregate Commitment amount at the time of acquisition and (ii) following the Commitment Termination Date, 20% of the Revolving Credit Exposure at the time of acquisition.</w:t>
      </w:r>
    </w:p>
    <w:p>
      <w:pPr>
        <w:spacing w:after="0" w:line="185" w:lineRule="exact"/>
        <w:rPr>
          <w:sz w:val="20"/>
          <w:szCs w:val="20"/>
          <w:color w:val="auto"/>
        </w:rPr>
      </w:pPr>
    </w:p>
    <w:p>
      <w:pPr>
        <w:jc w:val="both"/>
        <w:ind w:right="20" w:firstLine="1727"/>
        <w:spacing w:after="0" w:line="238" w:lineRule="auto"/>
        <w:rPr>
          <w:sz w:val="20"/>
          <w:szCs w:val="20"/>
          <w:color w:val="auto"/>
        </w:rPr>
      </w:pPr>
      <w:r>
        <w:rPr>
          <w:rFonts w:ascii="Arial" w:cs="Arial" w:eastAsia="Arial" w:hAnsi="Arial"/>
          <w:sz w:val="14"/>
          <w:szCs w:val="14"/>
          <w:color w:val="auto"/>
        </w:rPr>
        <w:t xml:space="preserve">SECTION 5.13. </w:t>
      </w:r>
      <w:r>
        <w:rPr>
          <w:rFonts w:ascii="Arial" w:cs="Arial" w:eastAsia="Arial" w:hAnsi="Arial"/>
          <w:sz w:val="14"/>
          <w:szCs w:val="14"/>
          <w:u w:val="single" w:color="auto"/>
          <w:color w:val="auto"/>
        </w:rPr>
        <w:t>Calculation of Borrowing Base</w:t>
      </w:r>
      <w:r>
        <w:rPr>
          <w:rFonts w:ascii="Arial" w:cs="Arial" w:eastAsia="Arial" w:hAnsi="Arial"/>
          <w:sz w:val="14"/>
          <w:szCs w:val="14"/>
          <w:color w:val="auto"/>
        </w:rPr>
        <w:t>. For purposes of this Agreement, the “</w:t>
      </w:r>
      <w:r>
        <w:rPr>
          <w:rFonts w:ascii="Arial" w:cs="Arial" w:eastAsia="Arial" w:hAnsi="Arial"/>
          <w:sz w:val="14"/>
          <w:szCs w:val="14"/>
          <w:u w:val="single" w:color="auto"/>
          <w:color w:val="auto"/>
        </w:rPr>
        <w:t>Borrowing Base</w:t>
      </w:r>
      <w:r>
        <w:rPr>
          <w:rFonts w:ascii="Arial" w:cs="Arial" w:eastAsia="Arial" w:hAnsi="Arial"/>
          <w:sz w:val="14"/>
          <w:szCs w:val="14"/>
          <w:color w:val="auto"/>
        </w:rPr>
        <w:t xml:space="preserve">” shall be determined, as at any date of determination, as the sum of the Advance Rates of the Value of each Portfolio Investment (excluding any Cash Collateral held by the Administrative Agent pursuant to </w:t>
      </w:r>
      <w:r>
        <w:rPr>
          <w:rFonts w:ascii="Arial" w:cs="Arial" w:eastAsia="Arial" w:hAnsi="Arial"/>
          <w:sz w:val="14"/>
          <w:szCs w:val="14"/>
          <w:u w:val="single" w:color="auto"/>
          <w:color w:val="auto"/>
        </w:rPr>
        <w:t>Section 2.05(k)</w:t>
      </w:r>
      <w:r>
        <w:rPr>
          <w:rFonts w:ascii="Arial" w:cs="Arial" w:eastAsia="Arial" w:hAnsi="Arial"/>
          <w:sz w:val="14"/>
          <w:szCs w:val="14"/>
          <w:color w:val="auto"/>
        </w:rPr>
        <w:t xml:space="preserve"> or the last paragraph of </w:t>
      </w:r>
      <w:r>
        <w:rPr>
          <w:rFonts w:ascii="Arial" w:cs="Arial" w:eastAsia="Arial" w:hAnsi="Arial"/>
          <w:sz w:val="14"/>
          <w:szCs w:val="14"/>
          <w:u w:val="single" w:color="auto"/>
          <w:color w:val="auto"/>
        </w:rPr>
        <w:t>Section</w:t>
      </w:r>
      <w:r>
        <w:rPr>
          <w:rFonts w:ascii="Arial" w:cs="Arial" w:eastAsia="Arial" w:hAnsi="Arial"/>
          <w:sz w:val="14"/>
          <w:szCs w:val="14"/>
          <w:color w:val="auto"/>
        </w:rPr>
        <w:t xml:space="preserve"> </w:t>
      </w:r>
      <w:r>
        <w:rPr>
          <w:rFonts w:ascii="Arial" w:cs="Arial" w:eastAsia="Arial" w:hAnsi="Arial"/>
          <w:sz w:val="14"/>
          <w:szCs w:val="14"/>
          <w:u w:val="single" w:color="auto"/>
          <w:color w:val="auto"/>
        </w:rPr>
        <w:t>2.09(a)</w:t>
      </w:r>
      <w:r>
        <w:rPr>
          <w:rFonts w:ascii="Arial" w:cs="Arial" w:eastAsia="Arial" w:hAnsi="Arial"/>
          <w:sz w:val="14"/>
          <w:szCs w:val="14"/>
          <w:color w:val="auto"/>
        </w:rPr>
        <w:t xml:space="preserve">); </w:t>
      </w:r>
      <w:r>
        <w:rPr>
          <w:rFonts w:ascii="Arial" w:cs="Arial" w:eastAsia="Arial" w:hAnsi="Arial"/>
          <w:sz w:val="14"/>
          <w:szCs w:val="14"/>
          <w:u w:val="single" w:color="auto"/>
          <w:color w:val="auto"/>
        </w:rPr>
        <w:t>provided</w:t>
      </w:r>
      <w:r>
        <w:rPr>
          <w:rFonts w:ascii="Arial" w:cs="Arial" w:eastAsia="Arial" w:hAnsi="Arial"/>
          <w:sz w:val="14"/>
          <w:szCs w:val="14"/>
          <w:color w:val="auto"/>
        </w:rPr>
        <w:t xml:space="preserve"> that:</w:t>
      </w:r>
    </w:p>
    <w:p>
      <w:pPr>
        <w:spacing w:after="0" w:line="183" w:lineRule="exact"/>
        <w:rPr>
          <w:sz w:val="20"/>
          <w:szCs w:val="20"/>
          <w:color w:val="auto"/>
        </w:rPr>
      </w:pPr>
    </w:p>
    <w:p>
      <w:pPr>
        <w:jc w:val="both"/>
        <w:ind w:right="20" w:firstLine="1735"/>
        <w:spacing w:after="0" w:line="233" w:lineRule="auto"/>
        <w:tabs>
          <w:tab w:leader="none" w:pos="2535" w:val="left"/>
        </w:tabs>
        <w:numPr>
          <w:ilvl w:val="0"/>
          <w:numId w:val="125"/>
        </w:numPr>
        <w:rPr>
          <w:rFonts w:ascii="Arial" w:cs="Arial" w:eastAsia="Arial" w:hAnsi="Arial"/>
          <w:sz w:val="14"/>
          <w:szCs w:val="14"/>
          <w:color w:val="auto"/>
        </w:rPr>
      </w:pPr>
      <w:r>
        <w:rPr>
          <w:rFonts w:ascii="Arial" w:cs="Arial" w:eastAsia="Arial" w:hAnsi="Arial"/>
          <w:sz w:val="14"/>
          <w:szCs w:val="14"/>
          <w:color w:val="auto"/>
        </w:rPr>
        <w:t>the Advance Rate applicable to that portion of the aggregate Value of the Portfolio Investments in a consolidated group of corporations or other entities (collectively, a “</w:t>
      </w:r>
      <w:r>
        <w:rPr>
          <w:rFonts w:ascii="Arial" w:cs="Arial" w:eastAsia="Arial" w:hAnsi="Arial"/>
          <w:sz w:val="14"/>
          <w:szCs w:val="14"/>
          <w:u w:val="single" w:color="auto"/>
          <w:color w:val="auto"/>
        </w:rPr>
        <w:t>Consolidated Group</w:t>
      </w:r>
      <w:r>
        <w:rPr>
          <w:rFonts w:ascii="Arial" w:cs="Arial" w:eastAsia="Arial" w:hAnsi="Arial"/>
          <w:sz w:val="14"/>
          <w:szCs w:val="14"/>
          <w:color w:val="auto"/>
        </w:rPr>
        <w:t xml:space="preserve">”), in accordance with GAAP, that exceeds 10% of Shareholders’ Equity of the Borrower (which, for purposes of this calculation shall exclude the aggregate amount of investments in, and advances to, Financing Subsidiaries) shall be 50% of the Advance Rate otherwise applicable; </w:t>
      </w:r>
      <w:r>
        <w:rPr>
          <w:rFonts w:ascii="Arial" w:cs="Arial" w:eastAsia="Arial" w:hAnsi="Arial"/>
          <w:sz w:val="14"/>
          <w:szCs w:val="14"/>
          <w:u w:val="single" w:color="auto"/>
          <w:color w:val="auto"/>
        </w:rPr>
        <w:t>provided</w:t>
      </w:r>
      <w:r>
        <w:rPr>
          <w:rFonts w:ascii="Arial" w:cs="Arial" w:eastAsia="Arial" w:hAnsi="Arial"/>
          <w:sz w:val="14"/>
          <w:szCs w:val="14"/>
          <w:color w:val="auto"/>
        </w:rPr>
        <w:t xml:space="preserve"> that, with respect to the Portfolio Investments in a single Consolidated Group designated by the Borrower to the Administrative Agent such 10% figure shall be increased to 12.5%;</w:t>
      </w:r>
    </w:p>
    <w:p>
      <w:pPr>
        <w:spacing w:after="0" w:line="184" w:lineRule="exact"/>
        <w:rPr>
          <w:rFonts w:ascii="Arial" w:cs="Arial" w:eastAsia="Arial" w:hAnsi="Arial"/>
          <w:sz w:val="14"/>
          <w:szCs w:val="14"/>
          <w:color w:val="auto"/>
        </w:rPr>
      </w:pPr>
    </w:p>
    <w:p>
      <w:pPr>
        <w:ind w:right="20" w:firstLine="1735"/>
        <w:spacing w:after="0" w:line="290" w:lineRule="auto"/>
        <w:tabs>
          <w:tab w:leader="none" w:pos="2543" w:val="left"/>
        </w:tabs>
        <w:numPr>
          <w:ilvl w:val="0"/>
          <w:numId w:val="125"/>
        </w:numPr>
        <w:rPr>
          <w:rFonts w:ascii="Arial" w:cs="Arial" w:eastAsia="Arial" w:hAnsi="Arial"/>
          <w:sz w:val="13"/>
          <w:szCs w:val="13"/>
          <w:color w:val="auto"/>
        </w:rPr>
      </w:pPr>
      <w:r>
        <w:rPr>
          <w:rFonts w:ascii="Arial" w:cs="Arial" w:eastAsia="Arial" w:hAnsi="Arial"/>
          <w:sz w:val="13"/>
          <w:szCs w:val="13"/>
          <w:color w:val="auto"/>
        </w:rPr>
        <w:t>the Advance Rate applicable to that portion of the aggregate Value of the Portfolio Investments of all issuers in a Consolidated Group exceeding 20% of Shareholders’ Equity of the Borrower (which, for purposes of this calculation shall exclude the aggregate amount of investments in, and advances to, Financing Subsidiaries) shall be 0%;</w:t>
      </w:r>
    </w:p>
    <w:p>
      <w:pPr>
        <w:spacing w:after="0" w:line="151" w:lineRule="exact"/>
        <w:rPr>
          <w:rFonts w:ascii="Arial" w:cs="Arial" w:eastAsia="Arial" w:hAnsi="Arial"/>
          <w:sz w:val="13"/>
          <w:szCs w:val="13"/>
          <w:color w:val="auto"/>
        </w:rPr>
      </w:pPr>
    </w:p>
    <w:p>
      <w:pPr>
        <w:jc w:val="both"/>
        <w:ind w:right="20" w:firstLine="1735"/>
        <w:spacing w:after="0" w:line="231" w:lineRule="auto"/>
        <w:tabs>
          <w:tab w:leader="none" w:pos="2535" w:val="left"/>
        </w:tabs>
        <w:numPr>
          <w:ilvl w:val="0"/>
          <w:numId w:val="125"/>
        </w:numPr>
        <w:rPr>
          <w:rFonts w:ascii="Arial" w:cs="Arial" w:eastAsia="Arial" w:hAnsi="Arial"/>
          <w:sz w:val="14"/>
          <w:szCs w:val="14"/>
          <w:color w:val="auto"/>
        </w:rPr>
      </w:pPr>
      <w:r>
        <w:rPr>
          <w:rFonts w:ascii="Arial" w:cs="Arial" w:eastAsia="Arial" w:hAnsi="Arial"/>
          <w:sz w:val="14"/>
          <w:szCs w:val="14"/>
          <w:color w:val="auto"/>
        </w:rPr>
        <w:t xml:space="preserve">the Advance Rate applicable to that portion of the aggregate Value of the Portfolio Investments in any single Industry Classification Group that exceeds 20% of Shareholders’ Equity of the Borrower (which for purposes of this calculation shall exclude the aggregate amount of investments in, and advances to, Financing Subsidiaries) shall be 0%; </w:t>
      </w:r>
      <w:r>
        <w:rPr>
          <w:rFonts w:ascii="Arial" w:cs="Arial" w:eastAsia="Arial" w:hAnsi="Arial"/>
          <w:sz w:val="14"/>
          <w:szCs w:val="14"/>
          <w:u w:val="single" w:color="auto"/>
          <w:color w:val="auto"/>
        </w:rPr>
        <w:t>provided</w:t>
      </w:r>
      <w:r>
        <w:rPr>
          <w:rFonts w:ascii="Arial" w:cs="Arial" w:eastAsia="Arial" w:hAnsi="Arial"/>
          <w:sz w:val="14"/>
          <w:szCs w:val="14"/>
          <w:color w:val="auto"/>
        </w:rPr>
        <w:t xml:space="preserve"> that, with respect to the Portfolio Investments in a single Industry Classification Group from time to time designated by the Borrower to the Administrative Agent such 20% figure shall be increased to 30% and, accordingly, only to the extent that the Value for such single Industry Classification Group exceeds 30% of the Shareholders’ Equity shall the Advance Rate applicable to such excess Value be 0%;</w:t>
      </w:r>
    </w:p>
    <w:p>
      <w:pPr>
        <w:spacing w:after="0" w:line="183" w:lineRule="exact"/>
        <w:rPr>
          <w:rFonts w:ascii="Arial" w:cs="Arial" w:eastAsia="Arial" w:hAnsi="Arial"/>
          <w:sz w:val="14"/>
          <w:szCs w:val="14"/>
          <w:color w:val="auto"/>
        </w:rPr>
      </w:pPr>
    </w:p>
    <w:p>
      <w:pPr>
        <w:jc w:val="both"/>
        <w:ind w:right="20" w:firstLine="1735"/>
        <w:spacing w:after="0" w:line="238" w:lineRule="auto"/>
        <w:tabs>
          <w:tab w:leader="none" w:pos="2543" w:val="left"/>
        </w:tabs>
        <w:numPr>
          <w:ilvl w:val="0"/>
          <w:numId w:val="125"/>
        </w:numPr>
        <w:rPr>
          <w:rFonts w:ascii="Arial" w:cs="Arial" w:eastAsia="Arial" w:hAnsi="Arial"/>
          <w:sz w:val="14"/>
          <w:szCs w:val="14"/>
          <w:color w:val="auto"/>
        </w:rPr>
      </w:pPr>
      <w:r>
        <w:rPr>
          <w:rFonts w:ascii="Arial" w:cs="Arial" w:eastAsia="Arial" w:hAnsi="Arial"/>
          <w:sz w:val="14"/>
          <w:szCs w:val="14"/>
          <w:color w:val="auto"/>
        </w:rPr>
        <w:t>no Portfolio Investment may be included in the Borrowing Base unless the Collateral Agent maintains a first priority, perfected Lien (subject to Permitted Liens) on such Portfolio Investment and such Portfolio Investment has been Delivered (as defined in the Guarantee and Security Agreement) to the Collateral Agent, and then only for so long as such Portfolio Investment continues to be Delivered as contemplated therein;</w:t>
      </w:r>
    </w:p>
    <w:p>
      <w:pPr>
        <w:spacing w:after="0" w:line="182" w:lineRule="exact"/>
        <w:rPr>
          <w:rFonts w:ascii="Arial" w:cs="Arial" w:eastAsia="Arial" w:hAnsi="Arial"/>
          <w:sz w:val="14"/>
          <w:szCs w:val="14"/>
          <w:color w:val="auto"/>
        </w:rPr>
      </w:pPr>
    </w:p>
    <w:p>
      <w:pPr>
        <w:ind w:right="20" w:firstLine="1735"/>
        <w:spacing w:after="0" w:line="253" w:lineRule="auto"/>
        <w:tabs>
          <w:tab w:leader="none" w:pos="2535" w:val="left"/>
        </w:tabs>
        <w:numPr>
          <w:ilvl w:val="0"/>
          <w:numId w:val="125"/>
        </w:numPr>
        <w:rPr>
          <w:rFonts w:ascii="Arial" w:cs="Arial" w:eastAsia="Arial" w:hAnsi="Arial"/>
          <w:sz w:val="14"/>
          <w:szCs w:val="14"/>
          <w:color w:val="auto"/>
        </w:rPr>
      </w:pPr>
      <w:r>
        <w:rPr>
          <w:rFonts w:ascii="Arial" w:cs="Arial" w:eastAsia="Arial" w:hAnsi="Arial"/>
          <w:sz w:val="14"/>
          <w:szCs w:val="14"/>
          <w:color w:val="auto"/>
        </w:rPr>
        <w:t>the portion of the Borrowing Base attributable to Performing Non-Cash Pay High Yield Securities, Performing Non-Cash Pay Mezzanine Investments, Equity Interests and Non-Performing Portfolio Investments shall not exceed 25%;</w:t>
      </w:r>
    </w:p>
    <w:p>
      <w:pPr>
        <w:spacing w:after="0" w:line="200" w:lineRule="exact"/>
        <w:rPr>
          <w:sz w:val="20"/>
          <w:szCs w:val="20"/>
          <w:color w:val="auto"/>
        </w:rPr>
      </w:pPr>
    </w:p>
    <w:p>
      <w:pPr>
        <w:spacing w:after="0" w:line="39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7580" w:type="dxa"/>
            <w:vAlign w:val="bottom"/>
          </w:tcPr>
          <w:p>
            <w:pPr>
              <w:jc w:val="right"/>
              <w:ind w:right="1808"/>
              <w:spacing w:after="0"/>
              <w:rPr>
                <w:sz w:val="20"/>
                <w:szCs w:val="20"/>
                <w:color w:val="auto"/>
              </w:rPr>
            </w:pPr>
            <w:r>
              <w:rPr>
                <w:rFonts w:ascii="Arial" w:cs="Arial" w:eastAsia="Arial" w:hAnsi="Arial"/>
                <w:sz w:val="14"/>
                <w:szCs w:val="14"/>
                <w:color w:val="auto"/>
              </w:rPr>
              <w:t>47</w:t>
            </w:r>
          </w:p>
        </w:tc>
        <w:tc>
          <w:tcPr>
            <w:tcW w:w="3680" w:type="dxa"/>
            <w:vAlign w:val="bottom"/>
          </w:tcPr>
          <w:p>
            <w:pPr>
              <w:jc w:val="right"/>
              <w:spacing w:after="0"/>
              <w:rPr>
                <w:sz w:val="20"/>
                <w:szCs w:val="20"/>
                <w:color w:val="auto"/>
              </w:rPr>
            </w:pPr>
            <w:r>
              <w:rPr>
                <w:rFonts w:ascii="Arial" w:cs="Arial" w:eastAsia="Arial" w:hAnsi="Arial"/>
                <w:sz w:val="14"/>
                <w:szCs w:val="14"/>
                <w:i w:val="1"/>
                <w:iCs w:val="1"/>
                <w:color w:val="auto"/>
              </w:rPr>
              <w:t>Second Amended and Restated</w:t>
            </w:r>
          </w:p>
        </w:tc>
      </w:tr>
      <w:tr>
        <w:trPr>
          <w:trHeight w:val="182"/>
        </w:trPr>
        <w:tc>
          <w:tcPr>
            <w:tcW w:w="7580" w:type="dxa"/>
            <w:vAlign w:val="bottom"/>
          </w:tcPr>
          <w:p>
            <w:pPr>
              <w:spacing w:after="0"/>
              <w:rPr>
                <w:sz w:val="15"/>
                <w:szCs w:val="15"/>
                <w:color w:val="auto"/>
              </w:rPr>
            </w:pPr>
          </w:p>
        </w:tc>
        <w:tc>
          <w:tcPr>
            <w:tcW w:w="3680" w:type="dxa"/>
            <w:vAlign w:val="bottom"/>
          </w:tcPr>
          <w:p>
            <w:pPr>
              <w:jc w:val="right"/>
              <w:spacing w:after="0"/>
              <w:rPr>
                <w:sz w:val="20"/>
                <w:szCs w:val="20"/>
                <w:color w:val="auto"/>
              </w:rPr>
            </w:pPr>
            <w:r>
              <w:rPr>
                <w:rFonts w:ascii="Arial" w:cs="Arial" w:eastAsia="Arial" w:hAnsi="Arial"/>
                <w:sz w:val="14"/>
                <w:szCs w:val="14"/>
                <w:i w:val="1"/>
                <w:iCs w:val="1"/>
                <w:color w:val="auto"/>
              </w:rPr>
              <w:t>Revolving Credit Agreement</w:t>
            </w:r>
          </w:p>
        </w:tc>
      </w:tr>
      <w:tr>
        <w:trPr>
          <w:trHeight w:val="316"/>
        </w:trPr>
        <w:tc>
          <w:tcPr>
            <w:tcW w:w="7580" w:type="dxa"/>
            <w:vAlign w:val="bottom"/>
            <w:tcBorders>
              <w:bottom w:val="single" w:sz="8" w:color="9A9A9A"/>
            </w:tcBorders>
          </w:tcPr>
          <w:p>
            <w:pPr>
              <w:spacing w:after="0"/>
              <w:rPr>
                <w:sz w:val="24"/>
                <w:szCs w:val="24"/>
                <w:color w:val="auto"/>
              </w:rPr>
            </w:pPr>
          </w:p>
        </w:tc>
        <w:tc>
          <w:tcPr>
            <w:tcW w:w="368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7145655</wp:posOffset>
            </wp:positionH>
            <wp:positionV relativeFrom="paragraph">
              <wp:posOffset>-7620</wp:posOffset>
            </wp:positionV>
            <wp:extent cx="8255" cy="8255"/>
            <wp:wrapNone/>
            <wp:docPr id="199" name="Picture 1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9"/>
                    <pic:cNvPicPr>
                      <a:picLocks noChangeAspect="1" noChangeArrowheads="1"/>
                    </pic:cNvPicPr>
                  </pic:nvPicPr>
                  <pic:blipFill>
                    <a:blip r:embed="rId206">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-16510</wp:posOffset>
            </wp:positionV>
            <wp:extent cx="8890" cy="17145"/>
            <wp:wrapNone/>
            <wp:docPr id="200" name="Picture 2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0"/>
                    <pic:cNvPicPr>
                      <a:picLocks noChangeAspect="1" noChangeArrowheads="1"/>
                    </pic:cNvPicPr>
                  </pic:nvPicPr>
                  <pic:blipFill>
                    <a:blip r:embed="rId207">
                      <a:extLst>
                        <a:ext uri="{28A0092B-C50C-407E-A947-70E740481C1C}"/>
                      </a:extLst>
                    </a:blip>
                    <a:srcRect/>
                    <a:stretch>
                      <a:fillRect/>
                    </a:stretch>
                  </pic:blipFill>
                  <pic:spPr bwMode="auto">
                    <a:xfrm>
                      <a:off x="0" y="0"/>
                      <a:ext cx="8890" cy="17145"/>
                    </a:xfrm>
                    <a:prstGeom prst="rect">
                      <a:avLst/>
                    </a:prstGeom>
                    <a:noFill/>
                  </pic:spPr>
                </pic:pic>
              </a:graphicData>
            </a:graphic>
          </wp:anchor>
        </w:drawing>
      </w:r>
    </w:p>
    <w:p>
      <w:pPr>
        <w:sectPr>
          <w:pgSz w:w="11900" w:h="16838" w:orient="portrait"/>
          <w:cols w:equalWidth="0" w:num="1">
            <w:col w:w="11260"/>
          </w:cols>
          <w:pgMar w:left="320" w:top="337" w:right="319" w:bottom="1440" w:gutter="0" w:footer="0" w:header="0"/>
        </w:sectPr>
      </w:pPr>
    </w:p>
    <w:bookmarkStart w:id="110" w:name="page111"/>
    <w:bookmarkEnd w:id="110"/>
    <w:p>
      <w:pPr>
        <w:ind w:right="20" w:firstLine="1735"/>
        <w:spacing w:after="0" w:line="253" w:lineRule="auto"/>
        <w:tabs>
          <w:tab w:leader="none" w:pos="2519" w:val="left"/>
        </w:tabs>
        <w:numPr>
          <w:ilvl w:val="0"/>
          <w:numId w:val="126"/>
        </w:numPr>
        <w:rPr>
          <w:rFonts w:ascii="Arial" w:cs="Arial" w:eastAsia="Arial" w:hAnsi="Arial"/>
          <w:sz w:val="14"/>
          <w:szCs w:val="14"/>
          <w:color w:val="auto"/>
        </w:rPr>
      </w:pPr>
      <w:r>
        <w:rPr>
          <w:rFonts w:ascii="Arial" w:cs="Arial" w:eastAsia="Arial" w:hAnsi="Arial"/>
          <w:sz w:val="14"/>
          <w:szCs w:val="14"/>
          <w:color w:val="auto"/>
        </w:rPr>
        <w:t>the portion of the Borrowing Base attributable to Non-Performing Portfolio Investments shall not exceed 15% and the portion of the Borrowing Base attributable to Portfolio Investments that were Non-Performing Portfolio Investments at the time such Portfolio Investments were acquired shall not exceed 5%;</w:t>
      </w:r>
    </w:p>
    <w:p>
      <w:pPr>
        <w:spacing w:after="0" w:line="173" w:lineRule="exact"/>
        <w:rPr>
          <w:rFonts w:ascii="Arial" w:cs="Arial" w:eastAsia="Arial" w:hAnsi="Arial"/>
          <w:sz w:val="14"/>
          <w:szCs w:val="14"/>
          <w:color w:val="auto"/>
        </w:rPr>
      </w:pPr>
    </w:p>
    <w:p>
      <w:pPr>
        <w:ind w:right="40" w:firstLine="1735"/>
        <w:spacing w:after="0" w:line="253" w:lineRule="auto"/>
        <w:tabs>
          <w:tab w:leader="none" w:pos="2543" w:val="left"/>
        </w:tabs>
        <w:numPr>
          <w:ilvl w:val="0"/>
          <w:numId w:val="126"/>
        </w:numPr>
        <w:rPr>
          <w:rFonts w:ascii="Arial" w:cs="Arial" w:eastAsia="Arial" w:hAnsi="Arial"/>
          <w:sz w:val="14"/>
          <w:szCs w:val="14"/>
          <w:color w:val="auto"/>
        </w:rPr>
      </w:pPr>
      <w:r>
        <w:rPr>
          <w:rFonts w:ascii="Arial" w:cs="Arial" w:eastAsia="Arial" w:hAnsi="Arial"/>
          <w:sz w:val="14"/>
          <w:szCs w:val="14"/>
          <w:color w:val="auto"/>
        </w:rPr>
        <w:t>the portion of the Borrowing Base attributable to Equity Interests shall not exceed 10% (it being understood that in no event shall Equity Interests of Financing Subsidiaries be included in the Borrowing Base);</w:t>
      </w:r>
    </w:p>
    <w:p>
      <w:pPr>
        <w:spacing w:after="0" w:line="173" w:lineRule="exact"/>
        <w:rPr>
          <w:rFonts w:ascii="Arial" w:cs="Arial" w:eastAsia="Arial" w:hAnsi="Arial"/>
          <w:sz w:val="14"/>
          <w:szCs w:val="14"/>
          <w:color w:val="auto"/>
        </w:rPr>
      </w:pPr>
    </w:p>
    <w:p>
      <w:pPr>
        <w:jc w:val="both"/>
        <w:ind w:right="20" w:firstLine="1735"/>
        <w:spacing w:after="0" w:line="238" w:lineRule="auto"/>
        <w:tabs>
          <w:tab w:leader="none" w:pos="2543" w:val="left"/>
        </w:tabs>
        <w:numPr>
          <w:ilvl w:val="0"/>
          <w:numId w:val="126"/>
        </w:numPr>
        <w:rPr>
          <w:rFonts w:ascii="Arial" w:cs="Arial" w:eastAsia="Arial" w:hAnsi="Arial"/>
          <w:sz w:val="14"/>
          <w:szCs w:val="14"/>
          <w:color w:val="auto"/>
        </w:rPr>
      </w:pPr>
      <w:r>
        <w:rPr>
          <w:rFonts w:ascii="Arial" w:cs="Arial" w:eastAsia="Arial" w:hAnsi="Arial"/>
          <w:sz w:val="14"/>
          <w:szCs w:val="14"/>
          <w:color w:val="auto"/>
        </w:rPr>
        <w:t>the portion of the Borrowing Base attributable to Portfolio Investments invested in a jurisdiction other than a Specified Country or a Specified Tax Jurisdiction (solely to the extent the External Manager determines in good faith that a substantial portion of the assets, revenues, or operations supporting such Portfolio Investments are directly, or indirectly, made in a Specified Country) shall not exceed 0%;</w:t>
      </w:r>
    </w:p>
    <w:p>
      <w:pPr>
        <w:spacing w:after="0" w:line="182" w:lineRule="exact"/>
        <w:rPr>
          <w:rFonts w:ascii="Arial" w:cs="Arial" w:eastAsia="Arial" w:hAnsi="Arial"/>
          <w:sz w:val="14"/>
          <w:szCs w:val="14"/>
          <w:color w:val="auto"/>
        </w:rPr>
      </w:pPr>
    </w:p>
    <w:p>
      <w:pPr>
        <w:jc w:val="both"/>
        <w:ind w:right="20" w:firstLine="1735"/>
        <w:spacing w:after="0" w:line="238" w:lineRule="auto"/>
        <w:tabs>
          <w:tab w:leader="none" w:pos="2511" w:val="left"/>
        </w:tabs>
        <w:numPr>
          <w:ilvl w:val="0"/>
          <w:numId w:val="126"/>
        </w:numPr>
        <w:rPr>
          <w:rFonts w:ascii="Arial" w:cs="Arial" w:eastAsia="Arial" w:hAnsi="Arial"/>
          <w:sz w:val="14"/>
          <w:szCs w:val="14"/>
          <w:color w:val="auto"/>
        </w:rPr>
      </w:pPr>
      <w:r>
        <w:rPr>
          <w:rFonts w:ascii="Arial" w:cs="Arial" w:eastAsia="Arial" w:hAnsi="Arial"/>
          <w:sz w:val="14"/>
          <w:szCs w:val="14"/>
          <w:color w:val="auto"/>
        </w:rPr>
        <w:t>the portion of the Borrowing Base attributable to Portfolio Investments invested in Australia, the Netherlands and any Specified Tax Jurisdiction (solely to the extent the External Manager determines in good faith that a substantial portion of the assets, revenues, or operations supporting such Portfolio Investments are directly, or indirectly, made in Australia or the Netherlands) shall not exceed 10%; and</w:t>
      </w:r>
    </w:p>
    <w:p>
      <w:pPr>
        <w:spacing w:after="0" w:line="182" w:lineRule="exact"/>
        <w:rPr>
          <w:rFonts w:ascii="Arial" w:cs="Arial" w:eastAsia="Arial" w:hAnsi="Arial"/>
          <w:sz w:val="14"/>
          <w:szCs w:val="14"/>
          <w:color w:val="auto"/>
        </w:rPr>
      </w:pPr>
    </w:p>
    <w:p>
      <w:pPr>
        <w:jc w:val="both"/>
        <w:ind w:right="20" w:firstLine="1735"/>
        <w:spacing w:after="0" w:line="264" w:lineRule="auto"/>
        <w:tabs>
          <w:tab w:leader="none" w:pos="2511" w:val="left"/>
        </w:tabs>
        <w:numPr>
          <w:ilvl w:val="0"/>
          <w:numId w:val="126"/>
        </w:numPr>
        <w:rPr>
          <w:rFonts w:ascii="Arial" w:cs="Arial" w:eastAsia="Arial" w:hAnsi="Arial"/>
          <w:sz w:val="13"/>
          <w:szCs w:val="13"/>
          <w:color w:val="auto"/>
        </w:rPr>
      </w:pPr>
      <w:r>
        <w:rPr>
          <w:rFonts w:ascii="Arial" w:cs="Arial" w:eastAsia="Arial" w:hAnsi="Arial"/>
          <w:sz w:val="13"/>
          <w:szCs w:val="13"/>
          <w:color w:val="auto"/>
        </w:rPr>
        <w:t xml:space="preserve">the portion of the Borrowing Base attributable to Portfolio Investments invested in Ireland, Germany, Spain, Sweden, Austria, Belgium, Denmark, Finland, Iceland, Lichtenstein, Luxembourg, Norway and any Specified Tax Jurisdiction (solely to the extent the External Manager determines in good faith that a substantial portion of the assets, revenues, or operations supporting such Portfolio Investments are directly, or indirectly, made in one of the other jurisdictions listed in this </w:t>
      </w:r>
      <w:r>
        <w:rPr>
          <w:rFonts w:ascii="Arial" w:cs="Arial" w:eastAsia="Arial" w:hAnsi="Arial"/>
          <w:sz w:val="13"/>
          <w:szCs w:val="13"/>
          <w:u w:val="single" w:color="auto"/>
          <w:color w:val="auto"/>
        </w:rPr>
        <w:t>clause (j)</w:t>
      </w:r>
      <w:r>
        <w:rPr>
          <w:rFonts w:ascii="Arial" w:cs="Arial" w:eastAsia="Arial" w:hAnsi="Arial"/>
          <w:sz w:val="13"/>
          <w:szCs w:val="13"/>
          <w:color w:val="auto"/>
        </w:rPr>
        <w:t>) shall not exceed 7.5%.</w:t>
      </w:r>
    </w:p>
    <w:p>
      <w:pPr>
        <w:spacing w:after="0" w:line="168" w:lineRule="exact"/>
        <w:rPr>
          <w:sz w:val="20"/>
          <w:szCs w:val="20"/>
          <w:color w:val="auto"/>
        </w:rPr>
      </w:pPr>
    </w:p>
    <w:p>
      <w:pPr>
        <w:ind w:left="1740"/>
        <w:spacing w:after="0"/>
        <w:rPr>
          <w:sz w:val="20"/>
          <w:szCs w:val="20"/>
          <w:color w:val="auto"/>
        </w:rPr>
      </w:pPr>
      <w:r>
        <w:rPr>
          <w:rFonts w:ascii="Arial" w:cs="Arial" w:eastAsia="Arial" w:hAnsi="Arial"/>
          <w:sz w:val="14"/>
          <w:szCs w:val="14"/>
          <w:color w:val="auto"/>
        </w:rPr>
        <w:t>As used herein, the following terms have the following meanings:</w:t>
      </w:r>
    </w:p>
    <w:p>
      <w:pPr>
        <w:spacing w:after="0" w:line="204" w:lineRule="exact"/>
        <w:rPr>
          <w:sz w:val="20"/>
          <w:szCs w:val="20"/>
          <w:color w:val="auto"/>
        </w:rPr>
      </w:pPr>
    </w:p>
    <w:p>
      <w:pPr>
        <w:ind w:left="1740"/>
        <w:spacing w:after="0"/>
        <w:rPr>
          <w:sz w:val="20"/>
          <w:szCs w:val="20"/>
          <w:color w:val="auto"/>
        </w:rPr>
      </w:pPr>
      <w:r>
        <w:rPr>
          <w:rFonts w:ascii="Arial" w:cs="Arial" w:eastAsia="Arial" w:hAnsi="Arial"/>
          <w:sz w:val="13"/>
          <w:szCs w:val="13"/>
          <w:color w:val="auto"/>
        </w:rPr>
        <w:t>“</w:t>
      </w:r>
      <w:r>
        <w:rPr>
          <w:rFonts w:ascii="Arial" w:cs="Arial" w:eastAsia="Arial" w:hAnsi="Arial"/>
          <w:sz w:val="13"/>
          <w:szCs w:val="13"/>
          <w:u w:val="single" w:color="auto"/>
          <w:color w:val="auto"/>
        </w:rPr>
        <w:t>Advance Rate</w:t>
      </w:r>
      <w:r>
        <w:rPr>
          <w:rFonts w:ascii="Arial" w:cs="Arial" w:eastAsia="Arial" w:hAnsi="Arial"/>
          <w:sz w:val="13"/>
          <w:szCs w:val="13"/>
          <w:color w:val="auto"/>
        </w:rPr>
        <w:t xml:space="preserve">” means, as to any Portfolio Investment and subject to adjustment as provided in </w:t>
      </w:r>
      <w:r>
        <w:rPr>
          <w:rFonts w:ascii="Arial" w:cs="Arial" w:eastAsia="Arial" w:hAnsi="Arial"/>
          <w:sz w:val="13"/>
          <w:szCs w:val="13"/>
          <w:u w:val="single" w:color="auto"/>
          <w:color w:val="auto"/>
        </w:rPr>
        <w:t>Section 5.13(a)</w:t>
      </w:r>
      <w:r>
        <w:rPr>
          <w:rFonts w:ascii="Arial" w:cs="Arial" w:eastAsia="Arial" w:hAnsi="Arial"/>
          <w:sz w:val="13"/>
          <w:szCs w:val="13"/>
          <w:color w:val="auto"/>
        </w:rPr>
        <w:t xml:space="preserve">, </w:t>
      </w:r>
      <w:r>
        <w:rPr>
          <w:rFonts w:ascii="Arial" w:cs="Arial" w:eastAsia="Arial" w:hAnsi="Arial"/>
          <w:sz w:val="13"/>
          <w:szCs w:val="13"/>
          <w:u w:val="single" w:color="auto"/>
          <w:color w:val="auto"/>
        </w:rPr>
        <w:t>(b)</w:t>
      </w:r>
      <w:r>
        <w:rPr>
          <w:rFonts w:ascii="Arial" w:cs="Arial" w:eastAsia="Arial" w:hAnsi="Arial"/>
          <w:sz w:val="13"/>
          <w:szCs w:val="13"/>
          <w:color w:val="auto"/>
        </w:rPr>
        <w:t xml:space="preserve"> and </w:t>
      </w:r>
      <w:r>
        <w:rPr>
          <w:rFonts w:ascii="Arial" w:cs="Arial" w:eastAsia="Arial" w:hAnsi="Arial"/>
          <w:sz w:val="13"/>
          <w:szCs w:val="13"/>
          <w:u w:val="single" w:color="auto"/>
          <w:color w:val="auto"/>
        </w:rPr>
        <w:t>(c)</w:t>
      </w:r>
      <w:r>
        <w:rPr>
          <w:rFonts w:ascii="Arial" w:cs="Arial" w:eastAsia="Arial" w:hAnsi="Arial"/>
          <w:sz w:val="13"/>
          <w:szCs w:val="13"/>
          <w:color w:val="auto"/>
        </w:rPr>
        <w:t>, the following percentages with respect</w:t>
      </w:r>
    </w:p>
    <w:p>
      <w:pPr>
        <w:spacing w:after="0" w:line="11" w:lineRule="exact"/>
        <w:rPr>
          <w:sz w:val="20"/>
          <w:szCs w:val="20"/>
          <w:color w:val="auto"/>
        </w:rPr>
      </w:pPr>
    </w:p>
    <w:p>
      <w:pPr>
        <w:spacing w:after="0"/>
        <w:rPr>
          <w:sz w:val="20"/>
          <w:szCs w:val="20"/>
          <w:color w:val="auto"/>
        </w:rPr>
      </w:pPr>
      <w:r>
        <w:rPr>
          <w:rFonts w:ascii="Arial" w:cs="Arial" w:eastAsia="Arial" w:hAnsi="Arial"/>
          <w:sz w:val="14"/>
          <w:szCs w:val="14"/>
          <w:color w:val="auto"/>
        </w:rPr>
        <w:t>to such Portfolio Investment:</w:t>
      </w:r>
    </w:p>
    <w:p>
      <w:pPr>
        <w:spacing w:after="0" w:line="184" w:lineRule="exact"/>
        <w:rPr>
          <w:sz w:val="20"/>
          <w:szCs w:val="20"/>
          <w:color w:val="auto"/>
        </w:rPr>
      </w:pPr>
    </w:p>
    <w:tbl>
      <w:tblPr>
        <w:tblLayout w:type="fixed"/>
        <w:tblInd w:w="520" w:type="dxa"/>
        <w:tblCellMar>
          <w:top w:w="0" w:type="dxa"/>
          <w:left w:w="0" w:type="dxa"/>
          <w:bottom w:w="0" w:type="dxa"/>
          <w:right w:w="0" w:type="dxa"/>
        </w:tblCellMar>
      </w:tblPr>
      <w:tr>
        <w:trPr>
          <w:trHeight w:val="161"/>
        </w:trPr>
        <w:tc>
          <w:tcPr>
            <w:tcW w:w="2580" w:type="dxa"/>
            <w:vAlign w:val="bottom"/>
            <w:vMerge w:val="restart"/>
          </w:tcPr>
          <w:p>
            <w:pPr>
              <w:spacing w:after="0"/>
              <w:rPr>
                <w:sz w:val="20"/>
                <w:szCs w:val="20"/>
                <w:color w:val="auto"/>
              </w:rPr>
            </w:pPr>
            <w:r>
              <w:rPr>
                <w:rFonts w:ascii="Arial" w:cs="Arial" w:eastAsia="Arial" w:hAnsi="Arial"/>
                <w:sz w:val="14"/>
                <w:szCs w:val="14"/>
                <w:color w:val="auto"/>
              </w:rPr>
              <w:t>Cash, Cash Equivalents and</w:t>
            </w:r>
          </w:p>
        </w:tc>
        <w:tc>
          <w:tcPr>
            <w:tcW w:w="2760" w:type="dxa"/>
            <w:vAlign w:val="bottom"/>
            <w:gridSpan w:val="2"/>
          </w:tcPr>
          <w:p>
            <w:pPr>
              <w:spacing w:after="0"/>
              <w:rPr>
                <w:sz w:val="20"/>
                <w:szCs w:val="20"/>
                <w:color w:val="auto"/>
              </w:rPr>
            </w:pPr>
            <w:r>
              <w:rPr>
                <w:rFonts w:ascii="Arial" w:cs="Arial" w:eastAsia="Arial" w:hAnsi="Arial"/>
                <w:sz w:val="14"/>
                <w:szCs w:val="14"/>
                <w:color w:val="auto"/>
              </w:rPr>
              <w:t>Portfolio Investment</w:t>
            </w:r>
          </w:p>
        </w:tc>
        <w:tc>
          <w:tcPr>
            <w:tcW w:w="3440" w:type="dxa"/>
            <w:vAlign w:val="bottom"/>
            <w:gridSpan w:val="3"/>
          </w:tcPr>
          <w:p>
            <w:pPr>
              <w:ind w:left="1580"/>
              <w:spacing w:after="0"/>
              <w:rPr>
                <w:sz w:val="20"/>
                <w:szCs w:val="20"/>
                <w:color w:val="auto"/>
              </w:rPr>
            </w:pPr>
            <w:r>
              <w:rPr>
                <w:rFonts w:ascii="Arial" w:cs="Arial" w:eastAsia="Arial" w:hAnsi="Arial"/>
                <w:sz w:val="14"/>
                <w:szCs w:val="14"/>
                <w:color w:val="auto"/>
              </w:rPr>
              <w:t>Quoted</w:t>
            </w:r>
          </w:p>
        </w:tc>
        <w:tc>
          <w:tcPr>
            <w:tcW w:w="560" w:type="dxa"/>
            <w:vAlign w:val="bottom"/>
          </w:tcPr>
          <w:p>
            <w:pPr>
              <w:jc w:val="center"/>
              <w:spacing w:after="0"/>
              <w:rPr>
                <w:sz w:val="20"/>
                <w:szCs w:val="20"/>
                <w:color w:val="auto"/>
              </w:rPr>
            </w:pPr>
            <w:r>
              <w:rPr>
                <w:rFonts w:ascii="Arial" w:cs="Arial" w:eastAsia="Arial" w:hAnsi="Arial"/>
                <w:sz w:val="14"/>
                <w:szCs w:val="14"/>
                <w:color w:val="auto"/>
                <w:w w:val="92"/>
              </w:rPr>
              <w:t>Unquoted</w:t>
            </w:r>
          </w:p>
        </w:tc>
        <w:tc>
          <w:tcPr>
            <w:tcW w:w="0" w:type="dxa"/>
            <w:vAlign w:val="bottom"/>
          </w:tcPr>
          <w:p>
            <w:pPr>
              <w:spacing w:after="0"/>
              <w:rPr>
                <w:sz w:val="1"/>
                <w:szCs w:val="1"/>
                <w:color w:val="auto"/>
              </w:rPr>
            </w:pPr>
          </w:p>
        </w:tc>
      </w:tr>
      <w:tr>
        <w:trPr>
          <w:trHeight w:val="123"/>
        </w:trPr>
        <w:tc>
          <w:tcPr>
            <w:tcW w:w="2580" w:type="dxa"/>
            <w:vAlign w:val="bottom"/>
            <w:vMerge w:val="continue"/>
          </w:tcPr>
          <w:p>
            <w:pPr>
              <w:spacing w:after="0"/>
              <w:rPr>
                <w:sz w:val="10"/>
                <w:szCs w:val="10"/>
                <w:color w:val="auto"/>
              </w:rPr>
            </w:pPr>
          </w:p>
        </w:tc>
        <w:tc>
          <w:tcPr>
            <w:tcW w:w="1180" w:type="dxa"/>
            <w:vAlign w:val="bottom"/>
            <w:tcBorders>
              <w:top w:val="single" w:sz="8" w:color="auto"/>
            </w:tcBorders>
          </w:tcPr>
          <w:p>
            <w:pPr>
              <w:spacing w:after="0"/>
              <w:rPr>
                <w:sz w:val="10"/>
                <w:szCs w:val="10"/>
                <w:color w:val="auto"/>
              </w:rPr>
            </w:pPr>
          </w:p>
        </w:tc>
        <w:tc>
          <w:tcPr>
            <w:tcW w:w="1580" w:type="dxa"/>
            <w:vAlign w:val="bottom"/>
          </w:tcPr>
          <w:p>
            <w:pPr>
              <w:spacing w:after="0"/>
              <w:rPr>
                <w:sz w:val="10"/>
                <w:szCs w:val="10"/>
                <w:color w:val="auto"/>
              </w:rPr>
            </w:pPr>
          </w:p>
        </w:tc>
        <w:tc>
          <w:tcPr>
            <w:tcW w:w="1580" w:type="dxa"/>
            <w:vAlign w:val="bottom"/>
          </w:tcPr>
          <w:p>
            <w:pPr>
              <w:spacing w:after="0"/>
              <w:rPr>
                <w:sz w:val="10"/>
                <w:szCs w:val="10"/>
                <w:color w:val="auto"/>
              </w:rPr>
            </w:pPr>
          </w:p>
        </w:tc>
        <w:tc>
          <w:tcPr>
            <w:tcW w:w="420" w:type="dxa"/>
            <w:vAlign w:val="bottom"/>
            <w:tcBorders>
              <w:top w:val="single" w:sz="8" w:color="auto"/>
            </w:tcBorders>
          </w:tcPr>
          <w:p>
            <w:pPr>
              <w:spacing w:after="0"/>
              <w:rPr>
                <w:sz w:val="10"/>
                <w:szCs w:val="10"/>
                <w:color w:val="auto"/>
              </w:rPr>
            </w:pPr>
          </w:p>
        </w:tc>
        <w:tc>
          <w:tcPr>
            <w:tcW w:w="1440" w:type="dxa"/>
            <w:vAlign w:val="bottom"/>
          </w:tcPr>
          <w:p>
            <w:pPr>
              <w:spacing w:after="0"/>
              <w:rPr>
                <w:sz w:val="10"/>
                <w:szCs w:val="10"/>
                <w:color w:val="auto"/>
              </w:rPr>
            </w:pPr>
          </w:p>
        </w:tc>
        <w:tc>
          <w:tcPr>
            <w:tcW w:w="560" w:type="dxa"/>
            <w:vAlign w:val="bottom"/>
            <w:tcBorders>
              <w:top w:val="single" w:sz="8" w:color="auto"/>
            </w:tcBorders>
          </w:tcPr>
          <w:p>
            <w:pPr>
              <w:spacing w:after="0"/>
              <w:rPr>
                <w:sz w:val="10"/>
                <w:szCs w:val="10"/>
                <w:color w:val="auto"/>
              </w:rPr>
            </w:pPr>
          </w:p>
        </w:tc>
        <w:tc>
          <w:tcPr>
            <w:tcW w:w="0" w:type="dxa"/>
            <w:vAlign w:val="bottom"/>
          </w:tcPr>
          <w:p>
            <w:pPr>
              <w:spacing w:after="0"/>
              <w:rPr>
                <w:sz w:val="1"/>
                <w:szCs w:val="1"/>
                <w:color w:val="auto"/>
              </w:rPr>
            </w:pPr>
          </w:p>
        </w:tc>
      </w:tr>
      <w:tr>
        <w:trPr>
          <w:trHeight w:val="148"/>
        </w:trPr>
        <w:tc>
          <w:tcPr>
            <w:tcW w:w="5340" w:type="dxa"/>
            <w:vAlign w:val="bottom"/>
            <w:gridSpan w:val="3"/>
          </w:tcPr>
          <w:p>
            <w:pPr>
              <w:ind w:left="100"/>
              <w:spacing w:after="0" w:line="149" w:lineRule="exact"/>
              <w:rPr>
                <w:sz w:val="20"/>
                <w:szCs w:val="20"/>
                <w:color w:val="auto"/>
              </w:rPr>
            </w:pPr>
            <w:r>
              <w:rPr>
                <w:rFonts w:ascii="Arial" w:cs="Arial" w:eastAsia="Arial" w:hAnsi="Arial"/>
                <w:sz w:val="14"/>
                <w:szCs w:val="14"/>
                <w:color w:val="auto"/>
              </w:rPr>
              <w:t>Short-Term U.S. Government Securities</w:t>
            </w:r>
          </w:p>
        </w:tc>
        <w:tc>
          <w:tcPr>
            <w:tcW w:w="2000" w:type="dxa"/>
            <w:vAlign w:val="bottom"/>
            <w:gridSpan w:val="2"/>
          </w:tcPr>
          <w:p>
            <w:pPr>
              <w:jc w:val="center"/>
              <w:ind w:left="1508"/>
              <w:spacing w:after="0" w:line="149" w:lineRule="exact"/>
              <w:rPr>
                <w:sz w:val="20"/>
                <w:szCs w:val="20"/>
                <w:color w:val="auto"/>
              </w:rPr>
            </w:pPr>
            <w:r>
              <w:rPr>
                <w:rFonts w:ascii="Arial" w:cs="Arial" w:eastAsia="Arial" w:hAnsi="Arial"/>
                <w:sz w:val="14"/>
                <w:szCs w:val="14"/>
                <w:color w:val="auto"/>
                <w:w w:val="94"/>
              </w:rPr>
              <w:t>100%</w:t>
            </w:r>
          </w:p>
        </w:tc>
        <w:tc>
          <w:tcPr>
            <w:tcW w:w="1440" w:type="dxa"/>
            <w:vAlign w:val="bottom"/>
          </w:tcPr>
          <w:p>
            <w:pPr>
              <w:spacing w:after="0"/>
              <w:rPr>
                <w:sz w:val="12"/>
                <w:szCs w:val="12"/>
                <w:color w:val="auto"/>
              </w:rPr>
            </w:pPr>
          </w:p>
        </w:tc>
        <w:tc>
          <w:tcPr>
            <w:tcW w:w="560" w:type="dxa"/>
            <w:vAlign w:val="bottom"/>
          </w:tcPr>
          <w:p>
            <w:pPr>
              <w:jc w:val="center"/>
              <w:spacing w:after="0" w:line="149" w:lineRule="exact"/>
              <w:rPr>
                <w:sz w:val="20"/>
                <w:szCs w:val="20"/>
                <w:color w:val="auto"/>
              </w:rPr>
            </w:pPr>
            <w:r>
              <w:rPr>
                <w:rFonts w:ascii="Arial" w:cs="Arial" w:eastAsia="Arial" w:hAnsi="Arial"/>
                <w:sz w:val="14"/>
                <w:szCs w:val="14"/>
                <w:color w:val="auto"/>
                <w:w w:val="85"/>
              </w:rPr>
              <w:t>n.a.</w:t>
            </w:r>
          </w:p>
        </w:tc>
        <w:tc>
          <w:tcPr>
            <w:tcW w:w="0" w:type="dxa"/>
            <w:vAlign w:val="bottom"/>
          </w:tcPr>
          <w:p>
            <w:pPr>
              <w:spacing w:after="0"/>
              <w:rPr>
                <w:sz w:val="1"/>
                <w:szCs w:val="1"/>
                <w:color w:val="auto"/>
              </w:rPr>
            </w:pPr>
          </w:p>
        </w:tc>
      </w:tr>
      <w:tr>
        <w:trPr>
          <w:trHeight w:val="149"/>
        </w:trPr>
        <w:tc>
          <w:tcPr>
            <w:tcW w:w="5340" w:type="dxa"/>
            <w:vAlign w:val="bottom"/>
            <w:gridSpan w:val="3"/>
          </w:tcPr>
          <w:p>
            <w:pPr>
              <w:spacing w:after="0" w:line="149" w:lineRule="exact"/>
              <w:rPr>
                <w:sz w:val="20"/>
                <w:szCs w:val="20"/>
                <w:color w:val="auto"/>
              </w:rPr>
            </w:pPr>
            <w:r>
              <w:rPr>
                <w:rFonts w:ascii="Arial" w:cs="Arial" w:eastAsia="Arial" w:hAnsi="Arial"/>
                <w:sz w:val="14"/>
                <w:szCs w:val="14"/>
                <w:color w:val="auto"/>
              </w:rPr>
              <w:t>Long-Term U.S. Government Securities</w:t>
            </w:r>
          </w:p>
        </w:tc>
        <w:tc>
          <w:tcPr>
            <w:tcW w:w="2000" w:type="dxa"/>
            <w:vAlign w:val="bottom"/>
            <w:gridSpan w:val="2"/>
          </w:tcPr>
          <w:p>
            <w:pPr>
              <w:jc w:val="center"/>
              <w:ind w:left="1508"/>
              <w:spacing w:after="0" w:line="149" w:lineRule="exact"/>
              <w:rPr>
                <w:sz w:val="20"/>
                <w:szCs w:val="20"/>
                <w:color w:val="auto"/>
              </w:rPr>
            </w:pPr>
            <w:r>
              <w:rPr>
                <w:rFonts w:ascii="Arial" w:cs="Arial" w:eastAsia="Arial" w:hAnsi="Arial"/>
                <w:sz w:val="14"/>
                <w:szCs w:val="14"/>
                <w:color w:val="auto"/>
                <w:w w:val="92"/>
              </w:rPr>
              <w:t>95%</w:t>
            </w:r>
          </w:p>
        </w:tc>
        <w:tc>
          <w:tcPr>
            <w:tcW w:w="1440" w:type="dxa"/>
            <w:vAlign w:val="bottom"/>
          </w:tcPr>
          <w:p>
            <w:pPr>
              <w:spacing w:after="0"/>
              <w:rPr>
                <w:sz w:val="12"/>
                <w:szCs w:val="12"/>
                <w:color w:val="auto"/>
              </w:rPr>
            </w:pPr>
          </w:p>
        </w:tc>
        <w:tc>
          <w:tcPr>
            <w:tcW w:w="560" w:type="dxa"/>
            <w:vAlign w:val="bottom"/>
          </w:tcPr>
          <w:p>
            <w:pPr>
              <w:jc w:val="center"/>
              <w:spacing w:after="0" w:line="149" w:lineRule="exact"/>
              <w:rPr>
                <w:sz w:val="20"/>
                <w:szCs w:val="20"/>
                <w:color w:val="auto"/>
              </w:rPr>
            </w:pPr>
            <w:r>
              <w:rPr>
                <w:rFonts w:ascii="Arial" w:cs="Arial" w:eastAsia="Arial" w:hAnsi="Arial"/>
                <w:sz w:val="14"/>
                <w:szCs w:val="14"/>
                <w:color w:val="auto"/>
                <w:w w:val="85"/>
              </w:rPr>
              <w:t>n.a.</w:t>
            </w:r>
          </w:p>
        </w:tc>
        <w:tc>
          <w:tcPr>
            <w:tcW w:w="0" w:type="dxa"/>
            <w:vAlign w:val="bottom"/>
          </w:tcPr>
          <w:p>
            <w:pPr>
              <w:spacing w:after="0"/>
              <w:rPr>
                <w:sz w:val="1"/>
                <w:szCs w:val="1"/>
                <w:color w:val="auto"/>
              </w:rPr>
            </w:pPr>
          </w:p>
        </w:tc>
      </w:tr>
      <w:tr>
        <w:trPr>
          <w:trHeight w:val="148"/>
        </w:trPr>
        <w:tc>
          <w:tcPr>
            <w:tcW w:w="5340" w:type="dxa"/>
            <w:vAlign w:val="bottom"/>
            <w:gridSpan w:val="3"/>
          </w:tcPr>
          <w:p>
            <w:pPr>
              <w:spacing w:after="0" w:line="149" w:lineRule="exact"/>
              <w:rPr>
                <w:sz w:val="20"/>
                <w:szCs w:val="20"/>
                <w:color w:val="auto"/>
              </w:rPr>
            </w:pPr>
            <w:r>
              <w:rPr>
                <w:rFonts w:ascii="Arial" w:cs="Arial" w:eastAsia="Arial" w:hAnsi="Arial"/>
                <w:sz w:val="14"/>
                <w:szCs w:val="14"/>
                <w:color w:val="auto"/>
              </w:rPr>
              <w:t>Performing First Lien Bank Loans</w:t>
            </w:r>
          </w:p>
        </w:tc>
        <w:tc>
          <w:tcPr>
            <w:tcW w:w="2000" w:type="dxa"/>
            <w:vAlign w:val="bottom"/>
            <w:gridSpan w:val="2"/>
          </w:tcPr>
          <w:p>
            <w:pPr>
              <w:jc w:val="center"/>
              <w:ind w:left="1508"/>
              <w:spacing w:after="0" w:line="149" w:lineRule="exact"/>
              <w:rPr>
                <w:sz w:val="20"/>
                <w:szCs w:val="20"/>
                <w:color w:val="auto"/>
              </w:rPr>
            </w:pPr>
            <w:r>
              <w:rPr>
                <w:rFonts w:ascii="Arial" w:cs="Arial" w:eastAsia="Arial" w:hAnsi="Arial"/>
                <w:sz w:val="14"/>
                <w:szCs w:val="14"/>
                <w:color w:val="auto"/>
                <w:w w:val="92"/>
              </w:rPr>
              <w:t>85%</w:t>
            </w:r>
          </w:p>
        </w:tc>
        <w:tc>
          <w:tcPr>
            <w:tcW w:w="1440" w:type="dxa"/>
            <w:vAlign w:val="bottom"/>
          </w:tcPr>
          <w:p>
            <w:pPr>
              <w:spacing w:after="0"/>
              <w:rPr>
                <w:sz w:val="12"/>
                <w:szCs w:val="12"/>
                <w:color w:val="auto"/>
              </w:rPr>
            </w:pPr>
          </w:p>
        </w:tc>
        <w:tc>
          <w:tcPr>
            <w:tcW w:w="560" w:type="dxa"/>
            <w:vAlign w:val="bottom"/>
          </w:tcPr>
          <w:p>
            <w:pPr>
              <w:jc w:val="center"/>
              <w:spacing w:after="0" w:line="149" w:lineRule="exact"/>
              <w:rPr>
                <w:sz w:val="20"/>
                <w:szCs w:val="20"/>
                <w:color w:val="auto"/>
              </w:rPr>
            </w:pPr>
            <w:r>
              <w:rPr>
                <w:rFonts w:ascii="Arial" w:cs="Arial" w:eastAsia="Arial" w:hAnsi="Arial"/>
                <w:sz w:val="14"/>
                <w:szCs w:val="14"/>
                <w:color w:val="auto"/>
                <w:w w:val="99"/>
              </w:rPr>
              <w:t>75%</w:t>
            </w:r>
          </w:p>
        </w:tc>
        <w:tc>
          <w:tcPr>
            <w:tcW w:w="0" w:type="dxa"/>
            <w:vAlign w:val="bottom"/>
          </w:tcPr>
          <w:p>
            <w:pPr>
              <w:spacing w:after="0"/>
              <w:rPr>
                <w:sz w:val="1"/>
                <w:szCs w:val="1"/>
                <w:color w:val="auto"/>
              </w:rPr>
            </w:pPr>
          </w:p>
        </w:tc>
      </w:tr>
      <w:tr>
        <w:trPr>
          <w:trHeight w:val="148"/>
        </w:trPr>
        <w:tc>
          <w:tcPr>
            <w:tcW w:w="5340" w:type="dxa"/>
            <w:vAlign w:val="bottom"/>
            <w:gridSpan w:val="3"/>
          </w:tcPr>
          <w:p>
            <w:pPr>
              <w:spacing w:after="0" w:line="149" w:lineRule="exact"/>
              <w:rPr>
                <w:sz w:val="20"/>
                <w:szCs w:val="20"/>
                <w:color w:val="auto"/>
              </w:rPr>
            </w:pPr>
            <w:r>
              <w:rPr>
                <w:rFonts w:ascii="Arial" w:cs="Arial" w:eastAsia="Arial" w:hAnsi="Arial"/>
                <w:sz w:val="14"/>
                <w:szCs w:val="14"/>
                <w:color w:val="auto"/>
              </w:rPr>
              <w:t>Performing Unitranche Loans</w:t>
            </w:r>
          </w:p>
        </w:tc>
        <w:tc>
          <w:tcPr>
            <w:tcW w:w="2000" w:type="dxa"/>
            <w:vAlign w:val="bottom"/>
            <w:gridSpan w:val="2"/>
          </w:tcPr>
          <w:p>
            <w:pPr>
              <w:jc w:val="center"/>
              <w:ind w:left="1508"/>
              <w:spacing w:after="0" w:line="149" w:lineRule="exact"/>
              <w:rPr>
                <w:sz w:val="20"/>
                <w:szCs w:val="20"/>
                <w:color w:val="auto"/>
              </w:rPr>
            </w:pPr>
            <w:r>
              <w:rPr>
                <w:rFonts w:ascii="Arial" w:cs="Arial" w:eastAsia="Arial" w:hAnsi="Arial"/>
                <w:sz w:val="14"/>
                <w:szCs w:val="14"/>
                <w:color w:val="auto"/>
                <w:w w:val="92"/>
              </w:rPr>
              <w:t>80%</w:t>
            </w:r>
          </w:p>
        </w:tc>
        <w:tc>
          <w:tcPr>
            <w:tcW w:w="1440" w:type="dxa"/>
            <w:vAlign w:val="bottom"/>
          </w:tcPr>
          <w:p>
            <w:pPr>
              <w:spacing w:after="0"/>
              <w:rPr>
                <w:sz w:val="12"/>
                <w:szCs w:val="12"/>
                <w:color w:val="auto"/>
              </w:rPr>
            </w:pPr>
          </w:p>
        </w:tc>
        <w:tc>
          <w:tcPr>
            <w:tcW w:w="560" w:type="dxa"/>
            <w:vAlign w:val="bottom"/>
          </w:tcPr>
          <w:p>
            <w:pPr>
              <w:jc w:val="center"/>
              <w:spacing w:after="0" w:line="149" w:lineRule="exact"/>
              <w:rPr>
                <w:sz w:val="20"/>
                <w:szCs w:val="20"/>
                <w:color w:val="auto"/>
              </w:rPr>
            </w:pPr>
            <w:r>
              <w:rPr>
                <w:rFonts w:ascii="Arial" w:cs="Arial" w:eastAsia="Arial" w:hAnsi="Arial"/>
                <w:sz w:val="14"/>
                <w:szCs w:val="14"/>
                <w:color w:val="auto"/>
                <w:w w:val="99"/>
              </w:rPr>
              <w:t>70%</w:t>
            </w:r>
          </w:p>
        </w:tc>
        <w:tc>
          <w:tcPr>
            <w:tcW w:w="0" w:type="dxa"/>
            <w:vAlign w:val="bottom"/>
          </w:tcPr>
          <w:p>
            <w:pPr>
              <w:spacing w:after="0"/>
              <w:rPr>
                <w:sz w:val="1"/>
                <w:szCs w:val="1"/>
                <w:color w:val="auto"/>
              </w:rPr>
            </w:pPr>
          </w:p>
        </w:tc>
      </w:tr>
      <w:tr>
        <w:trPr>
          <w:trHeight w:val="148"/>
        </w:trPr>
        <w:tc>
          <w:tcPr>
            <w:tcW w:w="5340" w:type="dxa"/>
            <w:vAlign w:val="bottom"/>
            <w:gridSpan w:val="3"/>
          </w:tcPr>
          <w:p>
            <w:pPr>
              <w:spacing w:after="0" w:line="149" w:lineRule="exact"/>
              <w:rPr>
                <w:sz w:val="20"/>
                <w:szCs w:val="20"/>
                <w:color w:val="auto"/>
              </w:rPr>
            </w:pPr>
            <w:r>
              <w:rPr>
                <w:rFonts w:ascii="Arial" w:cs="Arial" w:eastAsia="Arial" w:hAnsi="Arial"/>
                <w:sz w:val="14"/>
                <w:szCs w:val="14"/>
                <w:color w:val="auto"/>
              </w:rPr>
              <w:t>Performing Second Lien Bank Loans</w:t>
            </w:r>
          </w:p>
        </w:tc>
        <w:tc>
          <w:tcPr>
            <w:tcW w:w="2000" w:type="dxa"/>
            <w:vAlign w:val="bottom"/>
            <w:gridSpan w:val="2"/>
          </w:tcPr>
          <w:p>
            <w:pPr>
              <w:jc w:val="center"/>
              <w:ind w:left="1508"/>
              <w:spacing w:after="0" w:line="149" w:lineRule="exact"/>
              <w:rPr>
                <w:sz w:val="20"/>
                <w:szCs w:val="20"/>
                <w:color w:val="auto"/>
              </w:rPr>
            </w:pPr>
            <w:r>
              <w:rPr>
                <w:rFonts w:ascii="Arial" w:cs="Arial" w:eastAsia="Arial" w:hAnsi="Arial"/>
                <w:sz w:val="14"/>
                <w:szCs w:val="14"/>
                <w:color w:val="auto"/>
                <w:w w:val="92"/>
              </w:rPr>
              <w:t>75%</w:t>
            </w:r>
          </w:p>
        </w:tc>
        <w:tc>
          <w:tcPr>
            <w:tcW w:w="1440" w:type="dxa"/>
            <w:vAlign w:val="bottom"/>
          </w:tcPr>
          <w:p>
            <w:pPr>
              <w:spacing w:after="0"/>
              <w:rPr>
                <w:sz w:val="12"/>
                <w:szCs w:val="12"/>
                <w:color w:val="auto"/>
              </w:rPr>
            </w:pPr>
          </w:p>
        </w:tc>
        <w:tc>
          <w:tcPr>
            <w:tcW w:w="560" w:type="dxa"/>
            <w:vAlign w:val="bottom"/>
          </w:tcPr>
          <w:p>
            <w:pPr>
              <w:jc w:val="center"/>
              <w:spacing w:after="0" w:line="149" w:lineRule="exact"/>
              <w:rPr>
                <w:sz w:val="20"/>
                <w:szCs w:val="20"/>
                <w:color w:val="auto"/>
              </w:rPr>
            </w:pPr>
            <w:r>
              <w:rPr>
                <w:rFonts w:ascii="Arial" w:cs="Arial" w:eastAsia="Arial" w:hAnsi="Arial"/>
                <w:sz w:val="14"/>
                <w:szCs w:val="14"/>
                <w:color w:val="auto"/>
                <w:w w:val="99"/>
              </w:rPr>
              <w:t>65%</w:t>
            </w:r>
          </w:p>
        </w:tc>
        <w:tc>
          <w:tcPr>
            <w:tcW w:w="0" w:type="dxa"/>
            <w:vAlign w:val="bottom"/>
          </w:tcPr>
          <w:p>
            <w:pPr>
              <w:spacing w:after="0"/>
              <w:rPr>
                <w:sz w:val="1"/>
                <w:szCs w:val="1"/>
                <w:color w:val="auto"/>
              </w:rPr>
            </w:pPr>
          </w:p>
        </w:tc>
      </w:tr>
      <w:tr>
        <w:trPr>
          <w:trHeight w:val="148"/>
        </w:trPr>
        <w:tc>
          <w:tcPr>
            <w:tcW w:w="5340" w:type="dxa"/>
            <w:vAlign w:val="bottom"/>
            <w:gridSpan w:val="3"/>
          </w:tcPr>
          <w:p>
            <w:pPr>
              <w:spacing w:after="0" w:line="149" w:lineRule="exact"/>
              <w:rPr>
                <w:sz w:val="20"/>
                <w:szCs w:val="20"/>
                <w:color w:val="auto"/>
              </w:rPr>
            </w:pPr>
            <w:r>
              <w:rPr>
                <w:rFonts w:ascii="Arial" w:cs="Arial" w:eastAsia="Arial" w:hAnsi="Arial"/>
                <w:sz w:val="14"/>
                <w:szCs w:val="14"/>
                <w:color w:val="auto"/>
              </w:rPr>
              <w:t>Performing Cash Pay High Yield Securities</w:t>
            </w:r>
          </w:p>
        </w:tc>
        <w:tc>
          <w:tcPr>
            <w:tcW w:w="2000" w:type="dxa"/>
            <w:vAlign w:val="bottom"/>
            <w:gridSpan w:val="2"/>
          </w:tcPr>
          <w:p>
            <w:pPr>
              <w:jc w:val="center"/>
              <w:ind w:left="1508"/>
              <w:spacing w:after="0" w:line="149" w:lineRule="exact"/>
              <w:rPr>
                <w:sz w:val="20"/>
                <w:szCs w:val="20"/>
                <w:color w:val="auto"/>
              </w:rPr>
            </w:pPr>
            <w:r>
              <w:rPr>
                <w:rFonts w:ascii="Arial" w:cs="Arial" w:eastAsia="Arial" w:hAnsi="Arial"/>
                <w:sz w:val="14"/>
                <w:szCs w:val="14"/>
                <w:color w:val="auto"/>
                <w:w w:val="92"/>
              </w:rPr>
              <w:t>70%</w:t>
            </w:r>
          </w:p>
        </w:tc>
        <w:tc>
          <w:tcPr>
            <w:tcW w:w="1440" w:type="dxa"/>
            <w:vAlign w:val="bottom"/>
          </w:tcPr>
          <w:p>
            <w:pPr>
              <w:spacing w:after="0"/>
              <w:rPr>
                <w:sz w:val="12"/>
                <w:szCs w:val="12"/>
                <w:color w:val="auto"/>
              </w:rPr>
            </w:pPr>
          </w:p>
        </w:tc>
        <w:tc>
          <w:tcPr>
            <w:tcW w:w="560" w:type="dxa"/>
            <w:vAlign w:val="bottom"/>
          </w:tcPr>
          <w:p>
            <w:pPr>
              <w:jc w:val="center"/>
              <w:spacing w:after="0" w:line="149" w:lineRule="exact"/>
              <w:rPr>
                <w:sz w:val="20"/>
                <w:szCs w:val="20"/>
                <w:color w:val="auto"/>
              </w:rPr>
            </w:pPr>
            <w:r>
              <w:rPr>
                <w:rFonts w:ascii="Arial" w:cs="Arial" w:eastAsia="Arial" w:hAnsi="Arial"/>
                <w:sz w:val="14"/>
                <w:szCs w:val="14"/>
                <w:color w:val="auto"/>
                <w:w w:val="99"/>
              </w:rPr>
              <w:t>60%</w:t>
            </w:r>
          </w:p>
        </w:tc>
        <w:tc>
          <w:tcPr>
            <w:tcW w:w="0" w:type="dxa"/>
            <w:vAlign w:val="bottom"/>
          </w:tcPr>
          <w:p>
            <w:pPr>
              <w:spacing w:after="0"/>
              <w:rPr>
                <w:sz w:val="1"/>
                <w:szCs w:val="1"/>
                <w:color w:val="auto"/>
              </w:rPr>
            </w:pPr>
          </w:p>
        </w:tc>
      </w:tr>
      <w:tr>
        <w:trPr>
          <w:trHeight w:val="149"/>
        </w:trPr>
        <w:tc>
          <w:tcPr>
            <w:tcW w:w="5340" w:type="dxa"/>
            <w:vAlign w:val="bottom"/>
            <w:gridSpan w:val="3"/>
          </w:tcPr>
          <w:p>
            <w:pPr>
              <w:spacing w:after="0" w:line="149" w:lineRule="exact"/>
              <w:rPr>
                <w:sz w:val="20"/>
                <w:szCs w:val="20"/>
                <w:color w:val="auto"/>
              </w:rPr>
            </w:pPr>
            <w:r>
              <w:rPr>
                <w:rFonts w:ascii="Arial" w:cs="Arial" w:eastAsia="Arial" w:hAnsi="Arial"/>
                <w:sz w:val="14"/>
                <w:szCs w:val="14"/>
                <w:color w:val="auto"/>
              </w:rPr>
              <w:t>Performing Cash Pay Mezzanine Investments</w:t>
            </w:r>
          </w:p>
        </w:tc>
        <w:tc>
          <w:tcPr>
            <w:tcW w:w="2000" w:type="dxa"/>
            <w:vAlign w:val="bottom"/>
            <w:gridSpan w:val="2"/>
          </w:tcPr>
          <w:p>
            <w:pPr>
              <w:jc w:val="center"/>
              <w:ind w:left="1508"/>
              <w:spacing w:after="0" w:line="149" w:lineRule="exact"/>
              <w:rPr>
                <w:sz w:val="20"/>
                <w:szCs w:val="20"/>
                <w:color w:val="auto"/>
              </w:rPr>
            </w:pPr>
            <w:r>
              <w:rPr>
                <w:rFonts w:ascii="Arial" w:cs="Arial" w:eastAsia="Arial" w:hAnsi="Arial"/>
                <w:sz w:val="14"/>
                <w:szCs w:val="14"/>
                <w:color w:val="auto"/>
                <w:w w:val="92"/>
              </w:rPr>
              <w:t>65%</w:t>
            </w:r>
          </w:p>
        </w:tc>
        <w:tc>
          <w:tcPr>
            <w:tcW w:w="1440" w:type="dxa"/>
            <w:vAlign w:val="bottom"/>
          </w:tcPr>
          <w:p>
            <w:pPr>
              <w:spacing w:after="0"/>
              <w:rPr>
                <w:sz w:val="12"/>
                <w:szCs w:val="12"/>
                <w:color w:val="auto"/>
              </w:rPr>
            </w:pPr>
          </w:p>
        </w:tc>
        <w:tc>
          <w:tcPr>
            <w:tcW w:w="560" w:type="dxa"/>
            <w:vAlign w:val="bottom"/>
          </w:tcPr>
          <w:p>
            <w:pPr>
              <w:jc w:val="center"/>
              <w:spacing w:after="0" w:line="149" w:lineRule="exact"/>
              <w:rPr>
                <w:sz w:val="20"/>
                <w:szCs w:val="20"/>
                <w:color w:val="auto"/>
              </w:rPr>
            </w:pPr>
            <w:r>
              <w:rPr>
                <w:rFonts w:ascii="Arial" w:cs="Arial" w:eastAsia="Arial" w:hAnsi="Arial"/>
                <w:sz w:val="14"/>
                <w:szCs w:val="14"/>
                <w:color w:val="auto"/>
                <w:w w:val="99"/>
              </w:rPr>
              <w:t>55%</w:t>
            </w:r>
          </w:p>
        </w:tc>
        <w:tc>
          <w:tcPr>
            <w:tcW w:w="0" w:type="dxa"/>
            <w:vAlign w:val="bottom"/>
          </w:tcPr>
          <w:p>
            <w:pPr>
              <w:spacing w:after="0"/>
              <w:rPr>
                <w:sz w:val="1"/>
                <w:szCs w:val="1"/>
                <w:color w:val="auto"/>
              </w:rPr>
            </w:pPr>
          </w:p>
        </w:tc>
      </w:tr>
      <w:tr>
        <w:trPr>
          <w:trHeight w:val="148"/>
        </w:trPr>
        <w:tc>
          <w:tcPr>
            <w:tcW w:w="5340" w:type="dxa"/>
            <w:vAlign w:val="bottom"/>
            <w:gridSpan w:val="3"/>
          </w:tcPr>
          <w:p>
            <w:pPr>
              <w:spacing w:after="0" w:line="149" w:lineRule="exact"/>
              <w:rPr>
                <w:sz w:val="20"/>
                <w:szCs w:val="20"/>
                <w:color w:val="auto"/>
              </w:rPr>
            </w:pPr>
            <w:r>
              <w:rPr>
                <w:rFonts w:ascii="Arial" w:cs="Arial" w:eastAsia="Arial" w:hAnsi="Arial"/>
                <w:sz w:val="14"/>
                <w:szCs w:val="14"/>
                <w:color w:val="auto"/>
              </w:rPr>
              <w:t>Performing Non-Cash Pay High Yield Securities</w:t>
            </w:r>
          </w:p>
        </w:tc>
        <w:tc>
          <w:tcPr>
            <w:tcW w:w="2000" w:type="dxa"/>
            <w:vAlign w:val="bottom"/>
            <w:gridSpan w:val="2"/>
          </w:tcPr>
          <w:p>
            <w:pPr>
              <w:jc w:val="center"/>
              <w:ind w:left="1508"/>
              <w:spacing w:after="0" w:line="149" w:lineRule="exact"/>
              <w:rPr>
                <w:sz w:val="20"/>
                <w:szCs w:val="20"/>
                <w:color w:val="auto"/>
              </w:rPr>
            </w:pPr>
            <w:r>
              <w:rPr>
                <w:rFonts w:ascii="Arial" w:cs="Arial" w:eastAsia="Arial" w:hAnsi="Arial"/>
                <w:sz w:val="14"/>
                <w:szCs w:val="14"/>
                <w:color w:val="auto"/>
                <w:w w:val="92"/>
              </w:rPr>
              <w:t>60%</w:t>
            </w:r>
          </w:p>
        </w:tc>
        <w:tc>
          <w:tcPr>
            <w:tcW w:w="1440" w:type="dxa"/>
            <w:vAlign w:val="bottom"/>
          </w:tcPr>
          <w:p>
            <w:pPr>
              <w:spacing w:after="0"/>
              <w:rPr>
                <w:sz w:val="12"/>
                <w:szCs w:val="12"/>
                <w:color w:val="auto"/>
              </w:rPr>
            </w:pPr>
          </w:p>
        </w:tc>
        <w:tc>
          <w:tcPr>
            <w:tcW w:w="560" w:type="dxa"/>
            <w:vAlign w:val="bottom"/>
          </w:tcPr>
          <w:p>
            <w:pPr>
              <w:jc w:val="center"/>
              <w:spacing w:after="0" w:line="149" w:lineRule="exact"/>
              <w:rPr>
                <w:sz w:val="20"/>
                <w:szCs w:val="20"/>
                <w:color w:val="auto"/>
              </w:rPr>
            </w:pPr>
            <w:r>
              <w:rPr>
                <w:rFonts w:ascii="Arial" w:cs="Arial" w:eastAsia="Arial" w:hAnsi="Arial"/>
                <w:sz w:val="14"/>
                <w:szCs w:val="14"/>
                <w:color w:val="auto"/>
                <w:w w:val="99"/>
              </w:rPr>
              <w:t>50%</w:t>
            </w:r>
          </w:p>
        </w:tc>
        <w:tc>
          <w:tcPr>
            <w:tcW w:w="0" w:type="dxa"/>
            <w:vAlign w:val="bottom"/>
          </w:tcPr>
          <w:p>
            <w:pPr>
              <w:spacing w:after="0"/>
              <w:rPr>
                <w:sz w:val="1"/>
                <w:szCs w:val="1"/>
                <w:color w:val="auto"/>
              </w:rPr>
            </w:pPr>
          </w:p>
        </w:tc>
      </w:tr>
      <w:tr>
        <w:trPr>
          <w:trHeight w:val="148"/>
        </w:trPr>
        <w:tc>
          <w:tcPr>
            <w:tcW w:w="5340" w:type="dxa"/>
            <w:vAlign w:val="bottom"/>
            <w:gridSpan w:val="3"/>
          </w:tcPr>
          <w:p>
            <w:pPr>
              <w:spacing w:after="0" w:line="149" w:lineRule="exact"/>
              <w:rPr>
                <w:sz w:val="20"/>
                <w:szCs w:val="20"/>
                <w:color w:val="auto"/>
              </w:rPr>
            </w:pPr>
            <w:r>
              <w:rPr>
                <w:rFonts w:ascii="Arial" w:cs="Arial" w:eastAsia="Arial" w:hAnsi="Arial"/>
                <w:sz w:val="14"/>
                <w:szCs w:val="14"/>
                <w:color w:val="auto"/>
              </w:rPr>
              <w:t>Performing Non-Cash Pay Mezzanine Investments</w:t>
            </w:r>
          </w:p>
        </w:tc>
        <w:tc>
          <w:tcPr>
            <w:tcW w:w="2000" w:type="dxa"/>
            <w:vAlign w:val="bottom"/>
            <w:gridSpan w:val="2"/>
          </w:tcPr>
          <w:p>
            <w:pPr>
              <w:jc w:val="center"/>
              <w:ind w:left="1508"/>
              <w:spacing w:after="0" w:line="149" w:lineRule="exact"/>
              <w:rPr>
                <w:sz w:val="20"/>
                <w:szCs w:val="20"/>
                <w:color w:val="auto"/>
              </w:rPr>
            </w:pPr>
            <w:r>
              <w:rPr>
                <w:rFonts w:ascii="Arial" w:cs="Arial" w:eastAsia="Arial" w:hAnsi="Arial"/>
                <w:sz w:val="14"/>
                <w:szCs w:val="14"/>
                <w:color w:val="auto"/>
                <w:w w:val="92"/>
              </w:rPr>
              <w:t>55%</w:t>
            </w:r>
          </w:p>
        </w:tc>
        <w:tc>
          <w:tcPr>
            <w:tcW w:w="1440" w:type="dxa"/>
            <w:vAlign w:val="bottom"/>
          </w:tcPr>
          <w:p>
            <w:pPr>
              <w:spacing w:after="0"/>
              <w:rPr>
                <w:sz w:val="12"/>
                <w:szCs w:val="12"/>
                <w:color w:val="auto"/>
              </w:rPr>
            </w:pPr>
          </w:p>
        </w:tc>
        <w:tc>
          <w:tcPr>
            <w:tcW w:w="560" w:type="dxa"/>
            <w:vAlign w:val="bottom"/>
          </w:tcPr>
          <w:p>
            <w:pPr>
              <w:jc w:val="center"/>
              <w:spacing w:after="0" w:line="149" w:lineRule="exact"/>
              <w:rPr>
                <w:sz w:val="20"/>
                <w:szCs w:val="20"/>
                <w:color w:val="auto"/>
              </w:rPr>
            </w:pPr>
            <w:r>
              <w:rPr>
                <w:rFonts w:ascii="Arial" w:cs="Arial" w:eastAsia="Arial" w:hAnsi="Arial"/>
                <w:sz w:val="14"/>
                <w:szCs w:val="14"/>
                <w:color w:val="auto"/>
                <w:w w:val="99"/>
              </w:rPr>
              <w:t>45%</w:t>
            </w:r>
          </w:p>
        </w:tc>
        <w:tc>
          <w:tcPr>
            <w:tcW w:w="0" w:type="dxa"/>
            <w:vAlign w:val="bottom"/>
          </w:tcPr>
          <w:p>
            <w:pPr>
              <w:spacing w:after="0"/>
              <w:rPr>
                <w:sz w:val="1"/>
                <w:szCs w:val="1"/>
                <w:color w:val="auto"/>
              </w:rPr>
            </w:pPr>
          </w:p>
        </w:tc>
      </w:tr>
      <w:tr>
        <w:trPr>
          <w:trHeight w:val="148"/>
        </w:trPr>
        <w:tc>
          <w:tcPr>
            <w:tcW w:w="5340" w:type="dxa"/>
            <w:vAlign w:val="bottom"/>
            <w:gridSpan w:val="3"/>
          </w:tcPr>
          <w:p>
            <w:pPr>
              <w:spacing w:after="0" w:line="149" w:lineRule="exact"/>
              <w:rPr>
                <w:sz w:val="20"/>
                <w:szCs w:val="20"/>
                <w:color w:val="auto"/>
              </w:rPr>
            </w:pPr>
            <w:r>
              <w:rPr>
                <w:rFonts w:ascii="Arial" w:cs="Arial" w:eastAsia="Arial" w:hAnsi="Arial"/>
                <w:sz w:val="14"/>
                <w:szCs w:val="14"/>
                <w:color w:val="auto"/>
              </w:rPr>
              <w:t>Non-Performing First Lien Bank Loans</w:t>
            </w:r>
          </w:p>
        </w:tc>
        <w:tc>
          <w:tcPr>
            <w:tcW w:w="2000" w:type="dxa"/>
            <w:vAlign w:val="bottom"/>
            <w:gridSpan w:val="2"/>
          </w:tcPr>
          <w:p>
            <w:pPr>
              <w:jc w:val="center"/>
              <w:ind w:left="1508"/>
              <w:spacing w:after="0" w:line="149" w:lineRule="exact"/>
              <w:rPr>
                <w:sz w:val="20"/>
                <w:szCs w:val="20"/>
                <w:color w:val="auto"/>
              </w:rPr>
            </w:pPr>
            <w:r>
              <w:rPr>
                <w:rFonts w:ascii="Arial" w:cs="Arial" w:eastAsia="Arial" w:hAnsi="Arial"/>
                <w:sz w:val="14"/>
                <w:szCs w:val="14"/>
                <w:color w:val="auto"/>
                <w:w w:val="92"/>
              </w:rPr>
              <w:t>45%</w:t>
            </w:r>
          </w:p>
        </w:tc>
        <w:tc>
          <w:tcPr>
            <w:tcW w:w="1440" w:type="dxa"/>
            <w:vAlign w:val="bottom"/>
          </w:tcPr>
          <w:p>
            <w:pPr>
              <w:spacing w:after="0"/>
              <w:rPr>
                <w:sz w:val="12"/>
                <w:szCs w:val="12"/>
                <w:color w:val="auto"/>
              </w:rPr>
            </w:pPr>
          </w:p>
        </w:tc>
        <w:tc>
          <w:tcPr>
            <w:tcW w:w="560" w:type="dxa"/>
            <w:vAlign w:val="bottom"/>
          </w:tcPr>
          <w:p>
            <w:pPr>
              <w:jc w:val="center"/>
              <w:spacing w:after="0" w:line="149" w:lineRule="exact"/>
              <w:rPr>
                <w:sz w:val="20"/>
                <w:szCs w:val="20"/>
                <w:color w:val="auto"/>
              </w:rPr>
            </w:pPr>
            <w:r>
              <w:rPr>
                <w:rFonts w:ascii="Arial" w:cs="Arial" w:eastAsia="Arial" w:hAnsi="Arial"/>
                <w:sz w:val="14"/>
                <w:szCs w:val="14"/>
                <w:color w:val="auto"/>
                <w:w w:val="99"/>
              </w:rPr>
              <w:t>45%</w:t>
            </w:r>
          </w:p>
        </w:tc>
        <w:tc>
          <w:tcPr>
            <w:tcW w:w="0" w:type="dxa"/>
            <w:vAlign w:val="bottom"/>
          </w:tcPr>
          <w:p>
            <w:pPr>
              <w:spacing w:after="0"/>
              <w:rPr>
                <w:sz w:val="1"/>
                <w:szCs w:val="1"/>
                <w:color w:val="auto"/>
              </w:rPr>
            </w:pPr>
          </w:p>
        </w:tc>
      </w:tr>
      <w:tr>
        <w:trPr>
          <w:trHeight w:val="148"/>
        </w:trPr>
        <w:tc>
          <w:tcPr>
            <w:tcW w:w="5340" w:type="dxa"/>
            <w:vAlign w:val="bottom"/>
            <w:gridSpan w:val="3"/>
          </w:tcPr>
          <w:p>
            <w:pPr>
              <w:spacing w:after="0" w:line="149" w:lineRule="exact"/>
              <w:rPr>
                <w:sz w:val="20"/>
                <w:szCs w:val="20"/>
                <w:color w:val="auto"/>
              </w:rPr>
            </w:pPr>
            <w:r>
              <w:rPr>
                <w:rFonts w:ascii="Arial" w:cs="Arial" w:eastAsia="Arial" w:hAnsi="Arial"/>
                <w:sz w:val="14"/>
                <w:szCs w:val="14"/>
                <w:color w:val="auto"/>
              </w:rPr>
              <w:t>Non-Performing Unitranche Loans</w:t>
            </w:r>
          </w:p>
        </w:tc>
        <w:tc>
          <w:tcPr>
            <w:tcW w:w="2000" w:type="dxa"/>
            <w:vAlign w:val="bottom"/>
            <w:gridSpan w:val="2"/>
          </w:tcPr>
          <w:p>
            <w:pPr>
              <w:jc w:val="center"/>
              <w:ind w:left="1508"/>
              <w:spacing w:after="0" w:line="149" w:lineRule="exact"/>
              <w:rPr>
                <w:sz w:val="20"/>
                <w:szCs w:val="20"/>
                <w:color w:val="auto"/>
              </w:rPr>
            </w:pPr>
            <w:r>
              <w:rPr>
                <w:rFonts w:ascii="Arial" w:cs="Arial" w:eastAsia="Arial" w:hAnsi="Arial"/>
                <w:sz w:val="14"/>
                <w:szCs w:val="14"/>
                <w:color w:val="auto"/>
                <w:w w:val="92"/>
              </w:rPr>
              <w:t>40%</w:t>
            </w:r>
          </w:p>
        </w:tc>
        <w:tc>
          <w:tcPr>
            <w:tcW w:w="1440" w:type="dxa"/>
            <w:vAlign w:val="bottom"/>
          </w:tcPr>
          <w:p>
            <w:pPr>
              <w:spacing w:after="0"/>
              <w:rPr>
                <w:sz w:val="12"/>
                <w:szCs w:val="12"/>
                <w:color w:val="auto"/>
              </w:rPr>
            </w:pPr>
          </w:p>
        </w:tc>
        <w:tc>
          <w:tcPr>
            <w:tcW w:w="560" w:type="dxa"/>
            <w:vAlign w:val="bottom"/>
          </w:tcPr>
          <w:p>
            <w:pPr>
              <w:jc w:val="center"/>
              <w:spacing w:after="0" w:line="149" w:lineRule="exact"/>
              <w:rPr>
                <w:sz w:val="20"/>
                <w:szCs w:val="20"/>
                <w:color w:val="auto"/>
              </w:rPr>
            </w:pPr>
            <w:r>
              <w:rPr>
                <w:rFonts w:ascii="Arial" w:cs="Arial" w:eastAsia="Arial" w:hAnsi="Arial"/>
                <w:sz w:val="14"/>
                <w:szCs w:val="14"/>
                <w:color w:val="auto"/>
                <w:w w:val="99"/>
              </w:rPr>
              <w:t>40%</w:t>
            </w:r>
          </w:p>
        </w:tc>
        <w:tc>
          <w:tcPr>
            <w:tcW w:w="0" w:type="dxa"/>
            <w:vAlign w:val="bottom"/>
          </w:tcPr>
          <w:p>
            <w:pPr>
              <w:spacing w:after="0"/>
              <w:rPr>
                <w:sz w:val="1"/>
                <w:szCs w:val="1"/>
                <w:color w:val="auto"/>
              </w:rPr>
            </w:pPr>
          </w:p>
        </w:tc>
      </w:tr>
      <w:tr>
        <w:trPr>
          <w:trHeight w:val="148"/>
        </w:trPr>
        <w:tc>
          <w:tcPr>
            <w:tcW w:w="5340" w:type="dxa"/>
            <w:vAlign w:val="bottom"/>
            <w:gridSpan w:val="3"/>
          </w:tcPr>
          <w:p>
            <w:pPr>
              <w:spacing w:after="0" w:line="149" w:lineRule="exact"/>
              <w:rPr>
                <w:sz w:val="20"/>
                <w:szCs w:val="20"/>
                <w:color w:val="auto"/>
              </w:rPr>
            </w:pPr>
            <w:r>
              <w:rPr>
                <w:rFonts w:ascii="Arial" w:cs="Arial" w:eastAsia="Arial" w:hAnsi="Arial"/>
                <w:sz w:val="14"/>
                <w:szCs w:val="14"/>
                <w:color w:val="auto"/>
              </w:rPr>
              <w:t>Non-Performing Second Lien Bank Loans</w:t>
            </w:r>
          </w:p>
        </w:tc>
        <w:tc>
          <w:tcPr>
            <w:tcW w:w="2000" w:type="dxa"/>
            <w:vAlign w:val="bottom"/>
            <w:gridSpan w:val="2"/>
          </w:tcPr>
          <w:p>
            <w:pPr>
              <w:jc w:val="center"/>
              <w:ind w:left="1508"/>
              <w:spacing w:after="0" w:line="149" w:lineRule="exact"/>
              <w:rPr>
                <w:sz w:val="20"/>
                <w:szCs w:val="20"/>
                <w:color w:val="auto"/>
              </w:rPr>
            </w:pPr>
            <w:r>
              <w:rPr>
                <w:rFonts w:ascii="Arial" w:cs="Arial" w:eastAsia="Arial" w:hAnsi="Arial"/>
                <w:sz w:val="14"/>
                <w:szCs w:val="14"/>
                <w:color w:val="auto"/>
                <w:w w:val="92"/>
              </w:rPr>
              <w:t>40%</w:t>
            </w:r>
          </w:p>
        </w:tc>
        <w:tc>
          <w:tcPr>
            <w:tcW w:w="1440" w:type="dxa"/>
            <w:vAlign w:val="bottom"/>
          </w:tcPr>
          <w:p>
            <w:pPr>
              <w:spacing w:after="0"/>
              <w:rPr>
                <w:sz w:val="12"/>
                <w:szCs w:val="12"/>
                <w:color w:val="auto"/>
              </w:rPr>
            </w:pPr>
          </w:p>
        </w:tc>
        <w:tc>
          <w:tcPr>
            <w:tcW w:w="560" w:type="dxa"/>
            <w:vAlign w:val="bottom"/>
          </w:tcPr>
          <w:p>
            <w:pPr>
              <w:jc w:val="center"/>
              <w:spacing w:after="0" w:line="149" w:lineRule="exact"/>
              <w:rPr>
                <w:sz w:val="20"/>
                <w:szCs w:val="20"/>
                <w:color w:val="auto"/>
              </w:rPr>
            </w:pPr>
            <w:r>
              <w:rPr>
                <w:rFonts w:ascii="Arial" w:cs="Arial" w:eastAsia="Arial" w:hAnsi="Arial"/>
                <w:sz w:val="14"/>
                <w:szCs w:val="14"/>
                <w:color w:val="auto"/>
                <w:w w:val="99"/>
              </w:rPr>
              <w:t>35%</w:t>
            </w:r>
          </w:p>
        </w:tc>
        <w:tc>
          <w:tcPr>
            <w:tcW w:w="0" w:type="dxa"/>
            <w:vAlign w:val="bottom"/>
          </w:tcPr>
          <w:p>
            <w:pPr>
              <w:spacing w:after="0"/>
              <w:rPr>
                <w:sz w:val="1"/>
                <w:szCs w:val="1"/>
                <w:color w:val="auto"/>
              </w:rPr>
            </w:pPr>
          </w:p>
        </w:tc>
      </w:tr>
      <w:tr>
        <w:trPr>
          <w:trHeight w:val="149"/>
        </w:trPr>
        <w:tc>
          <w:tcPr>
            <w:tcW w:w="5340" w:type="dxa"/>
            <w:vAlign w:val="bottom"/>
            <w:gridSpan w:val="3"/>
          </w:tcPr>
          <w:p>
            <w:pPr>
              <w:spacing w:after="0" w:line="149" w:lineRule="exact"/>
              <w:rPr>
                <w:sz w:val="20"/>
                <w:szCs w:val="20"/>
                <w:color w:val="auto"/>
              </w:rPr>
            </w:pPr>
            <w:r>
              <w:rPr>
                <w:rFonts w:ascii="Arial" w:cs="Arial" w:eastAsia="Arial" w:hAnsi="Arial"/>
                <w:sz w:val="14"/>
                <w:szCs w:val="14"/>
                <w:color w:val="auto"/>
              </w:rPr>
              <w:t>Non-Performing High Yield Securities</w:t>
            </w:r>
          </w:p>
        </w:tc>
        <w:tc>
          <w:tcPr>
            <w:tcW w:w="2000" w:type="dxa"/>
            <w:vAlign w:val="bottom"/>
            <w:gridSpan w:val="2"/>
          </w:tcPr>
          <w:p>
            <w:pPr>
              <w:jc w:val="center"/>
              <w:ind w:left="1508"/>
              <w:spacing w:after="0" w:line="149" w:lineRule="exact"/>
              <w:rPr>
                <w:sz w:val="20"/>
                <w:szCs w:val="20"/>
                <w:color w:val="auto"/>
              </w:rPr>
            </w:pPr>
            <w:r>
              <w:rPr>
                <w:rFonts w:ascii="Arial" w:cs="Arial" w:eastAsia="Arial" w:hAnsi="Arial"/>
                <w:sz w:val="14"/>
                <w:szCs w:val="14"/>
                <w:color w:val="auto"/>
                <w:w w:val="92"/>
              </w:rPr>
              <w:t>30%</w:t>
            </w:r>
          </w:p>
        </w:tc>
        <w:tc>
          <w:tcPr>
            <w:tcW w:w="1440" w:type="dxa"/>
            <w:vAlign w:val="bottom"/>
          </w:tcPr>
          <w:p>
            <w:pPr>
              <w:spacing w:after="0"/>
              <w:rPr>
                <w:sz w:val="12"/>
                <w:szCs w:val="12"/>
                <w:color w:val="auto"/>
              </w:rPr>
            </w:pPr>
          </w:p>
        </w:tc>
        <w:tc>
          <w:tcPr>
            <w:tcW w:w="560" w:type="dxa"/>
            <w:vAlign w:val="bottom"/>
          </w:tcPr>
          <w:p>
            <w:pPr>
              <w:jc w:val="center"/>
              <w:spacing w:after="0" w:line="149" w:lineRule="exact"/>
              <w:rPr>
                <w:sz w:val="20"/>
                <w:szCs w:val="20"/>
                <w:color w:val="auto"/>
              </w:rPr>
            </w:pPr>
            <w:r>
              <w:rPr>
                <w:rFonts w:ascii="Arial" w:cs="Arial" w:eastAsia="Arial" w:hAnsi="Arial"/>
                <w:sz w:val="14"/>
                <w:szCs w:val="14"/>
                <w:color w:val="auto"/>
                <w:w w:val="99"/>
              </w:rPr>
              <w:t>30%</w:t>
            </w:r>
          </w:p>
        </w:tc>
        <w:tc>
          <w:tcPr>
            <w:tcW w:w="0" w:type="dxa"/>
            <w:vAlign w:val="bottom"/>
          </w:tcPr>
          <w:p>
            <w:pPr>
              <w:spacing w:after="0"/>
              <w:rPr>
                <w:sz w:val="1"/>
                <w:szCs w:val="1"/>
                <w:color w:val="auto"/>
              </w:rPr>
            </w:pPr>
          </w:p>
        </w:tc>
      </w:tr>
      <w:tr>
        <w:trPr>
          <w:trHeight w:val="148"/>
        </w:trPr>
        <w:tc>
          <w:tcPr>
            <w:tcW w:w="5340" w:type="dxa"/>
            <w:vAlign w:val="bottom"/>
            <w:gridSpan w:val="3"/>
          </w:tcPr>
          <w:p>
            <w:pPr>
              <w:spacing w:after="0" w:line="149" w:lineRule="exact"/>
              <w:rPr>
                <w:sz w:val="20"/>
                <w:szCs w:val="20"/>
                <w:color w:val="auto"/>
              </w:rPr>
            </w:pPr>
            <w:r>
              <w:rPr>
                <w:rFonts w:ascii="Arial" w:cs="Arial" w:eastAsia="Arial" w:hAnsi="Arial"/>
                <w:sz w:val="14"/>
                <w:szCs w:val="14"/>
                <w:color w:val="auto"/>
              </w:rPr>
              <w:t>Non-Performing Mezzanine Investments</w:t>
            </w:r>
          </w:p>
        </w:tc>
        <w:tc>
          <w:tcPr>
            <w:tcW w:w="2000" w:type="dxa"/>
            <w:vAlign w:val="bottom"/>
            <w:gridSpan w:val="2"/>
          </w:tcPr>
          <w:p>
            <w:pPr>
              <w:jc w:val="center"/>
              <w:ind w:left="1508"/>
              <w:spacing w:after="0" w:line="149" w:lineRule="exact"/>
              <w:rPr>
                <w:sz w:val="20"/>
                <w:szCs w:val="20"/>
                <w:color w:val="auto"/>
              </w:rPr>
            </w:pPr>
            <w:r>
              <w:rPr>
                <w:rFonts w:ascii="Arial" w:cs="Arial" w:eastAsia="Arial" w:hAnsi="Arial"/>
                <w:sz w:val="14"/>
                <w:szCs w:val="14"/>
                <w:color w:val="auto"/>
                <w:w w:val="92"/>
              </w:rPr>
              <w:t>30%</w:t>
            </w:r>
          </w:p>
        </w:tc>
        <w:tc>
          <w:tcPr>
            <w:tcW w:w="1440" w:type="dxa"/>
            <w:vAlign w:val="bottom"/>
          </w:tcPr>
          <w:p>
            <w:pPr>
              <w:spacing w:after="0"/>
              <w:rPr>
                <w:sz w:val="12"/>
                <w:szCs w:val="12"/>
                <w:color w:val="auto"/>
              </w:rPr>
            </w:pPr>
          </w:p>
        </w:tc>
        <w:tc>
          <w:tcPr>
            <w:tcW w:w="560" w:type="dxa"/>
            <w:vAlign w:val="bottom"/>
          </w:tcPr>
          <w:p>
            <w:pPr>
              <w:jc w:val="center"/>
              <w:spacing w:after="0" w:line="149" w:lineRule="exact"/>
              <w:rPr>
                <w:sz w:val="20"/>
                <w:szCs w:val="20"/>
                <w:color w:val="auto"/>
              </w:rPr>
            </w:pPr>
            <w:r>
              <w:rPr>
                <w:rFonts w:ascii="Arial" w:cs="Arial" w:eastAsia="Arial" w:hAnsi="Arial"/>
                <w:sz w:val="14"/>
                <w:szCs w:val="14"/>
                <w:color w:val="auto"/>
                <w:w w:val="99"/>
              </w:rPr>
              <w:t>25%</w:t>
            </w:r>
          </w:p>
        </w:tc>
        <w:tc>
          <w:tcPr>
            <w:tcW w:w="0" w:type="dxa"/>
            <w:vAlign w:val="bottom"/>
          </w:tcPr>
          <w:p>
            <w:pPr>
              <w:spacing w:after="0"/>
              <w:rPr>
                <w:sz w:val="1"/>
                <w:szCs w:val="1"/>
                <w:color w:val="auto"/>
              </w:rPr>
            </w:pPr>
          </w:p>
        </w:tc>
      </w:tr>
      <w:tr>
        <w:trPr>
          <w:trHeight w:val="148"/>
        </w:trPr>
        <w:tc>
          <w:tcPr>
            <w:tcW w:w="5340" w:type="dxa"/>
            <w:vAlign w:val="bottom"/>
            <w:gridSpan w:val="3"/>
          </w:tcPr>
          <w:p>
            <w:pPr>
              <w:spacing w:after="0" w:line="149" w:lineRule="exact"/>
              <w:rPr>
                <w:sz w:val="20"/>
                <w:szCs w:val="20"/>
                <w:color w:val="auto"/>
              </w:rPr>
            </w:pPr>
            <w:r>
              <w:rPr>
                <w:rFonts w:ascii="Arial" w:cs="Arial" w:eastAsia="Arial" w:hAnsi="Arial"/>
                <w:sz w:val="14"/>
                <w:szCs w:val="14"/>
                <w:color w:val="auto"/>
              </w:rPr>
              <w:t>Performing Common Equity</w:t>
            </w:r>
          </w:p>
        </w:tc>
        <w:tc>
          <w:tcPr>
            <w:tcW w:w="2000" w:type="dxa"/>
            <w:vAlign w:val="bottom"/>
            <w:gridSpan w:val="2"/>
          </w:tcPr>
          <w:p>
            <w:pPr>
              <w:jc w:val="center"/>
              <w:ind w:left="1508"/>
              <w:spacing w:after="0" w:line="149" w:lineRule="exact"/>
              <w:rPr>
                <w:sz w:val="20"/>
                <w:szCs w:val="20"/>
                <w:color w:val="auto"/>
              </w:rPr>
            </w:pPr>
            <w:r>
              <w:rPr>
                <w:rFonts w:ascii="Arial" w:cs="Arial" w:eastAsia="Arial" w:hAnsi="Arial"/>
                <w:sz w:val="14"/>
                <w:szCs w:val="14"/>
                <w:color w:val="auto"/>
                <w:w w:val="92"/>
              </w:rPr>
              <w:t>30%</w:t>
            </w:r>
          </w:p>
        </w:tc>
        <w:tc>
          <w:tcPr>
            <w:tcW w:w="1440" w:type="dxa"/>
            <w:vAlign w:val="bottom"/>
          </w:tcPr>
          <w:p>
            <w:pPr>
              <w:spacing w:after="0"/>
              <w:rPr>
                <w:sz w:val="12"/>
                <w:szCs w:val="12"/>
                <w:color w:val="auto"/>
              </w:rPr>
            </w:pPr>
          </w:p>
        </w:tc>
        <w:tc>
          <w:tcPr>
            <w:tcW w:w="560" w:type="dxa"/>
            <w:vAlign w:val="bottom"/>
          </w:tcPr>
          <w:p>
            <w:pPr>
              <w:jc w:val="center"/>
              <w:spacing w:after="0" w:line="149" w:lineRule="exact"/>
              <w:rPr>
                <w:sz w:val="20"/>
                <w:szCs w:val="20"/>
                <w:color w:val="auto"/>
              </w:rPr>
            </w:pPr>
            <w:r>
              <w:rPr>
                <w:rFonts w:ascii="Arial" w:cs="Arial" w:eastAsia="Arial" w:hAnsi="Arial"/>
                <w:sz w:val="14"/>
                <w:szCs w:val="14"/>
                <w:color w:val="auto"/>
                <w:w w:val="99"/>
              </w:rPr>
              <w:t>20%</w:t>
            </w:r>
          </w:p>
        </w:tc>
        <w:tc>
          <w:tcPr>
            <w:tcW w:w="0" w:type="dxa"/>
            <w:vAlign w:val="bottom"/>
          </w:tcPr>
          <w:p>
            <w:pPr>
              <w:spacing w:after="0"/>
              <w:rPr>
                <w:sz w:val="1"/>
                <w:szCs w:val="1"/>
                <w:color w:val="auto"/>
              </w:rPr>
            </w:pPr>
          </w:p>
        </w:tc>
      </w:tr>
      <w:tr>
        <w:trPr>
          <w:trHeight w:val="148"/>
        </w:trPr>
        <w:tc>
          <w:tcPr>
            <w:tcW w:w="5340" w:type="dxa"/>
            <w:vAlign w:val="bottom"/>
            <w:gridSpan w:val="3"/>
          </w:tcPr>
          <w:p>
            <w:pPr>
              <w:spacing w:after="0" w:line="149" w:lineRule="exact"/>
              <w:rPr>
                <w:sz w:val="20"/>
                <w:szCs w:val="20"/>
                <w:color w:val="auto"/>
              </w:rPr>
            </w:pPr>
            <w:r>
              <w:rPr>
                <w:rFonts w:ascii="Arial" w:cs="Arial" w:eastAsia="Arial" w:hAnsi="Arial"/>
                <w:sz w:val="14"/>
                <w:szCs w:val="14"/>
                <w:color w:val="auto"/>
              </w:rPr>
              <w:t>Non-Performing Common Equity</w:t>
            </w:r>
          </w:p>
        </w:tc>
        <w:tc>
          <w:tcPr>
            <w:tcW w:w="2000" w:type="dxa"/>
            <w:vAlign w:val="bottom"/>
            <w:gridSpan w:val="2"/>
          </w:tcPr>
          <w:p>
            <w:pPr>
              <w:jc w:val="center"/>
              <w:ind w:left="1488"/>
              <w:spacing w:after="0" w:line="149" w:lineRule="exact"/>
              <w:rPr>
                <w:sz w:val="20"/>
                <w:szCs w:val="20"/>
                <w:color w:val="auto"/>
              </w:rPr>
            </w:pPr>
            <w:r>
              <w:rPr>
                <w:rFonts w:ascii="Arial" w:cs="Arial" w:eastAsia="Arial" w:hAnsi="Arial"/>
                <w:sz w:val="14"/>
                <w:szCs w:val="14"/>
                <w:color w:val="auto"/>
                <w:w w:val="98"/>
              </w:rPr>
              <w:t>0%</w:t>
            </w:r>
          </w:p>
        </w:tc>
        <w:tc>
          <w:tcPr>
            <w:tcW w:w="1440" w:type="dxa"/>
            <w:vAlign w:val="bottom"/>
          </w:tcPr>
          <w:p>
            <w:pPr>
              <w:spacing w:after="0"/>
              <w:rPr>
                <w:sz w:val="12"/>
                <w:szCs w:val="12"/>
                <w:color w:val="auto"/>
              </w:rPr>
            </w:pPr>
          </w:p>
        </w:tc>
        <w:tc>
          <w:tcPr>
            <w:tcW w:w="560" w:type="dxa"/>
            <w:vAlign w:val="bottom"/>
          </w:tcPr>
          <w:p>
            <w:pPr>
              <w:jc w:val="center"/>
              <w:spacing w:after="0" w:line="149" w:lineRule="exact"/>
              <w:rPr>
                <w:sz w:val="20"/>
                <w:szCs w:val="20"/>
                <w:color w:val="auto"/>
              </w:rPr>
            </w:pPr>
            <w:r>
              <w:rPr>
                <w:rFonts w:ascii="Arial" w:cs="Arial" w:eastAsia="Arial" w:hAnsi="Arial"/>
                <w:sz w:val="14"/>
                <w:szCs w:val="14"/>
                <w:color w:val="auto"/>
                <w:w w:val="98"/>
              </w:rPr>
              <w:t>0%</w:t>
            </w:r>
          </w:p>
        </w:tc>
        <w:tc>
          <w:tcPr>
            <w:tcW w:w="0" w:type="dxa"/>
            <w:vAlign w:val="bottom"/>
          </w:tcPr>
          <w:p>
            <w:pPr>
              <w:spacing w:after="0"/>
              <w:rPr>
                <w:sz w:val="1"/>
                <w:szCs w:val="1"/>
                <w:color w:val="auto"/>
              </w:rPr>
            </w:pPr>
          </w:p>
        </w:tc>
      </w:tr>
      <w:tr>
        <w:trPr>
          <w:trHeight w:val="182"/>
        </w:trPr>
        <w:tc>
          <w:tcPr>
            <w:tcW w:w="5340" w:type="dxa"/>
            <w:vAlign w:val="bottom"/>
            <w:gridSpan w:val="3"/>
          </w:tcPr>
          <w:p>
            <w:pPr>
              <w:spacing w:after="0"/>
              <w:rPr>
                <w:sz w:val="20"/>
                <w:szCs w:val="20"/>
                <w:color w:val="auto"/>
              </w:rPr>
            </w:pPr>
            <w:r>
              <w:rPr>
                <w:rFonts w:ascii="Arial" w:cs="Arial" w:eastAsia="Arial" w:hAnsi="Arial"/>
                <w:sz w:val="14"/>
                <w:szCs w:val="14"/>
                <w:color w:val="auto"/>
              </w:rPr>
              <w:t>Structured Finance Obligations and Finance Leases</w:t>
            </w:r>
          </w:p>
        </w:tc>
        <w:tc>
          <w:tcPr>
            <w:tcW w:w="2000" w:type="dxa"/>
            <w:vAlign w:val="bottom"/>
            <w:gridSpan w:val="2"/>
          </w:tcPr>
          <w:p>
            <w:pPr>
              <w:jc w:val="center"/>
              <w:ind w:left="1488"/>
              <w:spacing w:after="0"/>
              <w:rPr>
                <w:sz w:val="20"/>
                <w:szCs w:val="20"/>
                <w:color w:val="auto"/>
              </w:rPr>
            </w:pPr>
            <w:r>
              <w:rPr>
                <w:rFonts w:ascii="Arial" w:cs="Arial" w:eastAsia="Arial" w:hAnsi="Arial"/>
                <w:sz w:val="14"/>
                <w:szCs w:val="14"/>
                <w:color w:val="auto"/>
                <w:w w:val="98"/>
              </w:rPr>
              <w:t>0%</w:t>
            </w:r>
          </w:p>
        </w:tc>
        <w:tc>
          <w:tcPr>
            <w:tcW w:w="1440" w:type="dxa"/>
            <w:vAlign w:val="bottom"/>
          </w:tcPr>
          <w:p>
            <w:pPr>
              <w:spacing w:after="0"/>
              <w:rPr>
                <w:sz w:val="15"/>
                <w:szCs w:val="15"/>
                <w:color w:val="auto"/>
              </w:rPr>
            </w:pPr>
          </w:p>
        </w:tc>
        <w:tc>
          <w:tcPr>
            <w:tcW w:w="560" w:type="dxa"/>
            <w:vAlign w:val="bottom"/>
          </w:tcPr>
          <w:p>
            <w:pPr>
              <w:jc w:val="center"/>
              <w:spacing w:after="0"/>
              <w:rPr>
                <w:sz w:val="20"/>
                <w:szCs w:val="20"/>
                <w:color w:val="auto"/>
              </w:rPr>
            </w:pPr>
            <w:r>
              <w:rPr>
                <w:rFonts w:ascii="Arial" w:cs="Arial" w:eastAsia="Arial" w:hAnsi="Arial"/>
                <w:sz w:val="14"/>
                <w:szCs w:val="14"/>
                <w:color w:val="auto"/>
                <w:w w:val="98"/>
              </w:rPr>
              <w:t>0%</w:t>
            </w:r>
          </w:p>
        </w:tc>
        <w:tc>
          <w:tcPr>
            <w:tcW w:w="0" w:type="dxa"/>
            <w:vAlign w:val="bottom"/>
          </w:tcPr>
          <w:p>
            <w:pPr>
              <w:spacing w:after="0"/>
              <w:rPr>
                <w:sz w:val="1"/>
                <w:szCs w:val="1"/>
                <w:color w:val="auto"/>
              </w:rPr>
            </w:pPr>
          </w:p>
        </w:tc>
      </w:tr>
    </w:tbl>
    <w:p>
      <w:pPr>
        <w:spacing w:after="0" w:line="115" w:lineRule="exact"/>
        <w:rPr>
          <w:sz w:val="20"/>
          <w:szCs w:val="20"/>
          <w:color w:val="auto"/>
        </w:rPr>
      </w:pPr>
    </w:p>
    <w:p>
      <w:pPr>
        <w:jc w:val="both"/>
        <w:ind w:right="20" w:firstLine="1727"/>
        <w:spacing w:after="0" w:line="238" w:lineRule="auto"/>
        <w:rPr>
          <w:sz w:val="20"/>
          <w:szCs w:val="20"/>
          <w:color w:val="auto"/>
        </w:rPr>
      </w:pPr>
      <w:r>
        <w:rPr>
          <w:rFonts w:ascii="Arial" w:cs="Arial" w:eastAsia="Arial" w:hAnsi="Arial"/>
          <w:sz w:val="14"/>
          <w:szCs w:val="14"/>
          <w:color w:val="auto"/>
        </w:rPr>
        <w:t>“</w:t>
      </w:r>
      <w:r>
        <w:rPr>
          <w:rFonts w:ascii="Arial" w:cs="Arial" w:eastAsia="Arial" w:hAnsi="Arial"/>
          <w:sz w:val="14"/>
          <w:szCs w:val="14"/>
          <w:u w:val="single" w:color="auto"/>
          <w:color w:val="auto"/>
        </w:rPr>
        <w:t>Bank Loans</w:t>
      </w:r>
      <w:r>
        <w:rPr>
          <w:rFonts w:ascii="Arial" w:cs="Arial" w:eastAsia="Arial" w:hAnsi="Arial"/>
          <w:sz w:val="14"/>
          <w:szCs w:val="14"/>
          <w:color w:val="auto"/>
        </w:rPr>
        <w:t>” means debt obligations (including term loans, notes, revolving loans, debtor-in-possession financings, the funded and unfunded portion of revolving credit lines and letter of credit facilities and other similar loans and investments including interim loans and senior subordinated loans) which are generally under a loan or credit facility (whether or not syndicated) or note purchase agreement.</w:t>
      </w:r>
    </w:p>
    <w:p>
      <w:pPr>
        <w:spacing w:after="0" w:line="183" w:lineRule="exact"/>
        <w:rPr>
          <w:sz w:val="20"/>
          <w:szCs w:val="20"/>
          <w:color w:val="auto"/>
        </w:rPr>
      </w:pPr>
    </w:p>
    <w:p>
      <w:pPr>
        <w:jc w:val="both"/>
        <w:ind w:right="20" w:firstLine="1727"/>
        <w:spacing w:after="0" w:line="253" w:lineRule="auto"/>
        <w:rPr>
          <w:sz w:val="20"/>
          <w:szCs w:val="20"/>
          <w:color w:val="auto"/>
        </w:rPr>
      </w:pPr>
      <w:r>
        <w:rPr>
          <w:rFonts w:ascii="Arial" w:cs="Arial" w:eastAsia="Arial" w:hAnsi="Arial"/>
          <w:sz w:val="14"/>
          <w:szCs w:val="14"/>
          <w:color w:val="auto"/>
        </w:rPr>
        <w:t>“</w:t>
      </w:r>
      <w:r>
        <w:rPr>
          <w:rFonts w:ascii="Arial" w:cs="Arial" w:eastAsia="Arial" w:hAnsi="Arial"/>
          <w:sz w:val="14"/>
          <w:szCs w:val="14"/>
          <w:u w:val="single" w:color="auto"/>
          <w:color w:val="auto"/>
        </w:rPr>
        <w:t>Capital Stock</w:t>
      </w:r>
      <w:r>
        <w:rPr>
          <w:rFonts w:ascii="Arial" w:cs="Arial" w:eastAsia="Arial" w:hAnsi="Arial"/>
          <w:sz w:val="14"/>
          <w:szCs w:val="14"/>
          <w:color w:val="auto"/>
        </w:rPr>
        <w:t>” of any Person means any and all shares of corporate stock (however designated) of and any and all other Equity Interests and participations representing ownership interests (including membership interests and limited liability company interests) in, such Person.</w:t>
      </w:r>
    </w:p>
    <w:p>
      <w:pPr>
        <w:spacing w:after="0" w:line="174" w:lineRule="exact"/>
        <w:rPr>
          <w:sz w:val="20"/>
          <w:szCs w:val="20"/>
          <w:color w:val="auto"/>
        </w:rPr>
      </w:pPr>
    </w:p>
    <w:p>
      <w:pPr>
        <w:ind w:left="1740"/>
        <w:spacing w:after="0"/>
        <w:rPr>
          <w:sz w:val="20"/>
          <w:szCs w:val="20"/>
          <w:color w:val="auto"/>
        </w:rPr>
      </w:pPr>
      <w:r>
        <w:rPr>
          <w:rFonts w:ascii="Arial" w:cs="Arial" w:eastAsia="Arial" w:hAnsi="Arial"/>
          <w:sz w:val="14"/>
          <w:szCs w:val="14"/>
          <w:color w:val="auto"/>
        </w:rPr>
        <w:t>“</w:t>
      </w:r>
      <w:r>
        <w:rPr>
          <w:rFonts w:ascii="Arial" w:cs="Arial" w:eastAsia="Arial" w:hAnsi="Arial"/>
          <w:sz w:val="14"/>
          <w:szCs w:val="14"/>
          <w:u w:val="single" w:color="auto"/>
          <w:color w:val="auto"/>
        </w:rPr>
        <w:t>Cash</w:t>
      </w:r>
      <w:r>
        <w:rPr>
          <w:rFonts w:ascii="Arial" w:cs="Arial" w:eastAsia="Arial" w:hAnsi="Arial"/>
          <w:sz w:val="14"/>
          <w:szCs w:val="14"/>
          <w:color w:val="auto"/>
        </w:rPr>
        <w:t xml:space="preserve">” has the meaning assigned to such term in </w:t>
      </w:r>
      <w:r>
        <w:rPr>
          <w:rFonts w:ascii="Arial" w:cs="Arial" w:eastAsia="Arial" w:hAnsi="Arial"/>
          <w:sz w:val="14"/>
          <w:szCs w:val="14"/>
          <w:u w:val="single" w:color="auto"/>
          <w:color w:val="auto"/>
        </w:rPr>
        <w:t>Section 1.01</w:t>
      </w:r>
      <w:r>
        <w:rPr>
          <w:rFonts w:ascii="Arial" w:cs="Arial" w:eastAsia="Arial" w:hAnsi="Arial"/>
          <w:sz w:val="14"/>
          <w:szCs w:val="14"/>
          <w:color w:val="auto"/>
        </w:rPr>
        <w:t xml:space="preserve"> of the Credit Agreement.</w:t>
      </w:r>
    </w:p>
    <w:p>
      <w:pPr>
        <w:spacing w:after="0" w:line="204" w:lineRule="exact"/>
        <w:rPr>
          <w:sz w:val="20"/>
          <w:szCs w:val="20"/>
          <w:color w:val="auto"/>
        </w:rPr>
      </w:pPr>
    </w:p>
    <w:p>
      <w:pPr>
        <w:ind w:left="1740"/>
        <w:spacing w:after="0"/>
        <w:rPr>
          <w:sz w:val="20"/>
          <w:szCs w:val="20"/>
          <w:color w:val="auto"/>
        </w:rPr>
      </w:pPr>
      <w:r>
        <w:rPr>
          <w:rFonts w:ascii="Arial" w:cs="Arial" w:eastAsia="Arial" w:hAnsi="Arial"/>
          <w:sz w:val="14"/>
          <w:szCs w:val="14"/>
          <w:color w:val="auto"/>
        </w:rPr>
        <w:t>“</w:t>
      </w:r>
      <w:r>
        <w:rPr>
          <w:rFonts w:ascii="Arial" w:cs="Arial" w:eastAsia="Arial" w:hAnsi="Arial"/>
          <w:sz w:val="14"/>
          <w:szCs w:val="14"/>
          <w:u w:val="single" w:color="auto"/>
          <w:color w:val="auto"/>
        </w:rPr>
        <w:t>Cash Equivalents</w:t>
      </w:r>
      <w:r>
        <w:rPr>
          <w:rFonts w:ascii="Arial" w:cs="Arial" w:eastAsia="Arial" w:hAnsi="Arial"/>
          <w:sz w:val="14"/>
          <w:szCs w:val="14"/>
          <w:color w:val="auto"/>
        </w:rPr>
        <w:t xml:space="preserve">” has the meaning assigned to such term in </w:t>
      </w:r>
      <w:r>
        <w:rPr>
          <w:rFonts w:ascii="Arial" w:cs="Arial" w:eastAsia="Arial" w:hAnsi="Arial"/>
          <w:sz w:val="14"/>
          <w:szCs w:val="14"/>
          <w:u w:val="single" w:color="auto"/>
          <w:color w:val="auto"/>
        </w:rPr>
        <w:t>Section 1.01</w:t>
      </w:r>
      <w:r>
        <w:rPr>
          <w:rFonts w:ascii="Arial" w:cs="Arial" w:eastAsia="Arial" w:hAnsi="Arial"/>
          <w:sz w:val="14"/>
          <w:szCs w:val="14"/>
          <w:color w:val="auto"/>
        </w:rPr>
        <w:t xml:space="preserve"> of the Credit Agreement.</w:t>
      </w:r>
    </w:p>
    <w:p>
      <w:pPr>
        <w:spacing w:after="0" w:line="204" w:lineRule="exact"/>
        <w:rPr>
          <w:sz w:val="20"/>
          <w:szCs w:val="20"/>
          <w:color w:val="auto"/>
        </w:rPr>
      </w:pPr>
    </w:p>
    <w:p>
      <w:pPr>
        <w:jc w:val="both"/>
        <w:ind w:right="20" w:firstLine="1727"/>
        <w:spacing w:after="0" w:line="233" w:lineRule="auto"/>
        <w:rPr>
          <w:sz w:val="20"/>
          <w:szCs w:val="20"/>
          <w:color w:val="auto"/>
        </w:rPr>
      </w:pPr>
      <w:r>
        <w:rPr>
          <w:rFonts w:ascii="Arial" w:cs="Arial" w:eastAsia="Arial" w:hAnsi="Arial"/>
          <w:sz w:val="14"/>
          <w:szCs w:val="14"/>
          <w:color w:val="auto"/>
        </w:rPr>
        <w:t>“</w:t>
      </w:r>
      <w:r>
        <w:rPr>
          <w:rFonts w:ascii="Arial" w:cs="Arial" w:eastAsia="Arial" w:hAnsi="Arial"/>
          <w:sz w:val="14"/>
          <w:szCs w:val="14"/>
          <w:u w:val="single" w:color="auto"/>
          <w:color w:val="auto"/>
        </w:rPr>
        <w:t>First Lien Bank Loan</w:t>
      </w:r>
      <w:r>
        <w:rPr>
          <w:rFonts w:ascii="Arial" w:cs="Arial" w:eastAsia="Arial" w:hAnsi="Arial"/>
          <w:sz w:val="14"/>
          <w:szCs w:val="14"/>
          <w:color w:val="auto"/>
        </w:rPr>
        <w:t>” means a Bank Loan that is entitled to the benefit of a first lien and first priority perfected security interest (subject to Liens for “ABL” revolvers and customary encumbrances) on a substantial portion of the assets of the respective borrower and guarantors obligated in respect thereof. For the avoidance of doubt, an Obligor’s investment in the “first-out” portion (as defined in the definition of Unitranche Loan) of a First Lien Bank Loan shall be treated as a First Lien Bank Loan for purposes of determining the applicable Advance Rate for such portion of such Portfolio Investment.</w:t>
      </w:r>
    </w:p>
    <w:p>
      <w:pPr>
        <w:spacing w:after="0" w:line="200" w:lineRule="exact"/>
        <w:rPr>
          <w:sz w:val="20"/>
          <w:szCs w:val="20"/>
          <w:color w:val="auto"/>
        </w:rPr>
      </w:pPr>
    </w:p>
    <w:p>
      <w:pPr>
        <w:spacing w:after="0" w:line="200" w:lineRule="exact"/>
        <w:rPr>
          <w:sz w:val="20"/>
          <w:szCs w:val="20"/>
          <w:color w:val="auto"/>
        </w:rPr>
      </w:pPr>
    </w:p>
    <w:p>
      <w:pPr>
        <w:spacing w:after="0" w:line="20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7580" w:type="dxa"/>
            <w:vAlign w:val="bottom"/>
          </w:tcPr>
          <w:p>
            <w:pPr>
              <w:jc w:val="right"/>
              <w:ind w:right="1808"/>
              <w:spacing w:after="0"/>
              <w:rPr>
                <w:sz w:val="20"/>
                <w:szCs w:val="20"/>
                <w:color w:val="auto"/>
              </w:rPr>
            </w:pPr>
            <w:r>
              <w:rPr>
                <w:rFonts w:ascii="Arial" w:cs="Arial" w:eastAsia="Arial" w:hAnsi="Arial"/>
                <w:sz w:val="14"/>
                <w:szCs w:val="14"/>
                <w:color w:val="auto"/>
              </w:rPr>
              <w:t>48</w:t>
            </w:r>
          </w:p>
        </w:tc>
        <w:tc>
          <w:tcPr>
            <w:tcW w:w="3680" w:type="dxa"/>
            <w:vAlign w:val="bottom"/>
          </w:tcPr>
          <w:p>
            <w:pPr>
              <w:jc w:val="right"/>
              <w:spacing w:after="0"/>
              <w:rPr>
                <w:sz w:val="20"/>
                <w:szCs w:val="20"/>
                <w:color w:val="auto"/>
              </w:rPr>
            </w:pPr>
            <w:r>
              <w:rPr>
                <w:rFonts w:ascii="Arial" w:cs="Arial" w:eastAsia="Arial" w:hAnsi="Arial"/>
                <w:sz w:val="14"/>
                <w:szCs w:val="14"/>
                <w:i w:val="1"/>
                <w:iCs w:val="1"/>
                <w:color w:val="auto"/>
              </w:rPr>
              <w:t>Second Amended and Restated</w:t>
            </w:r>
          </w:p>
        </w:tc>
      </w:tr>
      <w:tr>
        <w:trPr>
          <w:trHeight w:val="182"/>
        </w:trPr>
        <w:tc>
          <w:tcPr>
            <w:tcW w:w="7580" w:type="dxa"/>
            <w:vAlign w:val="bottom"/>
          </w:tcPr>
          <w:p>
            <w:pPr>
              <w:spacing w:after="0"/>
              <w:rPr>
                <w:sz w:val="15"/>
                <w:szCs w:val="15"/>
                <w:color w:val="auto"/>
              </w:rPr>
            </w:pPr>
          </w:p>
        </w:tc>
        <w:tc>
          <w:tcPr>
            <w:tcW w:w="3680" w:type="dxa"/>
            <w:vAlign w:val="bottom"/>
          </w:tcPr>
          <w:p>
            <w:pPr>
              <w:jc w:val="right"/>
              <w:spacing w:after="0"/>
              <w:rPr>
                <w:sz w:val="20"/>
                <w:szCs w:val="20"/>
                <w:color w:val="auto"/>
              </w:rPr>
            </w:pPr>
            <w:r>
              <w:rPr>
                <w:rFonts w:ascii="Arial" w:cs="Arial" w:eastAsia="Arial" w:hAnsi="Arial"/>
                <w:sz w:val="14"/>
                <w:szCs w:val="14"/>
                <w:i w:val="1"/>
                <w:iCs w:val="1"/>
                <w:color w:val="auto"/>
              </w:rPr>
              <w:t>Revolving Credit Agreement</w:t>
            </w:r>
          </w:p>
        </w:tc>
      </w:tr>
      <w:tr>
        <w:trPr>
          <w:trHeight w:val="316"/>
        </w:trPr>
        <w:tc>
          <w:tcPr>
            <w:tcW w:w="7580" w:type="dxa"/>
            <w:vAlign w:val="bottom"/>
            <w:tcBorders>
              <w:bottom w:val="single" w:sz="8" w:color="9A9A9A"/>
            </w:tcBorders>
          </w:tcPr>
          <w:p>
            <w:pPr>
              <w:spacing w:after="0"/>
              <w:rPr>
                <w:sz w:val="24"/>
                <w:szCs w:val="24"/>
                <w:color w:val="auto"/>
              </w:rPr>
            </w:pPr>
          </w:p>
        </w:tc>
        <w:tc>
          <w:tcPr>
            <w:tcW w:w="368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7145655</wp:posOffset>
            </wp:positionH>
            <wp:positionV relativeFrom="paragraph">
              <wp:posOffset>-7620</wp:posOffset>
            </wp:positionV>
            <wp:extent cx="8255" cy="8255"/>
            <wp:wrapNone/>
            <wp:docPr id="201" name="Picture 2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1"/>
                    <pic:cNvPicPr>
                      <a:picLocks noChangeAspect="1" noChangeArrowheads="1"/>
                    </pic:cNvPicPr>
                  </pic:nvPicPr>
                  <pic:blipFill>
                    <a:blip r:embed="rId208">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-16510</wp:posOffset>
            </wp:positionV>
            <wp:extent cx="8890" cy="17145"/>
            <wp:wrapNone/>
            <wp:docPr id="202" name="Picture 2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2"/>
                    <pic:cNvPicPr>
                      <a:picLocks noChangeAspect="1" noChangeArrowheads="1"/>
                    </pic:cNvPicPr>
                  </pic:nvPicPr>
                  <pic:blipFill>
                    <a:blip r:embed="rId209">
                      <a:extLst>
                        <a:ext uri="{28A0092B-C50C-407E-A947-70E740481C1C}"/>
                      </a:extLst>
                    </a:blip>
                    <a:srcRect/>
                    <a:stretch>
                      <a:fillRect/>
                    </a:stretch>
                  </pic:blipFill>
                  <pic:spPr bwMode="auto">
                    <a:xfrm>
                      <a:off x="0" y="0"/>
                      <a:ext cx="8890" cy="17145"/>
                    </a:xfrm>
                    <a:prstGeom prst="rect">
                      <a:avLst/>
                    </a:prstGeom>
                    <a:noFill/>
                  </pic:spPr>
                </pic:pic>
              </a:graphicData>
            </a:graphic>
          </wp:anchor>
        </w:drawing>
      </w:r>
    </w:p>
    <w:p>
      <w:pPr>
        <w:sectPr>
          <w:pgSz w:w="11900" w:h="16838" w:orient="portrait"/>
          <w:cols w:equalWidth="0" w:num="1">
            <w:col w:w="11260"/>
          </w:cols>
          <w:pgMar w:left="320" w:top="337" w:right="319" w:bottom="1440" w:gutter="0" w:footer="0" w:header="0"/>
        </w:sectPr>
      </w:pPr>
    </w:p>
    <w:bookmarkStart w:id="111" w:name="page112"/>
    <w:bookmarkEnd w:id="111"/>
    <w:p>
      <w:pPr>
        <w:jc w:val="both"/>
        <w:ind w:right="20" w:firstLine="1727"/>
        <w:spacing w:after="0" w:line="238" w:lineRule="auto"/>
        <w:rPr>
          <w:sz w:val="20"/>
          <w:szCs w:val="20"/>
          <w:color w:val="auto"/>
        </w:rPr>
      </w:pPr>
      <w:r>
        <w:rPr>
          <w:rFonts w:ascii="Arial" w:cs="Arial" w:eastAsia="Arial" w:hAnsi="Arial"/>
          <w:sz w:val="14"/>
          <w:szCs w:val="14"/>
          <w:color w:val="auto"/>
        </w:rPr>
        <w:t>“</w:t>
      </w:r>
      <w:r>
        <w:rPr>
          <w:rFonts w:ascii="Arial" w:cs="Arial" w:eastAsia="Arial" w:hAnsi="Arial"/>
          <w:sz w:val="14"/>
          <w:szCs w:val="14"/>
          <w:u w:val="single" w:color="auto"/>
          <w:color w:val="auto"/>
        </w:rPr>
        <w:t>High Yield Securities</w:t>
      </w:r>
      <w:r>
        <w:rPr>
          <w:rFonts w:ascii="Arial" w:cs="Arial" w:eastAsia="Arial" w:hAnsi="Arial"/>
          <w:sz w:val="14"/>
          <w:szCs w:val="14"/>
          <w:color w:val="auto"/>
        </w:rPr>
        <w:t>” means debt Securities and Preferred Stock, in each case (a) issued by public or private issuers, (b) issued pursuant to an effective registration statement or pursuant to Rule 144A under the Securities Act (or any successor provision thereunder) or other exemption to the Securities Act and (c) that are not Cash Equivalents, Mezzanine Investments or Bank Loans.</w:t>
      </w:r>
    </w:p>
    <w:p>
      <w:pPr>
        <w:spacing w:after="0" w:line="183" w:lineRule="exact"/>
        <w:rPr>
          <w:sz w:val="20"/>
          <w:szCs w:val="20"/>
          <w:color w:val="auto"/>
        </w:rPr>
      </w:pPr>
    </w:p>
    <w:p>
      <w:pPr>
        <w:ind w:left="1740"/>
        <w:spacing w:after="0"/>
        <w:rPr>
          <w:sz w:val="20"/>
          <w:szCs w:val="20"/>
          <w:color w:val="auto"/>
        </w:rPr>
      </w:pPr>
      <w:r>
        <w:rPr>
          <w:rFonts w:ascii="Arial" w:cs="Arial" w:eastAsia="Arial" w:hAnsi="Arial"/>
          <w:sz w:val="14"/>
          <w:szCs w:val="14"/>
          <w:color w:val="auto"/>
        </w:rPr>
        <w:t>“</w:t>
      </w:r>
      <w:r>
        <w:rPr>
          <w:rFonts w:ascii="Arial" w:cs="Arial" w:eastAsia="Arial" w:hAnsi="Arial"/>
          <w:sz w:val="14"/>
          <w:szCs w:val="14"/>
          <w:u w:val="single" w:color="auto"/>
          <w:color w:val="auto"/>
        </w:rPr>
        <w:t>Long-Term U.S. Government Securities</w:t>
      </w:r>
      <w:r>
        <w:rPr>
          <w:rFonts w:ascii="Arial" w:cs="Arial" w:eastAsia="Arial" w:hAnsi="Arial"/>
          <w:sz w:val="14"/>
          <w:szCs w:val="14"/>
          <w:color w:val="auto"/>
        </w:rPr>
        <w:t>” means U.S. Government Securities maturing more than one year from the applicable date of determination.</w:t>
      </w:r>
    </w:p>
    <w:p>
      <w:pPr>
        <w:spacing w:after="0" w:line="204" w:lineRule="exact"/>
        <w:rPr>
          <w:sz w:val="20"/>
          <w:szCs w:val="20"/>
          <w:color w:val="auto"/>
        </w:rPr>
      </w:pPr>
    </w:p>
    <w:p>
      <w:pPr>
        <w:jc w:val="both"/>
        <w:ind w:right="20" w:firstLine="1727"/>
        <w:spacing w:after="0" w:line="238" w:lineRule="auto"/>
        <w:rPr>
          <w:sz w:val="20"/>
          <w:szCs w:val="20"/>
          <w:color w:val="auto"/>
        </w:rPr>
      </w:pPr>
      <w:r>
        <w:rPr>
          <w:rFonts w:ascii="Arial" w:cs="Arial" w:eastAsia="Arial" w:hAnsi="Arial"/>
          <w:sz w:val="14"/>
          <w:szCs w:val="14"/>
          <w:color w:val="auto"/>
        </w:rPr>
        <w:t>“</w:t>
      </w:r>
      <w:r>
        <w:rPr>
          <w:rFonts w:ascii="Arial" w:cs="Arial" w:eastAsia="Arial" w:hAnsi="Arial"/>
          <w:sz w:val="14"/>
          <w:szCs w:val="14"/>
          <w:u w:val="single" w:color="auto"/>
          <w:color w:val="auto"/>
        </w:rPr>
        <w:t>Mezzanine Investments</w:t>
      </w:r>
      <w:r>
        <w:rPr>
          <w:rFonts w:ascii="Arial" w:cs="Arial" w:eastAsia="Arial" w:hAnsi="Arial"/>
          <w:sz w:val="14"/>
          <w:szCs w:val="14"/>
          <w:color w:val="auto"/>
        </w:rPr>
        <w:t>” means debt Securities (including convertible debt Securities (other than the “in-the-money” equity component thereof)) and Preferred Stock in each case (a) issued by public or private issuers, (b) issued without registration under the Securities Act, (c) not issued pursuant to Rule 144A under the Securities Act (or any successor provision thereunder), (d) that are not Cash Equivalents and (e) contractually subordinated in right of payment to other debt of the same issuer.</w:t>
      </w:r>
    </w:p>
    <w:p>
      <w:pPr>
        <w:spacing w:after="0" w:line="183" w:lineRule="exact"/>
        <w:rPr>
          <w:sz w:val="20"/>
          <w:szCs w:val="20"/>
          <w:color w:val="auto"/>
        </w:rPr>
      </w:pPr>
    </w:p>
    <w:p>
      <w:pPr>
        <w:ind w:left="1740"/>
        <w:spacing w:after="0"/>
        <w:rPr>
          <w:sz w:val="20"/>
          <w:szCs w:val="20"/>
          <w:color w:val="auto"/>
        </w:rPr>
      </w:pPr>
      <w:r>
        <w:rPr>
          <w:rFonts w:ascii="Arial" w:cs="Arial" w:eastAsia="Arial" w:hAnsi="Arial"/>
          <w:sz w:val="13"/>
          <w:szCs w:val="13"/>
          <w:color w:val="auto"/>
        </w:rPr>
        <w:t>“</w:t>
      </w:r>
      <w:r>
        <w:rPr>
          <w:rFonts w:ascii="Arial" w:cs="Arial" w:eastAsia="Arial" w:hAnsi="Arial"/>
          <w:sz w:val="13"/>
          <w:szCs w:val="13"/>
          <w:u w:val="single" w:color="auto"/>
          <w:color w:val="auto"/>
        </w:rPr>
        <w:t>Non-Performing Common Equity</w:t>
      </w:r>
      <w:r>
        <w:rPr>
          <w:rFonts w:ascii="Arial" w:cs="Arial" w:eastAsia="Arial" w:hAnsi="Arial"/>
          <w:sz w:val="13"/>
          <w:szCs w:val="13"/>
          <w:color w:val="auto"/>
        </w:rPr>
        <w:t>” means Capital Stock (other than Preferred Stock) and warrants of an issuer having any debt outstanding that is non-Performing.</w:t>
      </w:r>
    </w:p>
    <w:p>
      <w:pPr>
        <w:spacing w:after="0" w:line="215" w:lineRule="exact"/>
        <w:rPr>
          <w:sz w:val="20"/>
          <w:szCs w:val="20"/>
          <w:color w:val="auto"/>
        </w:rPr>
      </w:pPr>
    </w:p>
    <w:p>
      <w:pPr>
        <w:ind w:left="1740"/>
        <w:spacing w:after="0"/>
        <w:rPr>
          <w:sz w:val="20"/>
          <w:szCs w:val="20"/>
          <w:color w:val="auto"/>
        </w:rPr>
      </w:pPr>
      <w:r>
        <w:rPr>
          <w:rFonts w:ascii="Arial" w:cs="Arial" w:eastAsia="Arial" w:hAnsi="Arial"/>
          <w:sz w:val="14"/>
          <w:szCs w:val="14"/>
          <w:color w:val="auto"/>
        </w:rPr>
        <w:t>“</w:t>
      </w:r>
      <w:r>
        <w:rPr>
          <w:rFonts w:ascii="Arial" w:cs="Arial" w:eastAsia="Arial" w:hAnsi="Arial"/>
          <w:sz w:val="14"/>
          <w:szCs w:val="14"/>
          <w:u w:val="single" w:color="auto"/>
          <w:color w:val="auto"/>
        </w:rPr>
        <w:t>Non-Performing First Lien Bank Loans</w:t>
      </w:r>
      <w:r>
        <w:rPr>
          <w:rFonts w:ascii="Arial" w:cs="Arial" w:eastAsia="Arial" w:hAnsi="Arial"/>
          <w:sz w:val="14"/>
          <w:szCs w:val="14"/>
          <w:color w:val="auto"/>
        </w:rPr>
        <w:t>” means First Lien Bank Loans other than Performing First Lien Bank Loans.</w:t>
      </w:r>
    </w:p>
    <w:p>
      <w:pPr>
        <w:spacing w:after="0" w:line="204" w:lineRule="exact"/>
        <w:rPr>
          <w:sz w:val="20"/>
          <w:szCs w:val="20"/>
          <w:color w:val="auto"/>
        </w:rPr>
      </w:pPr>
    </w:p>
    <w:p>
      <w:pPr>
        <w:ind w:left="1740"/>
        <w:spacing w:after="0"/>
        <w:rPr>
          <w:sz w:val="20"/>
          <w:szCs w:val="20"/>
          <w:color w:val="auto"/>
        </w:rPr>
      </w:pPr>
      <w:r>
        <w:rPr>
          <w:rFonts w:ascii="Arial" w:cs="Arial" w:eastAsia="Arial" w:hAnsi="Arial"/>
          <w:sz w:val="14"/>
          <w:szCs w:val="14"/>
          <w:color w:val="auto"/>
        </w:rPr>
        <w:t>“</w:t>
      </w:r>
      <w:r>
        <w:rPr>
          <w:rFonts w:ascii="Arial" w:cs="Arial" w:eastAsia="Arial" w:hAnsi="Arial"/>
          <w:sz w:val="14"/>
          <w:szCs w:val="14"/>
          <w:u w:val="single" w:color="auto"/>
          <w:color w:val="auto"/>
        </w:rPr>
        <w:t>Non-Performing High Yield Securities</w:t>
      </w:r>
      <w:r>
        <w:rPr>
          <w:rFonts w:ascii="Arial" w:cs="Arial" w:eastAsia="Arial" w:hAnsi="Arial"/>
          <w:sz w:val="14"/>
          <w:szCs w:val="14"/>
          <w:color w:val="auto"/>
        </w:rPr>
        <w:t>” means High Yield Securities other than Performing High Yield Securities.</w:t>
      </w:r>
    </w:p>
    <w:p>
      <w:pPr>
        <w:spacing w:after="0" w:line="204" w:lineRule="exact"/>
        <w:rPr>
          <w:sz w:val="20"/>
          <w:szCs w:val="20"/>
          <w:color w:val="auto"/>
        </w:rPr>
      </w:pPr>
    </w:p>
    <w:p>
      <w:pPr>
        <w:ind w:left="1740"/>
        <w:spacing w:after="0"/>
        <w:rPr>
          <w:sz w:val="20"/>
          <w:szCs w:val="20"/>
          <w:color w:val="auto"/>
        </w:rPr>
      </w:pPr>
      <w:r>
        <w:rPr>
          <w:rFonts w:ascii="Arial" w:cs="Arial" w:eastAsia="Arial" w:hAnsi="Arial"/>
          <w:sz w:val="14"/>
          <w:szCs w:val="14"/>
          <w:color w:val="auto"/>
        </w:rPr>
        <w:t>“</w:t>
      </w:r>
      <w:r>
        <w:rPr>
          <w:rFonts w:ascii="Arial" w:cs="Arial" w:eastAsia="Arial" w:hAnsi="Arial"/>
          <w:sz w:val="14"/>
          <w:szCs w:val="14"/>
          <w:u w:val="single" w:color="auto"/>
          <w:color w:val="auto"/>
        </w:rPr>
        <w:t>Non-Performing Mezzanine Investments</w:t>
      </w:r>
      <w:r>
        <w:rPr>
          <w:rFonts w:ascii="Arial" w:cs="Arial" w:eastAsia="Arial" w:hAnsi="Arial"/>
          <w:sz w:val="14"/>
          <w:szCs w:val="14"/>
          <w:color w:val="auto"/>
        </w:rPr>
        <w:t>” means Mezzanine Investments other than Performing Mezzanine Investments.</w:t>
      </w:r>
    </w:p>
    <w:p>
      <w:pPr>
        <w:spacing w:after="0" w:line="204" w:lineRule="exact"/>
        <w:rPr>
          <w:sz w:val="20"/>
          <w:szCs w:val="20"/>
          <w:color w:val="auto"/>
        </w:rPr>
      </w:pPr>
    </w:p>
    <w:p>
      <w:pPr>
        <w:jc w:val="both"/>
        <w:ind w:right="20" w:firstLine="1727"/>
        <w:spacing w:after="0" w:line="253" w:lineRule="auto"/>
        <w:rPr>
          <w:sz w:val="20"/>
          <w:szCs w:val="20"/>
          <w:color w:val="auto"/>
        </w:rPr>
      </w:pPr>
      <w:r>
        <w:rPr>
          <w:rFonts w:ascii="Arial" w:cs="Arial" w:eastAsia="Arial" w:hAnsi="Arial"/>
          <w:sz w:val="14"/>
          <w:szCs w:val="14"/>
          <w:color w:val="auto"/>
        </w:rPr>
        <w:t>“</w:t>
      </w:r>
      <w:r>
        <w:rPr>
          <w:rFonts w:ascii="Arial" w:cs="Arial" w:eastAsia="Arial" w:hAnsi="Arial"/>
          <w:sz w:val="14"/>
          <w:szCs w:val="14"/>
          <w:u w:val="single" w:color="auto"/>
          <w:color w:val="auto"/>
        </w:rPr>
        <w:t>Non-Performing Portfolio Investment</w:t>
      </w:r>
      <w:r>
        <w:rPr>
          <w:rFonts w:ascii="Arial" w:cs="Arial" w:eastAsia="Arial" w:hAnsi="Arial"/>
          <w:sz w:val="14"/>
          <w:szCs w:val="14"/>
          <w:color w:val="auto"/>
        </w:rPr>
        <w:t>” means Portfolio Investments for which the issuer is, at the time of determination, in default of any payment obligations of principal or interest in respect thereof after the expiration of any applicable grace period.</w:t>
      </w:r>
    </w:p>
    <w:p>
      <w:pPr>
        <w:spacing w:after="0" w:line="174" w:lineRule="exact"/>
        <w:rPr>
          <w:sz w:val="20"/>
          <w:szCs w:val="20"/>
          <w:color w:val="auto"/>
        </w:rPr>
      </w:pPr>
    </w:p>
    <w:p>
      <w:pPr>
        <w:ind w:left="1740"/>
        <w:spacing w:after="0"/>
        <w:rPr>
          <w:sz w:val="20"/>
          <w:szCs w:val="20"/>
          <w:color w:val="auto"/>
        </w:rPr>
      </w:pPr>
      <w:r>
        <w:rPr>
          <w:rFonts w:ascii="Arial" w:cs="Arial" w:eastAsia="Arial" w:hAnsi="Arial"/>
          <w:sz w:val="14"/>
          <w:szCs w:val="14"/>
          <w:color w:val="auto"/>
        </w:rPr>
        <w:t>“</w:t>
      </w:r>
      <w:r>
        <w:rPr>
          <w:rFonts w:ascii="Arial" w:cs="Arial" w:eastAsia="Arial" w:hAnsi="Arial"/>
          <w:sz w:val="14"/>
          <w:szCs w:val="14"/>
          <w:u w:val="single" w:color="auto"/>
          <w:color w:val="auto"/>
        </w:rPr>
        <w:t>Non-Performing Second Lien Bank Loans</w:t>
      </w:r>
      <w:r>
        <w:rPr>
          <w:rFonts w:ascii="Arial" w:cs="Arial" w:eastAsia="Arial" w:hAnsi="Arial"/>
          <w:sz w:val="14"/>
          <w:szCs w:val="14"/>
          <w:color w:val="auto"/>
        </w:rPr>
        <w:t>” means Second Lien Bank Loans other than Performing Second Lien Bank Loans.</w:t>
      </w:r>
    </w:p>
    <w:p>
      <w:pPr>
        <w:spacing w:after="0" w:line="204" w:lineRule="exact"/>
        <w:rPr>
          <w:sz w:val="20"/>
          <w:szCs w:val="20"/>
          <w:color w:val="auto"/>
        </w:rPr>
      </w:pPr>
    </w:p>
    <w:p>
      <w:pPr>
        <w:ind w:left="1740"/>
        <w:spacing w:after="0"/>
        <w:rPr>
          <w:sz w:val="20"/>
          <w:szCs w:val="20"/>
          <w:color w:val="auto"/>
        </w:rPr>
      </w:pPr>
      <w:r>
        <w:rPr>
          <w:rFonts w:ascii="Arial" w:cs="Arial" w:eastAsia="Arial" w:hAnsi="Arial"/>
          <w:sz w:val="14"/>
          <w:szCs w:val="14"/>
          <w:color w:val="auto"/>
        </w:rPr>
        <w:t>“</w:t>
      </w:r>
      <w:r>
        <w:rPr>
          <w:rFonts w:ascii="Arial" w:cs="Arial" w:eastAsia="Arial" w:hAnsi="Arial"/>
          <w:sz w:val="14"/>
          <w:szCs w:val="14"/>
          <w:u w:val="single" w:color="auto"/>
          <w:color w:val="auto"/>
        </w:rPr>
        <w:t>Non-Performing Unitranche Loans</w:t>
      </w:r>
      <w:r>
        <w:rPr>
          <w:rFonts w:ascii="Arial" w:cs="Arial" w:eastAsia="Arial" w:hAnsi="Arial"/>
          <w:sz w:val="14"/>
          <w:szCs w:val="14"/>
          <w:color w:val="auto"/>
        </w:rPr>
        <w:t>” means Unitranche Loans other than Performing Unitranche Loans.</w:t>
      </w:r>
    </w:p>
    <w:p>
      <w:pPr>
        <w:spacing w:after="0" w:line="204" w:lineRule="exact"/>
        <w:rPr>
          <w:sz w:val="20"/>
          <w:szCs w:val="20"/>
          <w:color w:val="auto"/>
        </w:rPr>
      </w:pPr>
    </w:p>
    <w:p>
      <w:pPr>
        <w:jc w:val="both"/>
        <w:ind w:right="20" w:firstLine="1727"/>
        <w:spacing w:after="0" w:line="233" w:lineRule="auto"/>
        <w:rPr>
          <w:sz w:val="20"/>
          <w:szCs w:val="20"/>
          <w:color w:val="auto"/>
        </w:rPr>
      </w:pPr>
      <w:r>
        <w:rPr>
          <w:rFonts w:ascii="Arial" w:cs="Arial" w:eastAsia="Arial" w:hAnsi="Arial"/>
          <w:sz w:val="14"/>
          <w:szCs w:val="14"/>
          <w:color w:val="auto"/>
        </w:rPr>
        <w:t>“</w:t>
      </w:r>
      <w:r>
        <w:rPr>
          <w:rFonts w:ascii="Arial" w:cs="Arial" w:eastAsia="Arial" w:hAnsi="Arial"/>
          <w:sz w:val="14"/>
          <w:szCs w:val="14"/>
          <w:u w:val="single" w:color="auto"/>
          <w:color w:val="auto"/>
        </w:rPr>
        <w:t>Performing</w:t>
      </w:r>
      <w:r>
        <w:rPr>
          <w:rFonts w:ascii="Arial" w:cs="Arial" w:eastAsia="Arial" w:hAnsi="Arial"/>
          <w:sz w:val="14"/>
          <w:szCs w:val="14"/>
          <w:color w:val="auto"/>
        </w:rPr>
        <w:t>” means (a) with respect to any Portfolio Investment that is debt (or any other debt), the issuer of such Portfolio Investment (or other debt) is, at the time of determination, not in default of any payment obligations of principal or interest in respect thereof after the receipt of any notice and/or expiration of any applicable grace period and (b) with respect to any Portfolio Investment that is Preferred Stock, the issuer of such Portfolio Investment has not failed to meet any scheduled redemption obligations or to pay its latest declared cash dividend, after the expiration of any applicable grace period.</w:t>
      </w:r>
    </w:p>
    <w:p>
      <w:pPr>
        <w:spacing w:after="0" w:line="185" w:lineRule="exact"/>
        <w:rPr>
          <w:sz w:val="20"/>
          <w:szCs w:val="20"/>
          <w:color w:val="auto"/>
        </w:rPr>
      </w:pPr>
    </w:p>
    <w:p>
      <w:pPr>
        <w:jc w:val="both"/>
        <w:ind w:right="20" w:firstLine="1727"/>
        <w:spacing w:after="0" w:line="253" w:lineRule="auto"/>
        <w:rPr>
          <w:sz w:val="20"/>
          <w:szCs w:val="20"/>
          <w:color w:val="auto"/>
        </w:rPr>
      </w:pPr>
      <w:r>
        <w:rPr>
          <w:rFonts w:ascii="Arial" w:cs="Arial" w:eastAsia="Arial" w:hAnsi="Arial"/>
          <w:sz w:val="14"/>
          <w:szCs w:val="14"/>
          <w:color w:val="auto"/>
        </w:rPr>
        <w:t>“</w:t>
      </w:r>
      <w:r>
        <w:rPr>
          <w:rFonts w:ascii="Arial" w:cs="Arial" w:eastAsia="Arial" w:hAnsi="Arial"/>
          <w:sz w:val="14"/>
          <w:szCs w:val="14"/>
          <w:u w:val="single" w:color="auto"/>
          <w:color w:val="auto"/>
        </w:rPr>
        <w:t>Performing Cash Pay High Yield Securities</w:t>
      </w:r>
      <w:r>
        <w:rPr>
          <w:rFonts w:ascii="Arial" w:cs="Arial" w:eastAsia="Arial" w:hAnsi="Arial"/>
          <w:sz w:val="14"/>
          <w:szCs w:val="14"/>
          <w:color w:val="auto"/>
        </w:rPr>
        <w:t>” means High Yield Securities (a) as to which, at the time of determination, not less than 2/3rds of the interest (including accretions and “pay-in-kind” interest) for the current monthly, quarterly, semiannual or annual period (as applicable) is payable in cash and (b) which are Performing.</w:t>
      </w:r>
    </w:p>
    <w:p>
      <w:pPr>
        <w:spacing w:after="0" w:line="174" w:lineRule="exact"/>
        <w:rPr>
          <w:sz w:val="20"/>
          <w:szCs w:val="20"/>
          <w:color w:val="auto"/>
        </w:rPr>
      </w:pPr>
    </w:p>
    <w:p>
      <w:pPr>
        <w:jc w:val="both"/>
        <w:ind w:right="40" w:firstLine="1727"/>
        <w:spacing w:after="0" w:line="290" w:lineRule="auto"/>
        <w:rPr>
          <w:sz w:val="20"/>
          <w:szCs w:val="20"/>
          <w:color w:val="auto"/>
        </w:rPr>
      </w:pPr>
      <w:r>
        <w:rPr>
          <w:rFonts w:ascii="Arial" w:cs="Arial" w:eastAsia="Arial" w:hAnsi="Arial"/>
          <w:sz w:val="13"/>
          <w:szCs w:val="13"/>
          <w:color w:val="auto"/>
        </w:rPr>
        <w:t>“</w:t>
      </w:r>
      <w:r>
        <w:rPr>
          <w:rFonts w:ascii="Arial" w:cs="Arial" w:eastAsia="Arial" w:hAnsi="Arial"/>
          <w:sz w:val="13"/>
          <w:szCs w:val="13"/>
          <w:u w:val="single" w:color="auto"/>
          <w:color w:val="auto"/>
        </w:rPr>
        <w:t>Performing Cash Pay Mezzanine Investments</w:t>
      </w:r>
      <w:r>
        <w:rPr>
          <w:rFonts w:ascii="Arial" w:cs="Arial" w:eastAsia="Arial" w:hAnsi="Arial"/>
          <w:sz w:val="13"/>
          <w:szCs w:val="13"/>
          <w:color w:val="auto"/>
        </w:rPr>
        <w:t>” means Mezzanine Investments (a) as to which, at the time of determination, not less than 2/3rds of the interest (including accretions and “pay-in-kind” interest) for the current monthly, quarterly, semi-annual or annual period (as applicable) is payable in cash and (b) which are Performing.</w:t>
      </w:r>
    </w:p>
    <w:p>
      <w:pPr>
        <w:spacing w:after="0" w:line="152" w:lineRule="exact"/>
        <w:rPr>
          <w:sz w:val="20"/>
          <w:szCs w:val="20"/>
          <w:color w:val="auto"/>
        </w:rPr>
      </w:pPr>
    </w:p>
    <w:p>
      <w:pPr>
        <w:ind w:left="1740"/>
        <w:spacing w:after="0"/>
        <w:rPr>
          <w:sz w:val="20"/>
          <w:szCs w:val="20"/>
          <w:color w:val="auto"/>
        </w:rPr>
      </w:pPr>
      <w:r>
        <w:rPr>
          <w:rFonts w:ascii="Arial" w:cs="Arial" w:eastAsia="Arial" w:hAnsi="Arial"/>
          <w:sz w:val="14"/>
          <w:szCs w:val="14"/>
          <w:color w:val="auto"/>
        </w:rPr>
        <w:t>“</w:t>
      </w:r>
      <w:r>
        <w:rPr>
          <w:rFonts w:ascii="Arial" w:cs="Arial" w:eastAsia="Arial" w:hAnsi="Arial"/>
          <w:sz w:val="14"/>
          <w:szCs w:val="14"/>
          <w:u w:val="single" w:color="auto"/>
          <w:color w:val="auto"/>
        </w:rPr>
        <w:t>Performing Common Equity</w:t>
      </w:r>
      <w:r>
        <w:rPr>
          <w:rFonts w:ascii="Arial" w:cs="Arial" w:eastAsia="Arial" w:hAnsi="Arial"/>
          <w:sz w:val="14"/>
          <w:szCs w:val="14"/>
          <w:color w:val="auto"/>
        </w:rPr>
        <w:t>” means Capital Stock (other than Preferred Stock) and warrants of an issuer all of whose outstanding debt is Performing.</w:t>
      </w:r>
    </w:p>
    <w:p>
      <w:pPr>
        <w:spacing w:after="0" w:line="204" w:lineRule="exact"/>
        <w:rPr>
          <w:sz w:val="20"/>
          <w:szCs w:val="20"/>
          <w:color w:val="auto"/>
        </w:rPr>
      </w:pPr>
    </w:p>
    <w:p>
      <w:pPr>
        <w:ind w:left="1740"/>
        <w:spacing w:after="0"/>
        <w:rPr>
          <w:sz w:val="20"/>
          <w:szCs w:val="20"/>
          <w:color w:val="auto"/>
        </w:rPr>
      </w:pPr>
      <w:r>
        <w:rPr>
          <w:rFonts w:ascii="Arial" w:cs="Arial" w:eastAsia="Arial" w:hAnsi="Arial"/>
          <w:sz w:val="14"/>
          <w:szCs w:val="14"/>
          <w:color w:val="auto"/>
        </w:rPr>
        <w:t>“</w:t>
      </w:r>
      <w:r>
        <w:rPr>
          <w:rFonts w:ascii="Arial" w:cs="Arial" w:eastAsia="Arial" w:hAnsi="Arial"/>
          <w:sz w:val="14"/>
          <w:szCs w:val="14"/>
          <w:u w:val="single" w:color="auto"/>
          <w:color w:val="auto"/>
        </w:rPr>
        <w:t>Performing First Lien Bank Loans</w:t>
      </w:r>
      <w:r>
        <w:rPr>
          <w:rFonts w:ascii="Arial" w:cs="Arial" w:eastAsia="Arial" w:hAnsi="Arial"/>
          <w:sz w:val="14"/>
          <w:szCs w:val="14"/>
          <w:color w:val="auto"/>
        </w:rPr>
        <w:t>” means First Lien Bank Loans which are Performing.</w:t>
      </w:r>
    </w:p>
    <w:p>
      <w:pPr>
        <w:spacing w:after="0" w:line="204" w:lineRule="exact"/>
        <w:rPr>
          <w:sz w:val="20"/>
          <w:szCs w:val="20"/>
          <w:color w:val="auto"/>
        </w:rPr>
      </w:pPr>
    </w:p>
    <w:p>
      <w:pPr>
        <w:ind w:left="1740"/>
        <w:spacing w:after="0"/>
        <w:rPr>
          <w:sz w:val="20"/>
          <w:szCs w:val="20"/>
          <w:color w:val="auto"/>
        </w:rPr>
      </w:pPr>
      <w:r>
        <w:rPr>
          <w:rFonts w:ascii="Arial" w:cs="Arial" w:eastAsia="Arial" w:hAnsi="Arial"/>
          <w:sz w:val="14"/>
          <w:szCs w:val="14"/>
          <w:color w:val="auto"/>
        </w:rPr>
        <w:t>“</w:t>
      </w:r>
      <w:r>
        <w:rPr>
          <w:rFonts w:ascii="Arial" w:cs="Arial" w:eastAsia="Arial" w:hAnsi="Arial"/>
          <w:sz w:val="14"/>
          <w:szCs w:val="14"/>
          <w:u w:val="single" w:color="auto"/>
          <w:color w:val="auto"/>
        </w:rPr>
        <w:t>Performing Non-Cash Pay High Yield Securities</w:t>
      </w:r>
      <w:r>
        <w:rPr>
          <w:rFonts w:ascii="Arial" w:cs="Arial" w:eastAsia="Arial" w:hAnsi="Arial"/>
          <w:sz w:val="14"/>
          <w:szCs w:val="14"/>
          <w:color w:val="auto"/>
        </w:rPr>
        <w:t>” means Performing High Yield Securities other than Performing Cash Pay High Yield Securities.</w:t>
      </w:r>
    </w:p>
    <w:p>
      <w:pPr>
        <w:spacing w:after="0" w:line="204" w:lineRule="exact"/>
        <w:rPr>
          <w:sz w:val="20"/>
          <w:szCs w:val="20"/>
          <w:color w:val="auto"/>
        </w:rPr>
      </w:pPr>
    </w:p>
    <w:p>
      <w:pPr>
        <w:ind w:left="1740"/>
        <w:spacing w:after="0"/>
        <w:rPr>
          <w:sz w:val="20"/>
          <w:szCs w:val="20"/>
          <w:color w:val="auto"/>
        </w:rPr>
      </w:pPr>
      <w:r>
        <w:rPr>
          <w:rFonts w:ascii="Arial" w:cs="Arial" w:eastAsia="Arial" w:hAnsi="Arial"/>
          <w:sz w:val="14"/>
          <w:szCs w:val="14"/>
          <w:color w:val="auto"/>
        </w:rPr>
        <w:t>“</w:t>
      </w:r>
      <w:r>
        <w:rPr>
          <w:rFonts w:ascii="Arial" w:cs="Arial" w:eastAsia="Arial" w:hAnsi="Arial"/>
          <w:sz w:val="14"/>
          <w:szCs w:val="14"/>
          <w:u w:val="single" w:color="auto"/>
          <w:color w:val="auto"/>
        </w:rPr>
        <w:t>Performing Non-Cash Pay Mezzanine Investments</w:t>
      </w:r>
      <w:r>
        <w:rPr>
          <w:rFonts w:ascii="Arial" w:cs="Arial" w:eastAsia="Arial" w:hAnsi="Arial"/>
          <w:sz w:val="14"/>
          <w:szCs w:val="14"/>
          <w:color w:val="auto"/>
        </w:rPr>
        <w:t>” means Performing Mezzanine Investments other than Performing Cash Pay Mezzanine Investments.</w:t>
      </w:r>
    </w:p>
    <w:p>
      <w:pPr>
        <w:spacing w:after="0" w:line="204" w:lineRule="exact"/>
        <w:rPr>
          <w:sz w:val="20"/>
          <w:szCs w:val="20"/>
          <w:color w:val="auto"/>
        </w:rPr>
      </w:pPr>
    </w:p>
    <w:p>
      <w:pPr>
        <w:ind w:left="1740"/>
        <w:spacing w:after="0"/>
        <w:rPr>
          <w:sz w:val="20"/>
          <w:szCs w:val="20"/>
          <w:color w:val="auto"/>
        </w:rPr>
      </w:pPr>
      <w:r>
        <w:rPr>
          <w:rFonts w:ascii="Arial" w:cs="Arial" w:eastAsia="Arial" w:hAnsi="Arial"/>
          <w:sz w:val="14"/>
          <w:szCs w:val="14"/>
          <w:color w:val="auto"/>
        </w:rPr>
        <w:t>“</w:t>
      </w:r>
      <w:r>
        <w:rPr>
          <w:rFonts w:ascii="Arial" w:cs="Arial" w:eastAsia="Arial" w:hAnsi="Arial"/>
          <w:sz w:val="14"/>
          <w:szCs w:val="14"/>
          <w:u w:val="single" w:color="auto"/>
          <w:color w:val="auto"/>
        </w:rPr>
        <w:t>Performing Second Lien Bank Loans</w:t>
      </w:r>
      <w:r>
        <w:rPr>
          <w:rFonts w:ascii="Arial" w:cs="Arial" w:eastAsia="Arial" w:hAnsi="Arial"/>
          <w:sz w:val="14"/>
          <w:szCs w:val="14"/>
          <w:color w:val="auto"/>
        </w:rPr>
        <w:t>” means Second Lien Bank Loans which are Performing.</w:t>
      </w:r>
    </w:p>
    <w:p>
      <w:pPr>
        <w:spacing w:after="0" w:line="204" w:lineRule="exact"/>
        <w:rPr>
          <w:sz w:val="20"/>
          <w:szCs w:val="20"/>
          <w:color w:val="auto"/>
        </w:rPr>
      </w:pPr>
    </w:p>
    <w:p>
      <w:pPr>
        <w:ind w:left="1740"/>
        <w:spacing w:after="0"/>
        <w:rPr>
          <w:sz w:val="20"/>
          <w:szCs w:val="20"/>
          <w:color w:val="auto"/>
        </w:rPr>
      </w:pPr>
      <w:r>
        <w:rPr>
          <w:rFonts w:ascii="Arial" w:cs="Arial" w:eastAsia="Arial" w:hAnsi="Arial"/>
          <w:sz w:val="14"/>
          <w:szCs w:val="14"/>
          <w:color w:val="auto"/>
        </w:rPr>
        <w:t>“</w:t>
      </w:r>
      <w:r>
        <w:rPr>
          <w:rFonts w:ascii="Arial" w:cs="Arial" w:eastAsia="Arial" w:hAnsi="Arial"/>
          <w:sz w:val="14"/>
          <w:szCs w:val="14"/>
          <w:u w:val="single" w:color="auto"/>
          <w:color w:val="auto"/>
        </w:rPr>
        <w:t>Performing Unitranche Loans</w:t>
      </w:r>
      <w:r>
        <w:rPr>
          <w:rFonts w:ascii="Arial" w:cs="Arial" w:eastAsia="Arial" w:hAnsi="Arial"/>
          <w:sz w:val="14"/>
          <w:szCs w:val="14"/>
          <w:color w:val="auto"/>
        </w:rPr>
        <w:t>” means Unitranche Loans which are Performing.</w:t>
      </w:r>
    </w:p>
    <w:p>
      <w:pPr>
        <w:spacing w:after="0" w:line="204" w:lineRule="exact"/>
        <w:rPr>
          <w:sz w:val="20"/>
          <w:szCs w:val="20"/>
          <w:color w:val="auto"/>
        </w:rPr>
      </w:pPr>
    </w:p>
    <w:p>
      <w:pPr>
        <w:jc w:val="both"/>
        <w:ind w:right="20" w:firstLine="1727"/>
        <w:spacing w:after="0" w:line="264" w:lineRule="auto"/>
        <w:rPr>
          <w:sz w:val="20"/>
          <w:szCs w:val="20"/>
          <w:color w:val="auto"/>
        </w:rPr>
      </w:pPr>
      <w:r>
        <w:rPr>
          <w:rFonts w:ascii="Arial" w:cs="Arial" w:eastAsia="Arial" w:hAnsi="Arial"/>
          <w:sz w:val="13"/>
          <w:szCs w:val="13"/>
          <w:color w:val="auto"/>
        </w:rPr>
        <w:t>“</w:t>
      </w:r>
      <w:r>
        <w:rPr>
          <w:rFonts w:ascii="Arial" w:cs="Arial" w:eastAsia="Arial" w:hAnsi="Arial"/>
          <w:sz w:val="13"/>
          <w:szCs w:val="13"/>
          <w:u w:val="single" w:color="auto"/>
          <w:color w:val="auto"/>
        </w:rPr>
        <w:t>Preferred Stock</w:t>
      </w:r>
      <w:r>
        <w:rPr>
          <w:rFonts w:ascii="Arial" w:cs="Arial" w:eastAsia="Arial" w:hAnsi="Arial"/>
          <w:sz w:val="13"/>
          <w:szCs w:val="13"/>
          <w:color w:val="auto"/>
        </w:rPr>
        <w:t>,” as applied to the Capital Stock of any Person, means Capital Stock of such Person of any class or classes (however designated) that ranks prior, as to the payment of dividends or as to the distribution of assets upon any voluntary or involuntary liquidation, dissolution or winding up of such Person, to any shares (or other interests) of other Capital Stock of such Person, and shall include, without limitation, cumulative preferred, non-cumulative preferred, participating preferred and convertible preferred Capital Stock.</w:t>
      </w:r>
    </w:p>
    <w:p>
      <w:pPr>
        <w:spacing w:after="0" w:line="200" w:lineRule="exact"/>
        <w:rPr>
          <w:sz w:val="20"/>
          <w:szCs w:val="20"/>
          <w:color w:val="auto"/>
        </w:rPr>
      </w:pPr>
    </w:p>
    <w:p>
      <w:pPr>
        <w:spacing w:after="0" w:line="38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7580" w:type="dxa"/>
            <w:vAlign w:val="bottom"/>
          </w:tcPr>
          <w:p>
            <w:pPr>
              <w:jc w:val="right"/>
              <w:ind w:right="1808"/>
              <w:spacing w:after="0"/>
              <w:rPr>
                <w:sz w:val="20"/>
                <w:szCs w:val="20"/>
                <w:color w:val="auto"/>
              </w:rPr>
            </w:pPr>
            <w:r>
              <w:rPr>
                <w:rFonts w:ascii="Arial" w:cs="Arial" w:eastAsia="Arial" w:hAnsi="Arial"/>
                <w:sz w:val="14"/>
                <w:szCs w:val="14"/>
                <w:color w:val="auto"/>
              </w:rPr>
              <w:t>49</w:t>
            </w:r>
          </w:p>
        </w:tc>
        <w:tc>
          <w:tcPr>
            <w:tcW w:w="3680" w:type="dxa"/>
            <w:vAlign w:val="bottom"/>
          </w:tcPr>
          <w:p>
            <w:pPr>
              <w:jc w:val="right"/>
              <w:spacing w:after="0"/>
              <w:rPr>
                <w:sz w:val="20"/>
                <w:szCs w:val="20"/>
                <w:color w:val="auto"/>
              </w:rPr>
            </w:pPr>
            <w:r>
              <w:rPr>
                <w:rFonts w:ascii="Arial" w:cs="Arial" w:eastAsia="Arial" w:hAnsi="Arial"/>
                <w:sz w:val="14"/>
                <w:szCs w:val="14"/>
                <w:i w:val="1"/>
                <w:iCs w:val="1"/>
                <w:color w:val="auto"/>
              </w:rPr>
              <w:t>Second Amended and Restated</w:t>
            </w:r>
          </w:p>
        </w:tc>
      </w:tr>
      <w:tr>
        <w:trPr>
          <w:trHeight w:val="182"/>
        </w:trPr>
        <w:tc>
          <w:tcPr>
            <w:tcW w:w="7580" w:type="dxa"/>
            <w:vAlign w:val="bottom"/>
          </w:tcPr>
          <w:p>
            <w:pPr>
              <w:spacing w:after="0"/>
              <w:rPr>
                <w:sz w:val="15"/>
                <w:szCs w:val="15"/>
                <w:color w:val="auto"/>
              </w:rPr>
            </w:pPr>
          </w:p>
        </w:tc>
        <w:tc>
          <w:tcPr>
            <w:tcW w:w="3680" w:type="dxa"/>
            <w:vAlign w:val="bottom"/>
          </w:tcPr>
          <w:p>
            <w:pPr>
              <w:jc w:val="right"/>
              <w:spacing w:after="0"/>
              <w:rPr>
                <w:sz w:val="20"/>
                <w:szCs w:val="20"/>
                <w:color w:val="auto"/>
              </w:rPr>
            </w:pPr>
            <w:r>
              <w:rPr>
                <w:rFonts w:ascii="Arial" w:cs="Arial" w:eastAsia="Arial" w:hAnsi="Arial"/>
                <w:sz w:val="14"/>
                <w:szCs w:val="14"/>
                <w:i w:val="1"/>
                <w:iCs w:val="1"/>
                <w:color w:val="auto"/>
              </w:rPr>
              <w:t>Revolving Credit Agreement</w:t>
            </w:r>
          </w:p>
        </w:tc>
      </w:tr>
      <w:tr>
        <w:trPr>
          <w:trHeight w:val="316"/>
        </w:trPr>
        <w:tc>
          <w:tcPr>
            <w:tcW w:w="7580" w:type="dxa"/>
            <w:vAlign w:val="bottom"/>
            <w:tcBorders>
              <w:bottom w:val="single" w:sz="8" w:color="9A9A9A"/>
            </w:tcBorders>
          </w:tcPr>
          <w:p>
            <w:pPr>
              <w:spacing w:after="0"/>
              <w:rPr>
                <w:sz w:val="24"/>
                <w:szCs w:val="24"/>
                <w:color w:val="auto"/>
              </w:rPr>
            </w:pPr>
          </w:p>
        </w:tc>
        <w:tc>
          <w:tcPr>
            <w:tcW w:w="368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7145655</wp:posOffset>
            </wp:positionH>
            <wp:positionV relativeFrom="paragraph">
              <wp:posOffset>-7620</wp:posOffset>
            </wp:positionV>
            <wp:extent cx="8255" cy="8255"/>
            <wp:wrapNone/>
            <wp:docPr id="203" name="Picture 2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3"/>
                    <pic:cNvPicPr>
                      <a:picLocks noChangeAspect="1" noChangeArrowheads="1"/>
                    </pic:cNvPicPr>
                  </pic:nvPicPr>
                  <pic:blipFill>
                    <a:blip r:embed="rId210">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-16510</wp:posOffset>
            </wp:positionV>
            <wp:extent cx="8890" cy="17145"/>
            <wp:wrapNone/>
            <wp:docPr id="204" name="Picture 2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4"/>
                    <pic:cNvPicPr>
                      <a:picLocks noChangeAspect="1" noChangeArrowheads="1"/>
                    </pic:cNvPicPr>
                  </pic:nvPicPr>
                  <pic:blipFill>
                    <a:blip r:embed="rId211">
                      <a:extLst>
                        <a:ext uri="{28A0092B-C50C-407E-A947-70E740481C1C}"/>
                      </a:extLst>
                    </a:blip>
                    <a:srcRect/>
                    <a:stretch>
                      <a:fillRect/>
                    </a:stretch>
                  </pic:blipFill>
                  <pic:spPr bwMode="auto">
                    <a:xfrm>
                      <a:off x="0" y="0"/>
                      <a:ext cx="8890" cy="17145"/>
                    </a:xfrm>
                    <a:prstGeom prst="rect">
                      <a:avLst/>
                    </a:prstGeom>
                    <a:noFill/>
                  </pic:spPr>
                </pic:pic>
              </a:graphicData>
            </a:graphic>
          </wp:anchor>
        </w:drawing>
      </w:r>
    </w:p>
    <w:p>
      <w:pPr>
        <w:sectPr>
          <w:pgSz w:w="11900" w:h="16838" w:orient="portrait"/>
          <w:cols w:equalWidth="0" w:num="1">
            <w:col w:w="11260"/>
          </w:cols>
          <w:pgMar w:left="320" w:top="337" w:right="319" w:bottom="1440" w:gutter="0" w:footer="0" w:header="0"/>
        </w:sectPr>
      </w:pPr>
    </w:p>
    <w:bookmarkStart w:id="112" w:name="page113"/>
    <w:bookmarkEnd w:id="112"/>
    <w:p>
      <w:pPr>
        <w:jc w:val="both"/>
        <w:ind w:right="20" w:firstLine="1727"/>
        <w:spacing w:after="0" w:line="253" w:lineRule="auto"/>
        <w:rPr>
          <w:sz w:val="20"/>
          <w:szCs w:val="20"/>
          <w:color w:val="auto"/>
        </w:rPr>
      </w:pPr>
      <w:r>
        <w:rPr>
          <w:rFonts w:ascii="Arial" w:cs="Arial" w:eastAsia="Arial" w:hAnsi="Arial"/>
          <w:sz w:val="14"/>
          <w:szCs w:val="14"/>
          <w:color w:val="auto"/>
        </w:rPr>
        <w:t>“</w:t>
      </w:r>
      <w:r>
        <w:rPr>
          <w:rFonts w:ascii="Arial" w:cs="Arial" w:eastAsia="Arial" w:hAnsi="Arial"/>
          <w:sz w:val="14"/>
          <w:szCs w:val="14"/>
          <w:u w:val="single" w:color="auto"/>
          <w:color w:val="auto"/>
        </w:rPr>
        <w:t>Second Lien Bank Loan</w:t>
      </w:r>
      <w:r>
        <w:rPr>
          <w:rFonts w:ascii="Arial" w:cs="Arial" w:eastAsia="Arial" w:hAnsi="Arial"/>
          <w:sz w:val="14"/>
          <w:szCs w:val="14"/>
          <w:color w:val="auto"/>
        </w:rPr>
        <w:t>” means a Bank Loan that is entitled to the benefit of a second lien and second priority perfected security interest (subject to customary encumbrances) on specified assets of the respective Borrower and guarantors obligated in respect thereof.</w:t>
      </w:r>
    </w:p>
    <w:p>
      <w:pPr>
        <w:spacing w:after="0" w:line="174" w:lineRule="exact"/>
        <w:rPr>
          <w:sz w:val="20"/>
          <w:szCs w:val="20"/>
          <w:color w:val="auto"/>
        </w:rPr>
      </w:pPr>
    </w:p>
    <w:p>
      <w:pPr>
        <w:jc w:val="both"/>
        <w:ind w:right="20" w:firstLine="1727"/>
        <w:spacing w:after="0" w:line="233" w:lineRule="auto"/>
        <w:rPr>
          <w:sz w:val="20"/>
          <w:szCs w:val="20"/>
          <w:color w:val="auto"/>
        </w:rPr>
      </w:pPr>
      <w:r>
        <w:rPr>
          <w:rFonts w:ascii="Arial" w:cs="Arial" w:eastAsia="Arial" w:hAnsi="Arial"/>
          <w:sz w:val="14"/>
          <w:szCs w:val="14"/>
          <w:color w:val="auto"/>
        </w:rPr>
        <w:t>“</w:t>
      </w:r>
      <w:r>
        <w:rPr>
          <w:rFonts w:ascii="Arial" w:cs="Arial" w:eastAsia="Arial" w:hAnsi="Arial"/>
          <w:sz w:val="14"/>
          <w:szCs w:val="14"/>
          <w:u w:val="single" w:color="auto"/>
          <w:color w:val="auto"/>
        </w:rPr>
        <w:t>Securities</w:t>
      </w:r>
      <w:r>
        <w:rPr>
          <w:rFonts w:ascii="Arial" w:cs="Arial" w:eastAsia="Arial" w:hAnsi="Arial"/>
          <w:sz w:val="14"/>
          <w:szCs w:val="14"/>
          <w:color w:val="auto"/>
        </w:rPr>
        <w:t>” means common and preferred stock, units and participations, membership interests in limited liability companies, partnership interests in partnerships, notes, bonds, debentures, trust receipts and other obligations, instruments or evidences of indebtedness, including debt instruments of public and private issuers and tax-exempt securities (including warrants, rights, put and call options and other options relating thereto, representing rights, or any combination thereof) and other property or interests commonly regarded as securities or any form of interest or participation therein, but not including Bank Loans.</w:t>
      </w:r>
    </w:p>
    <w:p>
      <w:pPr>
        <w:spacing w:after="0" w:line="185" w:lineRule="exact"/>
        <w:rPr>
          <w:sz w:val="20"/>
          <w:szCs w:val="20"/>
          <w:color w:val="auto"/>
        </w:rPr>
      </w:pPr>
    </w:p>
    <w:p>
      <w:pPr>
        <w:ind w:left="1740"/>
        <w:spacing w:after="0"/>
        <w:rPr>
          <w:sz w:val="20"/>
          <w:szCs w:val="20"/>
          <w:color w:val="auto"/>
        </w:rPr>
      </w:pPr>
      <w:r>
        <w:rPr>
          <w:rFonts w:ascii="Arial" w:cs="Arial" w:eastAsia="Arial" w:hAnsi="Arial"/>
          <w:sz w:val="14"/>
          <w:szCs w:val="14"/>
          <w:color w:val="auto"/>
        </w:rPr>
        <w:t>“</w:t>
      </w:r>
      <w:r>
        <w:rPr>
          <w:rFonts w:ascii="Arial" w:cs="Arial" w:eastAsia="Arial" w:hAnsi="Arial"/>
          <w:sz w:val="14"/>
          <w:szCs w:val="14"/>
          <w:u w:val="single" w:color="auto"/>
          <w:color w:val="auto"/>
        </w:rPr>
        <w:t>Securities Act</w:t>
      </w:r>
      <w:r>
        <w:rPr>
          <w:rFonts w:ascii="Arial" w:cs="Arial" w:eastAsia="Arial" w:hAnsi="Arial"/>
          <w:sz w:val="14"/>
          <w:szCs w:val="14"/>
          <w:color w:val="auto"/>
        </w:rPr>
        <w:t>” means the United States Securities Act of 1933, as amended.</w:t>
      </w:r>
    </w:p>
    <w:p>
      <w:pPr>
        <w:spacing w:after="0" w:line="204" w:lineRule="exact"/>
        <w:rPr>
          <w:sz w:val="20"/>
          <w:szCs w:val="20"/>
          <w:color w:val="auto"/>
        </w:rPr>
      </w:pPr>
    </w:p>
    <w:p>
      <w:pPr>
        <w:ind w:left="1740"/>
        <w:spacing w:after="0"/>
        <w:rPr>
          <w:sz w:val="20"/>
          <w:szCs w:val="20"/>
          <w:color w:val="auto"/>
        </w:rPr>
      </w:pPr>
      <w:r>
        <w:rPr>
          <w:rFonts w:ascii="Arial" w:cs="Arial" w:eastAsia="Arial" w:hAnsi="Arial"/>
          <w:sz w:val="14"/>
          <w:szCs w:val="14"/>
          <w:color w:val="auto"/>
        </w:rPr>
        <w:t>“</w:t>
      </w:r>
      <w:r>
        <w:rPr>
          <w:rFonts w:ascii="Arial" w:cs="Arial" w:eastAsia="Arial" w:hAnsi="Arial"/>
          <w:sz w:val="14"/>
          <w:szCs w:val="14"/>
          <w:u w:val="single" w:color="auto"/>
          <w:color w:val="auto"/>
        </w:rPr>
        <w:t>Short-Term U.S. Government Securities</w:t>
      </w:r>
      <w:r>
        <w:rPr>
          <w:rFonts w:ascii="Arial" w:cs="Arial" w:eastAsia="Arial" w:hAnsi="Arial"/>
          <w:sz w:val="14"/>
          <w:szCs w:val="14"/>
          <w:color w:val="auto"/>
        </w:rPr>
        <w:t>” means U.S. Government Securities maturing within one year of the applicable date of determination.</w:t>
      </w:r>
    </w:p>
    <w:p>
      <w:pPr>
        <w:spacing w:after="0" w:line="204" w:lineRule="exact"/>
        <w:rPr>
          <w:sz w:val="20"/>
          <w:szCs w:val="20"/>
          <w:color w:val="auto"/>
        </w:rPr>
      </w:pPr>
    </w:p>
    <w:p>
      <w:pPr>
        <w:jc w:val="both"/>
        <w:ind w:right="20" w:firstLine="1727"/>
        <w:spacing w:after="0" w:line="264" w:lineRule="auto"/>
        <w:rPr>
          <w:sz w:val="20"/>
          <w:szCs w:val="20"/>
          <w:color w:val="auto"/>
        </w:rPr>
      </w:pPr>
      <w:r>
        <w:rPr>
          <w:rFonts w:ascii="Arial" w:cs="Arial" w:eastAsia="Arial" w:hAnsi="Arial"/>
          <w:sz w:val="13"/>
          <w:szCs w:val="13"/>
          <w:color w:val="auto"/>
        </w:rPr>
        <w:t>“</w:t>
      </w:r>
      <w:r>
        <w:rPr>
          <w:rFonts w:ascii="Arial" w:cs="Arial" w:eastAsia="Arial" w:hAnsi="Arial"/>
          <w:sz w:val="13"/>
          <w:szCs w:val="13"/>
          <w:u w:val="single" w:color="auto"/>
          <w:color w:val="auto"/>
        </w:rPr>
        <w:t>Structured Finance Obligation</w:t>
      </w:r>
      <w:r>
        <w:rPr>
          <w:rFonts w:ascii="Arial" w:cs="Arial" w:eastAsia="Arial" w:hAnsi="Arial"/>
          <w:sz w:val="13"/>
          <w:szCs w:val="13"/>
          <w:color w:val="auto"/>
        </w:rPr>
        <w:t>” means any obligation issued by a special purpose vehicle and secured directly by, referenced to, or representing ownership of, a pool of receivables or other financial assets of any obligor, including collateralized debt obligations and mortgaged-backed securities. For the avoidance of doubt, if an obligation satisfies the definition of “Structured Finance Obligation”, such obligation shall not (a) qualify as any other category of Portfolio Investment and (b) be included in the Borrowing Base.</w:t>
      </w:r>
    </w:p>
    <w:p>
      <w:pPr>
        <w:spacing w:after="0" w:line="168" w:lineRule="exact"/>
        <w:rPr>
          <w:sz w:val="20"/>
          <w:szCs w:val="20"/>
          <w:color w:val="auto"/>
        </w:rPr>
      </w:pPr>
    </w:p>
    <w:p>
      <w:pPr>
        <w:ind w:left="1740"/>
        <w:spacing w:after="0"/>
        <w:rPr>
          <w:sz w:val="20"/>
          <w:szCs w:val="20"/>
          <w:color w:val="auto"/>
        </w:rPr>
      </w:pPr>
      <w:r>
        <w:rPr>
          <w:rFonts w:ascii="Arial" w:cs="Arial" w:eastAsia="Arial" w:hAnsi="Arial"/>
          <w:sz w:val="14"/>
          <w:szCs w:val="14"/>
          <w:color w:val="auto"/>
        </w:rPr>
        <w:t>“</w:t>
      </w:r>
      <w:r>
        <w:rPr>
          <w:rFonts w:ascii="Arial" w:cs="Arial" w:eastAsia="Arial" w:hAnsi="Arial"/>
          <w:sz w:val="14"/>
          <w:szCs w:val="14"/>
          <w:u w:val="single" w:color="auto"/>
          <w:color w:val="auto"/>
        </w:rPr>
        <w:t>U.S. Government Securities</w:t>
      </w:r>
      <w:r>
        <w:rPr>
          <w:rFonts w:ascii="Arial" w:cs="Arial" w:eastAsia="Arial" w:hAnsi="Arial"/>
          <w:sz w:val="14"/>
          <w:szCs w:val="14"/>
          <w:color w:val="auto"/>
        </w:rPr>
        <w:t xml:space="preserve">” has the meaning assigned to such term in </w:t>
      </w:r>
      <w:r>
        <w:rPr>
          <w:rFonts w:ascii="Arial" w:cs="Arial" w:eastAsia="Arial" w:hAnsi="Arial"/>
          <w:sz w:val="14"/>
          <w:szCs w:val="14"/>
          <w:u w:val="single" w:color="auto"/>
          <w:color w:val="auto"/>
        </w:rPr>
        <w:t>Section 1.01</w:t>
      </w:r>
      <w:r>
        <w:rPr>
          <w:rFonts w:ascii="Arial" w:cs="Arial" w:eastAsia="Arial" w:hAnsi="Arial"/>
          <w:sz w:val="14"/>
          <w:szCs w:val="14"/>
          <w:color w:val="auto"/>
        </w:rPr>
        <w:t>.</w:t>
      </w:r>
    </w:p>
    <w:p>
      <w:pPr>
        <w:spacing w:after="0" w:line="204" w:lineRule="exact"/>
        <w:rPr>
          <w:sz w:val="20"/>
          <w:szCs w:val="20"/>
          <w:color w:val="auto"/>
        </w:rPr>
      </w:pPr>
    </w:p>
    <w:p>
      <w:pPr>
        <w:jc w:val="both"/>
        <w:ind w:right="20" w:firstLine="1727"/>
        <w:spacing w:after="0" w:line="264" w:lineRule="auto"/>
        <w:rPr>
          <w:sz w:val="20"/>
          <w:szCs w:val="20"/>
          <w:color w:val="auto"/>
        </w:rPr>
      </w:pPr>
      <w:r>
        <w:rPr>
          <w:rFonts w:ascii="Arial" w:cs="Arial" w:eastAsia="Arial" w:hAnsi="Arial"/>
          <w:sz w:val="13"/>
          <w:szCs w:val="13"/>
          <w:color w:val="auto"/>
        </w:rPr>
        <w:t>“</w:t>
      </w:r>
      <w:r>
        <w:rPr>
          <w:rFonts w:ascii="Arial" w:cs="Arial" w:eastAsia="Arial" w:hAnsi="Arial"/>
          <w:sz w:val="13"/>
          <w:szCs w:val="13"/>
          <w:u w:val="single" w:color="auto"/>
          <w:color w:val="auto"/>
        </w:rPr>
        <w:t>Unitranche Loan</w:t>
      </w:r>
      <w:r>
        <w:rPr>
          <w:rFonts w:ascii="Arial" w:cs="Arial" w:eastAsia="Arial" w:hAnsi="Arial"/>
          <w:sz w:val="13"/>
          <w:szCs w:val="13"/>
          <w:color w:val="auto"/>
        </w:rPr>
        <w:t>” means the “last-out” portion of a Bank Loan that is a First Lien Bank Loan, a portion of which is, in effect, subject to superpriority rights (the “first-out” portion) of other lenders with respect to such lenders’ right to receive distributions of collateral proceeds following an event of default (such portion, a “last-out” portion). An Obligor’s investment in the last-out portion shall be treated as a Unitranche Loan for purposes of determining the applicable Advance Rate for such Portfolio Investment under this Agreement.</w:t>
      </w:r>
    </w:p>
    <w:p>
      <w:pPr>
        <w:spacing w:after="0" w:line="168" w:lineRule="exact"/>
        <w:rPr>
          <w:sz w:val="20"/>
          <w:szCs w:val="20"/>
          <w:color w:val="auto"/>
        </w:rPr>
      </w:pPr>
    </w:p>
    <w:p>
      <w:pPr>
        <w:ind w:left="1740"/>
        <w:spacing w:after="0"/>
        <w:rPr>
          <w:sz w:val="20"/>
          <w:szCs w:val="20"/>
          <w:color w:val="auto"/>
        </w:rPr>
      </w:pPr>
      <w:r>
        <w:rPr>
          <w:rFonts w:ascii="Arial" w:cs="Arial" w:eastAsia="Arial" w:hAnsi="Arial"/>
          <w:sz w:val="14"/>
          <w:szCs w:val="14"/>
          <w:color w:val="auto"/>
        </w:rPr>
        <w:t>“</w:t>
      </w:r>
      <w:r>
        <w:rPr>
          <w:rFonts w:ascii="Arial" w:cs="Arial" w:eastAsia="Arial" w:hAnsi="Arial"/>
          <w:sz w:val="14"/>
          <w:szCs w:val="14"/>
          <w:u w:val="single" w:color="auto"/>
          <w:color w:val="auto"/>
        </w:rPr>
        <w:t>Value</w:t>
      </w:r>
      <w:r>
        <w:rPr>
          <w:rFonts w:ascii="Arial" w:cs="Arial" w:eastAsia="Arial" w:hAnsi="Arial"/>
          <w:sz w:val="14"/>
          <w:szCs w:val="14"/>
          <w:color w:val="auto"/>
        </w:rPr>
        <w:t>” means, with respect to any Portfolio Investment, the lower of:</w:t>
      </w:r>
    </w:p>
    <w:p>
      <w:pPr>
        <w:spacing w:after="0" w:line="204" w:lineRule="exact"/>
        <w:rPr>
          <w:sz w:val="20"/>
          <w:szCs w:val="20"/>
          <w:color w:val="auto"/>
        </w:rPr>
      </w:pPr>
    </w:p>
    <w:p>
      <w:pPr>
        <w:ind w:left="1840" w:hanging="171"/>
        <w:spacing w:after="0"/>
        <w:tabs>
          <w:tab w:leader="none" w:pos="1840" w:val="left"/>
        </w:tabs>
        <w:numPr>
          <w:ilvl w:val="0"/>
          <w:numId w:val="127"/>
        </w:numPr>
        <w:rPr>
          <w:rFonts w:ascii="Arial" w:cs="Arial" w:eastAsia="Arial" w:hAnsi="Arial"/>
          <w:sz w:val="14"/>
          <w:szCs w:val="14"/>
          <w:color w:val="auto"/>
        </w:rPr>
      </w:pPr>
      <w:r>
        <w:rPr>
          <w:rFonts w:ascii="Arial" w:cs="Arial" w:eastAsia="Arial" w:hAnsi="Arial"/>
          <w:sz w:val="14"/>
          <w:szCs w:val="14"/>
          <w:color w:val="auto"/>
        </w:rPr>
        <w:t xml:space="preserve">the most recent internal market value as determined pursuant to </w:t>
      </w:r>
      <w:r>
        <w:rPr>
          <w:rFonts w:ascii="Arial" w:cs="Arial" w:eastAsia="Arial" w:hAnsi="Arial"/>
          <w:sz w:val="14"/>
          <w:szCs w:val="14"/>
          <w:u w:val="single" w:color="auto"/>
          <w:color w:val="auto"/>
        </w:rPr>
        <w:t>Section 5.12(b)(ii)(C)</w:t>
      </w:r>
      <w:r>
        <w:rPr>
          <w:rFonts w:ascii="Arial" w:cs="Arial" w:eastAsia="Arial" w:hAnsi="Arial"/>
          <w:sz w:val="14"/>
          <w:szCs w:val="14"/>
          <w:color w:val="auto"/>
        </w:rPr>
        <w:t>; and</w:t>
      </w:r>
    </w:p>
    <w:p>
      <w:pPr>
        <w:spacing w:after="0" w:line="203" w:lineRule="exact"/>
        <w:rPr>
          <w:rFonts w:ascii="Arial" w:cs="Arial" w:eastAsia="Arial" w:hAnsi="Arial"/>
          <w:sz w:val="14"/>
          <w:szCs w:val="14"/>
          <w:color w:val="auto"/>
        </w:rPr>
      </w:pPr>
    </w:p>
    <w:p>
      <w:pPr>
        <w:ind w:left="1880" w:hanging="211"/>
        <w:spacing w:after="0"/>
        <w:tabs>
          <w:tab w:leader="none" w:pos="1880" w:val="left"/>
        </w:tabs>
        <w:numPr>
          <w:ilvl w:val="0"/>
          <w:numId w:val="127"/>
        </w:numPr>
        <w:rPr>
          <w:rFonts w:ascii="Arial" w:cs="Arial" w:eastAsia="Arial" w:hAnsi="Arial"/>
          <w:sz w:val="14"/>
          <w:szCs w:val="14"/>
          <w:color w:val="auto"/>
        </w:rPr>
      </w:pPr>
      <w:r>
        <w:rPr>
          <w:rFonts w:ascii="Arial" w:cs="Arial" w:eastAsia="Arial" w:hAnsi="Arial"/>
          <w:sz w:val="14"/>
          <w:szCs w:val="14"/>
          <w:color w:val="auto"/>
        </w:rPr>
        <w:t xml:space="preserve">the most recent external market value as determined pursuant to </w:t>
      </w:r>
      <w:r>
        <w:rPr>
          <w:rFonts w:ascii="Arial" w:cs="Arial" w:eastAsia="Arial" w:hAnsi="Arial"/>
          <w:sz w:val="14"/>
          <w:szCs w:val="14"/>
          <w:u w:val="single" w:color="auto"/>
          <w:color w:val="auto"/>
        </w:rPr>
        <w:t>Section 5.12(b)(ii)(A)</w:t>
      </w:r>
      <w:r>
        <w:rPr>
          <w:rFonts w:ascii="Arial" w:cs="Arial" w:eastAsia="Arial" w:hAnsi="Arial"/>
          <w:sz w:val="14"/>
          <w:szCs w:val="14"/>
          <w:color w:val="auto"/>
        </w:rPr>
        <w:t xml:space="preserve"> and </w:t>
      </w:r>
      <w:r>
        <w:rPr>
          <w:rFonts w:ascii="Arial" w:cs="Arial" w:eastAsia="Arial" w:hAnsi="Arial"/>
          <w:sz w:val="14"/>
          <w:szCs w:val="14"/>
          <w:u w:val="single" w:color="auto"/>
          <w:color w:val="auto"/>
        </w:rPr>
        <w:t>(B)</w:t>
      </w:r>
      <w:r>
        <w:rPr>
          <w:rFonts w:ascii="Arial" w:cs="Arial" w:eastAsia="Arial" w:hAnsi="Arial"/>
          <w:sz w:val="14"/>
          <w:szCs w:val="14"/>
          <w:color w:val="auto"/>
        </w:rPr>
        <w:t>.</w:t>
      </w:r>
    </w:p>
    <w:p>
      <w:pPr>
        <w:spacing w:after="0" w:line="204" w:lineRule="exact"/>
        <w:rPr>
          <w:sz w:val="20"/>
          <w:szCs w:val="20"/>
          <w:color w:val="auto"/>
        </w:rPr>
      </w:pPr>
    </w:p>
    <w:p>
      <w:pPr>
        <w:jc w:val="center"/>
        <w:ind w:right="20"/>
        <w:spacing w:after="0"/>
        <w:rPr>
          <w:sz w:val="20"/>
          <w:szCs w:val="20"/>
          <w:color w:val="auto"/>
        </w:rPr>
      </w:pPr>
      <w:r>
        <w:rPr>
          <w:rFonts w:ascii="Arial" w:cs="Arial" w:eastAsia="Arial" w:hAnsi="Arial"/>
          <w:sz w:val="14"/>
          <w:szCs w:val="14"/>
          <w:color w:val="auto"/>
        </w:rPr>
        <w:t>ARTICLE VI</w:t>
      </w:r>
    </w:p>
    <w:p>
      <w:pPr>
        <w:spacing w:after="0" w:line="136" w:lineRule="exact"/>
        <w:rPr>
          <w:sz w:val="20"/>
          <w:szCs w:val="20"/>
          <w:color w:val="auto"/>
        </w:rPr>
      </w:pPr>
    </w:p>
    <w:p>
      <w:pPr>
        <w:jc w:val="center"/>
        <w:ind w:right="20"/>
        <w:spacing w:after="0"/>
        <w:rPr>
          <w:sz w:val="20"/>
          <w:szCs w:val="20"/>
          <w:color w:val="auto"/>
        </w:rPr>
      </w:pPr>
      <w:r>
        <w:rPr>
          <w:rFonts w:ascii="Arial" w:cs="Arial" w:eastAsia="Arial" w:hAnsi="Arial"/>
          <w:sz w:val="14"/>
          <w:szCs w:val="14"/>
          <w:u w:val="single" w:color="auto"/>
          <w:color w:val="auto"/>
        </w:rPr>
        <w:t>NEGATIVE COVENANTS</w:t>
      </w:r>
    </w:p>
    <w:p>
      <w:pPr>
        <w:spacing w:after="0" w:line="204" w:lineRule="exact"/>
        <w:rPr>
          <w:sz w:val="20"/>
          <w:szCs w:val="20"/>
          <w:color w:val="auto"/>
        </w:rPr>
      </w:pPr>
    </w:p>
    <w:p>
      <w:pPr>
        <w:jc w:val="both"/>
        <w:ind w:right="20" w:firstLine="1727"/>
        <w:spacing w:after="0" w:line="238" w:lineRule="auto"/>
        <w:rPr>
          <w:sz w:val="20"/>
          <w:szCs w:val="20"/>
          <w:color w:val="auto"/>
        </w:rPr>
      </w:pPr>
      <w:r>
        <w:rPr>
          <w:rFonts w:ascii="Arial" w:cs="Arial" w:eastAsia="Arial" w:hAnsi="Arial"/>
          <w:sz w:val="14"/>
          <w:szCs w:val="14"/>
          <w:color w:val="auto"/>
        </w:rPr>
        <w:t>Until the Commitments have expired or terminated and the principal of and interest on each Loan and all fees payable hereunder have been paid in full and all Letters of Credit have expired, been terminated, Cash Collateralized or backstopped and all LC Disbursements shall have been reimbursed, the Borrower covenants and agrees with the Lenders that:</w:t>
      </w:r>
    </w:p>
    <w:p>
      <w:pPr>
        <w:spacing w:after="0" w:line="183" w:lineRule="exact"/>
        <w:rPr>
          <w:sz w:val="20"/>
          <w:szCs w:val="20"/>
          <w:color w:val="auto"/>
        </w:rPr>
      </w:pPr>
    </w:p>
    <w:p>
      <w:pPr>
        <w:jc w:val="both"/>
        <w:ind w:right="20" w:firstLine="1727"/>
        <w:spacing w:after="0" w:line="253" w:lineRule="auto"/>
        <w:rPr>
          <w:sz w:val="20"/>
          <w:szCs w:val="20"/>
          <w:color w:val="auto"/>
        </w:rPr>
      </w:pPr>
      <w:r>
        <w:rPr>
          <w:rFonts w:ascii="Arial" w:cs="Arial" w:eastAsia="Arial" w:hAnsi="Arial"/>
          <w:sz w:val="14"/>
          <w:szCs w:val="14"/>
          <w:color w:val="auto"/>
        </w:rPr>
        <w:t xml:space="preserve">SECTION 6.01. </w:t>
      </w:r>
      <w:r>
        <w:rPr>
          <w:rFonts w:ascii="Arial" w:cs="Arial" w:eastAsia="Arial" w:hAnsi="Arial"/>
          <w:sz w:val="14"/>
          <w:szCs w:val="14"/>
          <w:u w:val="single" w:color="auto"/>
          <w:color w:val="auto"/>
        </w:rPr>
        <w:t>Indebtedness</w:t>
      </w:r>
      <w:r>
        <w:rPr>
          <w:rFonts w:ascii="Arial" w:cs="Arial" w:eastAsia="Arial" w:hAnsi="Arial"/>
          <w:sz w:val="14"/>
          <w:szCs w:val="14"/>
          <w:color w:val="auto"/>
        </w:rPr>
        <w:t xml:space="preserve">. Subject to the last sentence of this </w:t>
      </w:r>
      <w:r>
        <w:rPr>
          <w:rFonts w:ascii="Arial" w:cs="Arial" w:eastAsia="Arial" w:hAnsi="Arial"/>
          <w:sz w:val="14"/>
          <w:szCs w:val="14"/>
          <w:u w:val="single" w:color="auto"/>
          <w:color w:val="auto"/>
        </w:rPr>
        <w:t>Section 6.01</w:t>
      </w:r>
      <w:r>
        <w:rPr>
          <w:rFonts w:ascii="Arial" w:cs="Arial" w:eastAsia="Arial" w:hAnsi="Arial"/>
          <w:sz w:val="14"/>
          <w:szCs w:val="14"/>
          <w:color w:val="auto"/>
        </w:rPr>
        <w:t>, the Borrower will not nor will it permit any of its Subsidiaries to, create, incur, assume or permit to exist any Indebtedness, except:</w:t>
      </w:r>
    </w:p>
    <w:p>
      <w:pPr>
        <w:spacing w:after="0" w:line="174" w:lineRule="exact"/>
        <w:rPr>
          <w:sz w:val="20"/>
          <w:szCs w:val="20"/>
          <w:color w:val="auto"/>
        </w:rPr>
      </w:pPr>
    </w:p>
    <w:p>
      <w:pPr>
        <w:ind w:left="2540" w:hanging="805"/>
        <w:spacing w:after="0"/>
        <w:tabs>
          <w:tab w:leader="none" w:pos="2540" w:val="left"/>
        </w:tabs>
        <w:numPr>
          <w:ilvl w:val="0"/>
          <w:numId w:val="128"/>
        </w:numPr>
        <w:rPr>
          <w:rFonts w:ascii="Arial" w:cs="Arial" w:eastAsia="Arial" w:hAnsi="Arial"/>
          <w:sz w:val="14"/>
          <w:szCs w:val="14"/>
          <w:color w:val="auto"/>
        </w:rPr>
      </w:pPr>
      <w:r>
        <w:rPr>
          <w:rFonts w:ascii="Arial" w:cs="Arial" w:eastAsia="Arial" w:hAnsi="Arial"/>
          <w:sz w:val="14"/>
          <w:szCs w:val="14"/>
          <w:color w:val="auto"/>
        </w:rPr>
        <w:t>Indebtedness created hereunder or under any other Loan Document;</w:t>
      </w:r>
    </w:p>
    <w:p>
      <w:pPr>
        <w:spacing w:after="0" w:line="203" w:lineRule="exact"/>
        <w:rPr>
          <w:rFonts w:ascii="Arial" w:cs="Arial" w:eastAsia="Arial" w:hAnsi="Arial"/>
          <w:sz w:val="14"/>
          <w:szCs w:val="14"/>
          <w:color w:val="auto"/>
        </w:rPr>
      </w:pPr>
    </w:p>
    <w:p>
      <w:pPr>
        <w:jc w:val="both"/>
        <w:ind w:right="20" w:firstLine="1735"/>
        <w:spacing w:after="0" w:line="229" w:lineRule="auto"/>
        <w:tabs>
          <w:tab w:leader="none" w:pos="2543" w:val="left"/>
        </w:tabs>
        <w:numPr>
          <w:ilvl w:val="0"/>
          <w:numId w:val="128"/>
        </w:numPr>
        <w:rPr>
          <w:rFonts w:ascii="Arial" w:cs="Arial" w:eastAsia="Arial" w:hAnsi="Arial"/>
          <w:sz w:val="14"/>
          <w:szCs w:val="14"/>
          <w:color w:val="auto"/>
        </w:rPr>
      </w:pPr>
      <w:r>
        <w:rPr>
          <w:rFonts w:ascii="Arial" w:cs="Arial" w:eastAsia="Arial" w:hAnsi="Arial"/>
          <w:sz w:val="14"/>
          <w:szCs w:val="14"/>
          <w:color w:val="auto"/>
        </w:rPr>
        <w:t xml:space="preserve">Secured Longer-Term Indebtedness and Unsecured Longer-Term Indebtedness so long as (i) no Default or Event of Default exists at the time of the incurrence thereof, (ii) at the time of incurrence thereof, the aggregate amount of such Secured Longer-Term Indebtedness and Unsecured Longer-Term Indebtedness, taken together with other then-outstanding Indebtedness that constitutes senior securities, does not exceed the amount required to comply with the provisions of </w:t>
      </w:r>
      <w:r>
        <w:rPr>
          <w:rFonts w:ascii="Arial" w:cs="Arial" w:eastAsia="Arial" w:hAnsi="Arial"/>
          <w:sz w:val="14"/>
          <w:szCs w:val="14"/>
          <w:u w:val="single" w:color="auto"/>
          <w:color w:val="auto"/>
        </w:rPr>
        <w:t>Section 6.07(b)</w:t>
      </w:r>
      <w:r>
        <w:rPr>
          <w:rFonts w:ascii="Arial" w:cs="Arial" w:eastAsia="Arial" w:hAnsi="Arial"/>
          <w:sz w:val="14"/>
          <w:szCs w:val="14"/>
          <w:color w:val="auto"/>
        </w:rPr>
        <w:t>, and (iii) prior to and immediately after giving effect to the incurrence of any Secured Longer-Term Indebtedness, the Covered Debt Amount does not or would not exceed the Borrowing Base then in effect (for clarity, with respect to revolving loan facilities or staged advance loan facilities, “incurrence” shall be deemed to take place only at the time such facility is entered into or the aggregate commitments thereunder are increased);</w:t>
      </w:r>
    </w:p>
    <w:p>
      <w:pPr>
        <w:spacing w:after="0" w:line="185" w:lineRule="exact"/>
        <w:rPr>
          <w:rFonts w:ascii="Arial" w:cs="Arial" w:eastAsia="Arial" w:hAnsi="Arial"/>
          <w:sz w:val="14"/>
          <w:szCs w:val="14"/>
          <w:color w:val="auto"/>
        </w:rPr>
      </w:pPr>
    </w:p>
    <w:p>
      <w:pPr>
        <w:ind w:left="2540" w:hanging="805"/>
        <w:spacing w:after="0"/>
        <w:tabs>
          <w:tab w:leader="none" w:pos="2540" w:val="left"/>
        </w:tabs>
        <w:numPr>
          <w:ilvl w:val="0"/>
          <w:numId w:val="128"/>
        </w:numPr>
        <w:rPr>
          <w:rFonts w:ascii="Arial" w:cs="Arial" w:eastAsia="Arial" w:hAnsi="Arial"/>
          <w:sz w:val="14"/>
          <w:szCs w:val="14"/>
          <w:color w:val="auto"/>
        </w:rPr>
      </w:pPr>
      <w:r>
        <w:rPr>
          <w:rFonts w:ascii="Arial" w:cs="Arial" w:eastAsia="Arial" w:hAnsi="Arial"/>
          <w:sz w:val="14"/>
          <w:szCs w:val="14"/>
          <w:color w:val="auto"/>
        </w:rPr>
        <w:t>Other Permitted Indebtedness;</w:t>
      </w:r>
    </w:p>
    <w:p>
      <w:pPr>
        <w:spacing w:after="0" w:line="203" w:lineRule="exact"/>
        <w:rPr>
          <w:rFonts w:ascii="Arial" w:cs="Arial" w:eastAsia="Arial" w:hAnsi="Arial"/>
          <w:sz w:val="14"/>
          <w:szCs w:val="14"/>
          <w:color w:val="auto"/>
        </w:rPr>
      </w:pPr>
    </w:p>
    <w:p>
      <w:pPr>
        <w:ind w:left="2560" w:hanging="825"/>
        <w:spacing w:after="0"/>
        <w:tabs>
          <w:tab w:leader="none" w:pos="2560" w:val="left"/>
        </w:tabs>
        <w:numPr>
          <w:ilvl w:val="0"/>
          <w:numId w:val="128"/>
        </w:numPr>
        <w:rPr>
          <w:rFonts w:ascii="Arial" w:cs="Arial" w:eastAsia="Arial" w:hAnsi="Arial"/>
          <w:sz w:val="14"/>
          <w:szCs w:val="14"/>
          <w:color w:val="auto"/>
        </w:rPr>
      </w:pPr>
      <w:r>
        <w:rPr>
          <w:rFonts w:ascii="Arial" w:cs="Arial" w:eastAsia="Arial" w:hAnsi="Arial"/>
          <w:sz w:val="14"/>
          <w:szCs w:val="14"/>
          <w:color w:val="auto"/>
        </w:rPr>
        <w:t>Indebtedness of Financing Subsidiaries;</w:t>
      </w:r>
    </w:p>
    <w:p>
      <w:pPr>
        <w:spacing w:after="0" w:line="203" w:lineRule="exact"/>
        <w:rPr>
          <w:rFonts w:ascii="Arial" w:cs="Arial" w:eastAsia="Arial" w:hAnsi="Arial"/>
          <w:sz w:val="14"/>
          <w:szCs w:val="14"/>
          <w:color w:val="auto"/>
        </w:rPr>
      </w:pPr>
    </w:p>
    <w:p>
      <w:pPr>
        <w:ind w:left="2540" w:hanging="805"/>
        <w:spacing w:after="0"/>
        <w:tabs>
          <w:tab w:leader="none" w:pos="2540" w:val="left"/>
        </w:tabs>
        <w:numPr>
          <w:ilvl w:val="0"/>
          <w:numId w:val="128"/>
        </w:numPr>
        <w:rPr>
          <w:rFonts w:ascii="Arial" w:cs="Arial" w:eastAsia="Arial" w:hAnsi="Arial"/>
          <w:sz w:val="14"/>
          <w:szCs w:val="14"/>
          <w:color w:val="auto"/>
        </w:rPr>
      </w:pPr>
      <w:r>
        <w:rPr>
          <w:rFonts w:ascii="Arial" w:cs="Arial" w:eastAsia="Arial" w:hAnsi="Arial"/>
          <w:sz w:val="14"/>
          <w:szCs w:val="14"/>
          <w:color w:val="auto"/>
        </w:rPr>
        <w:t>repurchase obligations arising in the ordinary course of business with respect to U.S. Government Securities;</w:t>
      </w:r>
    </w:p>
    <w:p>
      <w:pPr>
        <w:spacing w:after="0" w:line="203" w:lineRule="exact"/>
        <w:rPr>
          <w:rFonts w:ascii="Arial" w:cs="Arial" w:eastAsia="Arial" w:hAnsi="Arial"/>
          <w:sz w:val="14"/>
          <w:szCs w:val="14"/>
          <w:color w:val="auto"/>
        </w:rPr>
      </w:pPr>
    </w:p>
    <w:p>
      <w:pPr>
        <w:ind w:left="2520" w:hanging="785"/>
        <w:spacing w:after="0"/>
        <w:tabs>
          <w:tab w:leader="none" w:pos="2520" w:val="left"/>
        </w:tabs>
        <w:numPr>
          <w:ilvl w:val="0"/>
          <w:numId w:val="128"/>
        </w:numPr>
        <w:rPr>
          <w:rFonts w:ascii="Arial" w:cs="Arial" w:eastAsia="Arial" w:hAnsi="Arial"/>
          <w:sz w:val="13"/>
          <w:szCs w:val="13"/>
          <w:color w:val="auto"/>
        </w:rPr>
      </w:pPr>
      <w:r>
        <w:rPr>
          <w:rFonts w:ascii="Arial" w:cs="Arial" w:eastAsia="Arial" w:hAnsi="Arial"/>
          <w:sz w:val="13"/>
          <w:szCs w:val="13"/>
          <w:color w:val="auto"/>
        </w:rPr>
        <w:t>obligations payable to clearing agencies, brokers or dealers in connection with the purchase or sale of securities in the ordinary course of business;</w:t>
      </w: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7580" w:type="dxa"/>
            <w:vAlign w:val="bottom"/>
          </w:tcPr>
          <w:p>
            <w:pPr>
              <w:jc w:val="right"/>
              <w:ind w:right="1808"/>
              <w:spacing w:after="0"/>
              <w:rPr>
                <w:sz w:val="20"/>
                <w:szCs w:val="20"/>
                <w:color w:val="auto"/>
              </w:rPr>
            </w:pPr>
            <w:r>
              <w:rPr>
                <w:rFonts w:ascii="Arial" w:cs="Arial" w:eastAsia="Arial" w:hAnsi="Arial"/>
                <w:sz w:val="14"/>
                <w:szCs w:val="14"/>
                <w:color w:val="auto"/>
              </w:rPr>
              <w:t>50</w:t>
            </w:r>
          </w:p>
        </w:tc>
        <w:tc>
          <w:tcPr>
            <w:tcW w:w="3680" w:type="dxa"/>
            <w:vAlign w:val="bottom"/>
          </w:tcPr>
          <w:p>
            <w:pPr>
              <w:jc w:val="right"/>
              <w:spacing w:after="0"/>
              <w:rPr>
                <w:sz w:val="20"/>
                <w:szCs w:val="20"/>
                <w:color w:val="auto"/>
              </w:rPr>
            </w:pPr>
            <w:r>
              <w:rPr>
                <w:rFonts w:ascii="Arial" w:cs="Arial" w:eastAsia="Arial" w:hAnsi="Arial"/>
                <w:sz w:val="14"/>
                <w:szCs w:val="14"/>
                <w:i w:val="1"/>
                <w:iCs w:val="1"/>
                <w:color w:val="auto"/>
              </w:rPr>
              <w:t>Second Amended and Restated</w:t>
            </w:r>
          </w:p>
        </w:tc>
      </w:tr>
      <w:tr>
        <w:trPr>
          <w:trHeight w:val="182"/>
        </w:trPr>
        <w:tc>
          <w:tcPr>
            <w:tcW w:w="7580" w:type="dxa"/>
            <w:vAlign w:val="bottom"/>
          </w:tcPr>
          <w:p>
            <w:pPr>
              <w:spacing w:after="0"/>
              <w:rPr>
                <w:sz w:val="15"/>
                <w:szCs w:val="15"/>
                <w:color w:val="auto"/>
              </w:rPr>
            </w:pPr>
          </w:p>
        </w:tc>
        <w:tc>
          <w:tcPr>
            <w:tcW w:w="3680" w:type="dxa"/>
            <w:vAlign w:val="bottom"/>
          </w:tcPr>
          <w:p>
            <w:pPr>
              <w:jc w:val="right"/>
              <w:spacing w:after="0"/>
              <w:rPr>
                <w:sz w:val="20"/>
                <w:szCs w:val="20"/>
                <w:color w:val="auto"/>
              </w:rPr>
            </w:pPr>
            <w:r>
              <w:rPr>
                <w:rFonts w:ascii="Arial" w:cs="Arial" w:eastAsia="Arial" w:hAnsi="Arial"/>
                <w:sz w:val="14"/>
                <w:szCs w:val="14"/>
                <w:i w:val="1"/>
                <w:iCs w:val="1"/>
                <w:color w:val="auto"/>
              </w:rPr>
              <w:t>Revolving Credit Agreement</w:t>
            </w:r>
          </w:p>
        </w:tc>
      </w:tr>
      <w:tr>
        <w:trPr>
          <w:trHeight w:val="316"/>
        </w:trPr>
        <w:tc>
          <w:tcPr>
            <w:tcW w:w="7580" w:type="dxa"/>
            <w:vAlign w:val="bottom"/>
            <w:tcBorders>
              <w:bottom w:val="single" w:sz="8" w:color="9A9A9A"/>
            </w:tcBorders>
          </w:tcPr>
          <w:p>
            <w:pPr>
              <w:spacing w:after="0"/>
              <w:rPr>
                <w:sz w:val="24"/>
                <w:szCs w:val="24"/>
                <w:color w:val="auto"/>
              </w:rPr>
            </w:pPr>
          </w:p>
        </w:tc>
        <w:tc>
          <w:tcPr>
            <w:tcW w:w="368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7145655</wp:posOffset>
            </wp:positionH>
            <wp:positionV relativeFrom="paragraph">
              <wp:posOffset>-7620</wp:posOffset>
            </wp:positionV>
            <wp:extent cx="8255" cy="8255"/>
            <wp:wrapNone/>
            <wp:docPr id="205" name="Picture 2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5"/>
                    <pic:cNvPicPr>
                      <a:picLocks noChangeAspect="1" noChangeArrowheads="1"/>
                    </pic:cNvPicPr>
                  </pic:nvPicPr>
                  <pic:blipFill>
                    <a:blip r:embed="rId212">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-16510</wp:posOffset>
            </wp:positionV>
            <wp:extent cx="8890" cy="17145"/>
            <wp:wrapNone/>
            <wp:docPr id="206" name="Picture 2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6"/>
                    <pic:cNvPicPr>
                      <a:picLocks noChangeAspect="1" noChangeArrowheads="1"/>
                    </pic:cNvPicPr>
                  </pic:nvPicPr>
                  <pic:blipFill>
                    <a:blip r:embed="rId213">
                      <a:extLst>
                        <a:ext uri="{28A0092B-C50C-407E-A947-70E740481C1C}"/>
                      </a:extLst>
                    </a:blip>
                    <a:srcRect/>
                    <a:stretch>
                      <a:fillRect/>
                    </a:stretch>
                  </pic:blipFill>
                  <pic:spPr bwMode="auto">
                    <a:xfrm>
                      <a:off x="0" y="0"/>
                      <a:ext cx="8890" cy="17145"/>
                    </a:xfrm>
                    <a:prstGeom prst="rect">
                      <a:avLst/>
                    </a:prstGeom>
                    <a:noFill/>
                  </pic:spPr>
                </pic:pic>
              </a:graphicData>
            </a:graphic>
          </wp:anchor>
        </w:drawing>
      </w:r>
    </w:p>
    <w:p>
      <w:pPr>
        <w:sectPr>
          <w:pgSz w:w="11900" w:h="16838" w:orient="portrait"/>
          <w:cols w:equalWidth="0" w:num="1">
            <w:col w:w="11260"/>
          </w:cols>
          <w:pgMar w:left="320" w:top="337" w:right="319" w:bottom="1440" w:gutter="0" w:footer="0" w:header="0"/>
        </w:sectPr>
      </w:pPr>
    </w:p>
    <w:bookmarkStart w:id="113" w:name="page114"/>
    <w:bookmarkEnd w:id="113"/>
    <w:p>
      <w:pPr>
        <w:jc w:val="both"/>
        <w:ind w:right="20" w:firstLine="1735"/>
        <w:spacing w:after="0" w:line="228" w:lineRule="auto"/>
        <w:tabs>
          <w:tab w:leader="none" w:pos="2543" w:val="left"/>
        </w:tabs>
        <w:numPr>
          <w:ilvl w:val="0"/>
          <w:numId w:val="129"/>
        </w:numPr>
        <w:rPr>
          <w:rFonts w:ascii="Arial" w:cs="Arial" w:eastAsia="Arial" w:hAnsi="Arial"/>
          <w:sz w:val="14"/>
          <w:szCs w:val="14"/>
          <w:color w:val="auto"/>
        </w:rPr>
      </w:pPr>
      <w:r>
        <w:rPr>
          <w:rFonts w:ascii="Arial" w:cs="Arial" w:eastAsia="Arial" w:hAnsi="Arial"/>
          <w:sz w:val="14"/>
          <w:szCs w:val="14"/>
          <w:color w:val="auto"/>
        </w:rPr>
        <w:t xml:space="preserve">Secured Shorter-Term Indebtedness and Unsecured Shorter-Term Indebtedness (other than Permitted Indebtedness and Special Permitted Indebtedness constituting Unsecured Shorter-Term Indebtedness) so long as (i) no Default or Event of Default exists at the time of the incurrence thereof, (ii) at the time of incurrence thereof, the aggregate amount (determined at the time of the incurrence of such Indebtedness) of such Indebtedness does not exceed 5% of Shareholders’ Equity, (iii) the aggregate amount of such Indebtedness, taken together with other then-outstanding Indebtedness that constitutes senior securities, does not exceed the amount required to comply with the provisions of </w:t>
      </w:r>
      <w:r>
        <w:rPr>
          <w:rFonts w:ascii="Arial" w:cs="Arial" w:eastAsia="Arial" w:hAnsi="Arial"/>
          <w:sz w:val="14"/>
          <w:szCs w:val="14"/>
          <w:u w:val="single" w:color="auto"/>
          <w:color w:val="auto"/>
        </w:rPr>
        <w:t>Section 6.07(b)</w:t>
      </w:r>
      <w:r>
        <w:rPr>
          <w:rFonts w:ascii="Arial" w:cs="Arial" w:eastAsia="Arial" w:hAnsi="Arial"/>
          <w:sz w:val="14"/>
          <w:szCs w:val="14"/>
          <w:color w:val="auto"/>
        </w:rPr>
        <w:t>, and (iv) prior to and immediately after giving effect to the incurrence of any such Indebtedness, the Covered Debt Amount does not or would not exceed the Borrowing Base then in effect (for clarity, with respect to revolving loan facilities or staged advance loan facilities, “incurrence” shall be deemed to take place only at the time such facility is entered into or the aggregate commitments thereunder are increased);</w:t>
      </w:r>
    </w:p>
    <w:p>
      <w:pPr>
        <w:spacing w:after="0" w:line="184" w:lineRule="exact"/>
        <w:rPr>
          <w:rFonts w:ascii="Arial" w:cs="Arial" w:eastAsia="Arial" w:hAnsi="Arial"/>
          <w:sz w:val="14"/>
          <w:szCs w:val="14"/>
          <w:color w:val="auto"/>
        </w:rPr>
      </w:pPr>
    </w:p>
    <w:p>
      <w:pPr>
        <w:ind w:left="2560" w:hanging="825"/>
        <w:spacing w:after="0"/>
        <w:tabs>
          <w:tab w:leader="none" w:pos="2560" w:val="left"/>
        </w:tabs>
        <w:numPr>
          <w:ilvl w:val="0"/>
          <w:numId w:val="129"/>
        </w:numPr>
        <w:rPr>
          <w:rFonts w:ascii="Arial" w:cs="Arial" w:eastAsia="Arial" w:hAnsi="Arial"/>
          <w:sz w:val="14"/>
          <w:szCs w:val="14"/>
          <w:color w:val="auto"/>
        </w:rPr>
      </w:pPr>
      <w:r>
        <w:rPr>
          <w:rFonts w:ascii="Arial" w:cs="Arial" w:eastAsia="Arial" w:hAnsi="Arial"/>
          <w:sz w:val="14"/>
          <w:szCs w:val="14"/>
          <w:color w:val="auto"/>
        </w:rPr>
        <w:t>obligations (including Guarantees) in respect of Standard Securitization Undertakings;</w:t>
      </w:r>
    </w:p>
    <w:p>
      <w:pPr>
        <w:spacing w:after="0" w:line="203" w:lineRule="exact"/>
        <w:rPr>
          <w:rFonts w:ascii="Arial" w:cs="Arial" w:eastAsia="Arial" w:hAnsi="Arial"/>
          <w:sz w:val="14"/>
          <w:szCs w:val="14"/>
          <w:color w:val="auto"/>
        </w:rPr>
      </w:pPr>
    </w:p>
    <w:p>
      <w:pPr>
        <w:ind w:left="2520" w:hanging="785"/>
        <w:spacing w:after="0"/>
        <w:tabs>
          <w:tab w:leader="none" w:pos="2520" w:val="left"/>
        </w:tabs>
        <w:numPr>
          <w:ilvl w:val="0"/>
          <w:numId w:val="129"/>
        </w:numPr>
        <w:rPr>
          <w:rFonts w:ascii="Arial" w:cs="Arial" w:eastAsia="Arial" w:hAnsi="Arial"/>
          <w:sz w:val="14"/>
          <w:szCs w:val="14"/>
          <w:color w:val="auto"/>
        </w:rPr>
      </w:pPr>
      <w:r>
        <w:rPr>
          <w:rFonts w:ascii="Arial" w:cs="Arial" w:eastAsia="Arial" w:hAnsi="Arial"/>
          <w:sz w:val="14"/>
          <w:szCs w:val="14"/>
          <w:color w:val="auto"/>
        </w:rPr>
        <w:t>Permitted SBIC Guarantees and any SBIC Equity Commitment or analogous commitment;</w:t>
      </w:r>
    </w:p>
    <w:p>
      <w:pPr>
        <w:spacing w:after="0" w:line="203" w:lineRule="exact"/>
        <w:rPr>
          <w:rFonts w:ascii="Arial" w:cs="Arial" w:eastAsia="Arial" w:hAnsi="Arial"/>
          <w:sz w:val="14"/>
          <w:szCs w:val="14"/>
          <w:color w:val="auto"/>
        </w:rPr>
      </w:pPr>
    </w:p>
    <w:p>
      <w:pPr>
        <w:jc w:val="both"/>
        <w:ind w:right="20" w:firstLine="1735"/>
        <w:spacing w:after="0" w:line="229" w:lineRule="auto"/>
        <w:tabs>
          <w:tab w:leader="none" w:pos="2511" w:val="left"/>
        </w:tabs>
        <w:numPr>
          <w:ilvl w:val="0"/>
          <w:numId w:val="129"/>
        </w:numPr>
        <w:rPr>
          <w:rFonts w:ascii="Arial" w:cs="Arial" w:eastAsia="Arial" w:hAnsi="Arial"/>
          <w:sz w:val="14"/>
          <w:szCs w:val="14"/>
          <w:color w:val="auto"/>
        </w:rPr>
      </w:pPr>
      <w:r>
        <w:rPr>
          <w:rFonts w:ascii="Arial" w:cs="Arial" w:eastAsia="Arial" w:hAnsi="Arial"/>
          <w:sz w:val="14"/>
          <w:szCs w:val="14"/>
          <w:color w:val="auto"/>
        </w:rPr>
        <w:t xml:space="preserve">Permitted Indebtedness constituting Unsecured Shorter-Term Indebtedness so long as (i) no Default exists at the time of the incurrence thereof, (ii) the aggregate amount (determined at the time of the incurrence of such Indebtedness) of such Indebtedness does not exceed $300,000,000, (iii) at the time of incurrence thereof, the aggregate amount of such Indebtedness, taken together with other then-outstanding Indebtedness that constitutes senior securities, does not exceed the amount required to comply with the provisions of </w:t>
      </w:r>
      <w:r>
        <w:rPr>
          <w:rFonts w:ascii="Arial" w:cs="Arial" w:eastAsia="Arial" w:hAnsi="Arial"/>
          <w:sz w:val="14"/>
          <w:szCs w:val="14"/>
          <w:u w:val="single" w:color="auto"/>
          <w:color w:val="auto"/>
        </w:rPr>
        <w:t>Section 6.07(b)</w:t>
      </w:r>
      <w:r>
        <w:rPr>
          <w:rFonts w:ascii="Arial" w:cs="Arial" w:eastAsia="Arial" w:hAnsi="Arial"/>
          <w:sz w:val="14"/>
          <w:szCs w:val="14"/>
          <w:color w:val="auto"/>
        </w:rPr>
        <w:t>, and (iv) prior to and immediately after giving effect to the incurrence of any such Indebtedness, the Covered Debt Amount does not or would not exceed the Borrowing Base then in effect (for clarity, with respect to revolving loan facilities or staged advance loan facilities, “incurrence” shall be deemed to take place only at the time such facility is entered into or the aggregate commitments thereunder are increased);</w:t>
      </w:r>
    </w:p>
    <w:p>
      <w:pPr>
        <w:spacing w:after="0" w:line="185" w:lineRule="exact"/>
        <w:rPr>
          <w:rFonts w:ascii="Arial" w:cs="Arial" w:eastAsia="Arial" w:hAnsi="Arial"/>
          <w:sz w:val="14"/>
          <w:szCs w:val="14"/>
          <w:color w:val="auto"/>
        </w:rPr>
      </w:pPr>
    </w:p>
    <w:p>
      <w:pPr>
        <w:ind w:left="2560" w:hanging="825"/>
        <w:spacing w:after="0"/>
        <w:tabs>
          <w:tab w:leader="none" w:pos="2560" w:val="left"/>
        </w:tabs>
        <w:numPr>
          <w:ilvl w:val="0"/>
          <w:numId w:val="129"/>
        </w:numPr>
        <w:rPr>
          <w:rFonts w:ascii="Arial" w:cs="Arial" w:eastAsia="Arial" w:hAnsi="Arial"/>
          <w:sz w:val="14"/>
          <w:szCs w:val="14"/>
          <w:color w:val="auto"/>
        </w:rPr>
      </w:pPr>
      <w:r>
        <w:rPr>
          <w:rFonts w:ascii="Arial" w:cs="Arial" w:eastAsia="Arial" w:hAnsi="Arial"/>
          <w:sz w:val="14"/>
          <w:szCs w:val="14"/>
          <w:color w:val="auto"/>
        </w:rPr>
        <w:t>[Reserved.];</w:t>
      </w:r>
    </w:p>
    <w:p>
      <w:pPr>
        <w:spacing w:after="0" w:line="203" w:lineRule="exact"/>
        <w:rPr>
          <w:rFonts w:ascii="Arial" w:cs="Arial" w:eastAsia="Arial" w:hAnsi="Arial"/>
          <w:sz w:val="14"/>
          <w:szCs w:val="14"/>
          <w:color w:val="auto"/>
        </w:rPr>
      </w:pPr>
    </w:p>
    <w:p>
      <w:pPr>
        <w:ind w:left="2520" w:hanging="785"/>
        <w:spacing w:after="0"/>
        <w:tabs>
          <w:tab w:leader="none" w:pos="2520" w:val="left"/>
        </w:tabs>
        <w:numPr>
          <w:ilvl w:val="0"/>
          <w:numId w:val="129"/>
        </w:numPr>
        <w:rPr>
          <w:rFonts w:ascii="Arial" w:cs="Arial" w:eastAsia="Arial" w:hAnsi="Arial"/>
          <w:sz w:val="14"/>
          <w:szCs w:val="14"/>
          <w:color w:val="auto"/>
        </w:rPr>
      </w:pPr>
      <w:r>
        <w:rPr>
          <w:rFonts w:ascii="Arial" w:cs="Arial" w:eastAsia="Arial" w:hAnsi="Arial"/>
          <w:sz w:val="14"/>
          <w:szCs w:val="14"/>
          <w:color w:val="auto"/>
        </w:rPr>
        <w:t>other Indebtedness not to exceed $10,000,000 in the aggregate at any time; and</w:t>
      </w:r>
    </w:p>
    <w:p>
      <w:pPr>
        <w:spacing w:after="0" w:line="203" w:lineRule="exact"/>
        <w:rPr>
          <w:rFonts w:ascii="Arial" w:cs="Arial" w:eastAsia="Arial" w:hAnsi="Arial"/>
          <w:sz w:val="14"/>
          <w:szCs w:val="14"/>
          <w:color w:val="auto"/>
        </w:rPr>
      </w:pPr>
    </w:p>
    <w:p>
      <w:pPr>
        <w:ind w:left="2600" w:hanging="865"/>
        <w:spacing w:after="0"/>
        <w:tabs>
          <w:tab w:leader="none" w:pos="2600" w:val="left"/>
        </w:tabs>
        <w:numPr>
          <w:ilvl w:val="0"/>
          <w:numId w:val="129"/>
        </w:numPr>
        <w:rPr>
          <w:rFonts w:ascii="Arial" w:cs="Arial" w:eastAsia="Arial" w:hAnsi="Arial"/>
          <w:sz w:val="14"/>
          <w:szCs w:val="14"/>
          <w:color w:val="auto"/>
        </w:rPr>
      </w:pPr>
      <w:r>
        <w:rPr>
          <w:rFonts w:ascii="Arial" w:cs="Arial" w:eastAsia="Arial" w:hAnsi="Arial"/>
          <w:sz w:val="14"/>
          <w:szCs w:val="14"/>
          <w:color w:val="auto"/>
        </w:rPr>
        <w:t>guarantees of other Indebtedness otherwise permitted hereunder.</w:t>
      </w:r>
    </w:p>
    <w:p>
      <w:pPr>
        <w:spacing w:after="0" w:line="204" w:lineRule="exact"/>
        <w:rPr>
          <w:sz w:val="20"/>
          <w:szCs w:val="20"/>
          <w:color w:val="auto"/>
        </w:rPr>
      </w:pPr>
    </w:p>
    <w:p>
      <w:pPr>
        <w:jc w:val="both"/>
        <w:ind w:right="20" w:firstLine="1727"/>
        <w:spacing w:after="0" w:line="233" w:lineRule="auto"/>
        <w:rPr>
          <w:sz w:val="20"/>
          <w:szCs w:val="20"/>
          <w:color w:val="auto"/>
        </w:rPr>
      </w:pPr>
      <w:r>
        <w:rPr>
          <w:rFonts w:ascii="Arial" w:cs="Arial" w:eastAsia="Arial" w:hAnsi="Arial"/>
          <w:sz w:val="14"/>
          <w:szCs w:val="14"/>
          <w:color w:val="auto"/>
        </w:rPr>
        <w:t xml:space="preserve">Notwithstanding the foregoing provisions of this Section, the Borrower will not nor will it permit any of its Subsidiaries to, create, incur, assume or permit to exist any additional Indebtedness (other than Indebtedness permitted under </w:t>
      </w:r>
      <w:r>
        <w:rPr>
          <w:rFonts w:ascii="Arial" w:cs="Arial" w:eastAsia="Arial" w:hAnsi="Arial"/>
          <w:sz w:val="14"/>
          <w:szCs w:val="14"/>
          <w:u w:val="single" w:color="auto"/>
          <w:color w:val="auto"/>
        </w:rPr>
        <w:t>clauses (c)</w:t>
      </w:r>
      <w:r>
        <w:rPr>
          <w:rFonts w:ascii="Arial" w:cs="Arial" w:eastAsia="Arial" w:hAnsi="Arial"/>
          <w:sz w:val="14"/>
          <w:szCs w:val="14"/>
          <w:color w:val="auto"/>
        </w:rPr>
        <w:t xml:space="preserve">, </w:t>
      </w:r>
      <w:r>
        <w:rPr>
          <w:rFonts w:ascii="Arial" w:cs="Arial" w:eastAsia="Arial" w:hAnsi="Arial"/>
          <w:sz w:val="14"/>
          <w:szCs w:val="14"/>
          <w:u w:val="single" w:color="auto"/>
          <w:color w:val="auto"/>
        </w:rPr>
        <w:t>(e)</w:t>
      </w:r>
      <w:r>
        <w:rPr>
          <w:rFonts w:ascii="Arial" w:cs="Arial" w:eastAsia="Arial" w:hAnsi="Arial"/>
          <w:sz w:val="14"/>
          <w:szCs w:val="14"/>
          <w:color w:val="auto"/>
        </w:rPr>
        <w:t xml:space="preserve">, </w:t>
      </w:r>
      <w:r>
        <w:rPr>
          <w:rFonts w:ascii="Arial" w:cs="Arial" w:eastAsia="Arial" w:hAnsi="Arial"/>
          <w:sz w:val="14"/>
          <w:szCs w:val="14"/>
          <w:u w:val="single" w:color="auto"/>
          <w:color w:val="auto"/>
        </w:rPr>
        <w:t>(f)</w:t>
      </w:r>
      <w:r>
        <w:rPr>
          <w:rFonts w:ascii="Arial" w:cs="Arial" w:eastAsia="Arial" w:hAnsi="Arial"/>
          <w:sz w:val="14"/>
          <w:szCs w:val="14"/>
          <w:color w:val="auto"/>
        </w:rPr>
        <w:t xml:space="preserve">, </w:t>
      </w:r>
      <w:r>
        <w:rPr>
          <w:rFonts w:ascii="Arial" w:cs="Arial" w:eastAsia="Arial" w:hAnsi="Arial"/>
          <w:sz w:val="14"/>
          <w:szCs w:val="14"/>
          <w:u w:val="single" w:color="auto"/>
          <w:color w:val="auto"/>
        </w:rPr>
        <w:t>(h)</w:t>
      </w:r>
      <w:r>
        <w:rPr>
          <w:rFonts w:ascii="Arial" w:cs="Arial" w:eastAsia="Arial" w:hAnsi="Arial"/>
          <w:sz w:val="14"/>
          <w:szCs w:val="14"/>
          <w:color w:val="auto"/>
        </w:rPr>
        <w:t xml:space="preserve"> and </w:t>
      </w:r>
      <w:r>
        <w:rPr>
          <w:rFonts w:ascii="Arial" w:cs="Arial" w:eastAsia="Arial" w:hAnsi="Arial"/>
          <w:sz w:val="14"/>
          <w:szCs w:val="14"/>
          <w:u w:val="single" w:color="auto"/>
          <w:color w:val="auto"/>
        </w:rPr>
        <w:t>(i)</w:t>
      </w:r>
      <w:r>
        <w:rPr>
          <w:rFonts w:ascii="Arial" w:cs="Arial" w:eastAsia="Arial" w:hAnsi="Arial"/>
          <w:sz w:val="14"/>
          <w:szCs w:val="14"/>
          <w:color w:val="auto"/>
        </w:rPr>
        <w:t xml:space="preserve">) unless, after giving effect to such Indebtedness, (x) Shareholders’ Equity </w:t>
      </w:r>
      <w:r>
        <w:rPr>
          <w:rFonts w:ascii="Arial" w:cs="Arial" w:eastAsia="Arial" w:hAnsi="Arial"/>
          <w:sz w:val="14"/>
          <w:szCs w:val="14"/>
          <w:u w:val="single" w:color="auto"/>
          <w:color w:val="auto"/>
        </w:rPr>
        <w:t>plus</w:t>
      </w:r>
      <w:r>
        <w:rPr>
          <w:rFonts w:ascii="Arial" w:cs="Arial" w:eastAsia="Arial" w:hAnsi="Arial"/>
          <w:sz w:val="14"/>
          <w:szCs w:val="14"/>
          <w:color w:val="auto"/>
        </w:rPr>
        <w:t xml:space="preserve"> Secured Longer-Term Indebtedness </w:t>
      </w:r>
      <w:r>
        <w:rPr>
          <w:rFonts w:ascii="Arial" w:cs="Arial" w:eastAsia="Arial" w:hAnsi="Arial"/>
          <w:sz w:val="14"/>
          <w:szCs w:val="14"/>
          <w:u w:val="single" w:color="auto"/>
          <w:color w:val="auto"/>
        </w:rPr>
        <w:t>plus</w:t>
      </w:r>
      <w:r>
        <w:rPr>
          <w:rFonts w:ascii="Arial" w:cs="Arial" w:eastAsia="Arial" w:hAnsi="Arial"/>
          <w:sz w:val="14"/>
          <w:szCs w:val="14"/>
          <w:color w:val="auto"/>
        </w:rPr>
        <w:t xml:space="preserve"> Unsecured Longer-Term Indebtedness </w:t>
      </w:r>
      <w:r>
        <w:rPr>
          <w:rFonts w:ascii="Arial" w:cs="Arial" w:eastAsia="Arial" w:hAnsi="Arial"/>
          <w:sz w:val="14"/>
          <w:szCs w:val="14"/>
          <w:u w:val="single" w:color="auto"/>
          <w:color w:val="auto"/>
        </w:rPr>
        <w:t>plus</w:t>
      </w:r>
      <w:r>
        <w:rPr>
          <w:rFonts w:ascii="Arial" w:cs="Arial" w:eastAsia="Arial" w:hAnsi="Arial"/>
          <w:sz w:val="14"/>
          <w:szCs w:val="14"/>
          <w:color w:val="auto"/>
        </w:rPr>
        <w:t xml:space="preserve"> aggregate undrawn commitments with terms in excess of sixth months exceeds (y) the Value of the Portfolio Investments that cannot be converted to Cash in fewer than 10 Business Days without more than a 5% change in price.</w:t>
      </w:r>
    </w:p>
    <w:p>
      <w:pPr>
        <w:spacing w:after="0" w:line="185" w:lineRule="exact"/>
        <w:rPr>
          <w:sz w:val="20"/>
          <w:szCs w:val="20"/>
          <w:color w:val="auto"/>
        </w:rPr>
      </w:pPr>
    </w:p>
    <w:p>
      <w:pPr>
        <w:jc w:val="both"/>
        <w:ind w:right="20" w:firstLine="1727"/>
        <w:spacing w:after="0" w:line="253" w:lineRule="auto"/>
        <w:rPr>
          <w:sz w:val="20"/>
          <w:szCs w:val="20"/>
          <w:color w:val="auto"/>
        </w:rPr>
      </w:pPr>
      <w:r>
        <w:rPr>
          <w:rFonts w:ascii="Arial" w:cs="Arial" w:eastAsia="Arial" w:hAnsi="Arial"/>
          <w:sz w:val="14"/>
          <w:szCs w:val="14"/>
          <w:color w:val="auto"/>
        </w:rPr>
        <w:t xml:space="preserve">SECTION 6.02. </w:t>
      </w:r>
      <w:r>
        <w:rPr>
          <w:rFonts w:ascii="Arial" w:cs="Arial" w:eastAsia="Arial" w:hAnsi="Arial"/>
          <w:sz w:val="14"/>
          <w:szCs w:val="14"/>
          <w:u w:val="single" w:color="auto"/>
          <w:color w:val="auto"/>
        </w:rPr>
        <w:t>Liens</w:t>
      </w:r>
      <w:r>
        <w:rPr>
          <w:rFonts w:ascii="Arial" w:cs="Arial" w:eastAsia="Arial" w:hAnsi="Arial"/>
          <w:sz w:val="14"/>
          <w:szCs w:val="14"/>
          <w:color w:val="auto"/>
        </w:rPr>
        <w:t>. The Borrower will not, nor will it permit any of its Subsidiaries to, create, incur, assume or permit to exist any Lien on any property or asset now owned or hereafter acquired by it, or assign or sell any income or revenues (including accounts receivable) or rights in respect of any thereof except:</w:t>
      </w:r>
    </w:p>
    <w:p>
      <w:pPr>
        <w:spacing w:after="0" w:line="174" w:lineRule="exact"/>
        <w:rPr>
          <w:sz w:val="20"/>
          <w:szCs w:val="20"/>
          <w:color w:val="auto"/>
        </w:rPr>
      </w:pPr>
    </w:p>
    <w:p>
      <w:pPr>
        <w:jc w:val="both"/>
        <w:ind w:right="20" w:firstLine="1735"/>
        <w:spacing w:after="0" w:line="238" w:lineRule="auto"/>
        <w:tabs>
          <w:tab w:leader="none" w:pos="2535" w:val="left"/>
        </w:tabs>
        <w:numPr>
          <w:ilvl w:val="0"/>
          <w:numId w:val="130"/>
        </w:numPr>
        <w:rPr>
          <w:rFonts w:ascii="Arial" w:cs="Arial" w:eastAsia="Arial" w:hAnsi="Arial"/>
          <w:sz w:val="14"/>
          <w:szCs w:val="14"/>
          <w:color w:val="auto"/>
        </w:rPr>
      </w:pPr>
      <w:r>
        <w:rPr>
          <w:rFonts w:ascii="Arial" w:cs="Arial" w:eastAsia="Arial" w:hAnsi="Arial"/>
          <w:sz w:val="14"/>
          <w:szCs w:val="14"/>
          <w:color w:val="auto"/>
        </w:rPr>
        <w:t xml:space="preserve">any Lien on any property or asset of the Borrower or any Subsidiary existing on the First Amendment Effective Date and set forth in </w:t>
      </w:r>
      <w:r>
        <w:rPr>
          <w:rFonts w:ascii="Arial" w:cs="Arial" w:eastAsia="Arial" w:hAnsi="Arial"/>
          <w:sz w:val="14"/>
          <w:szCs w:val="14"/>
          <w:u w:val="single" w:color="auto"/>
          <w:color w:val="auto"/>
        </w:rPr>
        <w:t>Part B</w:t>
      </w:r>
      <w:r>
        <w:rPr>
          <w:rFonts w:ascii="Arial" w:cs="Arial" w:eastAsia="Arial" w:hAnsi="Arial"/>
          <w:sz w:val="14"/>
          <w:szCs w:val="14"/>
          <w:color w:val="auto"/>
        </w:rPr>
        <w:t xml:space="preserve"> of </w:t>
      </w:r>
      <w:r>
        <w:rPr>
          <w:rFonts w:ascii="Arial" w:cs="Arial" w:eastAsia="Arial" w:hAnsi="Arial"/>
          <w:sz w:val="14"/>
          <w:szCs w:val="14"/>
          <w:u w:val="single" w:color="auto"/>
          <w:color w:val="auto"/>
        </w:rPr>
        <w:t>Schedule 3.11</w:t>
      </w:r>
      <w:r>
        <w:rPr>
          <w:rFonts w:ascii="Arial" w:cs="Arial" w:eastAsia="Arial" w:hAnsi="Arial"/>
          <w:sz w:val="14"/>
          <w:szCs w:val="14"/>
          <w:color w:val="auto"/>
        </w:rPr>
        <w:t xml:space="preserve">; </w:t>
      </w:r>
      <w:r>
        <w:rPr>
          <w:rFonts w:ascii="Arial" w:cs="Arial" w:eastAsia="Arial" w:hAnsi="Arial"/>
          <w:sz w:val="14"/>
          <w:szCs w:val="14"/>
          <w:u w:val="single" w:color="auto"/>
          <w:color w:val="auto"/>
        </w:rPr>
        <w:t>provided</w:t>
      </w:r>
      <w:r>
        <w:rPr>
          <w:rFonts w:ascii="Arial" w:cs="Arial" w:eastAsia="Arial" w:hAnsi="Arial"/>
          <w:sz w:val="14"/>
          <w:szCs w:val="14"/>
          <w:color w:val="auto"/>
        </w:rPr>
        <w:t xml:space="preserve"> that (i) no such Lien shall extend to any other property or asset of the Borrower or any of its Subsidiaries, and (ii) any such Lien shall secure only those obligations which it secures on the First Amendment Effective Date and extensions, renewals and replacements thereof that do not increase the outstanding principal amount thereof;</w:t>
      </w:r>
    </w:p>
    <w:p>
      <w:pPr>
        <w:spacing w:after="0" w:line="182" w:lineRule="exact"/>
        <w:rPr>
          <w:rFonts w:ascii="Arial" w:cs="Arial" w:eastAsia="Arial" w:hAnsi="Arial"/>
          <w:sz w:val="14"/>
          <w:szCs w:val="14"/>
          <w:color w:val="auto"/>
        </w:rPr>
      </w:pPr>
    </w:p>
    <w:p>
      <w:pPr>
        <w:ind w:right="20" w:firstLine="1735"/>
        <w:spacing w:after="0" w:line="253" w:lineRule="auto"/>
        <w:tabs>
          <w:tab w:leader="none" w:pos="2543" w:val="left"/>
        </w:tabs>
        <w:numPr>
          <w:ilvl w:val="0"/>
          <w:numId w:val="130"/>
        </w:numPr>
        <w:rPr>
          <w:rFonts w:ascii="Arial" w:cs="Arial" w:eastAsia="Arial" w:hAnsi="Arial"/>
          <w:sz w:val="14"/>
          <w:szCs w:val="14"/>
          <w:color w:val="auto"/>
        </w:rPr>
      </w:pPr>
      <w:r>
        <w:rPr>
          <w:rFonts w:ascii="Arial" w:cs="Arial" w:eastAsia="Arial" w:hAnsi="Arial"/>
          <w:sz w:val="14"/>
          <w:szCs w:val="14"/>
          <w:color w:val="auto"/>
        </w:rPr>
        <w:t xml:space="preserve">Liens created pursuant to this Agreement (including </w:t>
      </w:r>
      <w:r>
        <w:rPr>
          <w:rFonts w:ascii="Arial" w:cs="Arial" w:eastAsia="Arial" w:hAnsi="Arial"/>
          <w:sz w:val="14"/>
          <w:szCs w:val="14"/>
          <w:u w:val="single" w:color="auto"/>
          <w:color w:val="auto"/>
        </w:rPr>
        <w:t>Section 2.19</w:t>
      </w:r>
      <w:r>
        <w:rPr>
          <w:rFonts w:ascii="Arial" w:cs="Arial" w:eastAsia="Arial" w:hAnsi="Arial"/>
          <w:sz w:val="14"/>
          <w:szCs w:val="14"/>
          <w:color w:val="auto"/>
        </w:rPr>
        <w:t>) or any of the Security Documents (including Liens in favor of the Designated Indebtedness Holders (as defined in the Guarantee and Security Agreement));</w:t>
      </w:r>
    </w:p>
    <w:p>
      <w:pPr>
        <w:spacing w:after="0" w:line="173" w:lineRule="exact"/>
        <w:rPr>
          <w:rFonts w:ascii="Arial" w:cs="Arial" w:eastAsia="Arial" w:hAnsi="Arial"/>
          <w:sz w:val="14"/>
          <w:szCs w:val="14"/>
          <w:color w:val="auto"/>
        </w:rPr>
      </w:pPr>
    </w:p>
    <w:p>
      <w:pPr>
        <w:ind w:left="2540" w:hanging="805"/>
        <w:spacing w:after="0"/>
        <w:tabs>
          <w:tab w:leader="none" w:pos="2540" w:val="left"/>
        </w:tabs>
        <w:numPr>
          <w:ilvl w:val="0"/>
          <w:numId w:val="130"/>
        </w:numPr>
        <w:rPr>
          <w:rFonts w:ascii="Arial" w:cs="Arial" w:eastAsia="Arial" w:hAnsi="Arial"/>
          <w:sz w:val="14"/>
          <w:szCs w:val="14"/>
          <w:color w:val="auto"/>
        </w:rPr>
      </w:pPr>
      <w:r>
        <w:rPr>
          <w:rFonts w:ascii="Arial" w:cs="Arial" w:eastAsia="Arial" w:hAnsi="Arial"/>
          <w:sz w:val="14"/>
          <w:szCs w:val="14"/>
          <w:color w:val="auto"/>
        </w:rPr>
        <w:t>Liens on the assets of a Financing Subsidiary securing obligations of such Financing Subsidiary;</w:t>
      </w:r>
    </w:p>
    <w:p>
      <w:pPr>
        <w:spacing w:after="0" w:line="203" w:lineRule="exact"/>
        <w:rPr>
          <w:rFonts w:ascii="Arial" w:cs="Arial" w:eastAsia="Arial" w:hAnsi="Arial"/>
          <w:sz w:val="14"/>
          <w:szCs w:val="14"/>
          <w:color w:val="auto"/>
        </w:rPr>
      </w:pPr>
    </w:p>
    <w:p>
      <w:pPr>
        <w:ind w:right="20" w:firstLine="1735"/>
        <w:spacing w:after="0" w:line="253" w:lineRule="auto"/>
        <w:tabs>
          <w:tab w:leader="none" w:pos="2543" w:val="left"/>
        </w:tabs>
        <w:numPr>
          <w:ilvl w:val="0"/>
          <w:numId w:val="130"/>
        </w:numPr>
        <w:rPr>
          <w:rFonts w:ascii="Arial" w:cs="Arial" w:eastAsia="Arial" w:hAnsi="Arial"/>
          <w:sz w:val="14"/>
          <w:szCs w:val="14"/>
          <w:color w:val="auto"/>
        </w:rPr>
      </w:pPr>
      <w:r>
        <w:rPr>
          <w:rFonts w:ascii="Arial" w:cs="Arial" w:eastAsia="Arial" w:hAnsi="Arial"/>
          <w:sz w:val="14"/>
          <w:szCs w:val="14"/>
          <w:color w:val="auto"/>
        </w:rPr>
        <w:t>Liens on Special Equity Interests included in the Portfolio Investments of the Borrower but only to the extent securing obligations in the manner provided in the definition of “</w:t>
      </w:r>
      <w:r>
        <w:rPr>
          <w:rFonts w:ascii="Arial" w:cs="Arial" w:eastAsia="Arial" w:hAnsi="Arial"/>
          <w:sz w:val="14"/>
          <w:szCs w:val="14"/>
          <w:u w:val="single" w:color="auto"/>
          <w:color w:val="auto"/>
        </w:rPr>
        <w:t>Special Equity Interests</w:t>
      </w:r>
      <w:r>
        <w:rPr>
          <w:rFonts w:ascii="Arial" w:cs="Arial" w:eastAsia="Arial" w:hAnsi="Arial"/>
          <w:sz w:val="14"/>
          <w:szCs w:val="14"/>
          <w:color w:val="auto"/>
        </w:rPr>
        <w:t xml:space="preserve">” in </w:t>
      </w:r>
      <w:r>
        <w:rPr>
          <w:rFonts w:ascii="Arial" w:cs="Arial" w:eastAsia="Arial" w:hAnsi="Arial"/>
          <w:sz w:val="14"/>
          <w:szCs w:val="14"/>
          <w:u w:val="single" w:color="auto"/>
          <w:color w:val="auto"/>
        </w:rPr>
        <w:t>Section 1.01</w:t>
      </w:r>
      <w:r>
        <w:rPr>
          <w:rFonts w:ascii="Arial" w:cs="Arial" w:eastAsia="Arial" w:hAnsi="Arial"/>
          <w:sz w:val="14"/>
          <w:szCs w:val="14"/>
          <w:color w:val="auto"/>
        </w:rPr>
        <w:t>;</w:t>
      </w:r>
    </w:p>
    <w:p>
      <w:pPr>
        <w:spacing w:after="0" w:line="173" w:lineRule="exact"/>
        <w:rPr>
          <w:rFonts w:ascii="Arial" w:cs="Arial" w:eastAsia="Arial" w:hAnsi="Arial"/>
          <w:sz w:val="14"/>
          <w:szCs w:val="14"/>
          <w:color w:val="auto"/>
        </w:rPr>
      </w:pPr>
    </w:p>
    <w:p>
      <w:pPr>
        <w:jc w:val="both"/>
        <w:ind w:right="20" w:firstLine="1735"/>
        <w:spacing w:after="0" w:line="233" w:lineRule="auto"/>
        <w:tabs>
          <w:tab w:leader="none" w:pos="2535" w:val="left"/>
        </w:tabs>
        <w:numPr>
          <w:ilvl w:val="0"/>
          <w:numId w:val="130"/>
        </w:numPr>
        <w:rPr>
          <w:rFonts w:ascii="Arial" w:cs="Arial" w:eastAsia="Arial" w:hAnsi="Arial"/>
          <w:sz w:val="14"/>
          <w:szCs w:val="14"/>
          <w:color w:val="auto"/>
        </w:rPr>
      </w:pPr>
      <w:r>
        <w:rPr>
          <w:rFonts w:ascii="Arial" w:cs="Arial" w:eastAsia="Arial" w:hAnsi="Arial"/>
          <w:sz w:val="14"/>
          <w:szCs w:val="14"/>
          <w:color w:val="auto"/>
        </w:rPr>
        <w:t xml:space="preserve">Liens securing Indebtedness or other obligations in an aggregate principal amount not exceeding $12,500,000 at any one time outstanding (which may cover Portfolio Investments, but only to the extent released from the Lien in favor of the Collateral Agent in accordance with the requirements of Section 10.03 of the Guarantee and Security Agreement), so long as at the time of incurrence of such Indebtedness or other obligations, the aggregate amount of Indebtedness permitted under </w:t>
      </w:r>
      <w:r>
        <w:rPr>
          <w:rFonts w:ascii="Arial" w:cs="Arial" w:eastAsia="Arial" w:hAnsi="Arial"/>
          <w:sz w:val="14"/>
          <w:szCs w:val="14"/>
          <w:u w:val="single" w:color="auto"/>
          <w:color w:val="auto"/>
        </w:rPr>
        <w:t>clauses (a)</w:t>
      </w:r>
      <w:r>
        <w:rPr>
          <w:rFonts w:ascii="Arial" w:cs="Arial" w:eastAsia="Arial" w:hAnsi="Arial"/>
          <w:sz w:val="14"/>
          <w:szCs w:val="14"/>
          <w:color w:val="auto"/>
        </w:rPr>
        <w:t xml:space="preserve">, </w:t>
      </w:r>
      <w:r>
        <w:rPr>
          <w:rFonts w:ascii="Arial" w:cs="Arial" w:eastAsia="Arial" w:hAnsi="Arial"/>
          <w:sz w:val="14"/>
          <w:szCs w:val="14"/>
          <w:u w:val="single" w:color="auto"/>
          <w:color w:val="auto"/>
        </w:rPr>
        <w:t>(b)</w:t>
      </w:r>
      <w:r>
        <w:rPr>
          <w:rFonts w:ascii="Arial" w:cs="Arial" w:eastAsia="Arial" w:hAnsi="Arial"/>
          <w:sz w:val="14"/>
          <w:szCs w:val="14"/>
          <w:color w:val="auto"/>
        </w:rPr>
        <w:t xml:space="preserve"> and </w:t>
      </w:r>
      <w:r>
        <w:rPr>
          <w:rFonts w:ascii="Arial" w:cs="Arial" w:eastAsia="Arial" w:hAnsi="Arial"/>
          <w:sz w:val="14"/>
          <w:szCs w:val="14"/>
          <w:u w:val="single" w:color="auto"/>
          <w:color w:val="auto"/>
        </w:rPr>
        <w:t>(g)</w:t>
      </w:r>
      <w:r>
        <w:rPr>
          <w:rFonts w:ascii="Arial" w:cs="Arial" w:eastAsia="Arial" w:hAnsi="Arial"/>
          <w:sz w:val="14"/>
          <w:szCs w:val="14"/>
          <w:color w:val="auto"/>
        </w:rPr>
        <w:t xml:space="preserve"> of </w:t>
      </w:r>
      <w:r>
        <w:rPr>
          <w:rFonts w:ascii="Arial" w:cs="Arial" w:eastAsia="Arial" w:hAnsi="Arial"/>
          <w:sz w:val="14"/>
          <w:szCs w:val="14"/>
          <w:u w:val="single" w:color="auto"/>
          <w:color w:val="auto"/>
        </w:rPr>
        <w:t>Section 6.01</w:t>
      </w:r>
      <w:r>
        <w:rPr>
          <w:rFonts w:ascii="Arial" w:cs="Arial" w:eastAsia="Arial" w:hAnsi="Arial"/>
          <w:sz w:val="14"/>
          <w:szCs w:val="14"/>
          <w:color w:val="auto"/>
        </w:rPr>
        <w:t xml:space="preserve">, does not exceed the lesser of (i) the Borrowing Base and (ii) the amount required to comply with the provisions of </w:t>
      </w:r>
      <w:r>
        <w:rPr>
          <w:rFonts w:ascii="Arial" w:cs="Arial" w:eastAsia="Arial" w:hAnsi="Arial"/>
          <w:sz w:val="14"/>
          <w:szCs w:val="14"/>
          <w:u w:val="single" w:color="auto"/>
          <w:color w:val="auto"/>
        </w:rPr>
        <w:t>Section 6.07(b)</w:t>
      </w:r>
      <w:r>
        <w:rPr>
          <w:rFonts w:ascii="Arial" w:cs="Arial" w:eastAsia="Arial" w:hAnsi="Arial"/>
          <w:sz w:val="14"/>
          <w:szCs w:val="14"/>
          <w:color w:val="auto"/>
        </w:rPr>
        <w:t>;</w:t>
      </w:r>
    </w:p>
    <w:p>
      <w:pPr>
        <w:spacing w:after="0" w:line="184" w:lineRule="exact"/>
        <w:rPr>
          <w:rFonts w:ascii="Arial" w:cs="Arial" w:eastAsia="Arial" w:hAnsi="Arial"/>
          <w:sz w:val="14"/>
          <w:szCs w:val="14"/>
          <w:color w:val="auto"/>
        </w:rPr>
      </w:pPr>
    </w:p>
    <w:p>
      <w:pPr>
        <w:ind w:left="2520" w:hanging="785"/>
        <w:spacing w:after="0"/>
        <w:tabs>
          <w:tab w:leader="none" w:pos="2520" w:val="left"/>
        </w:tabs>
        <w:numPr>
          <w:ilvl w:val="0"/>
          <w:numId w:val="130"/>
        </w:numPr>
        <w:rPr>
          <w:rFonts w:ascii="Arial" w:cs="Arial" w:eastAsia="Arial" w:hAnsi="Arial"/>
          <w:sz w:val="14"/>
          <w:szCs w:val="14"/>
          <w:color w:val="auto"/>
        </w:rPr>
      </w:pPr>
      <w:r>
        <w:rPr>
          <w:rFonts w:ascii="Arial" w:cs="Arial" w:eastAsia="Arial" w:hAnsi="Arial"/>
          <w:sz w:val="14"/>
          <w:szCs w:val="14"/>
          <w:color w:val="auto"/>
        </w:rPr>
        <w:t>Permitted Liens;</w:t>
      </w:r>
    </w:p>
    <w:p>
      <w:pPr>
        <w:spacing w:after="0" w:line="203" w:lineRule="exact"/>
        <w:rPr>
          <w:rFonts w:ascii="Arial" w:cs="Arial" w:eastAsia="Arial" w:hAnsi="Arial"/>
          <w:sz w:val="14"/>
          <w:szCs w:val="14"/>
          <w:color w:val="auto"/>
        </w:rPr>
      </w:pPr>
    </w:p>
    <w:p>
      <w:pPr>
        <w:ind w:left="2560" w:hanging="825"/>
        <w:spacing w:after="0"/>
        <w:tabs>
          <w:tab w:leader="none" w:pos="2560" w:val="left"/>
        </w:tabs>
        <w:numPr>
          <w:ilvl w:val="0"/>
          <w:numId w:val="130"/>
        </w:numPr>
        <w:rPr>
          <w:rFonts w:ascii="Arial" w:cs="Arial" w:eastAsia="Arial" w:hAnsi="Arial"/>
          <w:sz w:val="14"/>
          <w:szCs w:val="14"/>
          <w:color w:val="auto"/>
        </w:rPr>
      </w:pPr>
      <w:r>
        <w:rPr>
          <w:rFonts w:ascii="Arial" w:cs="Arial" w:eastAsia="Arial" w:hAnsi="Arial"/>
          <w:sz w:val="14"/>
          <w:szCs w:val="14"/>
          <w:color w:val="auto"/>
        </w:rPr>
        <w:t>Liens on Equity Interests in any SBIC Subsidiary created in favor of the SBA or its designee;</w:t>
      </w:r>
    </w:p>
    <w:p>
      <w:pPr>
        <w:spacing w:after="0" w:line="203" w:lineRule="exact"/>
        <w:rPr>
          <w:rFonts w:ascii="Arial" w:cs="Arial" w:eastAsia="Arial" w:hAnsi="Arial"/>
          <w:sz w:val="14"/>
          <w:szCs w:val="14"/>
          <w:color w:val="auto"/>
        </w:rPr>
      </w:pPr>
    </w:p>
    <w:p>
      <w:pPr>
        <w:ind w:left="2560" w:hanging="825"/>
        <w:spacing w:after="0"/>
        <w:tabs>
          <w:tab w:leader="none" w:pos="2560" w:val="left"/>
        </w:tabs>
        <w:numPr>
          <w:ilvl w:val="0"/>
          <w:numId w:val="130"/>
        </w:numPr>
        <w:rPr>
          <w:rFonts w:ascii="Arial" w:cs="Arial" w:eastAsia="Arial" w:hAnsi="Arial"/>
          <w:sz w:val="14"/>
          <w:szCs w:val="14"/>
          <w:color w:val="auto"/>
        </w:rPr>
      </w:pPr>
      <w:r>
        <w:rPr>
          <w:rFonts w:ascii="Arial" w:cs="Arial" w:eastAsia="Arial" w:hAnsi="Arial"/>
          <w:sz w:val="14"/>
          <w:szCs w:val="14"/>
          <w:color w:val="auto"/>
        </w:rPr>
        <w:t xml:space="preserve">Liens securing Hedging Agreements permitted under </w:t>
      </w:r>
      <w:r>
        <w:rPr>
          <w:rFonts w:ascii="Arial" w:cs="Arial" w:eastAsia="Arial" w:hAnsi="Arial"/>
          <w:sz w:val="14"/>
          <w:szCs w:val="14"/>
          <w:u w:val="single" w:color="auto"/>
          <w:color w:val="auto"/>
        </w:rPr>
        <w:t>Section 6.04(c)</w:t>
      </w:r>
      <w:r>
        <w:rPr>
          <w:rFonts w:ascii="Arial" w:cs="Arial" w:eastAsia="Arial" w:hAnsi="Arial"/>
          <w:sz w:val="14"/>
          <w:szCs w:val="14"/>
          <w:color w:val="auto"/>
        </w:rPr>
        <w:t xml:space="preserve"> and not otherwise permitted under </w:t>
      </w:r>
      <w:r>
        <w:rPr>
          <w:rFonts w:ascii="Arial" w:cs="Arial" w:eastAsia="Arial" w:hAnsi="Arial"/>
          <w:sz w:val="14"/>
          <w:szCs w:val="14"/>
          <w:u w:val="single" w:color="auto"/>
          <w:color w:val="auto"/>
        </w:rPr>
        <w:t>clause (b)</w:t>
      </w:r>
      <w:r>
        <w:rPr>
          <w:rFonts w:ascii="Arial" w:cs="Arial" w:eastAsia="Arial" w:hAnsi="Arial"/>
          <w:sz w:val="14"/>
          <w:szCs w:val="14"/>
          <w:color w:val="auto"/>
        </w:rPr>
        <w:t xml:space="preserve"> above; and</w:t>
      </w:r>
    </w:p>
    <w:p>
      <w:pPr>
        <w:spacing w:after="0" w:line="200" w:lineRule="exact"/>
        <w:rPr>
          <w:sz w:val="20"/>
          <w:szCs w:val="20"/>
          <w:color w:val="auto"/>
        </w:rPr>
      </w:pPr>
    </w:p>
    <w:p>
      <w:pPr>
        <w:spacing w:after="0" w:line="200" w:lineRule="exact"/>
        <w:rPr>
          <w:sz w:val="20"/>
          <w:szCs w:val="20"/>
          <w:color w:val="auto"/>
        </w:rPr>
      </w:pPr>
    </w:p>
    <w:p>
      <w:pPr>
        <w:spacing w:after="0" w:line="22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7580" w:type="dxa"/>
            <w:vAlign w:val="bottom"/>
          </w:tcPr>
          <w:p>
            <w:pPr>
              <w:jc w:val="right"/>
              <w:ind w:right="1808"/>
              <w:spacing w:after="0"/>
              <w:rPr>
                <w:sz w:val="20"/>
                <w:szCs w:val="20"/>
                <w:color w:val="auto"/>
              </w:rPr>
            </w:pPr>
            <w:r>
              <w:rPr>
                <w:rFonts w:ascii="Arial" w:cs="Arial" w:eastAsia="Arial" w:hAnsi="Arial"/>
                <w:sz w:val="14"/>
                <w:szCs w:val="14"/>
                <w:color w:val="auto"/>
              </w:rPr>
              <w:t>51</w:t>
            </w:r>
          </w:p>
        </w:tc>
        <w:tc>
          <w:tcPr>
            <w:tcW w:w="3680" w:type="dxa"/>
            <w:vAlign w:val="bottom"/>
          </w:tcPr>
          <w:p>
            <w:pPr>
              <w:jc w:val="right"/>
              <w:spacing w:after="0"/>
              <w:rPr>
                <w:sz w:val="20"/>
                <w:szCs w:val="20"/>
                <w:color w:val="auto"/>
              </w:rPr>
            </w:pPr>
            <w:r>
              <w:rPr>
                <w:rFonts w:ascii="Arial" w:cs="Arial" w:eastAsia="Arial" w:hAnsi="Arial"/>
                <w:sz w:val="14"/>
                <w:szCs w:val="14"/>
                <w:i w:val="1"/>
                <w:iCs w:val="1"/>
                <w:color w:val="auto"/>
              </w:rPr>
              <w:t>Second Amended and Restated</w:t>
            </w:r>
          </w:p>
        </w:tc>
      </w:tr>
      <w:tr>
        <w:trPr>
          <w:trHeight w:val="182"/>
        </w:trPr>
        <w:tc>
          <w:tcPr>
            <w:tcW w:w="7580" w:type="dxa"/>
            <w:vAlign w:val="bottom"/>
          </w:tcPr>
          <w:p>
            <w:pPr>
              <w:spacing w:after="0"/>
              <w:rPr>
                <w:sz w:val="15"/>
                <w:szCs w:val="15"/>
                <w:color w:val="auto"/>
              </w:rPr>
            </w:pPr>
          </w:p>
        </w:tc>
        <w:tc>
          <w:tcPr>
            <w:tcW w:w="3680" w:type="dxa"/>
            <w:vAlign w:val="bottom"/>
          </w:tcPr>
          <w:p>
            <w:pPr>
              <w:jc w:val="right"/>
              <w:spacing w:after="0"/>
              <w:rPr>
                <w:sz w:val="20"/>
                <w:szCs w:val="20"/>
                <w:color w:val="auto"/>
              </w:rPr>
            </w:pPr>
            <w:r>
              <w:rPr>
                <w:rFonts w:ascii="Arial" w:cs="Arial" w:eastAsia="Arial" w:hAnsi="Arial"/>
                <w:sz w:val="14"/>
                <w:szCs w:val="14"/>
                <w:i w:val="1"/>
                <w:iCs w:val="1"/>
                <w:color w:val="auto"/>
              </w:rPr>
              <w:t>Revolving Credit Agreement</w:t>
            </w:r>
          </w:p>
        </w:tc>
      </w:tr>
      <w:tr>
        <w:trPr>
          <w:trHeight w:val="316"/>
        </w:trPr>
        <w:tc>
          <w:tcPr>
            <w:tcW w:w="7580" w:type="dxa"/>
            <w:vAlign w:val="bottom"/>
            <w:tcBorders>
              <w:bottom w:val="single" w:sz="8" w:color="9A9A9A"/>
            </w:tcBorders>
          </w:tcPr>
          <w:p>
            <w:pPr>
              <w:spacing w:after="0"/>
              <w:rPr>
                <w:sz w:val="24"/>
                <w:szCs w:val="24"/>
                <w:color w:val="auto"/>
              </w:rPr>
            </w:pPr>
          </w:p>
        </w:tc>
        <w:tc>
          <w:tcPr>
            <w:tcW w:w="368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7145655</wp:posOffset>
            </wp:positionH>
            <wp:positionV relativeFrom="paragraph">
              <wp:posOffset>-7620</wp:posOffset>
            </wp:positionV>
            <wp:extent cx="8255" cy="8255"/>
            <wp:wrapNone/>
            <wp:docPr id="207" name="Picture 2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7"/>
                    <pic:cNvPicPr>
                      <a:picLocks noChangeAspect="1" noChangeArrowheads="1"/>
                    </pic:cNvPicPr>
                  </pic:nvPicPr>
                  <pic:blipFill>
                    <a:blip r:embed="rId214">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-16510</wp:posOffset>
            </wp:positionV>
            <wp:extent cx="8890" cy="17145"/>
            <wp:wrapNone/>
            <wp:docPr id="208" name="Picture 2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8"/>
                    <pic:cNvPicPr>
                      <a:picLocks noChangeAspect="1" noChangeArrowheads="1"/>
                    </pic:cNvPicPr>
                  </pic:nvPicPr>
                  <pic:blipFill>
                    <a:blip r:embed="rId215">
                      <a:extLst>
                        <a:ext uri="{28A0092B-C50C-407E-A947-70E740481C1C}"/>
                      </a:extLst>
                    </a:blip>
                    <a:srcRect/>
                    <a:stretch>
                      <a:fillRect/>
                    </a:stretch>
                  </pic:blipFill>
                  <pic:spPr bwMode="auto">
                    <a:xfrm>
                      <a:off x="0" y="0"/>
                      <a:ext cx="8890" cy="17145"/>
                    </a:xfrm>
                    <a:prstGeom prst="rect">
                      <a:avLst/>
                    </a:prstGeom>
                    <a:noFill/>
                  </pic:spPr>
                </pic:pic>
              </a:graphicData>
            </a:graphic>
          </wp:anchor>
        </w:drawing>
      </w:r>
    </w:p>
    <w:p>
      <w:pPr>
        <w:sectPr>
          <w:pgSz w:w="11900" w:h="16838" w:orient="portrait"/>
          <w:cols w:equalWidth="0" w:num="1">
            <w:col w:w="11260"/>
          </w:cols>
          <w:pgMar w:left="320" w:top="337" w:right="319" w:bottom="1440" w:gutter="0" w:footer="0" w:header="0"/>
        </w:sectPr>
      </w:pPr>
    </w:p>
    <w:bookmarkStart w:id="114" w:name="page115"/>
    <w:bookmarkEnd w:id="114"/>
    <w:p>
      <w:pPr>
        <w:ind w:left="2520" w:hanging="785"/>
        <w:spacing w:after="0"/>
        <w:tabs>
          <w:tab w:leader="none" w:pos="2520" w:val="left"/>
        </w:tabs>
        <w:numPr>
          <w:ilvl w:val="0"/>
          <w:numId w:val="131"/>
        </w:numPr>
        <w:rPr>
          <w:rFonts w:ascii="Arial" w:cs="Arial" w:eastAsia="Arial" w:hAnsi="Arial"/>
          <w:sz w:val="14"/>
          <w:szCs w:val="14"/>
          <w:color w:val="auto"/>
        </w:rPr>
      </w:pPr>
      <w:r>
        <w:rPr>
          <w:rFonts w:ascii="Arial" w:cs="Arial" w:eastAsia="Arial" w:hAnsi="Arial"/>
          <w:sz w:val="14"/>
          <w:szCs w:val="14"/>
          <w:color w:val="auto"/>
        </w:rPr>
        <w:t>Liens securing repurchase obligations arising in the ordinary course of business with respect to U.S. Government Securities.</w:t>
      </w:r>
    </w:p>
    <w:p>
      <w:pPr>
        <w:spacing w:after="0" w:line="204" w:lineRule="exact"/>
        <w:rPr>
          <w:sz w:val="20"/>
          <w:szCs w:val="20"/>
          <w:color w:val="auto"/>
        </w:rPr>
      </w:pPr>
    </w:p>
    <w:p>
      <w:pPr>
        <w:jc w:val="both"/>
        <w:ind w:right="20" w:firstLine="1727"/>
        <w:spacing w:after="0" w:line="245" w:lineRule="auto"/>
        <w:rPr>
          <w:sz w:val="20"/>
          <w:szCs w:val="20"/>
          <w:color w:val="auto"/>
        </w:rPr>
      </w:pPr>
      <w:r>
        <w:rPr>
          <w:rFonts w:ascii="Arial" w:cs="Arial" w:eastAsia="Arial" w:hAnsi="Arial"/>
          <w:sz w:val="13"/>
          <w:szCs w:val="13"/>
          <w:color w:val="auto"/>
        </w:rPr>
        <w:t xml:space="preserve">SECTION 6.03. </w:t>
      </w:r>
      <w:r>
        <w:rPr>
          <w:rFonts w:ascii="Arial" w:cs="Arial" w:eastAsia="Arial" w:hAnsi="Arial"/>
          <w:sz w:val="13"/>
          <w:szCs w:val="13"/>
          <w:u w:val="single" w:color="auto"/>
          <w:color w:val="auto"/>
        </w:rPr>
        <w:t>Fundamental Changes</w:t>
      </w:r>
      <w:r>
        <w:rPr>
          <w:rFonts w:ascii="Arial" w:cs="Arial" w:eastAsia="Arial" w:hAnsi="Arial"/>
          <w:sz w:val="13"/>
          <w:szCs w:val="13"/>
          <w:color w:val="auto"/>
        </w:rPr>
        <w:t xml:space="preserve">. The Borrower will not, nor will it permit any of its Subsidiaries (other than Financing Subsidiaries or Immaterial Subsidiaries) to, enter into any transaction of merger or consolidation or amalgamation, or liquidate, wind up or dissolve itself (or suffer any liquidation or dissolution). The Borrower will not, nor will it permit any of its Subsidiaries (other than Financing Subsidiaries) to, acquire any business or property from, or capital stock of, or be a party to any acquisition of, any Person, except for purchases or acquisitions of Portfolio Investments and other assets in the normal course of the day-to-day business activities of the Borrower and its Subsidiaries and not in violation of the terms and conditions of this Agreement or any other Loan Document. The Borrower will not, nor will it permit any of its Subsidiaries (other than Financing Subsidiaries or Immaterial Subsidiaries) to, convey, sell, lease, transfer or otherwise dispose of, in one transaction or a series of transactions, any part of its assets, whether now owned or hereafter acquired, but excluding (x) assets (other than Portfolio Investments) sold or disposed of in the ordinary course of business (including to make expenditures of cash in the normal course of the day-to-day business activities of the Borrower and its Subsidiaries) and (y) subject to the provisions of </w:t>
      </w:r>
      <w:r>
        <w:rPr>
          <w:rFonts w:ascii="Arial" w:cs="Arial" w:eastAsia="Arial" w:hAnsi="Arial"/>
          <w:sz w:val="13"/>
          <w:szCs w:val="13"/>
          <w:u w:val="single" w:color="auto"/>
          <w:color w:val="auto"/>
        </w:rPr>
        <w:t>clauses (d)</w:t>
      </w:r>
      <w:r>
        <w:rPr>
          <w:rFonts w:ascii="Arial" w:cs="Arial" w:eastAsia="Arial" w:hAnsi="Arial"/>
          <w:sz w:val="13"/>
          <w:szCs w:val="13"/>
          <w:color w:val="auto"/>
        </w:rPr>
        <w:t xml:space="preserve"> and </w:t>
      </w:r>
      <w:r>
        <w:rPr>
          <w:rFonts w:ascii="Arial" w:cs="Arial" w:eastAsia="Arial" w:hAnsi="Arial"/>
          <w:sz w:val="13"/>
          <w:szCs w:val="13"/>
          <w:u w:val="single" w:color="auto"/>
          <w:color w:val="auto"/>
        </w:rPr>
        <w:t>(e)</w:t>
      </w:r>
      <w:r>
        <w:rPr>
          <w:rFonts w:ascii="Arial" w:cs="Arial" w:eastAsia="Arial" w:hAnsi="Arial"/>
          <w:sz w:val="13"/>
          <w:szCs w:val="13"/>
          <w:color w:val="auto"/>
        </w:rPr>
        <w:t xml:space="preserve"> below, Portfolio Investments.</w:t>
      </w:r>
    </w:p>
    <w:p>
      <w:pPr>
        <w:sectPr>
          <w:pgSz w:w="11900" w:h="16838" w:orient="portrait"/>
          <w:cols w:equalWidth="0" w:num="1">
            <w:col w:w="11260"/>
          </w:cols>
          <w:pgMar w:left="320" w:top="337" w:right="31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96" w:lineRule="exact"/>
        <w:rPr>
          <w:sz w:val="20"/>
          <w:szCs w:val="20"/>
          <w:color w:val="auto"/>
        </w:rPr>
      </w:pPr>
    </w:p>
    <w:p>
      <w:pPr>
        <w:spacing w:after="0" w:line="253" w:lineRule="auto"/>
        <w:rPr>
          <w:sz w:val="20"/>
          <w:szCs w:val="20"/>
          <w:color w:val="auto"/>
        </w:rPr>
      </w:pPr>
      <w:r>
        <w:rPr>
          <w:rFonts w:ascii="Arial" w:cs="Arial" w:eastAsia="Arial" w:hAnsi="Arial"/>
          <w:sz w:val="14"/>
          <w:szCs w:val="14"/>
          <w:color w:val="auto"/>
        </w:rPr>
        <w:t>if any such transaction shall corporation;</w:t>
      </w:r>
    </w:p>
    <w:p>
      <w:pPr>
        <w:spacing w:after="0" w:line="20" w:lineRule="exact"/>
        <w:rPr>
          <w:sz w:val="20"/>
          <w:szCs w:val="20"/>
          <w:color w:val="auto"/>
        </w:rPr>
      </w:pPr>
      <w:r>
        <w:rPr>
          <w:sz w:val="20"/>
          <w:szCs w:val="20"/>
          <w:color w:val="auto"/>
        </w:rPr>
        <w:br w:type="column"/>
      </w:r>
    </w:p>
    <w:p>
      <w:pPr>
        <w:spacing w:after="0" w:line="163" w:lineRule="exact"/>
        <w:rPr>
          <w:sz w:val="20"/>
          <w:szCs w:val="20"/>
          <w:color w:val="auto"/>
        </w:rPr>
      </w:pPr>
    </w:p>
    <w:p>
      <w:pPr>
        <w:ind w:left="5"/>
        <w:spacing w:after="0"/>
        <w:rPr>
          <w:sz w:val="20"/>
          <w:szCs w:val="20"/>
          <w:color w:val="auto"/>
        </w:rPr>
      </w:pPr>
      <w:r>
        <w:rPr>
          <w:rFonts w:ascii="Arial" w:cs="Arial" w:eastAsia="Arial" w:hAnsi="Arial"/>
          <w:sz w:val="14"/>
          <w:szCs w:val="14"/>
          <w:color w:val="auto"/>
        </w:rPr>
        <w:t>Notwithstanding the foregoing provisions of this Section:</w:t>
      </w:r>
    </w:p>
    <w:p>
      <w:pPr>
        <w:spacing w:after="0" w:line="204" w:lineRule="exact"/>
        <w:rPr>
          <w:sz w:val="20"/>
          <w:szCs w:val="20"/>
          <w:color w:val="auto"/>
        </w:rPr>
      </w:pPr>
    </w:p>
    <w:p>
      <w:pPr>
        <w:jc w:val="both"/>
        <w:ind w:left="45" w:right="20" w:hanging="45"/>
        <w:spacing w:after="0" w:line="290" w:lineRule="auto"/>
        <w:tabs>
          <w:tab w:leader="none" w:pos="813" w:val="left"/>
        </w:tabs>
        <w:numPr>
          <w:ilvl w:val="0"/>
          <w:numId w:val="132"/>
        </w:numPr>
        <w:rPr>
          <w:rFonts w:ascii="Arial" w:cs="Arial" w:eastAsia="Arial" w:hAnsi="Arial"/>
          <w:sz w:val="13"/>
          <w:szCs w:val="13"/>
          <w:color w:val="auto"/>
        </w:rPr>
      </w:pPr>
      <w:r>
        <w:rPr>
          <w:rFonts w:ascii="Arial" w:cs="Arial" w:eastAsia="Arial" w:hAnsi="Arial"/>
          <w:sz w:val="13"/>
          <w:szCs w:val="13"/>
          <w:color w:val="auto"/>
        </w:rPr>
        <w:t xml:space="preserve">any Subsidiary Guarantor of the Borrower may be merged or consolidated with or into the Borrower or any other Subsidiary Guarantor; </w:t>
      </w:r>
      <w:r>
        <w:rPr>
          <w:rFonts w:ascii="Arial" w:cs="Arial" w:eastAsia="Arial" w:hAnsi="Arial"/>
          <w:sz w:val="13"/>
          <w:szCs w:val="13"/>
          <w:u w:val="single" w:color="auto"/>
          <w:color w:val="auto"/>
        </w:rPr>
        <w:t>provided</w:t>
      </w:r>
      <w:r>
        <w:rPr>
          <w:rFonts w:ascii="Arial" w:cs="Arial" w:eastAsia="Arial" w:hAnsi="Arial"/>
          <w:sz w:val="13"/>
          <w:szCs w:val="13"/>
          <w:color w:val="auto"/>
        </w:rPr>
        <w:t xml:space="preserve"> that be between a Subsidiary Guarantor and a wholly owned Subsidiary Guarantor, the wholly owned Subsidiary Guarantor shall be the continuing or surviving</w:t>
      </w:r>
    </w:p>
    <w:p>
      <w:pPr>
        <w:spacing w:after="0" w:line="300" w:lineRule="exact"/>
        <w:rPr>
          <w:sz w:val="20"/>
          <w:szCs w:val="20"/>
          <w:color w:val="auto"/>
        </w:rPr>
      </w:pPr>
    </w:p>
    <w:p>
      <w:pPr>
        <w:sectPr>
          <w:pgSz w:w="11900" w:h="16838" w:orient="portrait"/>
          <w:cols w:equalWidth="0" w:num="2">
            <w:col w:w="1720" w:space="15"/>
            <w:col w:w="9525"/>
          </w:cols>
          <w:pgMar w:left="320" w:top="337" w:right="319" w:bottom="1440" w:gutter="0" w:footer="0" w:header="0"/>
          <w:type w:val="continuous"/>
        </w:sectPr>
      </w:pPr>
    </w:p>
    <w:p>
      <w:pPr>
        <w:ind w:right="20" w:firstLine="1735"/>
        <w:spacing w:after="0" w:line="253" w:lineRule="auto"/>
        <w:tabs>
          <w:tab w:leader="none" w:pos="2543" w:val="left"/>
        </w:tabs>
        <w:numPr>
          <w:ilvl w:val="0"/>
          <w:numId w:val="133"/>
        </w:numPr>
        <w:rPr>
          <w:rFonts w:ascii="Arial" w:cs="Arial" w:eastAsia="Arial" w:hAnsi="Arial"/>
          <w:sz w:val="14"/>
          <w:szCs w:val="14"/>
          <w:color w:val="auto"/>
        </w:rPr>
      </w:pPr>
      <w:r>
        <w:rPr>
          <w:rFonts w:ascii="Arial" w:cs="Arial" w:eastAsia="Arial" w:hAnsi="Arial"/>
          <w:sz w:val="14"/>
          <w:szCs w:val="14"/>
          <w:color w:val="auto"/>
        </w:rPr>
        <w:t>any Subsidiary of the Borrower may sell, lease, transfer or otherwise dispose of any or all of its assets (upon voluntary liquidation or otherwise) to the Borrower or any wholly owned Subsidiary Guarantor of the Borrower;</w:t>
      </w:r>
    </w:p>
    <w:p>
      <w:pPr>
        <w:spacing w:after="0" w:line="173" w:lineRule="exact"/>
        <w:rPr>
          <w:rFonts w:ascii="Arial" w:cs="Arial" w:eastAsia="Arial" w:hAnsi="Arial"/>
          <w:sz w:val="14"/>
          <w:szCs w:val="14"/>
          <w:color w:val="auto"/>
        </w:rPr>
      </w:pPr>
    </w:p>
    <w:p>
      <w:pPr>
        <w:ind w:left="2540" w:hanging="805"/>
        <w:spacing w:after="0"/>
        <w:tabs>
          <w:tab w:leader="none" w:pos="2540" w:val="left"/>
        </w:tabs>
        <w:numPr>
          <w:ilvl w:val="0"/>
          <w:numId w:val="133"/>
        </w:numPr>
        <w:rPr>
          <w:rFonts w:ascii="Arial" w:cs="Arial" w:eastAsia="Arial" w:hAnsi="Arial"/>
          <w:sz w:val="13"/>
          <w:szCs w:val="13"/>
          <w:color w:val="auto"/>
        </w:rPr>
      </w:pPr>
      <w:r>
        <w:rPr>
          <w:rFonts w:ascii="Arial" w:cs="Arial" w:eastAsia="Arial" w:hAnsi="Arial"/>
          <w:sz w:val="13"/>
          <w:szCs w:val="13"/>
          <w:color w:val="auto"/>
        </w:rPr>
        <w:t>the capital stock of any Subsidiary of the Borrower may be sold, transferred or otherwise disposed of to the Borrower or any wholly owned Subsidiary</w:t>
      </w:r>
    </w:p>
    <w:p>
      <w:pPr>
        <w:spacing w:after="0" w:line="11" w:lineRule="exact"/>
        <w:rPr>
          <w:rFonts w:ascii="Arial" w:cs="Arial" w:eastAsia="Arial" w:hAnsi="Arial"/>
          <w:sz w:val="13"/>
          <w:szCs w:val="13"/>
          <w:color w:val="auto"/>
        </w:rPr>
      </w:pPr>
    </w:p>
    <w:p>
      <w:pPr>
        <w:spacing w:after="0"/>
        <w:rPr>
          <w:rFonts w:ascii="Arial" w:cs="Arial" w:eastAsia="Arial" w:hAnsi="Arial"/>
          <w:sz w:val="13"/>
          <w:szCs w:val="13"/>
          <w:color w:val="auto"/>
        </w:rPr>
      </w:pPr>
      <w:r>
        <w:rPr>
          <w:rFonts w:ascii="Arial" w:cs="Arial" w:eastAsia="Arial" w:hAnsi="Arial"/>
          <w:sz w:val="14"/>
          <w:szCs w:val="14"/>
          <w:color w:val="auto"/>
        </w:rPr>
        <w:t>Guarantor of the Borrower;</w:t>
      </w:r>
    </w:p>
    <w:p>
      <w:pPr>
        <w:spacing w:after="0" w:line="191" w:lineRule="exact"/>
        <w:rPr>
          <w:rFonts w:ascii="Arial" w:cs="Arial" w:eastAsia="Arial" w:hAnsi="Arial"/>
          <w:sz w:val="13"/>
          <w:szCs w:val="13"/>
          <w:color w:val="auto"/>
        </w:rPr>
      </w:pPr>
    </w:p>
    <w:p>
      <w:pPr>
        <w:jc w:val="both"/>
        <w:ind w:right="20" w:firstLine="1735"/>
        <w:spacing w:after="0" w:line="233" w:lineRule="auto"/>
        <w:tabs>
          <w:tab w:leader="none" w:pos="2543" w:val="left"/>
        </w:tabs>
        <w:numPr>
          <w:ilvl w:val="0"/>
          <w:numId w:val="133"/>
        </w:numPr>
        <w:rPr>
          <w:rFonts w:ascii="Arial" w:cs="Arial" w:eastAsia="Arial" w:hAnsi="Arial"/>
          <w:sz w:val="14"/>
          <w:szCs w:val="14"/>
          <w:color w:val="auto"/>
        </w:rPr>
      </w:pPr>
      <w:r>
        <w:rPr>
          <w:rFonts w:ascii="Arial" w:cs="Arial" w:eastAsia="Arial" w:hAnsi="Arial"/>
          <w:sz w:val="14"/>
          <w:szCs w:val="14"/>
          <w:color w:val="auto"/>
        </w:rPr>
        <w:t>the Obligors may sell, transfer or otherwise dispose of Portfolio Investments (other than to a Financing Subsidiary) so long as after giving effect to such sale, transfer or other disposition (and any concurrent acquisitions of Portfolio Investments or payment of outstanding Loans or Other Covered Indebtedness) either (x) the Covered Debt Amount does not exceed the Borrowing Base or (y) if the Administrative Agent consents in writing, the amount by which the Covered Debt Amount exceeds the Borrowing Base is reduced thereby;</w:t>
      </w:r>
    </w:p>
    <w:p>
      <w:pPr>
        <w:spacing w:after="0" w:line="184" w:lineRule="exact"/>
        <w:rPr>
          <w:rFonts w:ascii="Arial" w:cs="Arial" w:eastAsia="Arial" w:hAnsi="Arial"/>
          <w:sz w:val="14"/>
          <w:szCs w:val="14"/>
          <w:color w:val="auto"/>
        </w:rPr>
      </w:pPr>
    </w:p>
    <w:p>
      <w:pPr>
        <w:jc w:val="both"/>
        <w:ind w:right="20" w:firstLine="1735"/>
        <w:spacing w:after="0" w:line="231" w:lineRule="auto"/>
        <w:tabs>
          <w:tab w:leader="none" w:pos="2535" w:val="left"/>
        </w:tabs>
        <w:numPr>
          <w:ilvl w:val="0"/>
          <w:numId w:val="133"/>
        </w:numPr>
        <w:rPr>
          <w:rFonts w:ascii="Arial" w:cs="Arial" w:eastAsia="Arial" w:hAnsi="Arial"/>
          <w:sz w:val="14"/>
          <w:szCs w:val="14"/>
          <w:color w:val="auto"/>
        </w:rPr>
      </w:pPr>
      <w:r>
        <w:rPr>
          <w:rFonts w:ascii="Arial" w:cs="Arial" w:eastAsia="Arial" w:hAnsi="Arial"/>
          <w:sz w:val="14"/>
          <w:szCs w:val="14"/>
          <w:color w:val="auto"/>
        </w:rPr>
        <w:t>the Obligors may sell, transfer or otherwise dispose of Portfolio Investments to a Financing Subsidiary so long as (i) after giving effect to such sale, transfer or other disposition (and any concurrent acquisitions of Portfolio Investments or payment of outstanding Loans or Other Covered Indebtedness) the Covered Debt Amount does not exceed the Borrowing Base and the Borrower delivers to the Administrative Agent a certificate of a Financial Officer to such effect and (ii) either (x) the amount by which the Borrowing Base exceeds the Covered Debt Amount immediately prior to such release is not diminished as a result of such release or (y) the Borrowing Base immediately after giving effect to such release is at least 110% of the Covered Debt Amount;</w:t>
      </w:r>
    </w:p>
    <w:p>
      <w:pPr>
        <w:spacing w:after="0" w:line="183" w:lineRule="exact"/>
        <w:rPr>
          <w:rFonts w:ascii="Arial" w:cs="Arial" w:eastAsia="Arial" w:hAnsi="Arial"/>
          <w:sz w:val="14"/>
          <w:szCs w:val="14"/>
          <w:color w:val="auto"/>
        </w:rPr>
      </w:pPr>
    </w:p>
    <w:p>
      <w:pPr>
        <w:jc w:val="both"/>
        <w:ind w:right="20" w:firstLine="1735"/>
        <w:spacing w:after="0" w:line="238" w:lineRule="auto"/>
        <w:tabs>
          <w:tab w:leader="none" w:pos="2519" w:val="left"/>
        </w:tabs>
        <w:numPr>
          <w:ilvl w:val="0"/>
          <w:numId w:val="133"/>
        </w:numPr>
        <w:rPr>
          <w:rFonts w:ascii="Arial" w:cs="Arial" w:eastAsia="Arial" w:hAnsi="Arial"/>
          <w:sz w:val="14"/>
          <w:szCs w:val="14"/>
          <w:color w:val="auto"/>
        </w:rPr>
      </w:pPr>
      <w:r>
        <w:rPr>
          <w:rFonts w:ascii="Arial" w:cs="Arial" w:eastAsia="Arial" w:hAnsi="Arial"/>
          <w:sz w:val="14"/>
          <w:szCs w:val="14"/>
          <w:color w:val="auto"/>
        </w:rPr>
        <w:t>the Borrower may merge or consolidate with any other Person so long as (i) after giving effect thereto, the Borrower is (x) the continuing or surviving entity in such transaction and (y) organized under the laws of any State in the United States or the District of Columbia and (ii) at the time thereof and after giving effect thereto, no Default shall have occurred or be continuing;</w:t>
      </w:r>
    </w:p>
    <w:p>
      <w:pPr>
        <w:spacing w:after="0" w:line="182" w:lineRule="exact"/>
        <w:rPr>
          <w:rFonts w:ascii="Arial" w:cs="Arial" w:eastAsia="Arial" w:hAnsi="Arial"/>
          <w:sz w:val="14"/>
          <w:szCs w:val="14"/>
          <w:color w:val="auto"/>
        </w:rPr>
      </w:pPr>
    </w:p>
    <w:p>
      <w:pPr>
        <w:ind w:right="20" w:firstLine="1735"/>
        <w:spacing w:after="0" w:line="253" w:lineRule="auto"/>
        <w:tabs>
          <w:tab w:leader="none" w:pos="2543" w:val="left"/>
        </w:tabs>
        <w:numPr>
          <w:ilvl w:val="0"/>
          <w:numId w:val="133"/>
        </w:numPr>
        <w:rPr>
          <w:rFonts w:ascii="Arial" w:cs="Arial" w:eastAsia="Arial" w:hAnsi="Arial"/>
          <w:sz w:val="14"/>
          <w:szCs w:val="14"/>
          <w:color w:val="auto"/>
        </w:rPr>
      </w:pPr>
      <w:r>
        <w:rPr>
          <w:rFonts w:ascii="Arial" w:cs="Arial" w:eastAsia="Arial" w:hAnsi="Arial"/>
          <w:sz w:val="14"/>
          <w:szCs w:val="14"/>
          <w:color w:val="auto"/>
        </w:rPr>
        <w:t>the Borrower and its Subsidiaries may sell, lease, transfer or otherwise dispose of equipment or other property or assets that do not consist of Portfolio Investments so long as the aggregate amount of all such sales, leases, transfer and dispositions does not exceed $7,500,000 in any fiscal year; and</w:t>
      </w:r>
    </w:p>
    <w:p>
      <w:pPr>
        <w:spacing w:after="0" w:line="173" w:lineRule="exact"/>
        <w:rPr>
          <w:rFonts w:ascii="Arial" w:cs="Arial" w:eastAsia="Arial" w:hAnsi="Arial"/>
          <w:sz w:val="14"/>
          <w:szCs w:val="14"/>
          <w:color w:val="auto"/>
        </w:rPr>
      </w:pPr>
    </w:p>
    <w:p>
      <w:pPr>
        <w:jc w:val="both"/>
        <w:ind w:right="20" w:firstLine="1735"/>
        <w:spacing w:after="0" w:line="255" w:lineRule="auto"/>
        <w:tabs>
          <w:tab w:leader="none" w:pos="2543" w:val="left"/>
        </w:tabs>
        <w:numPr>
          <w:ilvl w:val="0"/>
          <w:numId w:val="133"/>
        </w:numPr>
        <w:rPr>
          <w:rFonts w:ascii="Arial" w:cs="Arial" w:eastAsia="Arial" w:hAnsi="Arial"/>
          <w:sz w:val="13"/>
          <w:szCs w:val="13"/>
          <w:color w:val="auto"/>
        </w:rPr>
      </w:pPr>
      <w:r>
        <w:rPr>
          <w:rFonts w:ascii="Arial" w:cs="Arial" w:eastAsia="Arial" w:hAnsi="Arial"/>
          <w:sz w:val="13"/>
          <w:szCs w:val="13"/>
          <w:color w:val="auto"/>
        </w:rPr>
        <w:t>the Obligors may transfer assets to a Financing Subsidiary for the sole purpose of facilitating the transfer of assets from one Financing Subsidiary (or a Subsidiary that was a Financing Subsidiary immediately prior to such disposition) to another Financing Subsidiary, directly or indirectly through such Obligor (such assets, the “</w:t>
      </w:r>
      <w:r>
        <w:rPr>
          <w:rFonts w:ascii="Arial" w:cs="Arial" w:eastAsia="Arial" w:hAnsi="Arial"/>
          <w:sz w:val="13"/>
          <w:szCs w:val="13"/>
          <w:u w:val="single" w:color="auto"/>
          <w:color w:val="auto"/>
        </w:rPr>
        <w:t>Transferred</w:t>
      </w:r>
      <w:r>
        <w:rPr>
          <w:rFonts w:ascii="Arial" w:cs="Arial" w:eastAsia="Arial" w:hAnsi="Arial"/>
          <w:sz w:val="13"/>
          <w:szCs w:val="13"/>
          <w:color w:val="auto"/>
        </w:rPr>
        <w:t xml:space="preserve"> </w:t>
      </w:r>
      <w:r>
        <w:rPr>
          <w:rFonts w:ascii="Arial" w:cs="Arial" w:eastAsia="Arial" w:hAnsi="Arial"/>
          <w:sz w:val="13"/>
          <w:szCs w:val="13"/>
          <w:u w:val="single" w:color="auto"/>
          <w:color w:val="auto"/>
        </w:rPr>
        <w:t>Assets</w:t>
      </w:r>
      <w:r>
        <w:rPr>
          <w:rFonts w:ascii="Arial" w:cs="Arial" w:eastAsia="Arial" w:hAnsi="Arial"/>
          <w:sz w:val="13"/>
          <w:szCs w:val="13"/>
          <w:color w:val="auto"/>
        </w:rPr>
        <w:t>”), provided that (i) no Default exists or is continuing at such time, (ii) the Covered Debt Amount shall not exceed the Borrowing Base at such time and (iii) the Transferred Assets were transferred to such Obligor by the transferor Financing Subsidiary on the same Business Day that such assets are transferred by such Obligor to the transferee Financing Subsidiary.</w:t>
      </w:r>
    </w:p>
    <w:p>
      <w:pPr>
        <w:spacing w:after="0" w:line="175" w:lineRule="exact"/>
        <w:rPr>
          <w:sz w:val="20"/>
          <w:szCs w:val="20"/>
          <w:color w:val="auto"/>
        </w:rPr>
      </w:pPr>
    </w:p>
    <w:p>
      <w:pPr>
        <w:ind w:left="1740"/>
        <w:spacing w:after="0"/>
        <w:rPr>
          <w:sz w:val="20"/>
          <w:szCs w:val="20"/>
          <w:color w:val="auto"/>
        </w:rPr>
      </w:pPr>
      <w:r>
        <w:rPr>
          <w:rFonts w:ascii="Arial" w:cs="Arial" w:eastAsia="Arial" w:hAnsi="Arial"/>
          <w:sz w:val="13"/>
          <w:szCs w:val="13"/>
          <w:color w:val="auto"/>
        </w:rPr>
        <w:t xml:space="preserve">SECTION 6.04. </w:t>
      </w:r>
      <w:r>
        <w:rPr>
          <w:rFonts w:ascii="Arial" w:cs="Arial" w:eastAsia="Arial" w:hAnsi="Arial"/>
          <w:sz w:val="13"/>
          <w:szCs w:val="13"/>
          <w:u w:val="single" w:color="auto"/>
          <w:color w:val="auto"/>
        </w:rPr>
        <w:t>Investments</w:t>
      </w:r>
      <w:r>
        <w:rPr>
          <w:rFonts w:ascii="Arial" w:cs="Arial" w:eastAsia="Arial" w:hAnsi="Arial"/>
          <w:sz w:val="13"/>
          <w:szCs w:val="13"/>
          <w:color w:val="auto"/>
        </w:rPr>
        <w:t>. The Borrower will not, nor will it permit any of its Subsidiaries to, acquire, make or enter into, or hold, any Investments except:</w:t>
      </w:r>
    </w:p>
    <w:p>
      <w:pPr>
        <w:spacing w:after="0" w:line="215" w:lineRule="exact"/>
        <w:rPr>
          <w:sz w:val="20"/>
          <w:szCs w:val="20"/>
          <w:color w:val="auto"/>
        </w:rPr>
      </w:pPr>
    </w:p>
    <w:p>
      <w:pPr>
        <w:ind w:left="2540" w:hanging="805"/>
        <w:spacing w:after="0"/>
        <w:tabs>
          <w:tab w:leader="none" w:pos="2540" w:val="left"/>
        </w:tabs>
        <w:numPr>
          <w:ilvl w:val="0"/>
          <w:numId w:val="134"/>
        </w:numPr>
        <w:rPr>
          <w:rFonts w:ascii="Arial" w:cs="Arial" w:eastAsia="Arial" w:hAnsi="Arial"/>
          <w:sz w:val="14"/>
          <w:szCs w:val="14"/>
          <w:color w:val="auto"/>
        </w:rPr>
      </w:pPr>
      <w:r>
        <w:rPr>
          <w:rFonts w:ascii="Arial" w:cs="Arial" w:eastAsia="Arial" w:hAnsi="Arial"/>
          <w:sz w:val="14"/>
          <w:szCs w:val="14"/>
          <w:color w:val="auto"/>
        </w:rPr>
        <w:t>operating deposit accounts with banks;</w:t>
      </w:r>
    </w:p>
    <w:p>
      <w:pPr>
        <w:spacing w:after="0" w:line="203" w:lineRule="exact"/>
        <w:rPr>
          <w:rFonts w:ascii="Arial" w:cs="Arial" w:eastAsia="Arial" w:hAnsi="Arial"/>
          <w:sz w:val="14"/>
          <w:szCs w:val="14"/>
          <w:color w:val="auto"/>
        </w:rPr>
      </w:pPr>
    </w:p>
    <w:p>
      <w:pPr>
        <w:ind w:left="2560" w:hanging="825"/>
        <w:spacing w:after="0"/>
        <w:tabs>
          <w:tab w:leader="none" w:pos="2560" w:val="left"/>
        </w:tabs>
        <w:numPr>
          <w:ilvl w:val="0"/>
          <w:numId w:val="134"/>
        </w:numPr>
        <w:rPr>
          <w:rFonts w:ascii="Arial" w:cs="Arial" w:eastAsia="Arial" w:hAnsi="Arial"/>
          <w:sz w:val="14"/>
          <w:szCs w:val="14"/>
          <w:color w:val="auto"/>
        </w:rPr>
      </w:pPr>
      <w:r>
        <w:rPr>
          <w:rFonts w:ascii="Arial" w:cs="Arial" w:eastAsia="Arial" w:hAnsi="Arial"/>
          <w:sz w:val="14"/>
          <w:szCs w:val="14"/>
          <w:color w:val="auto"/>
        </w:rPr>
        <w:t>Investments by the Borrower and the Subsidiary Guarantors in the Borrower and the Subsidiary Guarantors;</w:t>
      </w:r>
    </w:p>
    <w:p>
      <w:pPr>
        <w:spacing w:after="0" w:line="203" w:lineRule="exact"/>
        <w:rPr>
          <w:rFonts w:ascii="Arial" w:cs="Arial" w:eastAsia="Arial" w:hAnsi="Arial"/>
          <w:sz w:val="14"/>
          <w:szCs w:val="14"/>
          <w:color w:val="auto"/>
        </w:rPr>
      </w:pPr>
    </w:p>
    <w:p>
      <w:pPr>
        <w:ind w:left="2540" w:hanging="805"/>
        <w:spacing w:after="0"/>
        <w:tabs>
          <w:tab w:leader="none" w:pos="2540" w:val="left"/>
        </w:tabs>
        <w:numPr>
          <w:ilvl w:val="0"/>
          <w:numId w:val="134"/>
        </w:numPr>
        <w:rPr>
          <w:rFonts w:ascii="Arial" w:cs="Arial" w:eastAsia="Arial" w:hAnsi="Arial"/>
          <w:sz w:val="14"/>
          <w:szCs w:val="14"/>
          <w:color w:val="auto"/>
        </w:rPr>
      </w:pPr>
      <w:r>
        <w:rPr>
          <w:rFonts w:ascii="Arial" w:cs="Arial" w:eastAsia="Arial" w:hAnsi="Arial"/>
          <w:sz w:val="14"/>
          <w:szCs w:val="14"/>
          <w:color w:val="auto"/>
        </w:rPr>
        <w:t>Hedging Agreements entered into in the ordinary course of the Borrower’s financial planning and not for speculative purposes;</w:t>
      </w:r>
    </w:p>
    <w:p>
      <w:pPr>
        <w:spacing w:after="0" w:line="200" w:lineRule="exact"/>
        <w:rPr>
          <w:sz w:val="20"/>
          <w:szCs w:val="20"/>
          <w:color w:val="auto"/>
        </w:rPr>
      </w:pPr>
    </w:p>
    <w:p>
      <w:pPr>
        <w:spacing w:after="0" w:line="200" w:lineRule="exact"/>
        <w:rPr>
          <w:sz w:val="20"/>
          <w:szCs w:val="20"/>
          <w:color w:val="auto"/>
        </w:rPr>
      </w:pPr>
    </w:p>
    <w:p>
      <w:pPr>
        <w:spacing w:after="0" w:line="22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7580" w:type="dxa"/>
            <w:vAlign w:val="bottom"/>
          </w:tcPr>
          <w:p>
            <w:pPr>
              <w:jc w:val="right"/>
              <w:ind w:right="1808"/>
              <w:spacing w:after="0"/>
              <w:rPr>
                <w:sz w:val="20"/>
                <w:szCs w:val="20"/>
                <w:color w:val="auto"/>
              </w:rPr>
            </w:pPr>
            <w:r>
              <w:rPr>
                <w:rFonts w:ascii="Arial" w:cs="Arial" w:eastAsia="Arial" w:hAnsi="Arial"/>
                <w:sz w:val="14"/>
                <w:szCs w:val="14"/>
                <w:color w:val="auto"/>
              </w:rPr>
              <w:t>52</w:t>
            </w:r>
          </w:p>
        </w:tc>
        <w:tc>
          <w:tcPr>
            <w:tcW w:w="3680" w:type="dxa"/>
            <w:vAlign w:val="bottom"/>
          </w:tcPr>
          <w:p>
            <w:pPr>
              <w:jc w:val="right"/>
              <w:spacing w:after="0"/>
              <w:rPr>
                <w:sz w:val="20"/>
                <w:szCs w:val="20"/>
                <w:color w:val="auto"/>
              </w:rPr>
            </w:pPr>
            <w:r>
              <w:rPr>
                <w:rFonts w:ascii="Arial" w:cs="Arial" w:eastAsia="Arial" w:hAnsi="Arial"/>
                <w:sz w:val="14"/>
                <w:szCs w:val="14"/>
                <w:i w:val="1"/>
                <w:iCs w:val="1"/>
                <w:color w:val="auto"/>
              </w:rPr>
              <w:t>Second Amended and Restated</w:t>
            </w:r>
          </w:p>
        </w:tc>
      </w:tr>
      <w:tr>
        <w:trPr>
          <w:trHeight w:val="182"/>
        </w:trPr>
        <w:tc>
          <w:tcPr>
            <w:tcW w:w="7580" w:type="dxa"/>
            <w:vAlign w:val="bottom"/>
          </w:tcPr>
          <w:p>
            <w:pPr>
              <w:spacing w:after="0"/>
              <w:rPr>
                <w:sz w:val="15"/>
                <w:szCs w:val="15"/>
                <w:color w:val="auto"/>
              </w:rPr>
            </w:pPr>
          </w:p>
        </w:tc>
        <w:tc>
          <w:tcPr>
            <w:tcW w:w="3680" w:type="dxa"/>
            <w:vAlign w:val="bottom"/>
          </w:tcPr>
          <w:p>
            <w:pPr>
              <w:jc w:val="right"/>
              <w:spacing w:after="0"/>
              <w:rPr>
                <w:sz w:val="20"/>
                <w:szCs w:val="20"/>
                <w:color w:val="auto"/>
              </w:rPr>
            </w:pPr>
            <w:r>
              <w:rPr>
                <w:rFonts w:ascii="Arial" w:cs="Arial" w:eastAsia="Arial" w:hAnsi="Arial"/>
                <w:sz w:val="14"/>
                <w:szCs w:val="14"/>
                <w:i w:val="1"/>
                <w:iCs w:val="1"/>
                <w:color w:val="auto"/>
              </w:rPr>
              <w:t>Revolving Credit Agreement</w:t>
            </w:r>
          </w:p>
        </w:tc>
      </w:tr>
      <w:tr>
        <w:trPr>
          <w:trHeight w:val="316"/>
        </w:trPr>
        <w:tc>
          <w:tcPr>
            <w:tcW w:w="7580" w:type="dxa"/>
            <w:vAlign w:val="bottom"/>
            <w:tcBorders>
              <w:bottom w:val="single" w:sz="8" w:color="9A9A9A"/>
            </w:tcBorders>
          </w:tcPr>
          <w:p>
            <w:pPr>
              <w:spacing w:after="0"/>
              <w:rPr>
                <w:sz w:val="24"/>
                <w:szCs w:val="24"/>
                <w:color w:val="auto"/>
              </w:rPr>
            </w:pPr>
          </w:p>
        </w:tc>
        <w:tc>
          <w:tcPr>
            <w:tcW w:w="368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7145655</wp:posOffset>
            </wp:positionH>
            <wp:positionV relativeFrom="paragraph">
              <wp:posOffset>-7620</wp:posOffset>
            </wp:positionV>
            <wp:extent cx="8255" cy="8255"/>
            <wp:wrapNone/>
            <wp:docPr id="209" name="Picture 2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9"/>
                    <pic:cNvPicPr>
                      <a:picLocks noChangeAspect="1" noChangeArrowheads="1"/>
                    </pic:cNvPicPr>
                  </pic:nvPicPr>
                  <pic:blipFill>
                    <a:blip r:embed="rId216">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-16510</wp:posOffset>
            </wp:positionV>
            <wp:extent cx="8890" cy="17145"/>
            <wp:wrapNone/>
            <wp:docPr id="210" name="Picture 2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0"/>
                    <pic:cNvPicPr>
                      <a:picLocks noChangeAspect="1" noChangeArrowheads="1"/>
                    </pic:cNvPicPr>
                  </pic:nvPicPr>
                  <pic:blipFill>
                    <a:blip r:embed="rId217">
                      <a:extLst>
                        <a:ext uri="{28A0092B-C50C-407E-A947-70E740481C1C}"/>
                      </a:extLst>
                    </a:blip>
                    <a:srcRect/>
                    <a:stretch>
                      <a:fillRect/>
                    </a:stretch>
                  </pic:blipFill>
                  <pic:spPr bwMode="auto">
                    <a:xfrm>
                      <a:off x="0" y="0"/>
                      <a:ext cx="8890" cy="17145"/>
                    </a:xfrm>
                    <a:prstGeom prst="rect">
                      <a:avLst/>
                    </a:prstGeom>
                    <a:noFill/>
                  </pic:spPr>
                </pic:pic>
              </a:graphicData>
            </a:graphic>
          </wp:anchor>
        </w:drawing>
      </w:r>
    </w:p>
    <w:p>
      <w:pPr>
        <w:sectPr>
          <w:pgSz w:w="11900" w:h="16838" w:orient="portrait"/>
          <w:cols w:equalWidth="0" w:num="1">
            <w:col w:w="11260"/>
          </w:cols>
          <w:pgMar w:left="320" w:top="337" w:right="319" w:bottom="1440" w:gutter="0" w:footer="0" w:header="0"/>
          <w:type w:val="continuous"/>
        </w:sectPr>
      </w:pPr>
    </w:p>
    <w:bookmarkStart w:id="115" w:name="page116"/>
    <w:bookmarkEnd w:id="115"/>
    <w:p>
      <w:pPr>
        <w:ind w:right="20" w:firstLine="1735"/>
        <w:spacing w:after="0" w:line="253" w:lineRule="auto"/>
        <w:tabs>
          <w:tab w:leader="none" w:pos="2543" w:val="left"/>
        </w:tabs>
        <w:numPr>
          <w:ilvl w:val="0"/>
          <w:numId w:val="135"/>
        </w:numPr>
        <w:rPr>
          <w:rFonts w:ascii="Arial" w:cs="Arial" w:eastAsia="Arial" w:hAnsi="Arial"/>
          <w:sz w:val="14"/>
          <w:szCs w:val="14"/>
          <w:color w:val="auto"/>
        </w:rPr>
      </w:pPr>
      <w:r>
        <w:rPr>
          <w:rFonts w:ascii="Arial" w:cs="Arial" w:eastAsia="Arial" w:hAnsi="Arial"/>
          <w:sz w:val="14"/>
          <w:szCs w:val="14"/>
          <w:color w:val="auto"/>
        </w:rPr>
        <w:t>Portfolio Investments by the Borrower and its Subsidiaries to the extent such Portfolio Investments are permitted under the Investment Company Act (if applicable) and in compliance in all material respects with the Borrower’s Investment Policies, in each case as in effect as of the date such Investments are acquired;</w:t>
      </w:r>
    </w:p>
    <w:p>
      <w:pPr>
        <w:spacing w:after="0" w:line="173" w:lineRule="exact"/>
        <w:rPr>
          <w:rFonts w:ascii="Arial" w:cs="Arial" w:eastAsia="Arial" w:hAnsi="Arial"/>
          <w:sz w:val="14"/>
          <w:szCs w:val="14"/>
          <w:color w:val="auto"/>
        </w:rPr>
      </w:pPr>
    </w:p>
    <w:p>
      <w:pPr>
        <w:jc w:val="both"/>
        <w:ind w:right="40" w:firstLine="1735"/>
        <w:spacing w:after="0" w:line="238" w:lineRule="auto"/>
        <w:tabs>
          <w:tab w:leader="none" w:pos="2535" w:val="left"/>
        </w:tabs>
        <w:numPr>
          <w:ilvl w:val="0"/>
          <w:numId w:val="135"/>
        </w:numPr>
        <w:rPr>
          <w:rFonts w:ascii="Arial" w:cs="Arial" w:eastAsia="Arial" w:hAnsi="Arial"/>
          <w:sz w:val="14"/>
          <w:szCs w:val="14"/>
          <w:color w:val="auto"/>
        </w:rPr>
      </w:pPr>
      <w:r>
        <w:rPr>
          <w:rFonts w:ascii="Arial" w:cs="Arial" w:eastAsia="Arial" w:hAnsi="Arial"/>
          <w:sz w:val="14"/>
          <w:szCs w:val="14"/>
          <w:color w:val="auto"/>
        </w:rPr>
        <w:t xml:space="preserve">Investments in Financing Subsidiaries so long as, (i) after giving effect to such Investment, the Covered Debt Amount does not exceed the Borrowing Base and (ii) the sum of (x) all Investments under this </w:t>
      </w:r>
      <w:r>
        <w:rPr>
          <w:rFonts w:ascii="Arial" w:cs="Arial" w:eastAsia="Arial" w:hAnsi="Arial"/>
          <w:sz w:val="14"/>
          <w:szCs w:val="14"/>
          <w:u w:val="single" w:color="auto"/>
          <w:color w:val="auto"/>
        </w:rPr>
        <w:t>clause (e)</w:t>
      </w:r>
      <w:r>
        <w:rPr>
          <w:rFonts w:ascii="Arial" w:cs="Arial" w:eastAsia="Arial" w:hAnsi="Arial"/>
          <w:sz w:val="14"/>
          <w:szCs w:val="14"/>
          <w:color w:val="auto"/>
        </w:rPr>
        <w:t xml:space="preserve"> that occur after the Commitment Termination Date and (y) all Investments under </w:t>
      </w:r>
      <w:r>
        <w:rPr>
          <w:rFonts w:ascii="Arial" w:cs="Arial" w:eastAsia="Arial" w:hAnsi="Arial"/>
          <w:sz w:val="14"/>
          <w:szCs w:val="14"/>
          <w:u w:val="single" w:color="auto"/>
          <w:color w:val="auto"/>
        </w:rPr>
        <w:t>clause (f)</w:t>
      </w:r>
      <w:r>
        <w:rPr>
          <w:rFonts w:ascii="Arial" w:cs="Arial" w:eastAsia="Arial" w:hAnsi="Arial"/>
          <w:sz w:val="14"/>
          <w:szCs w:val="14"/>
          <w:color w:val="auto"/>
        </w:rPr>
        <w:t xml:space="preserve"> below that occur after the Commitment Termination Date, shall not exceed $7,500,000 in the aggregate;</w:t>
      </w:r>
    </w:p>
    <w:p>
      <w:pPr>
        <w:spacing w:after="0" w:line="182" w:lineRule="exact"/>
        <w:rPr>
          <w:rFonts w:ascii="Arial" w:cs="Arial" w:eastAsia="Arial" w:hAnsi="Arial"/>
          <w:sz w:val="14"/>
          <w:szCs w:val="14"/>
          <w:color w:val="auto"/>
        </w:rPr>
      </w:pPr>
    </w:p>
    <w:p>
      <w:pPr>
        <w:ind w:right="20" w:firstLine="1735"/>
        <w:spacing w:after="0" w:line="290" w:lineRule="auto"/>
        <w:tabs>
          <w:tab w:leader="none" w:pos="2519" w:val="left"/>
        </w:tabs>
        <w:numPr>
          <w:ilvl w:val="0"/>
          <w:numId w:val="135"/>
        </w:numPr>
        <w:rPr>
          <w:rFonts w:ascii="Arial" w:cs="Arial" w:eastAsia="Arial" w:hAnsi="Arial"/>
          <w:sz w:val="13"/>
          <w:szCs w:val="13"/>
          <w:color w:val="auto"/>
        </w:rPr>
      </w:pPr>
      <w:r>
        <w:rPr>
          <w:rFonts w:ascii="Arial" w:cs="Arial" w:eastAsia="Arial" w:hAnsi="Arial"/>
          <w:sz w:val="13"/>
          <w:szCs w:val="13"/>
          <w:color w:val="auto"/>
        </w:rPr>
        <w:t xml:space="preserve">additional Investments up to but not exceeding $75,000,000 in the aggregate; </w:t>
      </w:r>
      <w:r>
        <w:rPr>
          <w:rFonts w:ascii="Arial" w:cs="Arial" w:eastAsia="Arial" w:hAnsi="Arial"/>
          <w:sz w:val="13"/>
          <w:szCs w:val="13"/>
          <w:u w:val="single" w:color="auto"/>
          <w:color w:val="auto"/>
        </w:rPr>
        <w:t>provided</w:t>
      </w:r>
      <w:r>
        <w:rPr>
          <w:rFonts w:ascii="Arial" w:cs="Arial" w:eastAsia="Arial" w:hAnsi="Arial"/>
          <w:sz w:val="13"/>
          <w:szCs w:val="13"/>
          <w:color w:val="auto"/>
        </w:rPr>
        <w:t xml:space="preserve"> that the sum of (x) all Investments under this </w:t>
      </w:r>
      <w:r>
        <w:rPr>
          <w:rFonts w:ascii="Arial" w:cs="Arial" w:eastAsia="Arial" w:hAnsi="Arial"/>
          <w:sz w:val="13"/>
          <w:szCs w:val="13"/>
          <w:u w:val="single" w:color="auto"/>
          <w:color w:val="auto"/>
        </w:rPr>
        <w:t>clause (f)</w:t>
      </w:r>
      <w:r>
        <w:rPr>
          <w:rFonts w:ascii="Arial" w:cs="Arial" w:eastAsia="Arial" w:hAnsi="Arial"/>
          <w:sz w:val="13"/>
          <w:szCs w:val="13"/>
          <w:color w:val="auto"/>
        </w:rPr>
        <w:t xml:space="preserve"> that occur after the Commitment Termination Date and (y) all Investments under </w:t>
      </w:r>
      <w:r>
        <w:rPr>
          <w:rFonts w:ascii="Arial" w:cs="Arial" w:eastAsia="Arial" w:hAnsi="Arial"/>
          <w:sz w:val="13"/>
          <w:szCs w:val="13"/>
          <w:u w:val="single" w:color="auto"/>
          <w:color w:val="auto"/>
        </w:rPr>
        <w:t>clause (e)</w:t>
      </w:r>
      <w:r>
        <w:rPr>
          <w:rFonts w:ascii="Arial" w:cs="Arial" w:eastAsia="Arial" w:hAnsi="Arial"/>
          <w:sz w:val="13"/>
          <w:szCs w:val="13"/>
          <w:color w:val="auto"/>
        </w:rPr>
        <w:t xml:space="preserve"> above that occur after the Commitment Termination Date, shall not exceed $7,500,000 in the aggregate;</w:t>
      </w:r>
    </w:p>
    <w:p>
      <w:pPr>
        <w:spacing w:after="0" w:line="151" w:lineRule="exact"/>
        <w:rPr>
          <w:rFonts w:ascii="Arial" w:cs="Arial" w:eastAsia="Arial" w:hAnsi="Arial"/>
          <w:sz w:val="13"/>
          <w:szCs w:val="13"/>
          <w:color w:val="auto"/>
        </w:rPr>
      </w:pPr>
    </w:p>
    <w:p>
      <w:pPr>
        <w:ind w:left="2560" w:hanging="825"/>
        <w:spacing w:after="0"/>
        <w:tabs>
          <w:tab w:leader="none" w:pos="2560" w:val="left"/>
        </w:tabs>
        <w:numPr>
          <w:ilvl w:val="0"/>
          <w:numId w:val="135"/>
        </w:numPr>
        <w:rPr>
          <w:rFonts w:ascii="Arial" w:cs="Arial" w:eastAsia="Arial" w:hAnsi="Arial"/>
          <w:sz w:val="14"/>
          <w:szCs w:val="14"/>
          <w:color w:val="auto"/>
        </w:rPr>
      </w:pPr>
      <w:r>
        <w:rPr>
          <w:rFonts w:ascii="Arial" w:cs="Arial" w:eastAsia="Arial" w:hAnsi="Arial"/>
          <w:sz w:val="14"/>
          <w:szCs w:val="14"/>
          <w:color w:val="auto"/>
        </w:rPr>
        <w:t>Investments in Cash and Cash Equivalents;</w:t>
      </w:r>
    </w:p>
    <w:p>
      <w:pPr>
        <w:spacing w:after="0" w:line="203" w:lineRule="exact"/>
        <w:rPr>
          <w:rFonts w:ascii="Arial" w:cs="Arial" w:eastAsia="Arial" w:hAnsi="Arial"/>
          <w:sz w:val="14"/>
          <w:szCs w:val="14"/>
          <w:color w:val="auto"/>
        </w:rPr>
      </w:pPr>
    </w:p>
    <w:p>
      <w:pPr>
        <w:ind w:left="2560" w:hanging="825"/>
        <w:spacing w:after="0"/>
        <w:tabs>
          <w:tab w:leader="none" w:pos="2560" w:val="left"/>
        </w:tabs>
        <w:numPr>
          <w:ilvl w:val="0"/>
          <w:numId w:val="135"/>
        </w:numPr>
        <w:rPr>
          <w:rFonts w:ascii="Arial" w:cs="Arial" w:eastAsia="Arial" w:hAnsi="Arial"/>
          <w:sz w:val="14"/>
          <w:szCs w:val="14"/>
          <w:color w:val="auto"/>
        </w:rPr>
      </w:pPr>
      <w:r>
        <w:rPr>
          <w:rFonts w:ascii="Arial" w:cs="Arial" w:eastAsia="Arial" w:hAnsi="Arial"/>
          <w:sz w:val="14"/>
          <w:szCs w:val="14"/>
          <w:color w:val="auto"/>
        </w:rPr>
        <w:t xml:space="preserve">Investments described on </w:t>
      </w:r>
      <w:r>
        <w:rPr>
          <w:rFonts w:ascii="Arial" w:cs="Arial" w:eastAsia="Arial" w:hAnsi="Arial"/>
          <w:sz w:val="14"/>
          <w:szCs w:val="14"/>
          <w:u w:val="single" w:color="auto"/>
          <w:color w:val="auto"/>
        </w:rPr>
        <w:t>Schedule 3.12(b)</w:t>
      </w:r>
      <w:r>
        <w:rPr>
          <w:rFonts w:ascii="Arial" w:cs="Arial" w:eastAsia="Arial" w:hAnsi="Arial"/>
          <w:sz w:val="14"/>
          <w:szCs w:val="14"/>
          <w:color w:val="auto"/>
        </w:rPr>
        <w:t>;</w:t>
      </w:r>
    </w:p>
    <w:p>
      <w:pPr>
        <w:spacing w:after="0" w:line="203" w:lineRule="exact"/>
        <w:rPr>
          <w:rFonts w:ascii="Arial" w:cs="Arial" w:eastAsia="Arial" w:hAnsi="Arial"/>
          <w:sz w:val="14"/>
          <w:szCs w:val="14"/>
          <w:color w:val="auto"/>
        </w:rPr>
      </w:pPr>
    </w:p>
    <w:p>
      <w:pPr>
        <w:ind w:left="2520" w:hanging="785"/>
        <w:spacing w:after="0"/>
        <w:tabs>
          <w:tab w:leader="none" w:pos="2520" w:val="left"/>
        </w:tabs>
        <w:numPr>
          <w:ilvl w:val="0"/>
          <w:numId w:val="135"/>
        </w:numPr>
        <w:rPr>
          <w:rFonts w:ascii="Arial" w:cs="Arial" w:eastAsia="Arial" w:hAnsi="Arial"/>
          <w:sz w:val="14"/>
          <w:szCs w:val="14"/>
          <w:color w:val="auto"/>
        </w:rPr>
      </w:pPr>
      <w:r>
        <w:rPr>
          <w:rFonts w:ascii="Arial" w:cs="Arial" w:eastAsia="Arial" w:hAnsi="Arial"/>
          <w:sz w:val="14"/>
          <w:szCs w:val="14"/>
          <w:color w:val="auto"/>
        </w:rPr>
        <w:t>Investments by a Financing Subsidiary; and</w:t>
      </w:r>
    </w:p>
    <w:p>
      <w:pPr>
        <w:spacing w:after="0" w:line="203" w:lineRule="exact"/>
        <w:rPr>
          <w:rFonts w:ascii="Arial" w:cs="Arial" w:eastAsia="Arial" w:hAnsi="Arial"/>
          <w:sz w:val="14"/>
          <w:szCs w:val="14"/>
          <w:color w:val="auto"/>
        </w:rPr>
      </w:pPr>
    </w:p>
    <w:p>
      <w:pPr>
        <w:ind w:left="2520" w:hanging="785"/>
        <w:spacing w:after="0"/>
        <w:tabs>
          <w:tab w:leader="none" w:pos="2520" w:val="left"/>
        </w:tabs>
        <w:numPr>
          <w:ilvl w:val="0"/>
          <w:numId w:val="135"/>
        </w:numPr>
        <w:rPr>
          <w:rFonts w:ascii="Arial" w:cs="Arial" w:eastAsia="Arial" w:hAnsi="Arial"/>
          <w:sz w:val="14"/>
          <w:szCs w:val="14"/>
          <w:color w:val="auto"/>
        </w:rPr>
      </w:pPr>
      <w:r>
        <w:rPr>
          <w:rFonts w:ascii="Arial" w:cs="Arial" w:eastAsia="Arial" w:hAnsi="Arial"/>
          <w:sz w:val="14"/>
          <w:szCs w:val="14"/>
          <w:color w:val="auto"/>
        </w:rPr>
        <w:t xml:space="preserve">Investments in the form of Guarantees permitted pursuant to </w:t>
      </w:r>
      <w:r>
        <w:rPr>
          <w:rFonts w:ascii="Arial" w:cs="Arial" w:eastAsia="Arial" w:hAnsi="Arial"/>
          <w:sz w:val="14"/>
          <w:szCs w:val="14"/>
          <w:u w:val="single" w:color="auto"/>
          <w:color w:val="auto"/>
        </w:rPr>
        <w:t>Section 6.01</w:t>
      </w:r>
      <w:r>
        <w:rPr>
          <w:rFonts w:ascii="Arial" w:cs="Arial" w:eastAsia="Arial" w:hAnsi="Arial"/>
          <w:sz w:val="14"/>
          <w:szCs w:val="14"/>
          <w:color w:val="auto"/>
        </w:rPr>
        <w:t>.</w:t>
      </w:r>
    </w:p>
    <w:p>
      <w:pPr>
        <w:spacing w:after="0" w:line="204" w:lineRule="exact"/>
        <w:rPr>
          <w:sz w:val="20"/>
          <w:szCs w:val="20"/>
          <w:color w:val="auto"/>
        </w:rPr>
      </w:pPr>
    </w:p>
    <w:p>
      <w:pPr>
        <w:jc w:val="both"/>
        <w:ind w:right="20" w:firstLine="1727"/>
        <w:spacing w:after="0" w:line="229" w:lineRule="auto"/>
        <w:rPr>
          <w:sz w:val="20"/>
          <w:szCs w:val="20"/>
          <w:color w:val="auto"/>
        </w:rPr>
      </w:pPr>
      <w:r>
        <w:rPr>
          <w:rFonts w:ascii="Arial" w:cs="Arial" w:eastAsia="Arial" w:hAnsi="Arial"/>
          <w:sz w:val="14"/>
          <w:szCs w:val="14"/>
          <w:color w:val="auto"/>
        </w:rPr>
        <w:t xml:space="preserve">For purposes of </w:t>
      </w:r>
      <w:r>
        <w:rPr>
          <w:rFonts w:ascii="Arial" w:cs="Arial" w:eastAsia="Arial" w:hAnsi="Arial"/>
          <w:sz w:val="14"/>
          <w:szCs w:val="14"/>
          <w:u w:val="single" w:color="auto"/>
          <w:color w:val="auto"/>
        </w:rPr>
        <w:t>clauses (e) and (f)</w:t>
      </w:r>
      <w:r>
        <w:rPr>
          <w:rFonts w:ascii="Arial" w:cs="Arial" w:eastAsia="Arial" w:hAnsi="Arial"/>
          <w:sz w:val="14"/>
          <w:szCs w:val="14"/>
          <w:color w:val="auto"/>
        </w:rPr>
        <w:t xml:space="preserve"> of this Section, the aggregate amount of an Investment at any time shall be deemed to be equal to (A) the aggregate amount of cash, together with the aggregate fair market value of property, loaned, advanced, contributed, transferred or otherwise invested that gives rise to such Investment </w:t>
      </w:r>
      <w:r>
        <w:rPr>
          <w:rFonts w:ascii="Arial" w:cs="Arial" w:eastAsia="Arial" w:hAnsi="Arial"/>
          <w:sz w:val="14"/>
          <w:szCs w:val="14"/>
          <w:u w:val="single" w:color="auto"/>
          <w:color w:val="auto"/>
        </w:rPr>
        <w:t>minus</w:t>
      </w:r>
      <w:r>
        <w:rPr>
          <w:rFonts w:ascii="Arial" w:cs="Arial" w:eastAsia="Arial" w:hAnsi="Arial"/>
          <w:sz w:val="14"/>
          <w:szCs w:val="14"/>
          <w:color w:val="auto"/>
        </w:rPr>
        <w:t xml:space="preserve"> (B) the aggregate amount of Return of Capital and dividends, distributions or other payments received in cash in respect of such Investment and the values (valued in accordance with Section 5.12(b) of other Investments received in respect of such Investment; </w:t>
      </w:r>
      <w:r>
        <w:rPr>
          <w:rFonts w:ascii="Arial" w:cs="Arial" w:eastAsia="Arial" w:hAnsi="Arial"/>
          <w:sz w:val="14"/>
          <w:szCs w:val="14"/>
          <w:u w:val="single" w:color="auto"/>
          <w:color w:val="auto"/>
        </w:rPr>
        <w:t>provided</w:t>
      </w:r>
      <w:r>
        <w:rPr>
          <w:rFonts w:ascii="Arial" w:cs="Arial" w:eastAsia="Arial" w:hAnsi="Arial"/>
          <w:sz w:val="14"/>
          <w:szCs w:val="14"/>
          <w:color w:val="auto"/>
        </w:rPr>
        <w:t xml:space="preserve"> that in no event shall the aggregate amount of such Investment be deemed to be less than zero; the amount of an Investment shall not in any event be reduced by reason of any write-off of such Investment nor increased by any increase in the amount of earnings retained in the Person in which such Investment is made that have not been dividended, distributed or otherwise paid out.</w:t>
      </w:r>
    </w:p>
    <w:p>
      <w:pPr>
        <w:spacing w:after="0" w:line="185" w:lineRule="exact"/>
        <w:rPr>
          <w:sz w:val="20"/>
          <w:szCs w:val="20"/>
          <w:color w:val="auto"/>
        </w:rPr>
      </w:pPr>
    </w:p>
    <w:p>
      <w:pPr>
        <w:jc w:val="both"/>
        <w:ind w:right="40" w:firstLine="1727"/>
        <w:spacing w:after="0" w:line="253" w:lineRule="auto"/>
        <w:rPr>
          <w:sz w:val="20"/>
          <w:szCs w:val="20"/>
          <w:color w:val="auto"/>
        </w:rPr>
      </w:pPr>
      <w:r>
        <w:rPr>
          <w:rFonts w:ascii="Arial" w:cs="Arial" w:eastAsia="Arial" w:hAnsi="Arial"/>
          <w:sz w:val="14"/>
          <w:szCs w:val="14"/>
          <w:color w:val="auto"/>
        </w:rPr>
        <w:t xml:space="preserve">SECTION 6.05. </w:t>
      </w:r>
      <w:r>
        <w:rPr>
          <w:rFonts w:ascii="Arial" w:cs="Arial" w:eastAsia="Arial" w:hAnsi="Arial"/>
          <w:sz w:val="14"/>
          <w:szCs w:val="14"/>
          <w:u w:val="single" w:color="auto"/>
          <w:color w:val="auto"/>
        </w:rPr>
        <w:t>Restricted Payments</w:t>
      </w:r>
      <w:r>
        <w:rPr>
          <w:rFonts w:ascii="Arial" w:cs="Arial" w:eastAsia="Arial" w:hAnsi="Arial"/>
          <w:sz w:val="14"/>
          <w:szCs w:val="14"/>
          <w:color w:val="auto"/>
        </w:rPr>
        <w:t>. The Borrower will not, nor will it permit any of its Subsidiaries (other than Financing Subsidiaries) to, declare or make, or agree to pay or make, directly or indirectly, any Restricted Payment, except that the Borrower may declare and pay:</w:t>
      </w:r>
    </w:p>
    <w:p>
      <w:pPr>
        <w:spacing w:after="0" w:line="174" w:lineRule="exact"/>
        <w:rPr>
          <w:sz w:val="20"/>
          <w:szCs w:val="20"/>
          <w:color w:val="auto"/>
        </w:rPr>
      </w:pPr>
    </w:p>
    <w:p>
      <w:pPr>
        <w:ind w:left="2540" w:hanging="805"/>
        <w:spacing w:after="0"/>
        <w:tabs>
          <w:tab w:leader="none" w:pos="2540" w:val="left"/>
        </w:tabs>
        <w:numPr>
          <w:ilvl w:val="2"/>
          <w:numId w:val="136"/>
        </w:numPr>
        <w:rPr>
          <w:rFonts w:ascii="Arial" w:cs="Arial" w:eastAsia="Arial" w:hAnsi="Arial"/>
          <w:sz w:val="14"/>
          <w:szCs w:val="14"/>
          <w:color w:val="auto"/>
        </w:rPr>
      </w:pPr>
      <w:r>
        <w:rPr>
          <w:rFonts w:ascii="Arial" w:cs="Arial" w:eastAsia="Arial" w:hAnsi="Arial"/>
          <w:sz w:val="14"/>
          <w:szCs w:val="14"/>
          <w:color w:val="auto"/>
        </w:rPr>
        <w:t>dividends with respect to the capital stock of the Borrower payable solely in additional shares of the Borrower’s common stock;</w:t>
      </w:r>
    </w:p>
    <w:p>
      <w:pPr>
        <w:spacing w:after="0" w:line="203" w:lineRule="exact"/>
        <w:rPr>
          <w:rFonts w:ascii="Arial" w:cs="Arial" w:eastAsia="Arial" w:hAnsi="Arial"/>
          <w:sz w:val="14"/>
          <w:szCs w:val="14"/>
          <w:color w:val="auto"/>
        </w:rPr>
      </w:pPr>
    </w:p>
    <w:p>
      <w:pPr>
        <w:jc w:val="both"/>
        <w:ind w:right="20" w:firstLine="1735"/>
        <w:spacing w:after="0" w:line="233" w:lineRule="auto"/>
        <w:tabs>
          <w:tab w:leader="none" w:pos="2543" w:val="left"/>
        </w:tabs>
        <w:numPr>
          <w:ilvl w:val="2"/>
          <w:numId w:val="136"/>
        </w:numPr>
        <w:rPr>
          <w:rFonts w:ascii="Arial" w:cs="Arial" w:eastAsia="Arial" w:hAnsi="Arial"/>
          <w:sz w:val="14"/>
          <w:szCs w:val="14"/>
          <w:color w:val="auto"/>
        </w:rPr>
      </w:pPr>
      <w:r>
        <w:rPr>
          <w:rFonts w:ascii="Arial" w:cs="Arial" w:eastAsia="Arial" w:hAnsi="Arial"/>
          <w:sz w:val="14"/>
          <w:szCs w:val="14"/>
          <w:color w:val="auto"/>
        </w:rPr>
        <w:t>dividends and distributions in either case in cash or other property (excluding for this purpose the Borrower’s common stock) in any taxable year of the Borrower in amounts not to exceed the amount that is estimated in good faith by the Borrower to be required to (i) reduce to zero for such taxable year or for the previous taxable year, its investment company taxable income (within the meaning of Section 852(b)(2) of the Code) and reduce to zero the tax imposed by Section 852(b)(3) of the Code, and (ii) avoid federal excise taxes for such taxable year imposed by Section 4982 of the Code;</w:t>
      </w:r>
    </w:p>
    <w:p>
      <w:pPr>
        <w:spacing w:after="0" w:line="184" w:lineRule="exact"/>
        <w:rPr>
          <w:rFonts w:ascii="Arial" w:cs="Arial" w:eastAsia="Arial" w:hAnsi="Arial"/>
          <w:sz w:val="14"/>
          <w:szCs w:val="14"/>
          <w:color w:val="auto"/>
        </w:rPr>
      </w:pPr>
    </w:p>
    <w:p>
      <w:pPr>
        <w:ind w:right="40" w:firstLine="1735"/>
        <w:spacing w:after="0" w:line="253" w:lineRule="auto"/>
        <w:tabs>
          <w:tab w:leader="none" w:pos="2535" w:val="left"/>
        </w:tabs>
        <w:numPr>
          <w:ilvl w:val="2"/>
          <w:numId w:val="136"/>
        </w:numPr>
        <w:rPr>
          <w:rFonts w:ascii="Arial" w:cs="Arial" w:eastAsia="Arial" w:hAnsi="Arial"/>
          <w:sz w:val="14"/>
          <w:szCs w:val="14"/>
          <w:color w:val="auto"/>
        </w:rPr>
      </w:pPr>
      <w:r>
        <w:rPr>
          <w:rFonts w:ascii="Arial" w:cs="Arial" w:eastAsia="Arial" w:hAnsi="Arial"/>
          <w:sz w:val="14"/>
          <w:szCs w:val="14"/>
          <w:color w:val="auto"/>
        </w:rPr>
        <w:t xml:space="preserve">dividends and distributions in each case in cash or other property (excluding for this purpose the Borrower’s common stock) in addition to the dividends and distributions permitted under the foregoing </w:t>
      </w:r>
      <w:r>
        <w:rPr>
          <w:rFonts w:ascii="Arial" w:cs="Arial" w:eastAsia="Arial" w:hAnsi="Arial"/>
          <w:sz w:val="14"/>
          <w:szCs w:val="14"/>
          <w:u w:val="single" w:color="auto"/>
          <w:color w:val="auto"/>
        </w:rPr>
        <w:t>clauses (a)</w:t>
      </w:r>
      <w:r>
        <w:rPr>
          <w:rFonts w:ascii="Arial" w:cs="Arial" w:eastAsia="Arial" w:hAnsi="Arial"/>
          <w:sz w:val="14"/>
          <w:szCs w:val="14"/>
          <w:color w:val="auto"/>
        </w:rPr>
        <w:t xml:space="preserve"> and </w:t>
      </w:r>
      <w:r>
        <w:rPr>
          <w:rFonts w:ascii="Arial" w:cs="Arial" w:eastAsia="Arial" w:hAnsi="Arial"/>
          <w:sz w:val="14"/>
          <w:szCs w:val="14"/>
          <w:u w:val="single" w:color="auto"/>
          <w:color w:val="auto"/>
        </w:rPr>
        <w:t>(b)</w:t>
      </w:r>
      <w:r>
        <w:rPr>
          <w:rFonts w:ascii="Arial" w:cs="Arial" w:eastAsia="Arial" w:hAnsi="Arial"/>
          <w:sz w:val="14"/>
          <w:szCs w:val="14"/>
          <w:color w:val="auto"/>
        </w:rPr>
        <w:t>, so long as on the date of such Restricted Payment and after giving effect thereto:</w:t>
      </w:r>
    </w:p>
    <w:p>
      <w:pPr>
        <w:spacing w:after="0" w:line="173" w:lineRule="exact"/>
        <w:rPr>
          <w:rFonts w:ascii="Arial" w:cs="Arial" w:eastAsia="Arial" w:hAnsi="Arial"/>
          <w:sz w:val="14"/>
          <w:szCs w:val="14"/>
          <w:color w:val="auto"/>
        </w:rPr>
      </w:pPr>
    </w:p>
    <w:p>
      <w:pPr>
        <w:ind w:left="2460" w:hanging="791"/>
        <w:spacing w:after="0"/>
        <w:tabs>
          <w:tab w:leader="none" w:pos="2460" w:val="left"/>
        </w:tabs>
        <w:numPr>
          <w:ilvl w:val="1"/>
          <w:numId w:val="137"/>
        </w:numPr>
        <w:rPr>
          <w:rFonts w:ascii="Arial" w:cs="Arial" w:eastAsia="Arial" w:hAnsi="Arial"/>
          <w:sz w:val="14"/>
          <w:szCs w:val="14"/>
          <w:color w:val="auto"/>
        </w:rPr>
      </w:pPr>
      <w:r>
        <w:rPr>
          <w:rFonts w:ascii="Arial" w:cs="Arial" w:eastAsia="Arial" w:hAnsi="Arial"/>
          <w:sz w:val="14"/>
          <w:szCs w:val="14"/>
          <w:color w:val="auto"/>
        </w:rPr>
        <w:t>no Default shall have occurred and be continuing; and</w:t>
      </w:r>
    </w:p>
    <w:p>
      <w:pPr>
        <w:spacing w:after="0" w:line="203" w:lineRule="exact"/>
        <w:rPr>
          <w:rFonts w:ascii="Arial" w:cs="Arial" w:eastAsia="Arial" w:hAnsi="Arial"/>
          <w:sz w:val="14"/>
          <w:szCs w:val="14"/>
          <w:color w:val="auto"/>
        </w:rPr>
      </w:pPr>
    </w:p>
    <w:p>
      <w:pPr>
        <w:jc w:val="both"/>
        <w:ind w:left="880" w:right="20" w:firstLine="789"/>
        <w:spacing w:after="0" w:line="243" w:lineRule="auto"/>
        <w:tabs>
          <w:tab w:leader="none" w:pos="2501" w:val="left"/>
        </w:tabs>
        <w:numPr>
          <w:ilvl w:val="1"/>
          <w:numId w:val="137"/>
        </w:numPr>
        <w:rPr>
          <w:rFonts w:ascii="Arial" w:cs="Arial" w:eastAsia="Arial" w:hAnsi="Arial"/>
          <w:sz w:val="13"/>
          <w:szCs w:val="13"/>
          <w:color w:val="auto"/>
        </w:rPr>
      </w:pPr>
      <w:r>
        <w:rPr>
          <w:rFonts w:ascii="Arial" w:cs="Arial" w:eastAsia="Arial" w:hAnsi="Arial"/>
          <w:sz w:val="13"/>
          <w:szCs w:val="13"/>
          <w:color w:val="auto"/>
        </w:rPr>
        <w:t xml:space="preserve">the aggregate amount of Restricted Payments made during any taxable year of the Borrower after the date hereof under this </w:t>
      </w:r>
      <w:r>
        <w:rPr>
          <w:rFonts w:ascii="Arial" w:cs="Arial" w:eastAsia="Arial" w:hAnsi="Arial"/>
          <w:sz w:val="13"/>
          <w:szCs w:val="13"/>
          <w:u w:val="single" w:color="auto"/>
          <w:color w:val="auto"/>
        </w:rPr>
        <w:t>clause (c)</w:t>
      </w:r>
      <w:r>
        <w:rPr>
          <w:rFonts w:ascii="Arial" w:cs="Arial" w:eastAsia="Arial" w:hAnsi="Arial"/>
          <w:sz w:val="13"/>
          <w:szCs w:val="13"/>
          <w:color w:val="auto"/>
        </w:rPr>
        <w:t xml:space="preserve"> shall not exceed the sum of (x) an amount equal to 15% of the taxable income of the Borrower for such taxable year determined under section 852(b)(2) of the Code, but without regard to </w:t>
      </w:r>
      <w:r>
        <w:rPr>
          <w:rFonts w:ascii="Arial" w:cs="Arial" w:eastAsia="Arial" w:hAnsi="Arial"/>
          <w:sz w:val="13"/>
          <w:szCs w:val="13"/>
          <w:u w:val="single" w:color="auto"/>
          <w:color w:val="auto"/>
        </w:rPr>
        <w:t>subparagraphs (A)</w:t>
      </w:r>
      <w:r>
        <w:rPr>
          <w:rFonts w:ascii="Arial" w:cs="Arial" w:eastAsia="Arial" w:hAnsi="Arial"/>
          <w:sz w:val="13"/>
          <w:szCs w:val="13"/>
          <w:color w:val="auto"/>
        </w:rPr>
        <w:t xml:space="preserve">, </w:t>
      </w:r>
      <w:r>
        <w:rPr>
          <w:rFonts w:ascii="Arial" w:cs="Arial" w:eastAsia="Arial" w:hAnsi="Arial"/>
          <w:sz w:val="13"/>
          <w:szCs w:val="13"/>
          <w:u w:val="single" w:color="auto"/>
          <w:color w:val="auto"/>
        </w:rPr>
        <w:t>(B)</w:t>
      </w:r>
      <w:r>
        <w:rPr>
          <w:rFonts w:ascii="Arial" w:cs="Arial" w:eastAsia="Arial" w:hAnsi="Arial"/>
          <w:sz w:val="13"/>
          <w:szCs w:val="13"/>
          <w:color w:val="auto"/>
        </w:rPr>
        <w:t xml:space="preserve"> or </w:t>
      </w:r>
      <w:r>
        <w:rPr>
          <w:rFonts w:ascii="Arial" w:cs="Arial" w:eastAsia="Arial" w:hAnsi="Arial"/>
          <w:sz w:val="13"/>
          <w:szCs w:val="13"/>
          <w:u w:val="single" w:color="auto"/>
          <w:color w:val="auto"/>
        </w:rPr>
        <w:t>(D)</w:t>
      </w:r>
      <w:r>
        <w:rPr>
          <w:rFonts w:ascii="Arial" w:cs="Arial" w:eastAsia="Arial" w:hAnsi="Arial"/>
          <w:sz w:val="13"/>
          <w:szCs w:val="13"/>
          <w:color w:val="auto"/>
        </w:rPr>
        <w:t xml:space="preserve"> thereof, </w:t>
      </w:r>
      <w:r>
        <w:rPr>
          <w:rFonts w:ascii="Arial" w:cs="Arial" w:eastAsia="Arial" w:hAnsi="Arial"/>
          <w:sz w:val="13"/>
          <w:szCs w:val="13"/>
          <w:u w:val="single" w:color="auto"/>
          <w:color w:val="auto"/>
        </w:rPr>
        <w:t>minus</w:t>
      </w:r>
      <w:r>
        <w:rPr>
          <w:rFonts w:ascii="Arial" w:cs="Arial" w:eastAsia="Arial" w:hAnsi="Arial"/>
          <w:sz w:val="13"/>
          <w:szCs w:val="13"/>
          <w:color w:val="auto"/>
        </w:rPr>
        <w:t xml:space="preserve"> (y) the amount, if any, by which dividends and distributions made during such taxable year pursuant to the foregoing </w:t>
      </w:r>
      <w:r>
        <w:rPr>
          <w:rFonts w:ascii="Arial" w:cs="Arial" w:eastAsia="Arial" w:hAnsi="Arial"/>
          <w:sz w:val="13"/>
          <w:szCs w:val="13"/>
          <w:u w:val="single" w:color="auto"/>
          <w:color w:val="auto"/>
        </w:rPr>
        <w:t>clause (b)</w:t>
      </w:r>
      <w:r>
        <w:rPr>
          <w:rFonts w:ascii="Arial" w:cs="Arial" w:eastAsia="Arial" w:hAnsi="Arial"/>
          <w:sz w:val="13"/>
          <w:szCs w:val="13"/>
          <w:color w:val="auto"/>
        </w:rPr>
        <w:t xml:space="preserve"> (whether in respect of such taxable year or the previous taxable year) based upon the Borrower’s estimate of taxable income exceeded the actual amounts specified in </w:t>
      </w:r>
      <w:r>
        <w:rPr>
          <w:rFonts w:ascii="Arial" w:cs="Arial" w:eastAsia="Arial" w:hAnsi="Arial"/>
          <w:sz w:val="13"/>
          <w:szCs w:val="13"/>
          <w:u w:val="single" w:color="auto"/>
          <w:color w:val="auto"/>
        </w:rPr>
        <w:t>subclauses</w:t>
      </w:r>
    </w:p>
    <w:p>
      <w:pPr>
        <w:ind w:left="1040" w:hanging="168"/>
        <w:spacing w:after="0"/>
        <w:tabs>
          <w:tab w:leader="none" w:pos="1040" w:val="left"/>
        </w:tabs>
        <w:numPr>
          <w:ilvl w:val="0"/>
          <w:numId w:val="138"/>
        </w:numPr>
        <w:rPr>
          <w:rFonts w:ascii="Arial" w:cs="Arial" w:eastAsia="Arial" w:hAnsi="Arial"/>
          <w:sz w:val="14"/>
          <w:szCs w:val="14"/>
          <w:u w:val="single" w:color="auto"/>
          <w:color w:val="auto"/>
        </w:rPr>
      </w:pPr>
      <w:r>
        <w:rPr>
          <w:rFonts w:ascii="Arial" w:cs="Arial" w:eastAsia="Arial" w:hAnsi="Arial"/>
          <w:sz w:val="14"/>
          <w:szCs w:val="14"/>
          <w:color w:val="auto"/>
        </w:rPr>
        <w:t xml:space="preserve">and </w:t>
      </w:r>
      <w:r>
        <w:rPr>
          <w:rFonts w:ascii="Arial" w:cs="Arial" w:eastAsia="Arial" w:hAnsi="Arial"/>
          <w:sz w:val="14"/>
          <w:szCs w:val="14"/>
          <w:u w:val="single" w:color="auto"/>
          <w:color w:val="auto"/>
        </w:rPr>
        <w:t>(ii)</w:t>
      </w:r>
      <w:r>
        <w:rPr>
          <w:rFonts w:ascii="Arial" w:cs="Arial" w:eastAsia="Arial" w:hAnsi="Arial"/>
          <w:sz w:val="14"/>
          <w:szCs w:val="14"/>
          <w:color w:val="auto"/>
        </w:rPr>
        <w:t xml:space="preserve"> of such foregoing </w:t>
      </w:r>
      <w:r>
        <w:rPr>
          <w:rFonts w:ascii="Arial" w:cs="Arial" w:eastAsia="Arial" w:hAnsi="Arial"/>
          <w:sz w:val="14"/>
          <w:szCs w:val="14"/>
          <w:u w:val="single" w:color="auto"/>
          <w:color w:val="auto"/>
        </w:rPr>
        <w:t>clause (b)</w:t>
      </w:r>
      <w:r>
        <w:rPr>
          <w:rFonts w:ascii="Arial" w:cs="Arial" w:eastAsia="Arial" w:hAnsi="Arial"/>
          <w:sz w:val="14"/>
          <w:szCs w:val="14"/>
          <w:color w:val="auto"/>
        </w:rPr>
        <w:t xml:space="preserve"> for such taxable year.</w:t>
      </w:r>
    </w:p>
    <w:p>
      <w:pPr>
        <w:spacing w:after="0" w:line="191" w:lineRule="exact"/>
        <w:rPr>
          <w:rFonts w:ascii="Arial" w:cs="Arial" w:eastAsia="Arial" w:hAnsi="Arial"/>
          <w:sz w:val="14"/>
          <w:szCs w:val="14"/>
          <w:u w:val="single" w:color="auto"/>
          <w:color w:val="auto"/>
        </w:rPr>
      </w:pPr>
    </w:p>
    <w:p>
      <w:pPr>
        <w:jc w:val="both"/>
        <w:ind w:right="20" w:firstLine="1735"/>
        <w:spacing w:after="0" w:line="228" w:lineRule="auto"/>
        <w:tabs>
          <w:tab w:leader="none" w:pos="2543" w:val="left"/>
        </w:tabs>
        <w:numPr>
          <w:ilvl w:val="2"/>
          <w:numId w:val="138"/>
        </w:numPr>
        <w:rPr>
          <w:rFonts w:ascii="Arial" w:cs="Arial" w:eastAsia="Arial" w:hAnsi="Arial"/>
          <w:sz w:val="14"/>
          <w:szCs w:val="14"/>
          <w:color w:val="auto"/>
        </w:rPr>
      </w:pPr>
      <w:r>
        <w:rPr>
          <w:rFonts w:ascii="Arial" w:cs="Arial" w:eastAsia="Arial" w:hAnsi="Arial"/>
          <w:sz w:val="14"/>
          <w:szCs w:val="14"/>
          <w:color w:val="auto"/>
        </w:rPr>
        <w:t xml:space="preserve">other Restricted Payments so long as (i) on the date of such other Restricted Payment and after giving effect thereto (x) the Covered Debt Amount does not exceed 90% of the Borrowing Base and (y) no Default shall have occurred and be continuing and (ii) on the date of such other Restricted Payment the Borrower delivers to the Administrative Agent and each Lender a Borrowing Base Certificate as at such date demonstrating compliance with </w:t>
      </w:r>
      <w:r>
        <w:rPr>
          <w:rFonts w:ascii="Arial" w:cs="Arial" w:eastAsia="Arial" w:hAnsi="Arial"/>
          <w:sz w:val="14"/>
          <w:szCs w:val="14"/>
          <w:u w:val="single" w:color="auto"/>
          <w:color w:val="auto"/>
        </w:rPr>
        <w:t>subclause (x)</w:t>
      </w:r>
      <w:r>
        <w:rPr>
          <w:rFonts w:ascii="Arial" w:cs="Arial" w:eastAsia="Arial" w:hAnsi="Arial"/>
          <w:sz w:val="14"/>
          <w:szCs w:val="14"/>
          <w:color w:val="auto"/>
        </w:rPr>
        <w:t xml:space="preserve"> after giving effect to such Restricted Payment. For purposes of preparing such Borrowing Base Certificate, (A) the Value of any Quoted Investment shall be the most recent quotation available for such Portfolio Investment and (B) the Value of any Unquoted Investment shall be the Value set forth in the Borrowing Base Certificate most recently delivered by the Borrower to the Administrative Agent and the Lenders pursuant to </w:t>
      </w:r>
      <w:r>
        <w:rPr>
          <w:rFonts w:ascii="Arial" w:cs="Arial" w:eastAsia="Arial" w:hAnsi="Arial"/>
          <w:sz w:val="14"/>
          <w:szCs w:val="14"/>
          <w:u w:val="single" w:color="auto"/>
          <w:color w:val="auto"/>
        </w:rPr>
        <w:t>Section 5.01(d)</w:t>
      </w:r>
      <w:r>
        <w:rPr>
          <w:rFonts w:ascii="Arial" w:cs="Arial" w:eastAsia="Arial" w:hAnsi="Arial"/>
          <w:sz w:val="14"/>
          <w:szCs w:val="14"/>
          <w:color w:val="auto"/>
        </w:rPr>
        <w:t xml:space="preserve">; </w:t>
      </w:r>
      <w:r>
        <w:rPr>
          <w:rFonts w:ascii="Arial" w:cs="Arial" w:eastAsia="Arial" w:hAnsi="Arial"/>
          <w:sz w:val="14"/>
          <w:szCs w:val="14"/>
          <w:u w:val="single" w:color="auto"/>
          <w:color w:val="auto"/>
        </w:rPr>
        <w:t>provided</w:t>
      </w:r>
      <w:r>
        <w:rPr>
          <w:rFonts w:ascii="Arial" w:cs="Arial" w:eastAsia="Arial" w:hAnsi="Arial"/>
          <w:sz w:val="14"/>
          <w:szCs w:val="14"/>
          <w:color w:val="auto"/>
        </w:rPr>
        <w:t xml:space="preserve"> that the Borrower shall reduce the Value of any Portfolio Investment referred to in this </w:t>
      </w:r>
      <w:r>
        <w:rPr>
          <w:rFonts w:ascii="Arial" w:cs="Arial" w:eastAsia="Arial" w:hAnsi="Arial"/>
          <w:sz w:val="14"/>
          <w:szCs w:val="14"/>
          <w:u w:val="single" w:color="auto"/>
          <w:color w:val="auto"/>
        </w:rPr>
        <w:t>sub-clause (B)</w:t>
      </w:r>
      <w:r>
        <w:rPr>
          <w:rFonts w:ascii="Arial" w:cs="Arial" w:eastAsia="Arial" w:hAnsi="Arial"/>
          <w:sz w:val="14"/>
          <w:szCs w:val="14"/>
          <w:color w:val="auto"/>
        </w:rPr>
        <w:t xml:space="preserve"> to the extent necessary to take into account any events of which the Borrower has knowledge that adversely affect the value of such Portfolio Investment.</w:t>
      </w:r>
    </w:p>
    <w:p>
      <w:pPr>
        <w:spacing w:after="0" w:line="200" w:lineRule="exact"/>
        <w:rPr>
          <w:sz w:val="20"/>
          <w:szCs w:val="20"/>
          <w:color w:val="auto"/>
        </w:rPr>
      </w:pPr>
    </w:p>
    <w:p>
      <w:pPr>
        <w:spacing w:after="0" w:line="200" w:lineRule="exact"/>
        <w:rPr>
          <w:sz w:val="20"/>
          <w:szCs w:val="20"/>
          <w:color w:val="auto"/>
        </w:rPr>
      </w:pPr>
    </w:p>
    <w:p>
      <w:pPr>
        <w:spacing w:after="0" w:line="20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7580" w:type="dxa"/>
            <w:vAlign w:val="bottom"/>
          </w:tcPr>
          <w:p>
            <w:pPr>
              <w:jc w:val="right"/>
              <w:ind w:right="1808"/>
              <w:spacing w:after="0"/>
              <w:rPr>
                <w:sz w:val="20"/>
                <w:szCs w:val="20"/>
                <w:color w:val="auto"/>
              </w:rPr>
            </w:pPr>
            <w:r>
              <w:rPr>
                <w:rFonts w:ascii="Arial" w:cs="Arial" w:eastAsia="Arial" w:hAnsi="Arial"/>
                <w:sz w:val="14"/>
                <w:szCs w:val="14"/>
                <w:color w:val="auto"/>
              </w:rPr>
              <w:t>53</w:t>
            </w:r>
          </w:p>
        </w:tc>
        <w:tc>
          <w:tcPr>
            <w:tcW w:w="3680" w:type="dxa"/>
            <w:vAlign w:val="bottom"/>
          </w:tcPr>
          <w:p>
            <w:pPr>
              <w:jc w:val="right"/>
              <w:spacing w:after="0"/>
              <w:rPr>
                <w:sz w:val="20"/>
                <w:szCs w:val="20"/>
                <w:color w:val="auto"/>
              </w:rPr>
            </w:pPr>
            <w:r>
              <w:rPr>
                <w:rFonts w:ascii="Arial" w:cs="Arial" w:eastAsia="Arial" w:hAnsi="Arial"/>
                <w:sz w:val="14"/>
                <w:szCs w:val="14"/>
                <w:i w:val="1"/>
                <w:iCs w:val="1"/>
                <w:color w:val="auto"/>
              </w:rPr>
              <w:t>Second Amended and Restated</w:t>
            </w:r>
          </w:p>
        </w:tc>
      </w:tr>
      <w:tr>
        <w:trPr>
          <w:trHeight w:val="182"/>
        </w:trPr>
        <w:tc>
          <w:tcPr>
            <w:tcW w:w="7580" w:type="dxa"/>
            <w:vAlign w:val="bottom"/>
          </w:tcPr>
          <w:p>
            <w:pPr>
              <w:spacing w:after="0"/>
              <w:rPr>
                <w:sz w:val="15"/>
                <w:szCs w:val="15"/>
                <w:color w:val="auto"/>
              </w:rPr>
            </w:pPr>
          </w:p>
        </w:tc>
        <w:tc>
          <w:tcPr>
            <w:tcW w:w="3680" w:type="dxa"/>
            <w:vAlign w:val="bottom"/>
          </w:tcPr>
          <w:p>
            <w:pPr>
              <w:jc w:val="right"/>
              <w:spacing w:after="0"/>
              <w:rPr>
                <w:sz w:val="20"/>
                <w:szCs w:val="20"/>
                <w:color w:val="auto"/>
              </w:rPr>
            </w:pPr>
            <w:r>
              <w:rPr>
                <w:rFonts w:ascii="Arial" w:cs="Arial" w:eastAsia="Arial" w:hAnsi="Arial"/>
                <w:sz w:val="14"/>
                <w:szCs w:val="14"/>
                <w:i w:val="1"/>
                <w:iCs w:val="1"/>
                <w:color w:val="auto"/>
              </w:rPr>
              <w:t>Revolving Credit Agreement</w:t>
            </w:r>
          </w:p>
        </w:tc>
      </w:tr>
      <w:tr>
        <w:trPr>
          <w:trHeight w:val="316"/>
        </w:trPr>
        <w:tc>
          <w:tcPr>
            <w:tcW w:w="7580" w:type="dxa"/>
            <w:vAlign w:val="bottom"/>
            <w:tcBorders>
              <w:bottom w:val="single" w:sz="8" w:color="9A9A9A"/>
            </w:tcBorders>
          </w:tcPr>
          <w:p>
            <w:pPr>
              <w:spacing w:after="0"/>
              <w:rPr>
                <w:sz w:val="24"/>
                <w:szCs w:val="24"/>
                <w:color w:val="auto"/>
              </w:rPr>
            </w:pPr>
          </w:p>
        </w:tc>
        <w:tc>
          <w:tcPr>
            <w:tcW w:w="368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7145655</wp:posOffset>
            </wp:positionH>
            <wp:positionV relativeFrom="paragraph">
              <wp:posOffset>-8255</wp:posOffset>
            </wp:positionV>
            <wp:extent cx="8255" cy="8890"/>
            <wp:wrapNone/>
            <wp:docPr id="211" name="Picture 2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1"/>
                    <pic:cNvPicPr>
                      <a:picLocks noChangeAspect="1" noChangeArrowheads="1"/>
                    </pic:cNvPicPr>
                  </pic:nvPicPr>
                  <pic:blipFill>
                    <a:blip r:embed="rId218">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-16510</wp:posOffset>
            </wp:positionV>
            <wp:extent cx="8890" cy="17145"/>
            <wp:wrapNone/>
            <wp:docPr id="212" name="Picture 2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2"/>
                    <pic:cNvPicPr>
                      <a:picLocks noChangeAspect="1" noChangeArrowheads="1"/>
                    </pic:cNvPicPr>
                  </pic:nvPicPr>
                  <pic:blipFill>
                    <a:blip r:embed="rId219">
                      <a:extLst>
                        <a:ext uri="{28A0092B-C50C-407E-A947-70E740481C1C}"/>
                      </a:extLst>
                    </a:blip>
                    <a:srcRect/>
                    <a:stretch>
                      <a:fillRect/>
                    </a:stretch>
                  </pic:blipFill>
                  <pic:spPr bwMode="auto">
                    <a:xfrm>
                      <a:off x="0" y="0"/>
                      <a:ext cx="8890" cy="17145"/>
                    </a:xfrm>
                    <a:prstGeom prst="rect">
                      <a:avLst/>
                    </a:prstGeom>
                    <a:noFill/>
                  </pic:spPr>
                </pic:pic>
              </a:graphicData>
            </a:graphic>
          </wp:anchor>
        </w:drawing>
      </w:r>
    </w:p>
    <w:p>
      <w:pPr>
        <w:sectPr>
          <w:pgSz w:w="11900" w:h="16838" w:orient="portrait"/>
          <w:cols w:equalWidth="0" w:num="1">
            <w:col w:w="11260"/>
          </w:cols>
          <w:pgMar w:left="320" w:top="337" w:right="319" w:bottom="1440" w:gutter="0" w:footer="0" w:header="0"/>
        </w:sectPr>
      </w:pPr>
    </w:p>
    <w:bookmarkStart w:id="116" w:name="page117"/>
    <w:bookmarkEnd w:id="116"/>
    <w:p>
      <w:pPr>
        <w:ind w:left="1740"/>
        <w:spacing w:after="0"/>
        <w:rPr>
          <w:sz w:val="20"/>
          <w:szCs w:val="20"/>
          <w:color w:val="auto"/>
        </w:rPr>
      </w:pPr>
      <w:r>
        <w:rPr>
          <w:rFonts w:ascii="Arial" w:cs="Arial" w:eastAsia="Arial" w:hAnsi="Arial"/>
          <w:sz w:val="13"/>
          <w:szCs w:val="13"/>
          <w:color w:val="auto"/>
        </w:rPr>
        <w:t>Nothing herein shall be deemed to prohibit the payment of Restricted Payments by any Subsidiary of the Borrower to the Borrower or to any other Subsidiary</w:t>
      </w:r>
    </w:p>
    <w:p>
      <w:pPr>
        <w:spacing w:after="0" w:line="11" w:lineRule="exact"/>
        <w:rPr>
          <w:sz w:val="20"/>
          <w:szCs w:val="20"/>
          <w:color w:val="auto"/>
        </w:rPr>
      </w:pPr>
    </w:p>
    <w:p>
      <w:pPr>
        <w:spacing w:after="0"/>
        <w:rPr>
          <w:sz w:val="20"/>
          <w:szCs w:val="20"/>
          <w:color w:val="auto"/>
        </w:rPr>
      </w:pPr>
      <w:r>
        <w:rPr>
          <w:rFonts w:ascii="Arial" w:cs="Arial" w:eastAsia="Arial" w:hAnsi="Arial"/>
          <w:sz w:val="14"/>
          <w:szCs w:val="14"/>
          <w:color w:val="auto"/>
        </w:rPr>
        <w:t>Guarantor.</w:t>
      </w:r>
    </w:p>
    <w:p>
      <w:pPr>
        <w:spacing w:after="0" w:line="192" w:lineRule="exact"/>
        <w:rPr>
          <w:sz w:val="20"/>
          <w:szCs w:val="20"/>
          <w:color w:val="auto"/>
        </w:rPr>
      </w:pPr>
    </w:p>
    <w:p>
      <w:pPr>
        <w:jc w:val="both"/>
        <w:ind w:right="20" w:firstLine="1727"/>
        <w:spacing w:after="0" w:line="247" w:lineRule="auto"/>
        <w:rPr>
          <w:sz w:val="20"/>
          <w:szCs w:val="20"/>
          <w:color w:val="auto"/>
        </w:rPr>
      </w:pPr>
      <w:r>
        <w:rPr>
          <w:rFonts w:ascii="Arial" w:cs="Arial" w:eastAsia="Arial" w:hAnsi="Arial"/>
          <w:sz w:val="13"/>
          <w:szCs w:val="13"/>
          <w:color w:val="auto"/>
        </w:rPr>
        <w:t xml:space="preserve">SECTION 6.06. </w:t>
      </w:r>
      <w:r>
        <w:rPr>
          <w:rFonts w:ascii="Arial" w:cs="Arial" w:eastAsia="Arial" w:hAnsi="Arial"/>
          <w:sz w:val="13"/>
          <w:szCs w:val="13"/>
          <w:u w:val="single" w:color="auto"/>
          <w:color w:val="auto"/>
        </w:rPr>
        <w:t>Certain Restrictions on Subsidiaries</w:t>
      </w:r>
      <w:r>
        <w:rPr>
          <w:rFonts w:ascii="Arial" w:cs="Arial" w:eastAsia="Arial" w:hAnsi="Arial"/>
          <w:sz w:val="13"/>
          <w:szCs w:val="13"/>
          <w:color w:val="auto"/>
        </w:rPr>
        <w:t xml:space="preserve">. The Borrower will not permit any of its Subsidiaries (other than Financing Subsidiaries) to enter into or suffer to exist any indenture, agreement, instrument or other arrangement that prohibits or restrains, in each case in any material respect, or imposes materially adverse conditions upon, the incurrence or payment of Indebtedness, the granting of Liens, the declaration or payment of dividends, the making of loans, advances, guarantees or Investments or the sale, assignment, transfer or other disposition of property except for any prohibitions or restraints contained in (i) any Indebtedness permitted under </w:t>
      </w:r>
      <w:r>
        <w:rPr>
          <w:rFonts w:ascii="Arial" w:cs="Arial" w:eastAsia="Arial" w:hAnsi="Arial"/>
          <w:sz w:val="13"/>
          <w:szCs w:val="13"/>
          <w:u w:val="single" w:color="auto"/>
          <w:color w:val="auto"/>
        </w:rPr>
        <w:t>Section 6.01(b)</w:t>
      </w:r>
      <w:r>
        <w:rPr>
          <w:rFonts w:ascii="Arial" w:cs="Arial" w:eastAsia="Arial" w:hAnsi="Arial"/>
          <w:sz w:val="13"/>
          <w:szCs w:val="13"/>
          <w:color w:val="auto"/>
        </w:rPr>
        <w:t xml:space="preserve"> or </w:t>
      </w:r>
      <w:r>
        <w:rPr>
          <w:rFonts w:ascii="Arial" w:cs="Arial" w:eastAsia="Arial" w:hAnsi="Arial"/>
          <w:sz w:val="13"/>
          <w:szCs w:val="13"/>
          <w:u w:val="single" w:color="auto"/>
          <w:color w:val="auto"/>
        </w:rPr>
        <w:t>(g)</w:t>
      </w:r>
      <w:r>
        <w:rPr>
          <w:rFonts w:ascii="Arial" w:cs="Arial" w:eastAsia="Arial" w:hAnsi="Arial"/>
          <w:sz w:val="13"/>
          <w:szCs w:val="13"/>
          <w:color w:val="auto"/>
        </w:rPr>
        <w:t xml:space="preserve">; </w:t>
      </w:r>
      <w:r>
        <w:rPr>
          <w:rFonts w:ascii="Arial" w:cs="Arial" w:eastAsia="Arial" w:hAnsi="Arial"/>
          <w:sz w:val="13"/>
          <w:szCs w:val="13"/>
          <w:u w:val="single" w:color="auto"/>
          <w:color w:val="auto"/>
        </w:rPr>
        <w:t>provided</w:t>
      </w:r>
      <w:r>
        <w:rPr>
          <w:rFonts w:ascii="Arial" w:cs="Arial" w:eastAsia="Arial" w:hAnsi="Arial"/>
          <w:sz w:val="13"/>
          <w:szCs w:val="13"/>
          <w:color w:val="auto"/>
        </w:rPr>
        <w:t xml:space="preserve"> that any such prohibition or reservation set forth therein does not prohibit the performance by the Borrower or its Subsidiaries of their obligations under this Agreement, (ii) any Indebtedness permitted under </w:t>
      </w:r>
      <w:r>
        <w:rPr>
          <w:rFonts w:ascii="Arial" w:cs="Arial" w:eastAsia="Arial" w:hAnsi="Arial"/>
          <w:sz w:val="13"/>
          <w:szCs w:val="13"/>
          <w:u w:val="single" w:color="auto"/>
          <w:color w:val="auto"/>
        </w:rPr>
        <w:t>Section 6.01(c)</w:t>
      </w:r>
      <w:r>
        <w:rPr>
          <w:rFonts w:ascii="Arial" w:cs="Arial" w:eastAsia="Arial" w:hAnsi="Arial"/>
          <w:sz w:val="13"/>
          <w:szCs w:val="13"/>
          <w:color w:val="auto"/>
        </w:rPr>
        <w:t xml:space="preserve"> secured by a Lien permitted under </w:t>
      </w:r>
      <w:r>
        <w:rPr>
          <w:rFonts w:ascii="Arial" w:cs="Arial" w:eastAsia="Arial" w:hAnsi="Arial"/>
          <w:sz w:val="13"/>
          <w:szCs w:val="13"/>
          <w:u w:val="single" w:color="auto"/>
          <w:color w:val="auto"/>
        </w:rPr>
        <w:t>Section 6.02</w:t>
      </w:r>
      <w:r>
        <w:rPr>
          <w:rFonts w:ascii="Arial" w:cs="Arial" w:eastAsia="Arial" w:hAnsi="Arial"/>
          <w:sz w:val="13"/>
          <w:szCs w:val="13"/>
          <w:color w:val="auto"/>
        </w:rPr>
        <w:t xml:space="preserve"> provided that such prohibitions and restraints are applicable by their terms only to the assets that are subject to such Lien and (iii) any Indebtedness permitted under </w:t>
      </w:r>
      <w:r>
        <w:rPr>
          <w:rFonts w:ascii="Arial" w:cs="Arial" w:eastAsia="Arial" w:hAnsi="Arial"/>
          <w:sz w:val="13"/>
          <w:szCs w:val="13"/>
          <w:u w:val="single" w:color="auto"/>
          <w:color w:val="auto"/>
        </w:rPr>
        <w:t>Section 6.01(e)</w:t>
      </w:r>
      <w:r>
        <w:rPr>
          <w:rFonts w:ascii="Arial" w:cs="Arial" w:eastAsia="Arial" w:hAnsi="Arial"/>
          <w:sz w:val="13"/>
          <w:szCs w:val="13"/>
          <w:color w:val="auto"/>
        </w:rPr>
        <w:t xml:space="preserve"> or </w:t>
      </w:r>
      <w:r>
        <w:rPr>
          <w:rFonts w:ascii="Arial" w:cs="Arial" w:eastAsia="Arial" w:hAnsi="Arial"/>
          <w:sz w:val="13"/>
          <w:szCs w:val="13"/>
          <w:u w:val="single" w:color="auto"/>
          <w:color w:val="auto"/>
        </w:rPr>
        <w:t>(f)</w:t>
      </w:r>
      <w:r>
        <w:rPr>
          <w:rFonts w:ascii="Arial" w:cs="Arial" w:eastAsia="Arial" w:hAnsi="Arial"/>
          <w:sz w:val="13"/>
          <w:szCs w:val="13"/>
          <w:color w:val="auto"/>
        </w:rPr>
        <w:t xml:space="preserve"> secured by a Permitted Lien provided that such prohibitions and restraints are applicable by their terms only to the assets that are subject to such Lien.</w:t>
      </w:r>
    </w:p>
    <w:p>
      <w:pPr>
        <w:spacing w:after="0" w:line="179" w:lineRule="exact"/>
        <w:rPr>
          <w:sz w:val="20"/>
          <w:szCs w:val="20"/>
          <w:color w:val="auto"/>
        </w:rPr>
      </w:pPr>
    </w:p>
    <w:p>
      <w:pPr>
        <w:ind w:left="1740"/>
        <w:spacing w:after="0"/>
        <w:rPr>
          <w:sz w:val="20"/>
          <w:szCs w:val="20"/>
          <w:color w:val="auto"/>
        </w:rPr>
      </w:pPr>
      <w:r>
        <w:rPr>
          <w:rFonts w:ascii="Arial" w:cs="Arial" w:eastAsia="Arial" w:hAnsi="Arial"/>
          <w:sz w:val="14"/>
          <w:szCs w:val="14"/>
          <w:color w:val="auto"/>
        </w:rPr>
        <w:t xml:space="preserve">SECTION 6.07. </w:t>
      </w:r>
      <w:r>
        <w:rPr>
          <w:rFonts w:ascii="Arial" w:cs="Arial" w:eastAsia="Arial" w:hAnsi="Arial"/>
          <w:sz w:val="14"/>
          <w:szCs w:val="14"/>
          <w:u w:val="single" w:color="auto"/>
          <w:color w:val="auto"/>
        </w:rPr>
        <w:t>Certain Financial Covenants</w:t>
      </w:r>
      <w:r>
        <w:rPr>
          <w:rFonts w:ascii="Arial" w:cs="Arial" w:eastAsia="Arial" w:hAnsi="Arial"/>
          <w:sz w:val="14"/>
          <w:szCs w:val="14"/>
          <w:color w:val="auto"/>
        </w:rPr>
        <w:t>.</w:t>
      </w:r>
    </w:p>
    <w:p>
      <w:pPr>
        <w:spacing w:after="0" w:line="204" w:lineRule="exact"/>
        <w:rPr>
          <w:sz w:val="20"/>
          <w:szCs w:val="20"/>
          <w:color w:val="auto"/>
        </w:rPr>
      </w:pPr>
    </w:p>
    <w:p>
      <w:pPr>
        <w:jc w:val="both"/>
        <w:ind w:right="20" w:firstLine="1735"/>
        <w:spacing w:after="0" w:line="238" w:lineRule="auto"/>
        <w:tabs>
          <w:tab w:leader="none" w:pos="2535" w:val="left"/>
        </w:tabs>
        <w:numPr>
          <w:ilvl w:val="0"/>
          <w:numId w:val="139"/>
        </w:numPr>
        <w:rPr>
          <w:rFonts w:ascii="Arial" w:cs="Arial" w:eastAsia="Arial" w:hAnsi="Arial"/>
          <w:sz w:val="14"/>
          <w:szCs w:val="14"/>
          <w:color w:val="auto"/>
        </w:rPr>
      </w:pPr>
      <w:r>
        <w:rPr>
          <w:rFonts w:ascii="Arial" w:cs="Arial" w:eastAsia="Arial" w:hAnsi="Arial"/>
          <w:sz w:val="14"/>
          <w:szCs w:val="14"/>
          <w:u w:val="single" w:color="auto"/>
          <w:color w:val="auto"/>
        </w:rPr>
        <w:t>Minimum Shareholders’ Equity</w:t>
      </w:r>
      <w:r>
        <w:rPr>
          <w:rFonts w:ascii="Arial" w:cs="Arial" w:eastAsia="Arial" w:hAnsi="Arial"/>
          <w:sz w:val="14"/>
          <w:szCs w:val="14"/>
          <w:color w:val="auto"/>
        </w:rPr>
        <w:t xml:space="preserve">. The Borrower will not permit Shareholders’ Equity at the last day of any fiscal quarter of the Borrower to be less than $230,000,000 </w:t>
      </w:r>
      <w:r>
        <w:rPr>
          <w:rFonts w:ascii="Arial" w:cs="Arial" w:eastAsia="Arial" w:hAnsi="Arial"/>
          <w:sz w:val="14"/>
          <w:szCs w:val="14"/>
          <w:u w:val="single" w:color="auto"/>
          <w:color w:val="auto"/>
        </w:rPr>
        <w:t>plus</w:t>
      </w:r>
      <w:r>
        <w:rPr>
          <w:rFonts w:ascii="Arial" w:cs="Arial" w:eastAsia="Arial" w:hAnsi="Arial"/>
          <w:sz w:val="14"/>
          <w:szCs w:val="14"/>
          <w:color w:val="auto"/>
        </w:rPr>
        <w:t xml:space="preserve"> 25% of the net proceeds of the sale of Equity Interests by the Borrower and its Subsidiaries after the Effective Date (other than proceeds of sales of Equity Interests by and among the Borrower and its Subsidiaries).</w:t>
      </w:r>
    </w:p>
    <w:p>
      <w:pPr>
        <w:spacing w:after="0" w:line="182" w:lineRule="exact"/>
        <w:rPr>
          <w:rFonts w:ascii="Arial" w:cs="Arial" w:eastAsia="Arial" w:hAnsi="Arial"/>
          <w:sz w:val="14"/>
          <w:szCs w:val="14"/>
          <w:color w:val="auto"/>
        </w:rPr>
      </w:pPr>
    </w:p>
    <w:p>
      <w:pPr>
        <w:ind w:left="2560" w:hanging="825"/>
        <w:spacing w:after="0"/>
        <w:tabs>
          <w:tab w:leader="none" w:pos="2560" w:val="left"/>
        </w:tabs>
        <w:numPr>
          <w:ilvl w:val="0"/>
          <w:numId w:val="139"/>
        </w:numPr>
        <w:rPr>
          <w:rFonts w:ascii="Arial" w:cs="Arial" w:eastAsia="Arial" w:hAnsi="Arial"/>
          <w:sz w:val="14"/>
          <w:szCs w:val="14"/>
          <w:color w:val="auto"/>
        </w:rPr>
      </w:pPr>
      <w:r>
        <w:rPr>
          <w:rFonts w:ascii="Arial" w:cs="Arial" w:eastAsia="Arial" w:hAnsi="Arial"/>
          <w:sz w:val="14"/>
          <w:szCs w:val="14"/>
          <w:u w:val="single" w:color="auto"/>
          <w:color w:val="auto"/>
        </w:rPr>
        <w:t>Asset Coverage Ratio</w:t>
      </w:r>
      <w:r>
        <w:rPr>
          <w:rFonts w:ascii="Arial" w:cs="Arial" w:eastAsia="Arial" w:hAnsi="Arial"/>
          <w:sz w:val="14"/>
          <w:szCs w:val="14"/>
          <w:color w:val="auto"/>
        </w:rPr>
        <w:t>. The Borrower will not permit the Asset Coverage Ratio to be less than 2.00 to 1 at any time.</w:t>
      </w:r>
    </w:p>
    <w:p>
      <w:pPr>
        <w:spacing w:after="0" w:line="203" w:lineRule="exact"/>
        <w:rPr>
          <w:rFonts w:ascii="Arial" w:cs="Arial" w:eastAsia="Arial" w:hAnsi="Arial"/>
          <w:sz w:val="14"/>
          <w:szCs w:val="14"/>
          <w:color w:val="auto"/>
        </w:rPr>
      </w:pPr>
    </w:p>
    <w:p>
      <w:pPr>
        <w:jc w:val="both"/>
        <w:ind w:right="20" w:firstLine="1735"/>
        <w:spacing w:after="0" w:line="238" w:lineRule="auto"/>
        <w:tabs>
          <w:tab w:leader="none" w:pos="2535" w:val="left"/>
        </w:tabs>
        <w:numPr>
          <w:ilvl w:val="0"/>
          <w:numId w:val="139"/>
        </w:numPr>
        <w:rPr>
          <w:rFonts w:ascii="Arial" w:cs="Arial" w:eastAsia="Arial" w:hAnsi="Arial"/>
          <w:sz w:val="14"/>
          <w:szCs w:val="14"/>
          <w:color w:val="auto"/>
        </w:rPr>
      </w:pPr>
      <w:r>
        <w:rPr>
          <w:rFonts w:ascii="Arial" w:cs="Arial" w:eastAsia="Arial" w:hAnsi="Arial"/>
          <w:sz w:val="14"/>
          <w:szCs w:val="14"/>
          <w:u w:val="single" w:color="auto"/>
          <w:color w:val="auto"/>
        </w:rPr>
        <w:t>Liquidity Test</w:t>
      </w:r>
      <w:r>
        <w:rPr>
          <w:rFonts w:ascii="Arial" w:cs="Arial" w:eastAsia="Arial" w:hAnsi="Arial"/>
          <w:sz w:val="14"/>
          <w:szCs w:val="14"/>
          <w:color w:val="auto"/>
        </w:rPr>
        <w:t>. The Borrower will not permit the aggregate Value of the Portfolio Investments that are Cash (excluding Cash Collateral for outstanding Letters of Credit) or that can be converted to Cash in fewer than 10 Business Days without more than a 5% change in price to be less than 10% of the Covered Debt Amount for more than 30 Business Days during any period when the Adjusted Covered Debt Balance is greater than 90% of the Adjusted Borrowing Base.</w:t>
      </w:r>
    </w:p>
    <w:p>
      <w:pPr>
        <w:spacing w:after="0" w:line="183" w:lineRule="exact"/>
        <w:rPr>
          <w:sz w:val="20"/>
          <w:szCs w:val="20"/>
          <w:color w:val="auto"/>
        </w:rPr>
      </w:pPr>
    </w:p>
    <w:p>
      <w:pPr>
        <w:jc w:val="both"/>
        <w:ind w:right="20" w:firstLine="1727"/>
        <w:spacing w:after="0" w:line="228" w:lineRule="auto"/>
        <w:rPr>
          <w:sz w:val="20"/>
          <w:szCs w:val="20"/>
          <w:color w:val="auto"/>
        </w:rPr>
      </w:pPr>
      <w:r>
        <w:rPr>
          <w:rFonts w:ascii="Arial" w:cs="Arial" w:eastAsia="Arial" w:hAnsi="Arial"/>
          <w:sz w:val="14"/>
          <w:szCs w:val="14"/>
          <w:color w:val="auto"/>
        </w:rPr>
        <w:t xml:space="preserve">SECTION 6.08. </w:t>
      </w:r>
      <w:r>
        <w:rPr>
          <w:rFonts w:ascii="Arial" w:cs="Arial" w:eastAsia="Arial" w:hAnsi="Arial"/>
          <w:sz w:val="14"/>
          <w:szCs w:val="14"/>
          <w:u w:val="single" w:color="auto"/>
          <w:color w:val="auto"/>
        </w:rPr>
        <w:t>Transactions with Affiliates</w:t>
      </w:r>
      <w:r>
        <w:rPr>
          <w:rFonts w:ascii="Arial" w:cs="Arial" w:eastAsia="Arial" w:hAnsi="Arial"/>
          <w:sz w:val="14"/>
          <w:szCs w:val="14"/>
          <w:color w:val="auto"/>
        </w:rPr>
        <w:t xml:space="preserve">. The Borrower will not, and will not permit any of its Subsidiaries to enter into any transactions with any of its Affiliates, even if otherwise permitted under this Agreement, except (a) transactions in the ordinary course of business at prices and on terms and conditions not less favorable to the Borrower or such Subsidiary (other than a SBIC Subsidiary) than could be obtained on an arm’s-length basis from unrelated third parties, (b) transactions between or among the Borrower and its Subsidiaries not involving any other Affiliate, (c) Restricted Payments permitted by </w:t>
      </w:r>
      <w:r>
        <w:rPr>
          <w:rFonts w:ascii="Arial" w:cs="Arial" w:eastAsia="Arial" w:hAnsi="Arial"/>
          <w:sz w:val="14"/>
          <w:szCs w:val="14"/>
          <w:u w:val="single" w:color="auto"/>
          <w:color w:val="auto"/>
        </w:rPr>
        <w:t>Section 6.05</w:t>
      </w:r>
      <w:r>
        <w:rPr>
          <w:rFonts w:ascii="Arial" w:cs="Arial" w:eastAsia="Arial" w:hAnsi="Arial"/>
          <w:sz w:val="14"/>
          <w:szCs w:val="14"/>
          <w:color w:val="auto"/>
        </w:rPr>
        <w:t xml:space="preserve">, (d) the transactions provided in the Affiliate Agreements, (e) transactions described on </w:t>
      </w:r>
      <w:r>
        <w:rPr>
          <w:rFonts w:ascii="Arial" w:cs="Arial" w:eastAsia="Arial" w:hAnsi="Arial"/>
          <w:sz w:val="14"/>
          <w:szCs w:val="14"/>
          <w:u w:val="single" w:color="auto"/>
          <w:color w:val="auto"/>
        </w:rPr>
        <w:t>Schedule 6.08</w:t>
      </w:r>
      <w:r>
        <w:rPr>
          <w:rFonts w:ascii="Arial" w:cs="Arial" w:eastAsia="Arial" w:hAnsi="Arial"/>
          <w:sz w:val="14"/>
          <w:szCs w:val="14"/>
          <w:color w:val="auto"/>
        </w:rPr>
        <w:t>, (f) any Investment that results in the creation of an Affiliate or (g) transactions between or among the Obligors and any SBIC Subsidiary or any “downstream affiliate” (as such term is used under the rules promulgated under the Investment Company Act) company of an Obligor at prices and on terms and conditions, taken as a whole, not materially less favorable to the Obligors than in good faith is believed could be obtained at the time on an arm’s-length basis from unrelated third parties.</w:t>
      </w:r>
    </w:p>
    <w:p>
      <w:pPr>
        <w:spacing w:after="0" w:line="185" w:lineRule="exact"/>
        <w:rPr>
          <w:sz w:val="20"/>
          <w:szCs w:val="20"/>
          <w:color w:val="auto"/>
        </w:rPr>
      </w:pPr>
    </w:p>
    <w:p>
      <w:pPr>
        <w:jc w:val="both"/>
        <w:ind w:right="40" w:firstLine="1727"/>
        <w:spacing w:after="0" w:line="238" w:lineRule="auto"/>
        <w:rPr>
          <w:sz w:val="20"/>
          <w:szCs w:val="20"/>
          <w:color w:val="auto"/>
        </w:rPr>
      </w:pPr>
      <w:r>
        <w:rPr>
          <w:rFonts w:ascii="Arial" w:cs="Arial" w:eastAsia="Arial" w:hAnsi="Arial"/>
          <w:sz w:val="14"/>
          <w:szCs w:val="14"/>
          <w:color w:val="auto"/>
        </w:rPr>
        <w:t xml:space="preserve">SECTION 6.09. </w:t>
      </w:r>
      <w:r>
        <w:rPr>
          <w:rFonts w:ascii="Arial" w:cs="Arial" w:eastAsia="Arial" w:hAnsi="Arial"/>
          <w:sz w:val="14"/>
          <w:szCs w:val="14"/>
          <w:u w:val="single" w:color="auto"/>
          <w:color w:val="auto"/>
        </w:rPr>
        <w:t>Lines of Business</w:t>
      </w:r>
      <w:r>
        <w:rPr>
          <w:rFonts w:ascii="Arial" w:cs="Arial" w:eastAsia="Arial" w:hAnsi="Arial"/>
          <w:sz w:val="14"/>
          <w:szCs w:val="14"/>
          <w:color w:val="auto"/>
        </w:rPr>
        <w:t>. The Borrower will not, nor will it permit any of its Subsidiaries (other than Immaterial Subsidiaries) to, engage to any material extent in any business other than in accordance with its Investment Policies. The Borrower will not, nor will it permit any of its Subsidiaries to amend or modify the Investment Policies (other than a Permitted Policy Amendment).</w:t>
      </w:r>
    </w:p>
    <w:p>
      <w:pPr>
        <w:spacing w:after="0" w:line="183" w:lineRule="exact"/>
        <w:rPr>
          <w:sz w:val="20"/>
          <w:szCs w:val="20"/>
          <w:color w:val="auto"/>
        </w:rPr>
      </w:pPr>
    </w:p>
    <w:p>
      <w:pPr>
        <w:jc w:val="both"/>
        <w:ind w:right="20" w:firstLine="1727"/>
        <w:spacing w:after="0" w:line="245" w:lineRule="auto"/>
        <w:rPr>
          <w:sz w:val="20"/>
          <w:szCs w:val="20"/>
          <w:color w:val="auto"/>
        </w:rPr>
      </w:pPr>
      <w:r>
        <w:rPr>
          <w:rFonts w:ascii="Arial" w:cs="Arial" w:eastAsia="Arial" w:hAnsi="Arial"/>
          <w:sz w:val="13"/>
          <w:szCs w:val="13"/>
          <w:color w:val="auto"/>
        </w:rPr>
        <w:t xml:space="preserve">SECTION 6.10. </w:t>
      </w:r>
      <w:r>
        <w:rPr>
          <w:rFonts w:ascii="Arial" w:cs="Arial" w:eastAsia="Arial" w:hAnsi="Arial"/>
          <w:sz w:val="13"/>
          <w:szCs w:val="13"/>
          <w:u w:val="single" w:color="auto"/>
          <w:color w:val="auto"/>
        </w:rPr>
        <w:t>No Further Negative Pledge</w:t>
      </w:r>
      <w:r>
        <w:rPr>
          <w:rFonts w:ascii="Arial" w:cs="Arial" w:eastAsia="Arial" w:hAnsi="Arial"/>
          <w:sz w:val="13"/>
          <w:szCs w:val="13"/>
          <w:color w:val="auto"/>
        </w:rPr>
        <w:t xml:space="preserve">. The Borrower will not, and will not permit any of its Subsidiaries to, enter into any agreement, instrument, deed or lease which prohibits or limits the ability of any Obligor to create, incur, assume or suffer to exist any Lien upon any of its properties, assets or revenues, whether now owned or hereafter acquired, or which requires the grant of any security for an obligation if security is granted for another obligation, except the following: (a) this Agreement, the other Loan Documents and documents with respect to Indebtedness permitted under </w:t>
      </w:r>
      <w:r>
        <w:rPr>
          <w:rFonts w:ascii="Arial" w:cs="Arial" w:eastAsia="Arial" w:hAnsi="Arial"/>
          <w:sz w:val="13"/>
          <w:szCs w:val="13"/>
          <w:u w:val="single" w:color="auto"/>
          <w:color w:val="auto"/>
        </w:rPr>
        <w:t>Section 6.01(b)</w:t>
      </w:r>
      <w:r>
        <w:rPr>
          <w:rFonts w:ascii="Arial" w:cs="Arial" w:eastAsia="Arial" w:hAnsi="Arial"/>
          <w:sz w:val="13"/>
          <w:szCs w:val="13"/>
          <w:color w:val="auto"/>
        </w:rPr>
        <w:t xml:space="preserve"> or </w:t>
      </w:r>
      <w:r>
        <w:rPr>
          <w:rFonts w:ascii="Arial" w:cs="Arial" w:eastAsia="Arial" w:hAnsi="Arial"/>
          <w:sz w:val="13"/>
          <w:szCs w:val="13"/>
          <w:u w:val="single" w:color="auto"/>
          <w:color w:val="auto"/>
        </w:rPr>
        <w:t>(g)</w:t>
      </w:r>
      <w:r>
        <w:rPr>
          <w:rFonts w:ascii="Arial" w:cs="Arial" w:eastAsia="Arial" w:hAnsi="Arial"/>
          <w:sz w:val="13"/>
          <w:szCs w:val="13"/>
          <w:color w:val="auto"/>
        </w:rPr>
        <w:t xml:space="preserve">; (b) covenants in documents creating Liens permitted by </w:t>
      </w:r>
      <w:r>
        <w:rPr>
          <w:rFonts w:ascii="Arial" w:cs="Arial" w:eastAsia="Arial" w:hAnsi="Arial"/>
          <w:sz w:val="13"/>
          <w:szCs w:val="13"/>
          <w:u w:val="single" w:color="auto"/>
          <w:color w:val="auto"/>
        </w:rPr>
        <w:t>Section 6.02</w:t>
      </w:r>
      <w:r>
        <w:rPr>
          <w:rFonts w:ascii="Arial" w:cs="Arial" w:eastAsia="Arial" w:hAnsi="Arial"/>
          <w:sz w:val="13"/>
          <w:szCs w:val="13"/>
          <w:color w:val="auto"/>
        </w:rPr>
        <w:t xml:space="preserve"> (including covenants with respect to the Designated Indebtedness Obligations or Designated Indebtedness Holders under (and, in each case, as defined in) the Security Documents) prohibiting further Liens on the assets encumbered thereby; (c) customary restrictions contained in leases not subject to a waiver; and (d) any other agreement that does not restrict in any manner (directly or indirectly) Liens created pursuant to the Loan Documents on any Collateral securing the “Secured Obligations” under and as defined in the Guarantee and Security Agreement and does not require the direct or indirect granting of any Lien securing any Indebtedness or other obligation by virtue of the granting of Liens on or pledge of property of any Obligor to secure the Loans or any Hedging Agreement.</w:t>
      </w:r>
    </w:p>
    <w:p>
      <w:pPr>
        <w:spacing w:after="0" w:line="183" w:lineRule="exact"/>
        <w:rPr>
          <w:sz w:val="20"/>
          <w:szCs w:val="20"/>
          <w:color w:val="auto"/>
        </w:rPr>
      </w:pPr>
    </w:p>
    <w:p>
      <w:pPr>
        <w:ind w:left="1740"/>
        <w:spacing w:after="0"/>
        <w:rPr>
          <w:sz w:val="20"/>
          <w:szCs w:val="20"/>
          <w:color w:val="auto"/>
        </w:rPr>
      </w:pPr>
      <w:r>
        <w:rPr>
          <w:rFonts w:ascii="Arial" w:cs="Arial" w:eastAsia="Arial" w:hAnsi="Arial"/>
          <w:sz w:val="14"/>
          <w:szCs w:val="14"/>
          <w:color w:val="auto"/>
        </w:rPr>
        <w:t xml:space="preserve">SECTION 6.11. </w:t>
      </w:r>
      <w:r>
        <w:rPr>
          <w:rFonts w:ascii="Arial" w:cs="Arial" w:eastAsia="Arial" w:hAnsi="Arial"/>
          <w:sz w:val="14"/>
          <w:szCs w:val="14"/>
          <w:u w:val="single" w:color="auto"/>
          <w:color w:val="auto"/>
        </w:rPr>
        <w:t>Modifications of Longer-Term Indebtedness Documents</w:t>
      </w:r>
      <w:r>
        <w:rPr>
          <w:rFonts w:ascii="Arial" w:cs="Arial" w:eastAsia="Arial" w:hAnsi="Arial"/>
          <w:sz w:val="14"/>
          <w:szCs w:val="14"/>
          <w:color w:val="auto"/>
        </w:rPr>
        <w:t>. The Borrower will not consent to any modification, supplement or waiver of:</w:t>
      </w:r>
    </w:p>
    <w:p>
      <w:pPr>
        <w:spacing w:after="0" w:line="204" w:lineRule="exact"/>
        <w:rPr>
          <w:sz w:val="20"/>
          <w:szCs w:val="20"/>
          <w:color w:val="auto"/>
        </w:rPr>
      </w:pPr>
    </w:p>
    <w:p>
      <w:pPr>
        <w:jc w:val="both"/>
        <w:ind w:right="20" w:firstLine="1735"/>
        <w:spacing w:after="0" w:line="228" w:lineRule="auto"/>
        <w:tabs>
          <w:tab w:leader="none" w:pos="2535" w:val="left"/>
        </w:tabs>
        <w:numPr>
          <w:ilvl w:val="0"/>
          <w:numId w:val="140"/>
        </w:numPr>
        <w:rPr>
          <w:rFonts w:ascii="Arial" w:cs="Arial" w:eastAsia="Arial" w:hAnsi="Arial"/>
          <w:sz w:val="14"/>
          <w:szCs w:val="14"/>
          <w:color w:val="auto"/>
        </w:rPr>
      </w:pPr>
      <w:r>
        <w:rPr>
          <w:rFonts w:ascii="Arial" w:cs="Arial" w:eastAsia="Arial" w:hAnsi="Arial"/>
          <w:sz w:val="14"/>
          <w:szCs w:val="14"/>
          <w:color w:val="auto"/>
        </w:rPr>
        <w:t xml:space="preserve">any of the provisions of any agreement, instrument or other document evidencing or relating to any Secured Longer-Term Indebtedness or Unsecured Longer-Term Indebtedness that would result in such Indebtedness not meeting the requirements of the definition of “Secured Longer-Term Secured Indebtedness” and “Unsecured Longer-Term Indebtedness”, as applicable, set forth in </w:t>
      </w:r>
      <w:r>
        <w:rPr>
          <w:rFonts w:ascii="Arial" w:cs="Arial" w:eastAsia="Arial" w:hAnsi="Arial"/>
          <w:sz w:val="14"/>
          <w:szCs w:val="14"/>
          <w:u w:val="single" w:color="auto"/>
          <w:color w:val="auto"/>
        </w:rPr>
        <w:t>Section 1.01</w:t>
      </w:r>
      <w:r>
        <w:rPr>
          <w:rFonts w:ascii="Arial" w:cs="Arial" w:eastAsia="Arial" w:hAnsi="Arial"/>
          <w:sz w:val="14"/>
          <w:szCs w:val="14"/>
          <w:color w:val="auto"/>
        </w:rPr>
        <w:t xml:space="preserve"> of this Agreement, unless (i) in the case of Secured Longer-Term Indebtedness, such Indebtedness would have been permitted to be incurred as Secured Shorter-Term Indebtedness at the time of such modification, supplement or waiver and the Borrower so designates such Indebtedness as “Secured Shorter-Term Indebtedness” (whereupon such Indebtedness shall be deemed to constitute “Secured Shorter-Term Indebtedness” for all purposes of this Agreement) and (ii) in the case of Unsecured Longer-Term Indebtedness, such Indebtedness would have been permitted to be incurred as Unsecured Shorter-Term Indebtedness at the time of such modification, supplement or waiver and the Borrower so designates such</w:t>
      </w:r>
    </w:p>
    <w:p>
      <w:pPr>
        <w:spacing w:after="0" w:line="200" w:lineRule="exact"/>
        <w:rPr>
          <w:sz w:val="20"/>
          <w:szCs w:val="20"/>
          <w:color w:val="auto"/>
        </w:rPr>
      </w:pPr>
    </w:p>
    <w:p>
      <w:pPr>
        <w:spacing w:after="0" w:line="200" w:lineRule="exact"/>
        <w:rPr>
          <w:sz w:val="20"/>
          <w:szCs w:val="20"/>
          <w:color w:val="auto"/>
        </w:rPr>
      </w:pPr>
    </w:p>
    <w:p>
      <w:pPr>
        <w:spacing w:after="0" w:line="20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7580" w:type="dxa"/>
            <w:vAlign w:val="bottom"/>
          </w:tcPr>
          <w:p>
            <w:pPr>
              <w:jc w:val="right"/>
              <w:ind w:right="1808"/>
              <w:spacing w:after="0"/>
              <w:rPr>
                <w:sz w:val="20"/>
                <w:szCs w:val="20"/>
                <w:color w:val="auto"/>
              </w:rPr>
            </w:pPr>
            <w:r>
              <w:rPr>
                <w:rFonts w:ascii="Arial" w:cs="Arial" w:eastAsia="Arial" w:hAnsi="Arial"/>
                <w:sz w:val="14"/>
                <w:szCs w:val="14"/>
                <w:color w:val="auto"/>
              </w:rPr>
              <w:t>54</w:t>
            </w:r>
          </w:p>
        </w:tc>
        <w:tc>
          <w:tcPr>
            <w:tcW w:w="3680" w:type="dxa"/>
            <w:vAlign w:val="bottom"/>
          </w:tcPr>
          <w:p>
            <w:pPr>
              <w:jc w:val="right"/>
              <w:spacing w:after="0"/>
              <w:rPr>
                <w:sz w:val="20"/>
                <w:szCs w:val="20"/>
                <w:color w:val="auto"/>
              </w:rPr>
            </w:pPr>
            <w:r>
              <w:rPr>
                <w:rFonts w:ascii="Arial" w:cs="Arial" w:eastAsia="Arial" w:hAnsi="Arial"/>
                <w:sz w:val="14"/>
                <w:szCs w:val="14"/>
                <w:i w:val="1"/>
                <w:iCs w:val="1"/>
                <w:color w:val="auto"/>
              </w:rPr>
              <w:t>Second Amended and Restated</w:t>
            </w:r>
          </w:p>
        </w:tc>
      </w:tr>
      <w:tr>
        <w:trPr>
          <w:trHeight w:val="182"/>
        </w:trPr>
        <w:tc>
          <w:tcPr>
            <w:tcW w:w="7580" w:type="dxa"/>
            <w:vAlign w:val="bottom"/>
          </w:tcPr>
          <w:p>
            <w:pPr>
              <w:spacing w:after="0"/>
              <w:rPr>
                <w:sz w:val="15"/>
                <w:szCs w:val="15"/>
                <w:color w:val="auto"/>
              </w:rPr>
            </w:pPr>
          </w:p>
        </w:tc>
        <w:tc>
          <w:tcPr>
            <w:tcW w:w="3680" w:type="dxa"/>
            <w:vAlign w:val="bottom"/>
          </w:tcPr>
          <w:p>
            <w:pPr>
              <w:jc w:val="right"/>
              <w:spacing w:after="0"/>
              <w:rPr>
                <w:sz w:val="20"/>
                <w:szCs w:val="20"/>
                <w:color w:val="auto"/>
              </w:rPr>
            </w:pPr>
            <w:r>
              <w:rPr>
                <w:rFonts w:ascii="Arial" w:cs="Arial" w:eastAsia="Arial" w:hAnsi="Arial"/>
                <w:sz w:val="14"/>
                <w:szCs w:val="14"/>
                <w:i w:val="1"/>
                <w:iCs w:val="1"/>
                <w:color w:val="auto"/>
              </w:rPr>
              <w:t>Revolving Credit Agreement</w:t>
            </w:r>
          </w:p>
        </w:tc>
      </w:tr>
      <w:tr>
        <w:trPr>
          <w:trHeight w:val="316"/>
        </w:trPr>
        <w:tc>
          <w:tcPr>
            <w:tcW w:w="7580" w:type="dxa"/>
            <w:vAlign w:val="bottom"/>
            <w:tcBorders>
              <w:bottom w:val="single" w:sz="8" w:color="9A9A9A"/>
            </w:tcBorders>
          </w:tcPr>
          <w:p>
            <w:pPr>
              <w:spacing w:after="0"/>
              <w:rPr>
                <w:sz w:val="24"/>
                <w:szCs w:val="24"/>
                <w:color w:val="auto"/>
              </w:rPr>
            </w:pPr>
          </w:p>
        </w:tc>
        <w:tc>
          <w:tcPr>
            <w:tcW w:w="368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7145655</wp:posOffset>
            </wp:positionH>
            <wp:positionV relativeFrom="paragraph">
              <wp:posOffset>-8255</wp:posOffset>
            </wp:positionV>
            <wp:extent cx="8255" cy="8890"/>
            <wp:wrapNone/>
            <wp:docPr id="213" name="Picture 2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3"/>
                    <pic:cNvPicPr>
                      <a:picLocks noChangeAspect="1" noChangeArrowheads="1"/>
                    </pic:cNvPicPr>
                  </pic:nvPicPr>
                  <pic:blipFill>
                    <a:blip r:embed="rId220">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-16510</wp:posOffset>
            </wp:positionV>
            <wp:extent cx="8890" cy="17145"/>
            <wp:wrapNone/>
            <wp:docPr id="214" name="Picture 2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4"/>
                    <pic:cNvPicPr>
                      <a:picLocks noChangeAspect="1" noChangeArrowheads="1"/>
                    </pic:cNvPicPr>
                  </pic:nvPicPr>
                  <pic:blipFill>
                    <a:blip r:embed="rId221">
                      <a:extLst>
                        <a:ext uri="{28A0092B-C50C-407E-A947-70E740481C1C}"/>
                      </a:extLst>
                    </a:blip>
                    <a:srcRect/>
                    <a:stretch>
                      <a:fillRect/>
                    </a:stretch>
                  </pic:blipFill>
                  <pic:spPr bwMode="auto">
                    <a:xfrm>
                      <a:off x="0" y="0"/>
                      <a:ext cx="8890" cy="17145"/>
                    </a:xfrm>
                    <a:prstGeom prst="rect">
                      <a:avLst/>
                    </a:prstGeom>
                    <a:noFill/>
                  </pic:spPr>
                </pic:pic>
              </a:graphicData>
            </a:graphic>
          </wp:anchor>
        </w:drawing>
      </w:r>
    </w:p>
    <w:p>
      <w:pPr>
        <w:sectPr>
          <w:pgSz w:w="11900" w:h="16838" w:orient="portrait"/>
          <w:cols w:equalWidth="0" w:num="1">
            <w:col w:w="11260"/>
          </w:cols>
          <w:pgMar w:left="320" w:top="337" w:right="319" w:bottom="1440" w:gutter="0" w:footer="0" w:header="0"/>
        </w:sectPr>
      </w:pPr>
    </w:p>
    <w:bookmarkStart w:id="117" w:name="page118"/>
    <w:bookmarkEnd w:id="117"/>
    <w:p>
      <w:pPr>
        <w:ind w:right="20"/>
        <w:spacing w:after="0" w:line="253" w:lineRule="auto"/>
        <w:rPr>
          <w:sz w:val="20"/>
          <w:szCs w:val="20"/>
          <w:color w:val="auto"/>
        </w:rPr>
      </w:pPr>
      <w:r>
        <w:rPr>
          <w:rFonts w:ascii="Arial" w:cs="Arial" w:eastAsia="Arial" w:hAnsi="Arial"/>
          <w:sz w:val="14"/>
          <w:szCs w:val="14"/>
          <w:color w:val="auto"/>
        </w:rPr>
        <w:t>Indebtedness as “Unsecured Shorter-Term Indebtedness” (whereupon such Indebtedness shall be deemed to constitute “Unsecured Shorter-Term Indebtedness” for all purposes of this Agreement); or</w:t>
      </w:r>
    </w:p>
    <w:p>
      <w:pPr>
        <w:spacing w:after="0" w:line="174" w:lineRule="exact"/>
        <w:rPr>
          <w:sz w:val="20"/>
          <w:szCs w:val="20"/>
          <w:color w:val="auto"/>
        </w:rPr>
      </w:pPr>
    </w:p>
    <w:p>
      <w:pPr>
        <w:ind w:right="20" w:firstLine="1735"/>
        <w:spacing w:after="0" w:line="253" w:lineRule="auto"/>
        <w:tabs>
          <w:tab w:leader="none" w:pos="2543" w:val="left"/>
        </w:tabs>
        <w:numPr>
          <w:ilvl w:val="0"/>
          <w:numId w:val="141"/>
        </w:numPr>
        <w:rPr>
          <w:rFonts w:ascii="Arial" w:cs="Arial" w:eastAsia="Arial" w:hAnsi="Arial"/>
          <w:sz w:val="14"/>
          <w:szCs w:val="14"/>
          <w:color w:val="auto"/>
        </w:rPr>
      </w:pPr>
      <w:r>
        <w:rPr>
          <w:rFonts w:ascii="Arial" w:cs="Arial" w:eastAsia="Arial" w:hAnsi="Arial"/>
          <w:sz w:val="14"/>
          <w:szCs w:val="14"/>
          <w:color w:val="auto"/>
        </w:rPr>
        <w:t>any of the Affiliate Agreements, unless such modification, supplement or waiver is not materially less favorable to the Borrower than could be obtained on an arm’s-length basis from unrelated third parties, in each case, without the prior consent of the Administrative Agent (with the approval of the Required Lenders).</w:t>
      </w:r>
    </w:p>
    <w:p>
      <w:pPr>
        <w:spacing w:after="0" w:line="174" w:lineRule="exact"/>
        <w:rPr>
          <w:sz w:val="20"/>
          <w:szCs w:val="20"/>
          <w:color w:val="auto"/>
        </w:rPr>
      </w:pPr>
    </w:p>
    <w:p>
      <w:pPr>
        <w:jc w:val="both"/>
        <w:ind w:right="20" w:firstLine="1727"/>
        <w:spacing w:after="0" w:line="243" w:lineRule="auto"/>
        <w:rPr>
          <w:sz w:val="20"/>
          <w:szCs w:val="20"/>
          <w:color w:val="auto"/>
        </w:rPr>
      </w:pPr>
      <w:r>
        <w:rPr>
          <w:rFonts w:ascii="Arial" w:cs="Arial" w:eastAsia="Arial" w:hAnsi="Arial"/>
          <w:sz w:val="13"/>
          <w:szCs w:val="13"/>
          <w:color w:val="auto"/>
        </w:rPr>
        <w:t xml:space="preserve">SECTION 6.12. </w:t>
      </w:r>
      <w:r>
        <w:rPr>
          <w:rFonts w:ascii="Arial" w:cs="Arial" w:eastAsia="Arial" w:hAnsi="Arial"/>
          <w:sz w:val="13"/>
          <w:szCs w:val="13"/>
          <w:u w:val="single" w:color="auto"/>
          <w:color w:val="auto"/>
        </w:rPr>
        <w:t>Payments of Longer-Term Indebtedness</w:t>
      </w:r>
      <w:r>
        <w:rPr>
          <w:rFonts w:ascii="Arial" w:cs="Arial" w:eastAsia="Arial" w:hAnsi="Arial"/>
          <w:sz w:val="13"/>
          <w:szCs w:val="13"/>
          <w:color w:val="auto"/>
        </w:rPr>
        <w:t xml:space="preserve">. The Borrower will not, nor will it permit any of its Subsidiaries (other than Financing Subsidiaries) to, purchase, redeem, retire or otherwise acquire for value, or set apart any money for a sinking, defeasance or other analogous fund for the purchase, redemption, retirement or other acquisition of or make any voluntary payment or prepayment of the principal of or interest on, or any other amount owing in respect of, any Secured Longer-Term Indebtedness, Unsecured Longer-Term Indebtedness or Permitted Indebtedness (other than the refinancing of Secured Longer-Term Indebtedness, Unsecured Longer-Term Indebtedness or Permitted Indebtedness with Indebtedness permitted under </w:t>
      </w:r>
      <w:r>
        <w:rPr>
          <w:rFonts w:ascii="Arial" w:cs="Arial" w:eastAsia="Arial" w:hAnsi="Arial"/>
          <w:sz w:val="13"/>
          <w:szCs w:val="13"/>
          <w:u w:val="single" w:color="auto"/>
          <w:color w:val="auto"/>
        </w:rPr>
        <w:t>Section 6.01</w:t>
      </w:r>
      <w:r>
        <w:rPr>
          <w:rFonts w:ascii="Arial" w:cs="Arial" w:eastAsia="Arial" w:hAnsi="Arial"/>
          <w:sz w:val="13"/>
          <w:szCs w:val="13"/>
          <w:color w:val="auto"/>
        </w:rPr>
        <w:t xml:space="preserve">), except for (a) regularly scheduled payments, prepayments or redemptions of principal and interest in respect thereof required pursuant to the instruments evidencing such Indebtedness and the payment when due of the types of fees and expenses that are customarily paid in connection with such Indebtedness (it being understood that: (w) the conversion features into Permitted Equity Interests under Permitted Convertible Indebtedness; (x) the triggering of such conversion and/or settlement thereof solely with Permitted Equity Interests; and (y) any cash payment on account of interest or expenses on such Permitted Convertible Indebtedness made by the Borrower or any of its Subsidiaries in respect of such triggering and/or settlement thereof shall be permitted under this </w:t>
      </w:r>
      <w:r>
        <w:rPr>
          <w:rFonts w:ascii="Arial" w:cs="Arial" w:eastAsia="Arial" w:hAnsi="Arial"/>
          <w:sz w:val="13"/>
          <w:szCs w:val="13"/>
          <w:u w:val="single" w:color="auto"/>
          <w:color w:val="auto"/>
        </w:rPr>
        <w:t>clause (a)</w:t>
      </w:r>
      <w:r>
        <w:rPr>
          <w:rFonts w:ascii="Arial" w:cs="Arial" w:eastAsia="Arial" w:hAnsi="Arial"/>
          <w:sz w:val="13"/>
          <w:szCs w:val="13"/>
          <w:color w:val="auto"/>
        </w:rPr>
        <w:t xml:space="preserve">), (b) voluntary payments or prepayments of Secured Longer-Term Indebtedness and/or Permitted Indebtedness, so long as both before and after giving effect to such voluntary payment or prepayment (i) the Borrower is in pro forma compliance with the financial covenants set forth in </w:t>
      </w:r>
      <w:r>
        <w:rPr>
          <w:rFonts w:ascii="Arial" w:cs="Arial" w:eastAsia="Arial" w:hAnsi="Arial"/>
          <w:sz w:val="13"/>
          <w:szCs w:val="13"/>
          <w:u w:val="single" w:color="auto"/>
          <w:color w:val="auto"/>
        </w:rPr>
        <w:t>Section 6.07</w:t>
      </w:r>
      <w:r>
        <w:rPr>
          <w:rFonts w:ascii="Arial" w:cs="Arial" w:eastAsia="Arial" w:hAnsi="Arial"/>
          <w:sz w:val="13"/>
          <w:szCs w:val="13"/>
          <w:color w:val="auto"/>
        </w:rPr>
        <w:t xml:space="preserve"> and (ii) no Default or Event of Default shall exist or be continuing or (c) so long as no Default shall exist or be continuing, any payment that, if treated as a Restricted Payment for purposes of </w:t>
      </w:r>
      <w:r>
        <w:rPr>
          <w:rFonts w:ascii="Arial" w:cs="Arial" w:eastAsia="Arial" w:hAnsi="Arial"/>
          <w:sz w:val="13"/>
          <w:szCs w:val="13"/>
          <w:u w:val="single" w:color="auto"/>
          <w:color w:val="auto"/>
        </w:rPr>
        <w:t>Section 6.05(d)</w:t>
      </w:r>
      <w:r>
        <w:rPr>
          <w:rFonts w:ascii="Arial" w:cs="Arial" w:eastAsia="Arial" w:hAnsi="Arial"/>
          <w:sz w:val="13"/>
          <w:szCs w:val="13"/>
          <w:color w:val="auto"/>
        </w:rPr>
        <w:t xml:space="preserve">, would be permitted to be made pursuant to the provisions set forth in </w:t>
      </w:r>
      <w:r>
        <w:rPr>
          <w:rFonts w:ascii="Arial" w:cs="Arial" w:eastAsia="Arial" w:hAnsi="Arial"/>
          <w:sz w:val="13"/>
          <w:szCs w:val="13"/>
          <w:u w:val="single" w:color="auto"/>
          <w:color w:val="auto"/>
        </w:rPr>
        <w:t>Section 6.05(d)</w:t>
      </w:r>
      <w:r>
        <w:rPr>
          <w:rFonts w:ascii="Arial" w:cs="Arial" w:eastAsia="Arial" w:hAnsi="Arial"/>
          <w:sz w:val="13"/>
          <w:szCs w:val="13"/>
          <w:color w:val="auto"/>
        </w:rPr>
        <w:t>.</w:t>
      </w:r>
    </w:p>
    <w:p>
      <w:pPr>
        <w:spacing w:after="0" w:line="182" w:lineRule="exact"/>
        <w:rPr>
          <w:sz w:val="20"/>
          <w:szCs w:val="20"/>
          <w:color w:val="auto"/>
        </w:rPr>
      </w:pPr>
    </w:p>
    <w:p>
      <w:pPr>
        <w:jc w:val="both"/>
        <w:ind w:right="20" w:firstLine="1727"/>
        <w:spacing w:after="0" w:line="253" w:lineRule="auto"/>
        <w:rPr>
          <w:sz w:val="20"/>
          <w:szCs w:val="20"/>
          <w:color w:val="auto"/>
        </w:rPr>
      </w:pPr>
      <w:r>
        <w:rPr>
          <w:rFonts w:ascii="Arial" w:cs="Arial" w:eastAsia="Arial" w:hAnsi="Arial"/>
          <w:sz w:val="14"/>
          <w:szCs w:val="14"/>
          <w:color w:val="auto"/>
        </w:rPr>
        <w:t xml:space="preserve">SECTION 6.13. </w:t>
      </w:r>
      <w:r>
        <w:rPr>
          <w:rFonts w:ascii="Arial" w:cs="Arial" w:eastAsia="Arial" w:hAnsi="Arial"/>
          <w:sz w:val="14"/>
          <w:szCs w:val="14"/>
          <w:u w:val="single" w:color="auto"/>
          <w:color w:val="auto"/>
        </w:rPr>
        <w:t>Accounting Changes</w:t>
      </w:r>
      <w:r>
        <w:rPr>
          <w:rFonts w:ascii="Arial" w:cs="Arial" w:eastAsia="Arial" w:hAnsi="Arial"/>
          <w:sz w:val="14"/>
          <w:szCs w:val="14"/>
          <w:color w:val="auto"/>
        </w:rPr>
        <w:t>. The Borrower will not, nor will it permit any of its Subsidiaries to, make any change in (a) accounting policies or reporting practices, except as permitted under GAAP or required by law or rule or regulation of any Governmental Authority, or (b) its fiscal year.</w:t>
      </w:r>
    </w:p>
    <w:p>
      <w:pPr>
        <w:spacing w:after="0" w:line="174" w:lineRule="exact"/>
        <w:rPr>
          <w:sz w:val="20"/>
          <w:szCs w:val="20"/>
          <w:color w:val="auto"/>
        </w:rPr>
      </w:pPr>
    </w:p>
    <w:p>
      <w:pPr>
        <w:jc w:val="both"/>
        <w:ind w:right="20" w:firstLine="1727"/>
        <w:spacing w:after="0" w:line="253" w:lineRule="auto"/>
        <w:rPr>
          <w:sz w:val="20"/>
          <w:szCs w:val="20"/>
          <w:color w:val="auto"/>
        </w:rPr>
      </w:pPr>
      <w:r>
        <w:rPr>
          <w:rFonts w:ascii="Arial" w:cs="Arial" w:eastAsia="Arial" w:hAnsi="Arial"/>
          <w:sz w:val="14"/>
          <w:szCs w:val="14"/>
          <w:color w:val="auto"/>
        </w:rPr>
        <w:t xml:space="preserve">SECTION 6.14. </w:t>
      </w:r>
      <w:r>
        <w:rPr>
          <w:rFonts w:ascii="Arial" w:cs="Arial" w:eastAsia="Arial" w:hAnsi="Arial"/>
          <w:sz w:val="14"/>
          <w:szCs w:val="14"/>
          <w:u w:val="single" w:color="auto"/>
          <w:color w:val="auto"/>
        </w:rPr>
        <w:t>SBIC Guarantee</w:t>
      </w:r>
      <w:r>
        <w:rPr>
          <w:rFonts w:ascii="Arial" w:cs="Arial" w:eastAsia="Arial" w:hAnsi="Arial"/>
          <w:sz w:val="14"/>
          <w:szCs w:val="14"/>
          <w:color w:val="auto"/>
        </w:rPr>
        <w:t>. The Borrower will not, nor will it permit any of its Subsidiaries to, cause or permit the occurrence of any event or condition that would result in any recourse to any Obligor under any Permitted SBIC Guarantee.</w:t>
      </w:r>
    </w:p>
    <w:p>
      <w:pPr>
        <w:spacing w:after="0" w:line="174" w:lineRule="exact"/>
        <w:rPr>
          <w:sz w:val="20"/>
          <w:szCs w:val="20"/>
          <w:color w:val="auto"/>
        </w:rPr>
      </w:pPr>
    </w:p>
    <w:p>
      <w:pPr>
        <w:jc w:val="center"/>
        <w:ind w:right="20"/>
        <w:spacing w:after="0"/>
        <w:rPr>
          <w:sz w:val="20"/>
          <w:szCs w:val="20"/>
          <w:color w:val="auto"/>
        </w:rPr>
      </w:pPr>
      <w:r>
        <w:rPr>
          <w:rFonts w:ascii="Arial" w:cs="Arial" w:eastAsia="Arial" w:hAnsi="Arial"/>
          <w:sz w:val="14"/>
          <w:szCs w:val="14"/>
          <w:color w:val="auto"/>
        </w:rPr>
        <w:t>ARTICLE VII</w:t>
      </w:r>
    </w:p>
    <w:p>
      <w:pPr>
        <w:spacing w:after="0" w:line="136" w:lineRule="exact"/>
        <w:rPr>
          <w:sz w:val="20"/>
          <w:szCs w:val="20"/>
          <w:color w:val="auto"/>
        </w:rPr>
      </w:pPr>
    </w:p>
    <w:p>
      <w:pPr>
        <w:jc w:val="center"/>
        <w:ind w:right="20"/>
        <w:spacing w:after="0"/>
        <w:rPr>
          <w:sz w:val="20"/>
          <w:szCs w:val="20"/>
          <w:color w:val="auto"/>
        </w:rPr>
      </w:pPr>
      <w:r>
        <w:rPr>
          <w:rFonts w:ascii="Arial" w:cs="Arial" w:eastAsia="Arial" w:hAnsi="Arial"/>
          <w:sz w:val="14"/>
          <w:szCs w:val="14"/>
          <w:u w:val="single" w:color="auto"/>
          <w:color w:val="auto"/>
        </w:rPr>
        <w:t>EVENTS OF DEFAULT</w:t>
      </w:r>
    </w:p>
    <w:p>
      <w:pPr>
        <w:spacing w:after="0" w:line="204" w:lineRule="exact"/>
        <w:rPr>
          <w:sz w:val="20"/>
          <w:szCs w:val="20"/>
          <w:color w:val="auto"/>
        </w:rPr>
      </w:pPr>
    </w:p>
    <w:p>
      <w:pPr>
        <w:ind w:left="1740"/>
        <w:spacing w:after="0"/>
        <w:rPr>
          <w:sz w:val="20"/>
          <w:szCs w:val="20"/>
          <w:color w:val="auto"/>
        </w:rPr>
      </w:pPr>
      <w:r>
        <w:rPr>
          <w:rFonts w:ascii="Arial" w:cs="Arial" w:eastAsia="Arial" w:hAnsi="Arial"/>
          <w:sz w:val="14"/>
          <w:szCs w:val="14"/>
          <w:color w:val="auto"/>
        </w:rPr>
        <w:t>If any of the following events (“</w:t>
      </w:r>
      <w:r>
        <w:rPr>
          <w:rFonts w:ascii="Arial" w:cs="Arial" w:eastAsia="Arial" w:hAnsi="Arial"/>
          <w:sz w:val="14"/>
          <w:szCs w:val="14"/>
          <w:u w:val="single" w:color="auto"/>
          <w:color w:val="auto"/>
        </w:rPr>
        <w:t>Events of Default</w:t>
      </w:r>
      <w:r>
        <w:rPr>
          <w:rFonts w:ascii="Arial" w:cs="Arial" w:eastAsia="Arial" w:hAnsi="Arial"/>
          <w:sz w:val="14"/>
          <w:szCs w:val="14"/>
          <w:color w:val="auto"/>
        </w:rPr>
        <w:t>”) shall occur and be continuing:</w:t>
      </w:r>
    </w:p>
    <w:p>
      <w:pPr>
        <w:spacing w:after="0" w:line="204" w:lineRule="exact"/>
        <w:rPr>
          <w:sz w:val="20"/>
          <w:szCs w:val="20"/>
          <w:color w:val="auto"/>
        </w:rPr>
      </w:pPr>
    </w:p>
    <w:p>
      <w:pPr>
        <w:jc w:val="both"/>
        <w:ind w:right="20" w:firstLine="1735"/>
        <w:spacing w:after="0" w:line="238" w:lineRule="auto"/>
        <w:tabs>
          <w:tab w:leader="none" w:pos="2535" w:val="left"/>
        </w:tabs>
        <w:numPr>
          <w:ilvl w:val="1"/>
          <w:numId w:val="142"/>
        </w:numPr>
        <w:rPr>
          <w:rFonts w:ascii="Arial" w:cs="Arial" w:eastAsia="Arial" w:hAnsi="Arial"/>
          <w:sz w:val="14"/>
          <w:szCs w:val="14"/>
          <w:color w:val="auto"/>
        </w:rPr>
      </w:pPr>
      <w:r>
        <w:rPr>
          <w:rFonts w:ascii="Arial" w:cs="Arial" w:eastAsia="Arial" w:hAnsi="Arial"/>
          <w:sz w:val="14"/>
          <w:szCs w:val="14"/>
          <w:color w:val="auto"/>
        </w:rPr>
        <w:t xml:space="preserve">the Borrower shall (i) fail to pay any principal of any Loan or any reimbursement obligation in respect of any LC Disbursement when and as the same shall become due and payable, whether at the due date thereof or at a date fixed for prepayment thereof or otherwise or (ii) fail to deposit any amount into the Letter of Credit Collateral Account as required by </w:t>
      </w:r>
      <w:r>
        <w:rPr>
          <w:rFonts w:ascii="Arial" w:cs="Arial" w:eastAsia="Arial" w:hAnsi="Arial"/>
          <w:sz w:val="14"/>
          <w:szCs w:val="14"/>
          <w:u w:val="single" w:color="auto"/>
          <w:color w:val="auto"/>
        </w:rPr>
        <w:t>Section 2.09(a)</w:t>
      </w:r>
      <w:r>
        <w:rPr>
          <w:rFonts w:ascii="Arial" w:cs="Arial" w:eastAsia="Arial" w:hAnsi="Arial"/>
          <w:sz w:val="14"/>
          <w:szCs w:val="14"/>
          <w:color w:val="auto"/>
        </w:rPr>
        <w:t xml:space="preserve"> on the Commitment Termination Date;</w:t>
      </w:r>
    </w:p>
    <w:p>
      <w:pPr>
        <w:spacing w:after="0" w:line="182" w:lineRule="exact"/>
        <w:rPr>
          <w:rFonts w:ascii="Arial" w:cs="Arial" w:eastAsia="Arial" w:hAnsi="Arial"/>
          <w:sz w:val="14"/>
          <w:szCs w:val="14"/>
          <w:color w:val="auto"/>
        </w:rPr>
      </w:pPr>
    </w:p>
    <w:p>
      <w:pPr>
        <w:jc w:val="both"/>
        <w:ind w:right="20" w:firstLine="1735"/>
        <w:spacing w:after="0" w:line="238" w:lineRule="auto"/>
        <w:tabs>
          <w:tab w:leader="none" w:pos="2543" w:val="left"/>
        </w:tabs>
        <w:numPr>
          <w:ilvl w:val="1"/>
          <w:numId w:val="142"/>
        </w:numPr>
        <w:rPr>
          <w:rFonts w:ascii="Arial" w:cs="Arial" w:eastAsia="Arial" w:hAnsi="Arial"/>
          <w:sz w:val="14"/>
          <w:szCs w:val="14"/>
          <w:color w:val="auto"/>
        </w:rPr>
      </w:pPr>
      <w:r>
        <w:rPr>
          <w:rFonts w:ascii="Arial" w:cs="Arial" w:eastAsia="Arial" w:hAnsi="Arial"/>
          <w:sz w:val="14"/>
          <w:szCs w:val="14"/>
          <w:color w:val="auto"/>
        </w:rPr>
        <w:t xml:space="preserve">the Borrower shall fail to pay any interest on any Loan or any fee or any other amount (other than an amount referred to in </w:t>
      </w:r>
      <w:r>
        <w:rPr>
          <w:rFonts w:ascii="Arial" w:cs="Arial" w:eastAsia="Arial" w:hAnsi="Arial"/>
          <w:sz w:val="14"/>
          <w:szCs w:val="14"/>
          <w:u w:val="single" w:color="auto"/>
          <w:color w:val="auto"/>
        </w:rPr>
        <w:t>clause (a)</w:t>
      </w:r>
      <w:r>
        <w:rPr>
          <w:rFonts w:ascii="Arial" w:cs="Arial" w:eastAsia="Arial" w:hAnsi="Arial"/>
          <w:sz w:val="14"/>
          <w:szCs w:val="14"/>
          <w:color w:val="auto"/>
        </w:rPr>
        <w:t xml:space="preserve"> of this Article) payable under this Agreement or under any other Loan Document, when and as the same shall become due and payable, and such failure shall continue unremedied for a period of five or more Business Days;</w:t>
      </w:r>
    </w:p>
    <w:p>
      <w:pPr>
        <w:spacing w:after="0" w:line="182" w:lineRule="exact"/>
        <w:rPr>
          <w:rFonts w:ascii="Arial" w:cs="Arial" w:eastAsia="Arial" w:hAnsi="Arial"/>
          <w:sz w:val="14"/>
          <w:szCs w:val="14"/>
          <w:color w:val="auto"/>
        </w:rPr>
      </w:pPr>
    </w:p>
    <w:p>
      <w:pPr>
        <w:jc w:val="both"/>
        <w:ind w:right="20" w:firstLine="1735"/>
        <w:spacing w:after="0" w:line="233" w:lineRule="auto"/>
        <w:tabs>
          <w:tab w:leader="none" w:pos="2535" w:val="left"/>
        </w:tabs>
        <w:numPr>
          <w:ilvl w:val="1"/>
          <w:numId w:val="142"/>
        </w:numPr>
        <w:rPr>
          <w:rFonts w:ascii="Arial" w:cs="Arial" w:eastAsia="Arial" w:hAnsi="Arial"/>
          <w:sz w:val="14"/>
          <w:szCs w:val="14"/>
          <w:color w:val="auto"/>
        </w:rPr>
      </w:pPr>
      <w:r>
        <w:rPr>
          <w:rFonts w:ascii="Arial" w:cs="Arial" w:eastAsia="Arial" w:hAnsi="Arial"/>
          <w:sz w:val="14"/>
          <w:szCs w:val="14"/>
          <w:color w:val="auto"/>
        </w:rPr>
        <w:t>any representation or warranty made or deemed made by or on behalf of the Borrower or any of its Subsidiaries in or in connection with this Agreement or any other Loan Document or any amendment or modification hereof or thereof, or in any report, certificate, financial statement or other document furnished pursuant to or in connection with this Agreement or any other Loan Document or any amendment or modification hereof or thereof, shall prove to have been incorrect when made or deemed made in any material respect;</w:t>
      </w:r>
    </w:p>
    <w:p>
      <w:pPr>
        <w:spacing w:after="0" w:line="184" w:lineRule="exact"/>
        <w:rPr>
          <w:rFonts w:ascii="Arial" w:cs="Arial" w:eastAsia="Arial" w:hAnsi="Arial"/>
          <w:sz w:val="14"/>
          <w:szCs w:val="14"/>
          <w:color w:val="auto"/>
        </w:rPr>
      </w:pPr>
    </w:p>
    <w:p>
      <w:pPr>
        <w:jc w:val="both"/>
        <w:ind w:right="20" w:firstLine="1735"/>
        <w:spacing w:after="0" w:line="248" w:lineRule="auto"/>
        <w:tabs>
          <w:tab w:leader="none" w:pos="2543" w:val="left"/>
        </w:tabs>
        <w:numPr>
          <w:ilvl w:val="1"/>
          <w:numId w:val="142"/>
        </w:numPr>
        <w:rPr>
          <w:rFonts w:ascii="Arial" w:cs="Arial" w:eastAsia="Arial" w:hAnsi="Arial"/>
          <w:sz w:val="13"/>
          <w:szCs w:val="13"/>
          <w:color w:val="auto"/>
        </w:rPr>
      </w:pPr>
      <w:r>
        <w:rPr>
          <w:rFonts w:ascii="Arial" w:cs="Arial" w:eastAsia="Arial" w:hAnsi="Arial"/>
          <w:sz w:val="13"/>
          <w:szCs w:val="13"/>
          <w:color w:val="auto"/>
        </w:rPr>
        <w:t xml:space="preserve">the Borrower shall fail to observe or perform any covenant, condition or agreement contained in (i) </w:t>
      </w:r>
      <w:r>
        <w:rPr>
          <w:rFonts w:ascii="Arial" w:cs="Arial" w:eastAsia="Arial" w:hAnsi="Arial"/>
          <w:sz w:val="13"/>
          <w:szCs w:val="13"/>
          <w:u w:val="single" w:color="auto"/>
          <w:color w:val="auto"/>
        </w:rPr>
        <w:t>Section 5.03</w:t>
      </w:r>
      <w:r>
        <w:rPr>
          <w:rFonts w:ascii="Arial" w:cs="Arial" w:eastAsia="Arial" w:hAnsi="Arial"/>
          <w:sz w:val="13"/>
          <w:szCs w:val="13"/>
          <w:color w:val="auto"/>
        </w:rPr>
        <w:t xml:space="preserve"> (with respect to the Borrower’s existence) or </w:t>
      </w:r>
      <w:r>
        <w:rPr>
          <w:rFonts w:ascii="Arial" w:cs="Arial" w:eastAsia="Arial" w:hAnsi="Arial"/>
          <w:sz w:val="13"/>
          <w:szCs w:val="13"/>
          <w:u w:val="single" w:color="auto"/>
          <w:color w:val="auto"/>
        </w:rPr>
        <w:t>Sections 5.08(a)</w:t>
      </w:r>
      <w:r>
        <w:rPr>
          <w:rFonts w:ascii="Arial" w:cs="Arial" w:eastAsia="Arial" w:hAnsi="Arial"/>
          <w:sz w:val="13"/>
          <w:szCs w:val="13"/>
          <w:color w:val="auto"/>
        </w:rPr>
        <w:t xml:space="preserve"> and </w:t>
      </w:r>
      <w:r>
        <w:rPr>
          <w:rFonts w:ascii="Arial" w:cs="Arial" w:eastAsia="Arial" w:hAnsi="Arial"/>
          <w:sz w:val="13"/>
          <w:szCs w:val="13"/>
          <w:u w:val="single" w:color="auto"/>
          <w:color w:val="auto"/>
        </w:rPr>
        <w:t>(b)</w:t>
      </w:r>
      <w:r>
        <w:rPr>
          <w:rFonts w:ascii="Arial" w:cs="Arial" w:eastAsia="Arial" w:hAnsi="Arial"/>
          <w:sz w:val="13"/>
          <w:szCs w:val="13"/>
          <w:color w:val="auto"/>
        </w:rPr>
        <w:t xml:space="preserve"> or in </w:t>
      </w:r>
      <w:r>
        <w:rPr>
          <w:rFonts w:ascii="Arial" w:cs="Arial" w:eastAsia="Arial" w:hAnsi="Arial"/>
          <w:sz w:val="13"/>
          <w:szCs w:val="13"/>
          <w:u w:val="single" w:color="auto"/>
          <w:color w:val="auto"/>
        </w:rPr>
        <w:t>Article VI</w:t>
      </w:r>
      <w:r>
        <w:rPr>
          <w:rFonts w:ascii="Arial" w:cs="Arial" w:eastAsia="Arial" w:hAnsi="Arial"/>
          <w:sz w:val="13"/>
          <w:szCs w:val="13"/>
          <w:color w:val="auto"/>
        </w:rPr>
        <w:t xml:space="preserve"> or any Obligor shall default in the performance of any of its obligations contained in Section 7 of the Guarantee and Security Agreement or</w:t>
      </w:r>
    </w:p>
    <w:p>
      <w:pPr>
        <w:ind w:right="20" w:firstLine="8"/>
        <w:spacing w:after="0" w:line="237" w:lineRule="auto"/>
        <w:tabs>
          <w:tab w:leader="none" w:pos="212" w:val="left"/>
        </w:tabs>
        <w:numPr>
          <w:ilvl w:val="0"/>
          <w:numId w:val="143"/>
        </w:numPr>
        <w:rPr>
          <w:rFonts w:ascii="Arial" w:cs="Arial" w:eastAsia="Arial" w:hAnsi="Arial"/>
          <w:sz w:val="14"/>
          <w:szCs w:val="14"/>
          <w:color w:val="auto"/>
        </w:rPr>
      </w:pPr>
      <w:r>
        <w:rPr>
          <w:rFonts w:ascii="Arial" w:cs="Arial" w:eastAsia="Arial" w:hAnsi="Arial"/>
          <w:sz w:val="14"/>
          <w:szCs w:val="14"/>
          <w:u w:val="single" w:color="auto"/>
          <w:color w:val="auto"/>
        </w:rPr>
        <w:t>Sections 5.01(e)</w:t>
      </w:r>
      <w:r>
        <w:rPr>
          <w:rFonts w:ascii="Arial" w:cs="Arial" w:eastAsia="Arial" w:hAnsi="Arial"/>
          <w:sz w:val="14"/>
          <w:szCs w:val="14"/>
          <w:color w:val="auto"/>
        </w:rPr>
        <w:t xml:space="preserve"> and </w:t>
      </w:r>
      <w:r>
        <w:rPr>
          <w:rFonts w:ascii="Arial" w:cs="Arial" w:eastAsia="Arial" w:hAnsi="Arial"/>
          <w:sz w:val="14"/>
          <w:szCs w:val="14"/>
          <w:u w:val="single" w:color="auto"/>
          <w:color w:val="auto"/>
        </w:rPr>
        <w:t>(f)</w:t>
      </w:r>
      <w:r>
        <w:rPr>
          <w:rFonts w:ascii="Arial" w:cs="Arial" w:eastAsia="Arial" w:hAnsi="Arial"/>
          <w:sz w:val="14"/>
          <w:szCs w:val="14"/>
          <w:color w:val="auto"/>
        </w:rPr>
        <w:t xml:space="preserve"> or </w:t>
      </w:r>
      <w:r>
        <w:rPr>
          <w:rFonts w:ascii="Arial" w:cs="Arial" w:eastAsia="Arial" w:hAnsi="Arial"/>
          <w:sz w:val="14"/>
          <w:szCs w:val="14"/>
          <w:u w:val="single" w:color="auto"/>
          <w:color w:val="auto"/>
        </w:rPr>
        <w:t>5.02</w:t>
      </w:r>
      <w:r>
        <w:rPr>
          <w:rFonts w:ascii="Arial" w:cs="Arial" w:eastAsia="Arial" w:hAnsi="Arial"/>
          <w:sz w:val="14"/>
          <w:szCs w:val="14"/>
          <w:color w:val="auto"/>
        </w:rPr>
        <w:t xml:space="preserve"> and such failure shall continue unremedied for a period of five or more days after notice thereof by the Administrative Agent (given at the request of any Lender) to the Borrower;</w:t>
      </w:r>
    </w:p>
    <w:p>
      <w:pPr>
        <w:spacing w:after="0" w:line="183" w:lineRule="exact"/>
        <w:rPr>
          <w:rFonts w:ascii="Arial" w:cs="Arial" w:eastAsia="Arial" w:hAnsi="Arial"/>
          <w:sz w:val="14"/>
          <w:szCs w:val="14"/>
          <w:color w:val="auto"/>
        </w:rPr>
      </w:pPr>
    </w:p>
    <w:p>
      <w:pPr>
        <w:jc w:val="both"/>
        <w:ind w:right="20" w:firstLine="1735"/>
        <w:spacing w:after="0" w:line="255" w:lineRule="auto"/>
        <w:tabs>
          <w:tab w:leader="none" w:pos="2535" w:val="left"/>
        </w:tabs>
        <w:numPr>
          <w:ilvl w:val="1"/>
          <w:numId w:val="143"/>
        </w:numPr>
        <w:rPr>
          <w:rFonts w:ascii="Arial" w:cs="Arial" w:eastAsia="Arial" w:hAnsi="Arial"/>
          <w:sz w:val="13"/>
          <w:szCs w:val="13"/>
          <w:color w:val="auto"/>
        </w:rPr>
      </w:pPr>
      <w:r>
        <w:rPr>
          <w:rFonts w:ascii="Arial" w:cs="Arial" w:eastAsia="Arial" w:hAnsi="Arial"/>
          <w:sz w:val="13"/>
          <w:szCs w:val="13"/>
          <w:color w:val="auto"/>
        </w:rPr>
        <w:t xml:space="preserve">a Borrowing Base Deficiency shall occur and continue unremedied for a period of five or more Business Days after delivery of a Borrowing Base Certificate demonstrating such Borrowing Base Deficiency pursuant to </w:t>
      </w:r>
      <w:r>
        <w:rPr>
          <w:rFonts w:ascii="Arial" w:cs="Arial" w:eastAsia="Arial" w:hAnsi="Arial"/>
          <w:sz w:val="13"/>
          <w:szCs w:val="13"/>
          <w:u w:val="single" w:color="auto"/>
          <w:color w:val="auto"/>
        </w:rPr>
        <w:t>Section 5.01(e)</w:t>
      </w:r>
      <w:r>
        <w:rPr>
          <w:rFonts w:ascii="Arial" w:cs="Arial" w:eastAsia="Arial" w:hAnsi="Arial"/>
          <w:sz w:val="13"/>
          <w:szCs w:val="13"/>
          <w:color w:val="auto"/>
        </w:rPr>
        <w:t xml:space="preserve">; </w:t>
      </w:r>
      <w:r>
        <w:rPr>
          <w:rFonts w:ascii="Arial" w:cs="Arial" w:eastAsia="Arial" w:hAnsi="Arial"/>
          <w:sz w:val="13"/>
          <w:szCs w:val="13"/>
          <w:u w:val="single" w:color="auto"/>
          <w:color w:val="auto"/>
        </w:rPr>
        <w:t>provided</w:t>
      </w:r>
      <w:r>
        <w:rPr>
          <w:rFonts w:ascii="Arial" w:cs="Arial" w:eastAsia="Arial" w:hAnsi="Arial"/>
          <w:sz w:val="13"/>
          <w:szCs w:val="13"/>
          <w:color w:val="auto"/>
        </w:rPr>
        <w:t xml:space="preserve"> that it shall not be an Event of Default hereunder if the Borrower shall present the Administrative Agent with a reasonably feasible plan acceptable to the Administrative Agent in its sole discretion to enable such Borrowing Base Deficiency to be cured within 30 Business Days (which 30-Business Day period shall include the five Business Days permitted for delivery of such plan), so long as such Borrowing Base Deficiency is cured within such 30-Business Day period;</w:t>
      </w:r>
    </w:p>
    <w:p>
      <w:pPr>
        <w:spacing w:after="0" w:line="200" w:lineRule="exact"/>
        <w:rPr>
          <w:sz w:val="20"/>
          <w:szCs w:val="20"/>
          <w:color w:val="auto"/>
        </w:rPr>
      </w:pPr>
    </w:p>
    <w:p>
      <w:pPr>
        <w:spacing w:after="0" w:line="39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7580" w:type="dxa"/>
            <w:vAlign w:val="bottom"/>
          </w:tcPr>
          <w:p>
            <w:pPr>
              <w:jc w:val="right"/>
              <w:ind w:right="1808"/>
              <w:spacing w:after="0"/>
              <w:rPr>
                <w:sz w:val="20"/>
                <w:szCs w:val="20"/>
                <w:color w:val="auto"/>
              </w:rPr>
            </w:pPr>
            <w:r>
              <w:rPr>
                <w:rFonts w:ascii="Arial" w:cs="Arial" w:eastAsia="Arial" w:hAnsi="Arial"/>
                <w:sz w:val="14"/>
                <w:szCs w:val="14"/>
                <w:color w:val="auto"/>
              </w:rPr>
              <w:t>55</w:t>
            </w:r>
          </w:p>
        </w:tc>
        <w:tc>
          <w:tcPr>
            <w:tcW w:w="3680" w:type="dxa"/>
            <w:vAlign w:val="bottom"/>
          </w:tcPr>
          <w:p>
            <w:pPr>
              <w:jc w:val="right"/>
              <w:spacing w:after="0"/>
              <w:rPr>
                <w:sz w:val="20"/>
                <w:szCs w:val="20"/>
                <w:color w:val="auto"/>
              </w:rPr>
            </w:pPr>
            <w:r>
              <w:rPr>
                <w:rFonts w:ascii="Arial" w:cs="Arial" w:eastAsia="Arial" w:hAnsi="Arial"/>
                <w:sz w:val="14"/>
                <w:szCs w:val="14"/>
                <w:i w:val="1"/>
                <w:iCs w:val="1"/>
                <w:color w:val="auto"/>
              </w:rPr>
              <w:t>Second Amended and Restated</w:t>
            </w:r>
          </w:p>
        </w:tc>
      </w:tr>
      <w:tr>
        <w:trPr>
          <w:trHeight w:val="182"/>
        </w:trPr>
        <w:tc>
          <w:tcPr>
            <w:tcW w:w="7580" w:type="dxa"/>
            <w:vAlign w:val="bottom"/>
          </w:tcPr>
          <w:p>
            <w:pPr>
              <w:spacing w:after="0"/>
              <w:rPr>
                <w:sz w:val="15"/>
                <w:szCs w:val="15"/>
                <w:color w:val="auto"/>
              </w:rPr>
            </w:pPr>
          </w:p>
        </w:tc>
        <w:tc>
          <w:tcPr>
            <w:tcW w:w="3680" w:type="dxa"/>
            <w:vAlign w:val="bottom"/>
          </w:tcPr>
          <w:p>
            <w:pPr>
              <w:jc w:val="right"/>
              <w:spacing w:after="0"/>
              <w:rPr>
                <w:sz w:val="20"/>
                <w:szCs w:val="20"/>
                <w:color w:val="auto"/>
              </w:rPr>
            </w:pPr>
            <w:r>
              <w:rPr>
                <w:rFonts w:ascii="Arial" w:cs="Arial" w:eastAsia="Arial" w:hAnsi="Arial"/>
                <w:sz w:val="14"/>
                <w:szCs w:val="14"/>
                <w:i w:val="1"/>
                <w:iCs w:val="1"/>
                <w:color w:val="auto"/>
              </w:rPr>
              <w:t>Revolving Credit Agreement</w:t>
            </w:r>
          </w:p>
        </w:tc>
      </w:tr>
      <w:tr>
        <w:trPr>
          <w:trHeight w:val="316"/>
        </w:trPr>
        <w:tc>
          <w:tcPr>
            <w:tcW w:w="7580" w:type="dxa"/>
            <w:vAlign w:val="bottom"/>
            <w:tcBorders>
              <w:bottom w:val="single" w:sz="8" w:color="9A9A9A"/>
            </w:tcBorders>
          </w:tcPr>
          <w:p>
            <w:pPr>
              <w:spacing w:after="0"/>
              <w:rPr>
                <w:sz w:val="24"/>
                <w:szCs w:val="24"/>
                <w:color w:val="auto"/>
              </w:rPr>
            </w:pPr>
          </w:p>
        </w:tc>
        <w:tc>
          <w:tcPr>
            <w:tcW w:w="368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7145655</wp:posOffset>
            </wp:positionH>
            <wp:positionV relativeFrom="paragraph">
              <wp:posOffset>-8255</wp:posOffset>
            </wp:positionV>
            <wp:extent cx="8255" cy="8890"/>
            <wp:wrapNone/>
            <wp:docPr id="215" name="Picture 2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5"/>
                    <pic:cNvPicPr>
                      <a:picLocks noChangeAspect="1" noChangeArrowheads="1"/>
                    </pic:cNvPicPr>
                  </pic:nvPicPr>
                  <pic:blipFill>
                    <a:blip r:embed="rId222">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-16510</wp:posOffset>
            </wp:positionV>
            <wp:extent cx="8890" cy="17145"/>
            <wp:wrapNone/>
            <wp:docPr id="216" name="Picture 2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6"/>
                    <pic:cNvPicPr>
                      <a:picLocks noChangeAspect="1" noChangeArrowheads="1"/>
                    </pic:cNvPicPr>
                  </pic:nvPicPr>
                  <pic:blipFill>
                    <a:blip r:embed="rId223">
                      <a:extLst>
                        <a:ext uri="{28A0092B-C50C-407E-A947-70E740481C1C}"/>
                      </a:extLst>
                    </a:blip>
                    <a:srcRect/>
                    <a:stretch>
                      <a:fillRect/>
                    </a:stretch>
                  </pic:blipFill>
                  <pic:spPr bwMode="auto">
                    <a:xfrm>
                      <a:off x="0" y="0"/>
                      <a:ext cx="8890" cy="17145"/>
                    </a:xfrm>
                    <a:prstGeom prst="rect">
                      <a:avLst/>
                    </a:prstGeom>
                    <a:noFill/>
                  </pic:spPr>
                </pic:pic>
              </a:graphicData>
            </a:graphic>
          </wp:anchor>
        </w:drawing>
      </w:r>
    </w:p>
    <w:p>
      <w:pPr>
        <w:sectPr>
          <w:pgSz w:w="11900" w:h="16838" w:orient="portrait"/>
          <w:cols w:equalWidth="0" w:num="1">
            <w:col w:w="11260"/>
          </w:cols>
          <w:pgMar w:left="320" w:top="337" w:right="319" w:bottom="1440" w:gutter="0" w:footer="0" w:header="0"/>
        </w:sectPr>
      </w:pPr>
    </w:p>
    <w:bookmarkStart w:id="118" w:name="page119"/>
    <w:bookmarkEnd w:id="118"/>
    <w:p>
      <w:pPr>
        <w:jc w:val="both"/>
        <w:ind w:right="20" w:firstLine="1735"/>
        <w:spacing w:after="0" w:line="238" w:lineRule="auto"/>
        <w:tabs>
          <w:tab w:leader="none" w:pos="2519" w:val="left"/>
        </w:tabs>
        <w:numPr>
          <w:ilvl w:val="0"/>
          <w:numId w:val="144"/>
        </w:numPr>
        <w:rPr>
          <w:rFonts w:ascii="Arial" w:cs="Arial" w:eastAsia="Arial" w:hAnsi="Arial"/>
          <w:sz w:val="14"/>
          <w:szCs w:val="14"/>
          <w:color w:val="auto"/>
        </w:rPr>
      </w:pPr>
      <w:r>
        <w:rPr>
          <w:rFonts w:ascii="Arial" w:cs="Arial" w:eastAsia="Arial" w:hAnsi="Arial"/>
          <w:sz w:val="14"/>
          <w:szCs w:val="14"/>
          <w:color w:val="auto"/>
        </w:rPr>
        <w:t xml:space="preserve">the Borrower or any Obligor, as applicable, shall fail to observe or perform any covenant, condition or agreement contained in this Agreement (other than those specified in </w:t>
      </w:r>
      <w:r>
        <w:rPr>
          <w:rFonts w:ascii="Arial" w:cs="Arial" w:eastAsia="Arial" w:hAnsi="Arial"/>
          <w:sz w:val="14"/>
          <w:szCs w:val="14"/>
          <w:u w:val="single" w:color="auto"/>
          <w:color w:val="auto"/>
        </w:rPr>
        <w:t>clause (a)</w:t>
      </w:r>
      <w:r>
        <w:rPr>
          <w:rFonts w:ascii="Arial" w:cs="Arial" w:eastAsia="Arial" w:hAnsi="Arial"/>
          <w:sz w:val="14"/>
          <w:szCs w:val="14"/>
          <w:color w:val="auto"/>
        </w:rPr>
        <w:t xml:space="preserve">, </w:t>
      </w:r>
      <w:r>
        <w:rPr>
          <w:rFonts w:ascii="Arial" w:cs="Arial" w:eastAsia="Arial" w:hAnsi="Arial"/>
          <w:sz w:val="14"/>
          <w:szCs w:val="14"/>
          <w:u w:val="single" w:color="auto"/>
          <w:color w:val="auto"/>
        </w:rPr>
        <w:t>(b)</w:t>
      </w:r>
      <w:r>
        <w:rPr>
          <w:rFonts w:ascii="Arial" w:cs="Arial" w:eastAsia="Arial" w:hAnsi="Arial"/>
          <w:sz w:val="14"/>
          <w:szCs w:val="14"/>
          <w:color w:val="auto"/>
        </w:rPr>
        <w:t xml:space="preserve">, </w:t>
      </w:r>
      <w:r>
        <w:rPr>
          <w:rFonts w:ascii="Arial" w:cs="Arial" w:eastAsia="Arial" w:hAnsi="Arial"/>
          <w:sz w:val="14"/>
          <w:szCs w:val="14"/>
          <w:u w:val="single" w:color="auto"/>
          <w:color w:val="auto"/>
        </w:rPr>
        <w:t>(d)</w:t>
      </w:r>
      <w:r>
        <w:rPr>
          <w:rFonts w:ascii="Arial" w:cs="Arial" w:eastAsia="Arial" w:hAnsi="Arial"/>
          <w:sz w:val="14"/>
          <w:szCs w:val="14"/>
          <w:color w:val="auto"/>
        </w:rPr>
        <w:t xml:space="preserve">, </w:t>
      </w:r>
      <w:r>
        <w:rPr>
          <w:rFonts w:ascii="Arial" w:cs="Arial" w:eastAsia="Arial" w:hAnsi="Arial"/>
          <w:sz w:val="14"/>
          <w:szCs w:val="14"/>
          <w:u w:val="single" w:color="auto"/>
          <w:color w:val="auto"/>
        </w:rPr>
        <w:t>(e)</w:t>
      </w:r>
      <w:r>
        <w:rPr>
          <w:rFonts w:ascii="Arial" w:cs="Arial" w:eastAsia="Arial" w:hAnsi="Arial"/>
          <w:sz w:val="14"/>
          <w:szCs w:val="14"/>
          <w:color w:val="auto"/>
        </w:rPr>
        <w:t xml:space="preserve"> or </w:t>
      </w:r>
      <w:r>
        <w:rPr>
          <w:rFonts w:ascii="Arial" w:cs="Arial" w:eastAsia="Arial" w:hAnsi="Arial"/>
          <w:sz w:val="14"/>
          <w:szCs w:val="14"/>
          <w:u w:val="single" w:color="auto"/>
          <w:color w:val="auto"/>
        </w:rPr>
        <w:t>(r)</w:t>
      </w:r>
      <w:r>
        <w:rPr>
          <w:rFonts w:ascii="Arial" w:cs="Arial" w:eastAsia="Arial" w:hAnsi="Arial"/>
          <w:sz w:val="14"/>
          <w:szCs w:val="14"/>
          <w:color w:val="auto"/>
        </w:rPr>
        <w:t xml:space="preserve"> of this Article) or any other Loan Document and such failure shall continue unremedied for a period of 30 or more days after notice thereof from the Administrative Agent (given at the request of any Lender) to the Borrower;</w:t>
      </w:r>
    </w:p>
    <w:p>
      <w:pPr>
        <w:spacing w:after="0" w:line="182" w:lineRule="exact"/>
        <w:rPr>
          <w:rFonts w:ascii="Arial" w:cs="Arial" w:eastAsia="Arial" w:hAnsi="Arial"/>
          <w:sz w:val="14"/>
          <w:szCs w:val="14"/>
          <w:color w:val="auto"/>
        </w:rPr>
      </w:pPr>
    </w:p>
    <w:p>
      <w:pPr>
        <w:ind w:right="20" w:firstLine="1735"/>
        <w:spacing w:after="0" w:line="253" w:lineRule="auto"/>
        <w:tabs>
          <w:tab w:leader="none" w:pos="2543" w:val="left"/>
        </w:tabs>
        <w:numPr>
          <w:ilvl w:val="0"/>
          <w:numId w:val="144"/>
        </w:numPr>
        <w:rPr>
          <w:rFonts w:ascii="Arial" w:cs="Arial" w:eastAsia="Arial" w:hAnsi="Arial"/>
          <w:sz w:val="14"/>
          <w:szCs w:val="14"/>
          <w:color w:val="auto"/>
        </w:rPr>
      </w:pPr>
      <w:r>
        <w:rPr>
          <w:rFonts w:ascii="Arial" w:cs="Arial" w:eastAsia="Arial" w:hAnsi="Arial"/>
          <w:sz w:val="14"/>
          <w:szCs w:val="14"/>
          <w:color w:val="auto"/>
        </w:rPr>
        <w:t>the Borrower or any of its Subsidiaries shall fail to make any payment (whether of principal or interest and regardless of amount) in respect of any Material Indebtedness, when and as the same shall become due and payable, taking into account any applicable grace period;</w:t>
      </w:r>
    </w:p>
    <w:p>
      <w:pPr>
        <w:spacing w:after="0" w:line="173" w:lineRule="exact"/>
        <w:rPr>
          <w:rFonts w:ascii="Arial" w:cs="Arial" w:eastAsia="Arial" w:hAnsi="Arial"/>
          <w:sz w:val="14"/>
          <w:szCs w:val="14"/>
          <w:color w:val="auto"/>
        </w:rPr>
      </w:pPr>
    </w:p>
    <w:p>
      <w:pPr>
        <w:jc w:val="both"/>
        <w:ind w:right="20" w:firstLine="1735"/>
        <w:spacing w:after="0" w:line="229" w:lineRule="auto"/>
        <w:tabs>
          <w:tab w:leader="none" w:pos="2543" w:val="left"/>
        </w:tabs>
        <w:numPr>
          <w:ilvl w:val="0"/>
          <w:numId w:val="144"/>
        </w:numPr>
        <w:rPr>
          <w:rFonts w:ascii="Arial" w:cs="Arial" w:eastAsia="Arial" w:hAnsi="Arial"/>
          <w:sz w:val="14"/>
          <w:szCs w:val="14"/>
          <w:color w:val="auto"/>
        </w:rPr>
      </w:pPr>
      <w:r>
        <w:rPr>
          <w:rFonts w:ascii="Arial" w:cs="Arial" w:eastAsia="Arial" w:hAnsi="Arial"/>
          <w:sz w:val="14"/>
          <w:szCs w:val="14"/>
          <w:color w:val="auto"/>
        </w:rPr>
        <w:t xml:space="preserve">any event or condition occurs that results in any Material Indebtedness becoming due prior to its scheduled maturity or that enables or permits (with or without the giving of notice, the lapse of time or both) the holder or holders of any Material Indebtedness or any trustee or agent on its or their behalf to cause any Material Indebtedness to become due, or to require the prepayment, repurchase, redemption or defeasance thereof, prior to its scheduled maturity (for the avoidance of doubt, after giving effect to any applicable grace period); </w:t>
      </w:r>
      <w:r>
        <w:rPr>
          <w:rFonts w:ascii="Arial" w:cs="Arial" w:eastAsia="Arial" w:hAnsi="Arial"/>
          <w:sz w:val="14"/>
          <w:szCs w:val="14"/>
          <w:u w:val="single" w:color="auto"/>
          <w:color w:val="auto"/>
        </w:rPr>
        <w:t>provided</w:t>
      </w:r>
      <w:r>
        <w:rPr>
          <w:rFonts w:ascii="Arial" w:cs="Arial" w:eastAsia="Arial" w:hAnsi="Arial"/>
          <w:sz w:val="14"/>
          <w:szCs w:val="14"/>
          <w:color w:val="auto"/>
        </w:rPr>
        <w:t xml:space="preserve"> that this </w:t>
      </w:r>
      <w:r>
        <w:rPr>
          <w:rFonts w:ascii="Arial" w:cs="Arial" w:eastAsia="Arial" w:hAnsi="Arial"/>
          <w:sz w:val="14"/>
          <w:szCs w:val="14"/>
          <w:u w:val="single" w:color="auto"/>
          <w:color w:val="auto"/>
        </w:rPr>
        <w:t>clause (h)</w:t>
      </w:r>
      <w:r>
        <w:rPr>
          <w:rFonts w:ascii="Arial" w:cs="Arial" w:eastAsia="Arial" w:hAnsi="Arial"/>
          <w:sz w:val="14"/>
          <w:szCs w:val="14"/>
          <w:color w:val="auto"/>
        </w:rPr>
        <w:t xml:space="preserve"> shall not apply to (1) secured Indebtedness that becomes due as a result of the voluntary sale or transfer of the property or assets securing such Indebtedness; or (2) convertible debt that becomes due as a result of a conversion or redemption event, other than to the extent it becomes due or is paid in cash (other than interest or expenses) as a result of an “event of default” (as defined in the documents governing such convertible Material Indebtedness);</w:t>
      </w:r>
    </w:p>
    <w:p>
      <w:pPr>
        <w:spacing w:after="0" w:line="185" w:lineRule="exact"/>
        <w:rPr>
          <w:rFonts w:ascii="Arial" w:cs="Arial" w:eastAsia="Arial" w:hAnsi="Arial"/>
          <w:sz w:val="14"/>
          <w:szCs w:val="14"/>
          <w:color w:val="auto"/>
        </w:rPr>
      </w:pPr>
    </w:p>
    <w:p>
      <w:pPr>
        <w:jc w:val="both"/>
        <w:ind w:right="20" w:firstLine="1735"/>
        <w:spacing w:after="0" w:line="231" w:lineRule="auto"/>
        <w:tabs>
          <w:tab w:leader="none" w:pos="2511" w:val="left"/>
        </w:tabs>
        <w:numPr>
          <w:ilvl w:val="0"/>
          <w:numId w:val="144"/>
        </w:numPr>
        <w:rPr>
          <w:rFonts w:ascii="Arial" w:cs="Arial" w:eastAsia="Arial" w:hAnsi="Arial"/>
          <w:sz w:val="14"/>
          <w:szCs w:val="14"/>
          <w:color w:val="auto"/>
        </w:rPr>
      </w:pPr>
      <w:r>
        <w:rPr>
          <w:rFonts w:ascii="Arial" w:cs="Arial" w:eastAsia="Arial" w:hAnsi="Arial"/>
          <w:sz w:val="14"/>
          <w:szCs w:val="14"/>
          <w:color w:val="auto"/>
        </w:rPr>
        <w:t>an involuntary proceeding shall be commenced or an involuntary petition shall be filed seeking (i) liquidation, reorganization or other relief in respect of the Borrower or any of its Subsidiaries (other than Immaterial Subsidiaries) or its debts, or of a substantial part of its assets, under any Federal, state or foreign bankruptcy, insolvency, receivership or similar law now or hereafter in effect or (ii) the appointment of a receiver, trustee, custodian, sequestrator, conservator or similar official for the Borrower or any of its Subsidiaries (other than Immaterial Subsidiaries) or for a substantial part of its assets, and, in any such case, such proceeding or petition shall continue undismissed and unstayed for a period of 60 or more days or an order or decree approving or ordering any of the foregoing shall be entered;</w:t>
      </w:r>
    </w:p>
    <w:p>
      <w:pPr>
        <w:spacing w:after="0" w:line="183" w:lineRule="exact"/>
        <w:rPr>
          <w:rFonts w:ascii="Arial" w:cs="Arial" w:eastAsia="Arial" w:hAnsi="Arial"/>
          <w:sz w:val="14"/>
          <w:szCs w:val="14"/>
          <w:color w:val="auto"/>
        </w:rPr>
      </w:pPr>
    </w:p>
    <w:p>
      <w:pPr>
        <w:jc w:val="both"/>
        <w:ind w:right="20" w:firstLine="1735"/>
        <w:spacing w:after="0" w:line="229" w:lineRule="auto"/>
        <w:tabs>
          <w:tab w:leader="none" w:pos="2511" w:val="left"/>
        </w:tabs>
        <w:numPr>
          <w:ilvl w:val="0"/>
          <w:numId w:val="144"/>
        </w:numPr>
        <w:rPr>
          <w:rFonts w:ascii="Arial" w:cs="Arial" w:eastAsia="Arial" w:hAnsi="Arial"/>
          <w:sz w:val="14"/>
          <w:szCs w:val="14"/>
          <w:color w:val="auto"/>
        </w:rPr>
      </w:pPr>
      <w:r>
        <w:rPr>
          <w:rFonts w:ascii="Arial" w:cs="Arial" w:eastAsia="Arial" w:hAnsi="Arial"/>
          <w:sz w:val="14"/>
          <w:szCs w:val="14"/>
          <w:color w:val="auto"/>
        </w:rPr>
        <w:t xml:space="preserve">the Borrower or any of its Subsidiaries (other than Immaterial Subsidiaries) shall (i) voluntarily commence any proceeding or file any petition seeking liquidation, reorganization or other relief under any Federal, state or foreign bankruptcy, insolvency, receivership or similar law now or hereafter in effect, (ii) consent to the institution of, or fail to contest in a timely and appropriate manner, any proceeding or petition described in </w:t>
      </w:r>
      <w:r>
        <w:rPr>
          <w:rFonts w:ascii="Arial" w:cs="Arial" w:eastAsia="Arial" w:hAnsi="Arial"/>
          <w:sz w:val="14"/>
          <w:szCs w:val="14"/>
          <w:u w:val="single" w:color="auto"/>
          <w:color w:val="auto"/>
        </w:rPr>
        <w:t>clause (i)</w:t>
      </w:r>
      <w:r>
        <w:rPr>
          <w:rFonts w:ascii="Arial" w:cs="Arial" w:eastAsia="Arial" w:hAnsi="Arial"/>
          <w:sz w:val="14"/>
          <w:szCs w:val="14"/>
          <w:color w:val="auto"/>
        </w:rPr>
        <w:t xml:space="preserve"> of this Article, (iii) apply for or consent to the appointment of a receiver, trustee, custodian, sequestrator, conservator or similar official for the Borrower or any of its Subsidiaries (other than Immaterial Subsidiaries) or for a substantial part of its assets, (iv) file an answer admitting the material allegations of a petition filed against it in any such proceeding, (v) make a general assignment for the benefit of creditors or (vi) take any action for the purpose of effecting any of the foregoing;</w:t>
      </w:r>
    </w:p>
    <w:p>
      <w:pPr>
        <w:spacing w:after="0" w:line="185" w:lineRule="exact"/>
        <w:rPr>
          <w:rFonts w:ascii="Arial" w:cs="Arial" w:eastAsia="Arial" w:hAnsi="Arial"/>
          <w:sz w:val="14"/>
          <w:szCs w:val="14"/>
          <w:color w:val="auto"/>
        </w:rPr>
      </w:pPr>
    </w:p>
    <w:p>
      <w:pPr>
        <w:ind w:left="2560" w:hanging="825"/>
        <w:spacing w:after="0"/>
        <w:tabs>
          <w:tab w:leader="none" w:pos="2560" w:val="left"/>
        </w:tabs>
        <w:numPr>
          <w:ilvl w:val="0"/>
          <w:numId w:val="144"/>
        </w:numPr>
        <w:rPr>
          <w:rFonts w:ascii="Arial" w:cs="Arial" w:eastAsia="Arial" w:hAnsi="Arial"/>
          <w:sz w:val="13"/>
          <w:szCs w:val="13"/>
          <w:color w:val="auto"/>
        </w:rPr>
      </w:pPr>
      <w:r>
        <w:rPr>
          <w:rFonts w:ascii="Arial" w:cs="Arial" w:eastAsia="Arial" w:hAnsi="Arial"/>
          <w:sz w:val="13"/>
          <w:szCs w:val="13"/>
          <w:color w:val="auto"/>
        </w:rPr>
        <w:t>the Borrower or any of its Subsidiaries (other than Immaterial Subsidiaries) shall become unable, admit in writing its inability or fail generally to pay</w:t>
      </w:r>
    </w:p>
    <w:p>
      <w:pPr>
        <w:spacing w:after="0" w:line="11" w:lineRule="exact"/>
        <w:rPr>
          <w:rFonts w:ascii="Arial" w:cs="Arial" w:eastAsia="Arial" w:hAnsi="Arial"/>
          <w:sz w:val="13"/>
          <w:szCs w:val="13"/>
          <w:color w:val="auto"/>
        </w:rPr>
      </w:pPr>
    </w:p>
    <w:p>
      <w:pPr>
        <w:spacing w:after="0"/>
        <w:rPr>
          <w:rFonts w:ascii="Arial" w:cs="Arial" w:eastAsia="Arial" w:hAnsi="Arial"/>
          <w:sz w:val="13"/>
          <w:szCs w:val="13"/>
          <w:color w:val="auto"/>
        </w:rPr>
      </w:pPr>
      <w:r>
        <w:rPr>
          <w:rFonts w:ascii="Arial" w:cs="Arial" w:eastAsia="Arial" w:hAnsi="Arial"/>
          <w:sz w:val="14"/>
          <w:szCs w:val="14"/>
          <w:color w:val="auto"/>
        </w:rPr>
        <w:t>its debts as they become due;</w:t>
      </w:r>
    </w:p>
    <w:p>
      <w:pPr>
        <w:spacing w:after="0" w:line="191" w:lineRule="exact"/>
        <w:rPr>
          <w:rFonts w:ascii="Arial" w:cs="Arial" w:eastAsia="Arial" w:hAnsi="Arial"/>
          <w:sz w:val="13"/>
          <w:szCs w:val="13"/>
          <w:color w:val="auto"/>
        </w:rPr>
      </w:pPr>
    </w:p>
    <w:p>
      <w:pPr>
        <w:jc w:val="both"/>
        <w:ind w:right="20" w:firstLine="1735"/>
        <w:spacing w:after="0" w:line="233" w:lineRule="auto"/>
        <w:tabs>
          <w:tab w:leader="none" w:pos="2511" w:val="left"/>
        </w:tabs>
        <w:numPr>
          <w:ilvl w:val="0"/>
          <w:numId w:val="144"/>
        </w:numPr>
        <w:rPr>
          <w:rFonts w:ascii="Arial" w:cs="Arial" w:eastAsia="Arial" w:hAnsi="Arial"/>
          <w:sz w:val="14"/>
          <w:szCs w:val="14"/>
          <w:color w:val="auto"/>
        </w:rPr>
      </w:pPr>
      <w:r>
        <w:rPr>
          <w:rFonts w:ascii="Arial" w:cs="Arial" w:eastAsia="Arial" w:hAnsi="Arial"/>
          <w:sz w:val="14"/>
          <w:szCs w:val="14"/>
          <w:color w:val="auto"/>
        </w:rPr>
        <w:t>one or more judgments for the payment of money in an aggregate amount in excess of $15,000,000 shall be rendered against the Borrower or any of its Subsidiaries (other than Immaterial Subsidiaries) or any combination thereof and the same shall remain undischarged for a period of 30 consecutive days during which execution shall not be effectively stayed, or any action shall be legally taken by a judgment creditor to attach or levy upon any assets of the Borrower or any of its Subsidiaries (other than Immaterial Subsidiaries) to enforce any such judgment;</w:t>
      </w:r>
    </w:p>
    <w:p>
      <w:pPr>
        <w:spacing w:after="0" w:line="184" w:lineRule="exact"/>
        <w:rPr>
          <w:rFonts w:ascii="Arial" w:cs="Arial" w:eastAsia="Arial" w:hAnsi="Arial"/>
          <w:sz w:val="14"/>
          <w:szCs w:val="14"/>
          <w:color w:val="auto"/>
        </w:rPr>
      </w:pPr>
    </w:p>
    <w:p>
      <w:pPr>
        <w:ind w:right="20" w:firstLine="1735"/>
        <w:spacing w:after="0" w:line="253" w:lineRule="auto"/>
        <w:tabs>
          <w:tab w:leader="none" w:pos="2583" w:val="left"/>
        </w:tabs>
        <w:numPr>
          <w:ilvl w:val="0"/>
          <w:numId w:val="144"/>
        </w:numPr>
        <w:rPr>
          <w:rFonts w:ascii="Arial" w:cs="Arial" w:eastAsia="Arial" w:hAnsi="Arial"/>
          <w:sz w:val="14"/>
          <w:szCs w:val="14"/>
          <w:color w:val="auto"/>
        </w:rPr>
      </w:pPr>
      <w:r>
        <w:rPr>
          <w:rFonts w:ascii="Arial" w:cs="Arial" w:eastAsia="Arial" w:hAnsi="Arial"/>
          <w:sz w:val="14"/>
          <w:szCs w:val="14"/>
          <w:color w:val="auto"/>
        </w:rPr>
        <w:t>an ERISA Event shall have occurred that, in the opinion of the Required Lenders, when taken together with all other ERISA Events that have occurred, could reasonably be expected to result in a Material Adverse Effect;</w:t>
      </w:r>
    </w:p>
    <w:p>
      <w:pPr>
        <w:spacing w:after="0" w:line="173" w:lineRule="exact"/>
        <w:rPr>
          <w:rFonts w:ascii="Arial" w:cs="Arial" w:eastAsia="Arial" w:hAnsi="Arial"/>
          <w:sz w:val="14"/>
          <w:szCs w:val="14"/>
          <w:color w:val="auto"/>
        </w:rPr>
      </w:pPr>
    </w:p>
    <w:p>
      <w:pPr>
        <w:ind w:left="2560" w:hanging="825"/>
        <w:spacing w:after="0"/>
        <w:tabs>
          <w:tab w:leader="none" w:pos="2560" w:val="left"/>
        </w:tabs>
        <w:numPr>
          <w:ilvl w:val="0"/>
          <w:numId w:val="144"/>
        </w:numPr>
        <w:rPr>
          <w:rFonts w:ascii="Arial" w:cs="Arial" w:eastAsia="Arial" w:hAnsi="Arial"/>
          <w:sz w:val="14"/>
          <w:szCs w:val="14"/>
          <w:color w:val="auto"/>
        </w:rPr>
      </w:pPr>
      <w:r>
        <w:rPr>
          <w:rFonts w:ascii="Arial" w:cs="Arial" w:eastAsia="Arial" w:hAnsi="Arial"/>
          <w:sz w:val="14"/>
          <w:szCs w:val="14"/>
          <w:color w:val="auto"/>
        </w:rPr>
        <w:t>a Change in Control shall occur;</w:t>
      </w:r>
    </w:p>
    <w:p>
      <w:pPr>
        <w:spacing w:after="0" w:line="203" w:lineRule="exact"/>
        <w:rPr>
          <w:rFonts w:ascii="Arial" w:cs="Arial" w:eastAsia="Arial" w:hAnsi="Arial"/>
          <w:sz w:val="14"/>
          <w:szCs w:val="14"/>
          <w:color w:val="auto"/>
        </w:rPr>
      </w:pPr>
    </w:p>
    <w:p>
      <w:pPr>
        <w:ind w:left="2560" w:hanging="825"/>
        <w:spacing w:after="0"/>
        <w:tabs>
          <w:tab w:leader="none" w:pos="2560" w:val="left"/>
        </w:tabs>
        <w:numPr>
          <w:ilvl w:val="0"/>
          <w:numId w:val="144"/>
        </w:numPr>
        <w:rPr>
          <w:rFonts w:ascii="Arial" w:cs="Arial" w:eastAsia="Arial" w:hAnsi="Arial"/>
          <w:sz w:val="14"/>
          <w:szCs w:val="14"/>
          <w:color w:val="auto"/>
        </w:rPr>
      </w:pPr>
      <w:r>
        <w:rPr>
          <w:rFonts w:ascii="Arial" w:cs="Arial" w:eastAsia="Arial" w:hAnsi="Arial"/>
          <w:sz w:val="14"/>
          <w:szCs w:val="14"/>
          <w:color w:val="auto"/>
        </w:rPr>
        <w:t>PennantPark Investment Advisers, LLC or an Affiliate thereof shall cease to be the investment advisor for the Borrower;</w:t>
      </w:r>
    </w:p>
    <w:p>
      <w:pPr>
        <w:spacing w:after="0" w:line="203" w:lineRule="exact"/>
        <w:rPr>
          <w:rFonts w:ascii="Arial" w:cs="Arial" w:eastAsia="Arial" w:hAnsi="Arial"/>
          <w:sz w:val="14"/>
          <w:szCs w:val="14"/>
          <w:color w:val="auto"/>
        </w:rPr>
      </w:pPr>
    </w:p>
    <w:p>
      <w:pPr>
        <w:jc w:val="both"/>
        <w:ind w:right="20" w:firstLine="1735"/>
        <w:spacing w:after="0" w:line="255" w:lineRule="auto"/>
        <w:tabs>
          <w:tab w:leader="none" w:pos="2543" w:val="left"/>
        </w:tabs>
        <w:numPr>
          <w:ilvl w:val="0"/>
          <w:numId w:val="144"/>
        </w:numPr>
        <w:rPr>
          <w:rFonts w:ascii="Arial" w:cs="Arial" w:eastAsia="Arial" w:hAnsi="Arial"/>
          <w:sz w:val="13"/>
          <w:szCs w:val="13"/>
          <w:color w:val="auto"/>
        </w:rPr>
      </w:pPr>
      <w:r>
        <w:rPr>
          <w:rFonts w:ascii="Arial" w:cs="Arial" w:eastAsia="Arial" w:hAnsi="Arial"/>
          <w:sz w:val="13"/>
          <w:szCs w:val="13"/>
          <w:color w:val="auto"/>
        </w:rPr>
        <w:t xml:space="preserve">the Liens created by the Security Documents shall, at any time with respect to Portfolio Investments having an aggregate Value in excess of 5% of the aggregate Value of all Portfolio Investments, not be valid and perfected (to the extent perfection by filing, registration, recordation, possession or control is required herein or therein) in favor of the Administrative Agent, free and clear of all other Liens (other than Liens permitted under </w:t>
      </w:r>
      <w:r>
        <w:rPr>
          <w:rFonts w:ascii="Arial" w:cs="Arial" w:eastAsia="Arial" w:hAnsi="Arial"/>
          <w:sz w:val="13"/>
          <w:szCs w:val="13"/>
          <w:u w:val="single" w:color="auto"/>
          <w:color w:val="auto"/>
        </w:rPr>
        <w:t>Section 6.02</w:t>
      </w:r>
      <w:r>
        <w:rPr>
          <w:rFonts w:ascii="Arial" w:cs="Arial" w:eastAsia="Arial" w:hAnsi="Arial"/>
          <w:sz w:val="13"/>
          <w:szCs w:val="13"/>
          <w:color w:val="auto"/>
        </w:rPr>
        <w:t xml:space="preserve"> or under the respective Security Documents) except to the extent that any such loss of perfection results from the failure of the Collateral Agent to maintain possession of the certificates representing the securities pledged under the Loan Documents;</w:t>
      </w:r>
    </w:p>
    <w:p>
      <w:pPr>
        <w:spacing w:after="0" w:line="174" w:lineRule="exact"/>
        <w:rPr>
          <w:rFonts w:ascii="Arial" w:cs="Arial" w:eastAsia="Arial" w:hAnsi="Arial"/>
          <w:sz w:val="13"/>
          <w:szCs w:val="13"/>
          <w:color w:val="auto"/>
        </w:rPr>
      </w:pPr>
    </w:p>
    <w:p>
      <w:pPr>
        <w:ind w:right="20" w:firstLine="1735"/>
        <w:spacing w:after="0" w:line="253" w:lineRule="auto"/>
        <w:tabs>
          <w:tab w:leader="none" w:pos="2543" w:val="left"/>
        </w:tabs>
        <w:numPr>
          <w:ilvl w:val="0"/>
          <w:numId w:val="144"/>
        </w:numPr>
        <w:rPr>
          <w:rFonts w:ascii="Arial" w:cs="Arial" w:eastAsia="Arial" w:hAnsi="Arial"/>
          <w:sz w:val="14"/>
          <w:szCs w:val="14"/>
          <w:color w:val="auto"/>
        </w:rPr>
      </w:pPr>
      <w:r>
        <w:rPr>
          <w:rFonts w:ascii="Arial" w:cs="Arial" w:eastAsia="Arial" w:hAnsi="Arial"/>
          <w:sz w:val="14"/>
          <w:szCs w:val="14"/>
          <w:color w:val="auto"/>
        </w:rPr>
        <w:t>except for expiration in accordance with its terms, any of the Security Documents shall for whatever reason be terminated or cease to be in full force and effect in any material respect, or the enforceability thereof shall be contested by the Borrower;</w:t>
      </w:r>
    </w:p>
    <w:p>
      <w:pPr>
        <w:spacing w:after="0" w:line="173" w:lineRule="exact"/>
        <w:rPr>
          <w:rFonts w:ascii="Arial" w:cs="Arial" w:eastAsia="Arial" w:hAnsi="Arial"/>
          <w:sz w:val="14"/>
          <w:szCs w:val="14"/>
          <w:color w:val="auto"/>
        </w:rPr>
      </w:pPr>
    </w:p>
    <w:p>
      <w:pPr>
        <w:jc w:val="both"/>
        <w:ind w:right="20" w:firstLine="1735"/>
        <w:spacing w:after="0" w:line="238" w:lineRule="auto"/>
        <w:tabs>
          <w:tab w:leader="none" w:pos="2519" w:val="left"/>
        </w:tabs>
        <w:numPr>
          <w:ilvl w:val="0"/>
          <w:numId w:val="144"/>
        </w:numPr>
        <w:rPr>
          <w:rFonts w:ascii="Arial" w:cs="Arial" w:eastAsia="Arial" w:hAnsi="Arial"/>
          <w:sz w:val="14"/>
          <w:szCs w:val="14"/>
          <w:color w:val="auto"/>
        </w:rPr>
      </w:pPr>
      <w:r>
        <w:rPr>
          <w:rFonts w:ascii="Arial" w:cs="Arial" w:eastAsia="Arial" w:hAnsi="Arial"/>
          <w:sz w:val="14"/>
          <w:szCs w:val="14"/>
          <w:color w:val="auto"/>
        </w:rPr>
        <w:t xml:space="preserve">the Obligors shall at any time, without the consent of the Required Lenders fail to comply with the covenant contained in </w:t>
      </w:r>
      <w:r>
        <w:rPr>
          <w:rFonts w:ascii="Arial" w:cs="Arial" w:eastAsia="Arial" w:hAnsi="Arial"/>
          <w:sz w:val="14"/>
          <w:szCs w:val="14"/>
          <w:u w:val="single" w:color="auto"/>
          <w:color w:val="auto"/>
        </w:rPr>
        <w:t>Section 5.11</w:t>
      </w:r>
      <w:r>
        <w:rPr>
          <w:rFonts w:ascii="Arial" w:cs="Arial" w:eastAsia="Arial" w:hAnsi="Arial"/>
          <w:sz w:val="14"/>
          <w:szCs w:val="14"/>
          <w:color w:val="auto"/>
        </w:rPr>
        <w:t>, and such failure shall continue unremedied for a period of 30 or more days after the earlier of notice thereof by the Administrative Agent (given at the request of any Lender) to the Borrower or knowledge thereof by a Financial Officer; or</w:t>
      </w:r>
    </w:p>
    <w:p>
      <w:pPr>
        <w:spacing w:after="0" w:line="200" w:lineRule="exact"/>
        <w:rPr>
          <w:sz w:val="20"/>
          <w:szCs w:val="20"/>
          <w:color w:val="auto"/>
        </w:rPr>
      </w:pPr>
    </w:p>
    <w:p>
      <w:pPr>
        <w:spacing w:after="0" w:line="200" w:lineRule="exact"/>
        <w:rPr>
          <w:sz w:val="20"/>
          <w:szCs w:val="20"/>
          <w:color w:val="auto"/>
        </w:rPr>
      </w:pPr>
    </w:p>
    <w:p>
      <w:pPr>
        <w:spacing w:after="0" w:line="20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7580" w:type="dxa"/>
            <w:vAlign w:val="bottom"/>
          </w:tcPr>
          <w:p>
            <w:pPr>
              <w:jc w:val="right"/>
              <w:ind w:right="1808"/>
              <w:spacing w:after="0"/>
              <w:rPr>
                <w:sz w:val="20"/>
                <w:szCs w:val="20"/>
                <w:color w:val="auto"/>
              </w:rPr>
            </w:pPr>
            <w:r>
              <w:rPr>
                <w:rFonts w:ascii="Arial" w:cs="Arial" w:eastAsia="Arial" w:hAnsi="Arial"/>
                <w:sz w:val="14"/>
                <w:szCs w:val="14"/>
                <w:color w:val="auto"/>
              </w:rPr>
              <w:t>56</w:t>
            </w:r>
          </w:p>
        </w:tc>
        <w:tc>
          <w:tcPr>
            <w:tcW w:w="3680" w:type="dxa"/>
            <w:vAlign w:val="bottom"/>
          </w:tcPr>
          <w:p>
            <w:pPr>
              <w:jc w:val="right"/>
              <w:spacing w:after="0"/>
              <w:rPr>
                <w:sz w:val="20"/>
                <w:szCs w:val="20"/>
                <w:color w:val="auto"/>
              </w:rPr>
            </w:pPr>
            <w:r>
              <w:rPr>
                <w:rFonts w:ascii="Arial" w:cs="Arial" w:eastAsia="Arial" w:hAnsi="Arial"/>
                <w:sz w:val="14"/>
                <w:szCs w:val="14"/>
                <w:i w:val="1"/>
                <w:iCs w:val="1"/>
                <w:color w:val="auto"/>
              </w:rPr>
              <w:t>Second Amended and Restated</w:t>
            </w:r>
          </w:p>
        </w:tc>
      </w:tr>
      <w:tr>
        <w:trPr>
          <w:trHeight w:val="182"/>
        </w:trPr>
        <w:tc>
          <w:tcPr>
            <w:tcW w:w="7580" w:type="dxa"/>
            <w:vAlign w:val="bottom"/>
          </w:tcPr>
          <w:p>
            <w:pPr>
              <w:spacing w:after="0"/>
              <w:rPr>
                <w:sz w:val="15"/>
                <w:szCs w:val="15"/>
                <w:color w:val="auto"/>
              </w:rPr>
            </w:pPr>
          </w:p>
        </w:tc>
        <w:tc>
          <w:tcPr>
            <w:tcW w:w="3680" w:type="dxa"/>
            <w:vAlign w:val="bottom"/>
          </w:tcPr>
          <w:p>
            <w:pPr>
              <w:jc w:val="right"/>
              <w:spacing w:after="0"/>
              <w:rPr>
                <w:sz w:val="20"/>
                <w:szCs w:val="20"/>
                <w:color w:val="auto"/>
              </w:rPr>
            </w:pPr>
            <w:r>
              <w:rPr>
                <w:rFonts w:ascii="Arial" w:cs="Arial" w:eastAsia="Arial" w:hAnsi="Arial"/>
                <w:sz w:val="14"/>
                <w:szCs w:val="14"/>
                <w:i w:val="1"/>
                <w:iCs w:val="1"/>
                <w:color w:val="auto"/>
              </w:rPr>
              <w:t>Revolving Credit Agreement</w:t>
            </w:r>
          </w:p>
        </w:tc>
      </w:tr>
      <w:tr>
        <w:trPr>
          <w:trHeight w:val="316"/>
        </w:trPr>
        <w:tc>
          <w:tcPr>
            <w:tcW w:w="7580" w:type="dxa"/>
            <w:vAlign w:val="bottom"/>
            <w:tcBorders>
              <w:bottom w:val="single" w:sz="8" w:color="9A9A9A"/>
            </w:tcBorders>
          </w:tcPr>
          <w:p>
            <w:pPr>
              <w:spacing w:after="0"/>
              <w:rPr>
                <w:sz w:val="24"/>
                <w:szCs w:val="24"/>
                <w:color w:val="auto"/>
              </w:rPr>
            </w:pPr>
          </w:p>
        </w:tc>
        <w:tc>
          <w:tcPr>
            <w:tcW w:w="368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7145655</wp:posOffset>
            </wp:positionH>
            <wp:positionV relativeFrom="paragraph">
              <wp:posOffset>-8255</wp:posOffset>
            </wp:positionV>
            <wp:extent cx="8255" cy="8890"/>
            <wp:wrapNone/>
            <wp:docPr id="217" name="Picture 2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7"/>
                    <pic:cNvPicPr>
                      <a:picLocks noChangeAspect="1" noChangeArrowheads="1"/>
                    </pic:cNvPicPr>
                  </pic:nvPicPr>
                  <pic:blipFill>
                    <a:blip r:embed="rId224">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-16510</wp:posOffset>
            </wp:positionV>
            <wp:extent cx="8890" cy="17145"/>
            <wp:wrapNone/>
            <wp:docPr id="218" name="Picture 2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8"/>
                    <pic:cNvPicPr>
                      <a:picLocks noChangeAspect="1" noChangeArrowheads="1"/>
                    </pic:cNvPicPr>
                  </pic:nvPicPr>
                  <pic:blipFill>
                    <a:blip r:embed="rId225">
                      <a:extLst>
                        <a:ext uri="{28A0092B-C50C-407E-A947-70E740481C1C}"/>
                      </a:extLst>
                    </a:blip>
                    <a:srcRect/>
                    <a:stretch>
                      <a:fillRect/>
                    </a:stretch>
                  </pic:blipFill>
                  <pic:spPr bwMode="auto">
                    <a:xfrm>
                      <a:off x="0" y="0"/>
                      <a:ext cx="8890" cy="17145"/>
                    </a:xfrm>
                    <a:prstGeom prst="rect">
                      <a:avLst/>
                    </a:prstGeom>
                    <a:noFill/>
                  </pic:spPr>
                </pic:pic>
              </a:graphicData>
            </a:graphic>
          </wp:anchor>
        </w:drawing>
      </w:r>
    </w:p>
    <w:p>
      <w:pPr>
        <w:sectPr>
          <w:pgSz w:w="11900" w:h="16838" w:orient="portrait"/>
          <w:cols w:equalWidth="0" w:num="1">
            <w:col w:w="11260"/>
          </w:cols>
          <w:pgMar w:left="320" w:top="337" w:right="319" w:bottom="1440" w:gutter="0" w:footer="0" w:header="0"/>
        </w:sectPr>
      </w:pPr>
    </w:p>
    <w:bookmarkStart w:id="119" w:name="page120"/>
    <w:bookmarkEnd w:id="119"/>
    <w:p>
      <w:pPr>
        <w:ind w:left="2540" w:hanging="805"/>
        <w:spacing w:after="0"/>
        <w:tabs>
          <w:tab w:leader="none" w:pos="2540" w:val="left"/>
        </w:tabs>
        <w:numPr>
          <w:ilvl w:val="0"/>
          <w:numId w:val="145"/>
        </w:numPr>
        <w:rPr>
          <w:rFonts w:ascii="Arial" w:cs="Arial" w:eastAsia="Arial" w:hAnsi="Arial"/>
          <w:sz w:val="13"/>
          <w:szCs w:val="13"/>
          <w:color w:val="auto"/>
        </w:rPr>
      </w:pPr>
      <w:r>
        <w:rPr>
          <w:rFonts w:ascii="Arial" w:cs="Arial" w:eastAsia="Arial" w:hAnsi="Arial"/>
          <w:sz w:val="13"/>
          <w:szCs w:val="13"/>
          <w:color w:val="auto"/>
        </w:rPr>
        <w:t>the Borrower or any of its Subsidiaries shall cause or permit the occurrence of any condition or event that would result in any recourse to any Obligor</w:t>
      </w:r>
    </w:p>
    <w:p>
      <w:pPr>
        <w:spacing w:after="0" w:line="11" w:lineRule="exact"/>
        <w:rPr>
          <w:rFonts w:ascii="Arial" w:cs="Arial" w:eastAsia="Arial" w:hAnsi="Arial"/>
          <w:sz w:val="13"/>
          <w:szCs w:val="13"/>
          <w:color w:val="auto"/>
        </w:rPr>
      </w:pPr>
    </w:p>
    <w:p>
      <w:pPr>
        <w:spacing w:after="0"/>
        <w:rPr>
          <w:rFonts w:ascii="Arial" w:cs="Arial" w:eastAsia="Arial" w:hAnsi="Arial"/>
          <w:sz w:val="13"/>
          <w:szCs w:val="13"/>
          <w:color w:val="auto"/>
        </w:rPr>
      </w:pPr>
      <w:r>
        <w:rPr>
          <w:rFonts w:ascii="Arial" w:cs="Arial" w:eastAsia="Arial" w:hAnsi="Arial"/>
          <w:sz w:val="14"/>
          <w:szCs w:val="14"/>
          <w:color w:val="auto"/>
        </w:rPr>
        <w:t>under any Permitted SBIC Guarantee;</w:t>
      </w:r>
    </w:p>
    <w:p>
      <w:pPr>
        <w:spacing w:after="0" w:line="192" w:lineRule="exact"/>
        <w:rPr>
          <w:sz w:val="20"/>
          <w:szCs w:val="20"/>
          <w:color w:val="auto"/>
        </w:rPr>
      </w:pPr>
    </w:p>
    <w:p>
      <w:pPr>
        <w:jc w:val="both"/>
        <w:ind w:right="20"/>
        <w:spacing w:after="0" w:line="226" w:lineRule="auto"/>
        <w:rPr>
          <w:sz w:val="20"/>
          <w:szCs w:val="20"/>
          <w:color w:val="auto"/>
        </w:rPr>
      </w:pPr>
      <w:r>
        <w:rPr>
          <w:rFonts w:ascii="Arial" w:cs="Arial" w:eastAsia="Arial" w:hAnsi="Arial"/>
          <w:sz w:val="14"/>
          <w:szCs w:val="14"/>
          <w:color w:val="auto"/>
        </w:rPr>
        <w:t xml:space="preserve">then, and in every such event (other than an event with respect to the Borrower described in </w:t>
      </w:r>
      <w:r>
        <w:rPr>
          <w:rFonts w:ascii="Arial" w:cs="Arial" w:eastAsia="Arial" w:hAnsi="Arial"/>
          <w:sz w:val="14"/>
          <w:szCs w:val="14"/>
          <w:u w:val="single" w:color="auto"/>
          <w:color w:val="auto"/>
        </w:rPr>
        <w:t>clause (i)</w:t>
      </w:r>
      <w:r>
        <w:rPr>
          <w:rFonts w:ascii="Arial" w:cs="Arial" w:eastAsia="Arial" w:hAnsi="Arial"/>
          <w:sz w:val="14"/>
          <w:szCs w:val="14"/>
          <w:color w:val="auto"/>
        </w:rPr>
        <w:t xml:space="preserve"> or </w:t>
      </w:r>
      <w:r>
        <w:rPr>
          <w:rFonts w:ascii="Arial" w:cs="Arial" w:eastAsia="Arial" w:hAnsi="Arial"/>
          <w:sz w:val="14"/>
          <w:szCs w:val="14"/>
          <w:u w:val="single" w:color="auto"/>
          <w:color w:val="auto"/>
        </w:rPr>
        <w:t>(j)</w:t>
      </w:r>
      <w:r>
        <w:rPr>
          <w:rFonts w:ascii="Arial" w:cs="Arial" w:eastAsia="Arial" w:hAnsi="Arial"/>
          <w:sz w:val="14"/>
          <w:szCs w:val="14"/>
          <w:color w:val="auto"/>
        </w:rPr>
        <w:t xml:space="preserve"> of this Article), and at any time thereafter during the continuance of such event, the Administrative Agent may, and at the request of the Required Lenders shall, by notice to the Borrower, take either or both of the following actions, at the same or different times: (i) terminate the Commitments, and thereupon the Commitments shall terminate immediately, and (ii) declare the Loans then outstanding to be due and payable in whole (or in part, in which case any principal not so declared to be due and payable may thereafter be declared to be due and payable), and thereupon the principal of the Loans so declared to be due and payable, together with accrued interest thereon and all fees and other obligations of the Borrower accrued hereunder and under the other Loan Documents, shall become due and payable immediately, without presentment, demand, protest or other notice of any kind, all of which are hereby waived by the Borrower; and in case of any event with respect to the Borrower described in </w:t>
      </w:r>
      <w:r>
        <w:rPr>
          <w:rFonts w:ascii="Arial" w:cs="Arial" w:eastAsia="Arial" w:hAnsi="Arial"/>
          <w:sz w:val="14"/>
          <w:szCs w:val="14"/>
          <w:u w:val="single" w:color="auto"/>
          <w:color w:val="auto"/>
        </w:rPr>
        <w:t>clause (i)</w:t>
      </w:r>
      <w:r>
        <w:rPr>
          <w:rFonts w:ascii="Arial" w:cs="Arial" w:eastAsia="Arial" w:hAnsi="Arial"/>
          <w:sz w:val="14"/>
          <w:szCs w:val="14"/>
          <w:color w:val="auto"/>
        </w:rPr>
        <w:t xml:space="preserve"> or </w:t>
      </w:r>
      <w:r>
        <w:rPr>
          <w:rFonts w:ascii="Arial" w:cs="Arial" w:eastAsia="Arial" w:hAnsi="Arial"/>
          <w:sz w:val="14"/>
          <w:szCs w:val="14"/>
          <w:u w:val="single" w:color="auto"/>
          <w:color w:val="auto"/>
        </w:rPr>
        <w:t>(j)</w:t>
      </w:r>
      <w:r>
        <w:rPr>
          <w:rFonts w:ascii="Arial" w:cs="Arial" w:eastAsia="Arial" w:hAnsi="Arial"/>
          <w:sz w:val="14"/>
          <w:szCs w:val="14"/>
          <w:color w:val="auto"/>
        </w:rPr>
        <w:t xml:space="preserve"> of this Article, the Commitments shall automatically terminate and the principal of the Loans then outstanding, together with accrued interest thereon and all fees and other obligations of the Borrower accrued hereunder and under the other Loan Documents, shall automatically become due and payable, without presentment, demand, protest or other notice of any kind, all of which are hereby waived by the Borrower.</w:t>
      </w:r>
    </w:p>
    <w:p>
      <w:pPr>
        <w:spacing w:after="0" w:line="188" w:lineRule="exact"/>
        <w:rPr>
          <w:sz w:val="20"/>
          <w:szCs w:val="20"/>
          <w:color w:val="auto"/>
        </w:rPr>
      </w:pPr>
    </w:p>
    <w:p>
      <w:pPr>
        <w:jc w:val="both"/>
        <w:ind w:right="20" w:firstLine="1727"/>
        <w:spacing w:after="0" w:line="231" w:lineRule="auto"/>
        <w:rPr>
          <w:sz w:val="20"/>
          <w:szCs w:val="20"/>
          <w:color w:val="auto"/>
        </w:rPr>
      </w:pPr>
      <w:r>
        <w:rPr>
          <w:rFonts w:ascii="Arial" w:cs="Arial" w:eastAsia="Arial" w:hAnsi="Arial"/>
          <w:sz w:val="14"/>
          <w:szCs w:val="14"/>
          <w:color w:val="auto"/>
        </w:rPr>
        <w:t xml:space="preserve">In the event that the Loans shall be declared, or shall become, due and payable pursuant to the immediately preceding paragraph then, upon notice from the Administrative Agent or Lenders with LC Exposure representing more than 50% of the total LC Exposure demanding the deposit of Cash Collateral pursuant to this paragraph, the Borrower shall immediately deposit into the Letter of Credit Collateral Account cash in an amount equal to the LC Exposure as of such date </w:t>
      </w:r>
      <w:r>
        <w:rPr>
          <w:rFonts w:ascii="Arial" w:cs="Arial" w:eastAsia="Arial" w:hAnsi="Arial"/>
          <w:sz w:val="14"/>
          <w:szCs w:val="14"/>
          <w:u w:val="single" w:color="auto"/>
          <w:color w:val="auto"/>
        </w:rPr>
        <w:t>plus</w:t>
      </w:r>
      <w:r>
        <w:rPr>
          <w:rFonts w:ascii="Arial" w:cs="Arial" w:eastAsia="Arial" w:hAnsi="Arial"/>
          <w:sz w:val="14"/>
          <w:szCs w:val="14"/>
          <w:color w:val="auto"/>
        </w:rPr>
        <w:t xml:space="preserve"> any accrued and unpaid interest thereon; </w:t>
      </w:r>
      <w:r>
        <w:rPr>
          <w:rFonts w:ascii="Arial" w:cs="Arial" w:eastAsia="Arial" w:hAnsi="Arial"/>
          <w:sz w:val="14"/>
          <w:szCs w:val="14"/>
          <w:u w:val="single" w:color="auto"/>
          <w:color w:val="auto"/>
        </w:rPr>
        <w:t>provided</w:t>
      </w:r>
      <w:r>
        <w:rPr>
          <w:rFonts w:ascii="Arial" w:cs="Arial" w:eastAsia="Arial" w:hAnsi="Arial"/>
          <w:sz w:val="14"/>
          <w:szCs w:val="14"/>
          <w:color w:val="auto"/>
        </w:rPr>
        <w:t xml:space="preserve"> that the obligation to deposit such cash shall become effective immediately, and such deposit shall become immediately due and payable, without demand or other notice of any kind, upon the occurrence of any Event of Default with respect to the Borrower described in </w:t>
      </w:r>
      <w:r>
        <w:rPr>
          <w:rFonts w:ascii="Arial" w:cs="Arial" w:eastAsia="Arial" w:hAnsi="Arial"/>
          <w:sz w:val="14"/>
          <w:szCs w:val="14"/>
          <w:u w:val="single" w:color="auto"/>
          <w:color w:val="auto"/>
        </w:rPr>
        <w:t>clause (i)</w:t>
      </w:r>
      <w:r>
        <w:rPr>
          <w:rFonts w:ascii="Arial" w:cs="Arial" w:eastAsia="Arial" w:hAnsi="Arial"/>
          <w:sz w:val="14"/>
          <w:szCs w:val="14"/>
          <w:color w:val="auto"/>
        </w:rPr>
        <w:t xml:space="preserve"> or </w:t>
      </w:r>
      <w:r>
        <w:rPr>
          <w:rFonts w:ascii="Arial" w:cs="Arial" w:eastAsia="Arial" w:hAnsi="Arial"/>
          <w:sz w:val="14"/>
          <w:szCs w:val="14"/>
          <w:u w:val="single" w:color="auto"/>
          <w:color w:val="auto"/>
        </w:rPr>
        <w:t>(j)</w:t>
      </w:r>
      <w:r>
        <w:rPr>
          <w:rFonts w:ascii="Arial" w:cs="Arial" w:eastAsia="Arial" w:hAnsi="Arial"/>
          <w:sz w:val="14"/>
          <w:szCs w:val="14"/>
          <w:color w:val="auto"/>
        </w:rPr>
        <w:t xml:space="preserve"> of this Article.</w:t>
      </w:r>
    </w:p>
    <w:p>
      <w:pPr>
        <w:spacing w:after="0" w:line="184" w:lineRule="exact"/>
        <w:rPr>
          <w:sz w:val="20"/>
          <w:szCs w:val="20"/>
          <w:color w:val="auto"/>
        </w:rPr>
      </w:pPr>
    </w:p>
    <w:p>
      <w:pPr>
        <w:jc w:val="both"/>
        <w:ind w:right="20" w:firstLine="1727"/>
        <w:spacing w:after="0" w:line="242" w:lineRule="auto"/>
        <w:rPr>
          <w:sz w:val="20"/>
          <w:szCs w:val="20"/>
          <w:color w:val="auto"/>
        </w:rPr>
      </w:pPr>
      <w:r>
        <w:rPr>
          <w:rFonts w:ascii="Arial" w:cs="Arial" w:eastAsia="Arial" w:hAnsi="Arial"/>
          <w:sz w:val="13"/>
          <w:szCs w:val="13"/>
          <w:color w:val="auto"/>
        </w:rPr>
        <w:t xml:space="preserve">Notwithstanding anything to the contrary contained herein, on the CAM Exchange Date, to the extent not otherwise prohibited by law, (a) the Lenders shall automatically and without further act be deemed to have exchanged interests in the Designated Obligations such that, in lieu of the interests of each Lender in the Designated Obligations under each Loan in which it shall participate as of such date, such Lender shall own an interest equal to such Lender’s CAM Percentage in the Designated Obligations under each of the Loans and (b) simultaneously with the deemed exchange of interests pursuant to </w:t>
      </w:r>
      <w:r>
        <w:rPr>
          <w:rFonts w:ascii="Arial" w:cs="Arial" w:eastAsia="Arial" w:hAnsi="Arial"/>
          <w:sz w:val="13"/>
          <w:szCs w:val="13"/>
          <w:u w:val="single" w:color="auto"/>
          <w:color w:val="auto"/>
        </w:rPr>
        <w:t>clause (a)</w:t>
      </w:r>
      <w:r>
        <w:rPr>
          <w:rFonts w:ascii="Arial" w:cs="Arial" w:eastAsia="Arial" w:hAnsi="Arial"/>
          <w:sz w:val="13"/>
          <w:szCs w:val="13"/>
          <w:color w:val="auto"/>
        </w:rPr>
        <w:t xml:space="preserve"> above, the interests in the Designated Obligations to be received in such deemed exchange shall, automatically and with no further action required, be converted into the Dollar Equivalent of such amount (as of the Business Day immediately prior to the CAM Exchange Date) and on and after such date all amounts accruing and owed to the Lenders in respect of such Designated Obligations shall accrue and be payable in Dollars at the rate otherwise applicable hereunder. Each Lender, each Person acquiring a participation from any Lender as contemplated by </w:t>
      </w:r>
      <w:r>
        <w:rPr>
          <w:rFonts w:ascii="Arial" w:cs="Arial" w:eastAsia="Arial" w:hAnsi="Arial"/>
          <w:sz w:val="13"/>
          <w:szCs w:val="13"/>
          <w:u w:val="single" w:color="auto"/>
          <w:color w:val="auto"/>
        </w:rPr>
        <w:t>Section 9.04</w:t>
      </w:r>
      <w:r>
        <w:rPr>
          <w:rFonts w:ascii="Arial" w:cs="Arial" w:eastAsia="Arial" w:hAnsi="Arial"/>
          <w:sz w:val="13"/>
          <w:szCs w:val="13"/>
          <w:color w:val="auto"/>
        </w:rPr>
        <w:t xml:space="preserve"> and the Borrower hereby consents and agrees to the CAM Exchange. The Borrower and the Lenders agree from time to time to execute and deliver to the Administrative Agent all such promissory notes and other instruments and documents as the Administrative Agent shall reasonably request to evidence and confirm the respective interests and obligations of the Lenders after giving effect to the CAM Exchange, and each Lender agrees to surrender any promissory notes originally received by it in connection with its Loans hereunder to the Administrative Agent against delivery of any promissory notes so executed and delivered; provided that the failure of the Borrower to execute or deliver or of any Lender to accept any such promissory note, instrument or document shall not affect the validity or effectiveness of the CAM Exchange. As a result of the CAM Exchange, on and after the CAM Exchange Date, each payment received by the Administrative Agent pursuant to any Loan Document in respect of the Designated Obligations shall be distributed to the Lenders pro rata in accordance with their respective CAM Percentages (to be redetermined as of each such date of payment).</w:t>
      </w:r>
    </w:p>
    <w:p>
      <w:pPr>
        <w:spacing w:after="0" w:line="187" w:lineRule="exact"/>
        <w:rPr>
          <w:sz w:val="20"/>
          <w:szCs w:val="20"/>
          <w:color w:val="auto"/>
        </w:rPr>
      </w:pPr>
    </w:p>
    <w:p>
      <w:pPr>
        <w:jc w:val="center"/>
        <w:ind w:right="20"/>
        <w:spacing w:after="0"/>
        <w:rPr>
          <w:sz w:val="20"/>
          <w:szCs w:val="20"/>
          <w:color w:val="auto"/>
        </w:rPr>
      </w:pPr>
      <w:r>
        <w:rPr>
          <w:rFonts w:ascii="Arial" w:cs="Arial" w:eastAsia="Arial" w:hAnsi="Arial"/>
          <w:sz w:val="14"/>
          <w:szCs w:val="14"/>
          <w:color w:val="auto"/>
        </w:rPr>
        <w:t>ARTICLE VIII</w:t>
      </w:r>
    </w:p>
    <w:p>
      <w:pPr>
        <w:spacing w:after="0" w:line="136" w:lineRule="exact"/>
        <w:rPr>
          <w:sz w:val="20"/>
          <w:szCs w:val="20"/>
          <w:color w:val="auto"/>
        </w:rPr>
      </w:pPr>
    </w:p>
    <w:p>
      <w:pPr>
        <w:jc w:val="center"/>
        <w:ind w:right="20"/>
        <w:spacing w:after="0"/>
        <w:rPr>
          <w:sz w:val="20"/>
          <w:szCs w:val="20"/>
          <w:color w:val="auto"/>
        </w:rPr>
      </w:pPr>
      <w:r>
        <w:rPr>
          <w:rFonts w:ascii="Arial" w:cs="Arial" w:eastAsia="Arial" w:hAnsi="Arial"/>
          <w:sz w:val="14"/>
          <w:szCs w:val="14"/>
          <w:u w:val="single" w:color="auto"/>
          <w:color w:val="auto"/>
        </w:rPr>
        <w:t>THE ADMINISTRATIVE AGENT</w:t>
      </w:r>
    </w:p>
    <w:p>
      <w:pPr>
        <w:spacing w:after="0" w:line="204" w:lineRule="exact"/>
        <w:rPr>
          <w:sz w:val="20"/>
          <w:szCs w:val="20"/>
          <w:color w:val="auto"/>
        </w:rPr>
      </w:pPr>
    </w:p>
    <w:p>
      <w:pPr>
        <w:jc w:val="both"/>
        <w:ind w:right="20" w:firstLine="1727"/>
        <w:spacing w:after="0" w:line="231" w:lineRule="auto"/>
        <w:rPr>
          <w:sz w:val="20"/>
          <w:szCs w:val="20"/>
          <w:color w:val="auto"/>
        </w:rPr>
      </w:pPr>
      <w:r>
        <w:rPr>
          <w:rFonts w:ascii="Arial" w:cs="Arial" w:eastAsia="Arial" w:hAnsi="Arial"/>
          <w:sz w:val="14"/>
          <w:szCs w:val="14"/>
          <w:color w:val="auto"/>
        </w:rPr>
        <w:t xml:space="preserve">SECTION 8.01. </w:t>
      </w:r>
      <w:r>
        <w:rPr>
          <w:rFonts w:ascii="Arial" w:cs="Arial" w:eastAsia="Arial" w:hAnsi="Arial"/>
          <w:sz w:val="14"/>
          <w:szCs w:val="14"/>
          <w:u w:val="single" w:color="auto"/>
          <w:color w:val="auto"/>
        </w:rPr>
        <w:t>Appointment of the Administrative Agent</w:t>
      </w:r>
      <w:r>
        <w:rPr>
          <w:rFonts w:ascii="Arial" w:cs="Arial" w:eastAsia="Arial" w:hAnsi="Arial"/>
          <w:sz w:val="14"/>
          <w:szCs w:val="14"/>
          <w:color w:val="auto"/>
        </w:rPr>
        <w:t>. Each of the Lenders and the Issuing Bank hereby irrevocably appoints the Administrative Agent as its agent hereunder and under the other Loan Documents and authorizes the Administrative Agent to take such actions on its behalf and to exercise such powers as are delegated to the Administrative Agent by the terms hereof or thereof, together with such actions and powers as are reasonably incidental thereto. Each of the Lenders and the Issuing Bank hereby irrevocably appoints the Collateral Agent as its agent hereunder and under the other Loan Documents and authorizes the Collateral Agent to take such actions on its behalf and to exercise such powers as are delegated to the Collateral Agent by the terms hereof or thereof, together with such actions and powers as are reasonably incidental thereto.</w:t>
      </w:r>
    </w:p>
    <w:p>
      <w:pPr>
        <w:spacing w:after="0" w:line="184" w:lineRule="exact"/>
        <w:rPr>
          <w:sz w:val="20"/>
          <w:szCs w:val="20"/>
          <w:color w:val="auto"/>
        </w:rPr>
      </w:pPr>
    </w:p>
    <w:p>
      <w:pPr>
        <w:jc w:val="both"/>
        <w:ind w:right="20" w:firstLine="1727"/>
        <w:spacing w:after="0" w:line="238" w:lineRule="auto"/>
        <w:rPr>
          <w:sz w:val="20"/>
          <w:szCs w:val="20"/>
          <w:color w:val="auto"/>
        </w:rPr>
      </w:pPr>
      <w:r>
        <w:rPr>
          <w:rFonts w:ascii="Arial" w:cs="Arial" w:eastAsia="Arial" w:hAnsi="Arial"/>
          <w:sz w:val="14"/>
          <w:szCs w:val="14"/>
          <w:color w:val="auto"/>
        </w:rPr>
        <w:t xml:space="preserve">SECTION 8.02. </w:t>
      </w:r>
      <w:r>
        <w:rPr>
          <w:rFonts w:ascii="Arial" w:cs="Arial" w:eastAsia="Arial" w:hAnsi="Arial"/>
          <w:sz w:val="14"/>
          <w:szCs w:val="14"/>
          <w:u w:val="single" w:color="auto"/>
          <w:color w:val="auto"/>
        </w:rPr>
        <w:t>Capacity as Lender</w:t>
      </w:r>
      <w:r>
        <w:rPr>
          <w:rFonts w:ascii="Arial" w:cs="Arial" w:eastAsia="Arial" w:hAnsi="Arial"/>
          <w:sz w:val="14"/>
          <w:szCs w:val="14"/>
          <w:color w:val="auto"/>
        </w:rPr>
        <w:t>. The Person serving as the Administrative Agent hereunder shall have the same rights and powers in its capacity as a Lender as any other Lender and may exercise the same as though it were not the Administrative Agent, and such Person and its Affiliates may accept deposits from, lend money to and generally engage in any kind of business with the Borrower or any Subsidiary or other Affiliate thereof as if it were not the Administrative Agent hereunder.</w:t>
      </w:r>
    </w:p>
    <w:p>
      <w:pPr>
        <w:spacing w:after="0" w:line="183" w:lineRule="exact"/>
        <w:rPr>
          <w:sz w:val="20"/>
          <w:szCs w:val="20"/>
          <w:color w:val="auto"/>
        </w:rPr>
      </w:pPr>
    </w:p>
    <w:p>
      <w:pPr>
        <w:jc w:val="both"/>
        <w:ind w:right="20" w:firstLine="1727"/>
        <w:spacing w:after="0" w:line="227" w:lineRule="auto"/>
        <w:rPr>
          <w:sz w:val="20"/>
          <w:szCs w:val="20"/>
          <w:color w:val="auto"/>
        </w:rPr>
      </w:pPr>
      <w:r>
        <w:rPr>
          <w:rFonts w:ascii="Arial" w:cs="Arial" w:eastAsia="Arial" w:hAnsi="Arial"/>
          <w:sz w:val="14"/>
          <w:szCs w:val="14"/>
          <w:color w:val="auto"/>
        </w:rPr>
        <w:t xml:space="preserve">SECTION 8.03. </w:t>
      </w:r>
      <w:r>
        <w:rPr>
          <w:rFonts w:ascii="Arial" w:cs="Arial" w:eastAsia="Arial" w:hAnsi="Arial"/>
          <w:sz w:val="14"/>
          <w:szCs w:val="14"/>
          <w:u w:val="single" w:color="auto"/>
          <w:color w:val="auto"/>
        </w:rPr>
        <w:t>Limitation of Duties; Exculpation</w:t>
      </w:r>
      <w:r>
        <w:rPr>
          <w:rFonts w:ascii="Arial" w:cs="Arial" w:eastAsia="Arial" w:hAnsi="Arial"/>
          <w:sz w:val="14"/>
          <w:szCs w:val="14"/>
          <w:color w:val="auto"/>
        </w:rPr>
        <w:t>. The Administrative Agent shall not have any duties or obligations except those expressly set forth herein and in the other Loan Documents. Without limiting the generality of the foregoing, (a) the Administrative Agent shall not be subject to any fiduciary or other implied duties, regardless of whether a Default has occurred and is continuing, (b) the Administrative Agent shall not have any duty to take any discretionary action or exercise any discretionary powers, except discretionary rights and powers expressly contemplated hereby or by the other Loan Documents that the Administrative Agent is required to exercise in writing by the Required Lenders, and (c) except as expressly set forth herein and in the other Loan Documents, the Administrative Agent shall not have any duty to disclose, and shall not be liable for the failure to disclose, any information relating to the Borrower or any of its Subsidiaries that is communicated to or obtained by the bank serving as Administrative Agent or any of its Affiliates in any capacity. The Administrative Agent shall not be liable to any Lender or Issuing Bank for any action taken or not taken by it with the consent or at the request of the Required Lenders or in the absence of its own gross negligence or willful misconduct. The Administrative Agent shall be deemed not to have knowledge of any</w:t>
      </w:r>
    </w:p>
    <w:p>
      <w:pPr>
        <w:spacing w:after="0" w:line="200" w:lineRule="exact"/>
        <w:rPr>
          <w:sz w:val="20"/>
          <w:szCs w:val="20"/>
          <w:color w:val="auto"/>
        </w:rPr>
      </w:pPr>
    </w:p>
    <w:p>
      <w:pPr>
        <w:spacing w:after="0" w:line="200" w:lineRule="exact"/>
        <w:rPr>
          <w:sz w:val="20"/>
          <w:szCs w:val="20"/>
          <w:color w:val="auto"/>
        </w:rPr>
      </w:pPr>
    </w:p>
    <w:p>
      <w:pPr>
        <w:spacing w:after="0" w:line="20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7580" w:type="dxa"/>
            <w:vAlign w:val="bottom"/>
          </w:tcPr>
          <w:p>
            <w:pPr>
              <w:jc w:val="right"/>
              <w:ind w:right="1808"/>
              <w:spacing w:after="0"/>
              <w:rPr>
                <w:sz w:val="20"/>
                <w:szCs w:val="20"/>
                <w:color w:val="auto"/>
              </w:rPr>
            </w:pPr>
            <w:r>
              <w:rPr>
                <w:rFonts w:ascii="Arial" w:cs="Arial" w:eastAsia="Arial" w:hAnsi="Arial"/>
                <w:sz w:val="14"/>
                <w:szCs w:val="14"/>
                <w:color w:val="auto"/>
              </w:rPr>
              <w:t>57</w:t>
            </w:r>
          </w:p>
        </w:tc>
        <w:tc>
          <w:tcPr>
            <w:tcW w:w="3680" w:type="dxa"/>
            <w:vAlign w:val="bottom"/>
          </w:tcPr>
          <w:p>
            <w:pPr>
              <w:jc w:val="right"/>
              <w:spacing w:after="0"/>
              <w:rPr>
                <w:sz w:val="20"/>
                <w:szCs w:val="20"/>
                <w:color w:val="auto"/>
              </w:rPr>
            </w:pPr>
            <w:r>
              <w:rPr>
                <w:rFonts w:ascii="Arial" w:cs="Arial" w:eastAsia="Arial" w:hAnsi="Arial"/>
                <w:sz w:val="14"/>
                <w:szCs w:val="14"/>
                <w:i w:val="1"/>
                <w:iCs w:val="1"/>
                <w:color w:val="auto"/>
              </w:rPr>
              <w:t>Second Amended and Restated</w:t>
            </w:r>
          </w:p>
        </w:tc>
      </w:tr>
      <w:tr>
        <w:trPr>
          <w:trHeight w:val="182"/>
        </w:trPr>
        <w:tc>
          <w:tcPr>
            <w:tcW w:w="7580" w:type="dxa"/>
            <w:vAlign w:val="bottom"/>
          </w:tcPr>
          <w:p>
            <w:pPr>
              <w:spacing w:after="0"/>
              <w:rPr>
                <w:sz w:val="15"/>
                <w:szCs w:val="15"/>
                <w:color w:val="auto"/>
              </w:rPr>
            </w:pPr>
          </w:p>
        </w:tc>
        <w:tc>
          <w:tcPr>
            <w:tcW w:w="3680" w:type="dxa"/>
            <w:vAlign w:val="bottom"/>
          </w:tcPr>
          <w:p>
            <w:pPr>
              <w:jc w:val="right"/>
              <w:spacing w:after="0"/>
              <w:rPr>
                <w:sz w:val="20"/>
                <w:szCs w:val="20"/>
                <w:color w:val="auto"/>
              </w:rPr>
            </w:pPr>
            <w:r>
              <w:rPr>
                <w:rFonts w:ascii="Arial" w:cs="Arial" w:eastAsia="Arial" w:hAnsi="Arial"/>
                <w:sz w:val="14"/>
                <w:szCs w:val="14"/>
                <w:i w:val="1"/>
                <w:iCs w:val="1"/>
                <w:color w:val="auto"/>
              </w:rPr>
              <w:t>Revolving Credit Agreement</w:t>
            </w:r>
          </w:p>
        </w:tc>
      </w:tr>
      <w:tr>
        <w:trPr>
          <w:trHeight w:val="316"/>
        </w:trPr>
        <w:tc>
          <w:tcPr>
            <w:tcW w:w="7580" w:type="dxa"/>
            <w:vAlign w:val="bottom"/>
            <w:tcBorders>
              <w:bottom w:val="single" w:sz="8" w:color="9A9A9A"/>
            </w:tcBorders>
          </w:tcPr>
          <w:p>
            <w:pPr>
              <w:spacing w:after="0"/>
              <w:rPr>
                <w:sz w:val="24"/>
                <w:szCs w:val="24"/>
                <w:color w:val="auto"/>
              </w:rPr>
            </w:pPr>
          </w:p>
        </w:tc>
        <w:tc>
          <w:tcPr>
            <w:tcW w:w="368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7145655</wp:posOffset>
            </wp:positionH>
            <wp:positionV relativeFrom="paragraph">
              <wp:posOffset>-8255</wp:posOffset>
            </wp:positionV>
            <wp:extent cx="8255" cy="8890"/>
            <wp:wrapNone/>
            <wp:docPr id="219" name="Picture 2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9"/>
                    <pic:cNvPicPr>
                      <a:picLocks noChangeAspect="1" noChangeArrowheads="1"/>
                    </pic:cNvPicPr>
                  </pic:nvPicPr>
                  <pic:blipFill>
                    <a:blip r:embed="rId226">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-16510</wp:posOffset>
            </wp:positionV>
            <wp:extent cx="8890" cy="17145"/>
            <wp:wrapNone/>
            <wp:docPr id="220" name="Picture 2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0"/>
                    <pic:cNvPicPr>
                      <a:picLocks noChangeAspect="1" noChangeArrowheads="1"/>
                    </pic:cNvPicPr>
                  </pic:nvPicPr>
                  <pic:blipFill>
                    <a:blip r:embed="rId227">
                      <a:extLst>
                        <a:ext uri="{28A0092B-C50C-407E-A947-70E740481C1C}"/>
                      </a:extLst>
                    </a:blip>
                    <a:srcRect/>
                    <a:stretch>
                      <a:fillRect/>
                    </a:stretch>
                  </pic:blipFill>
                  <pic:spPr bwMode="auto">
                    <a:xfrm>
                      <a:off x="0" y="0"/>
                      <a:ext cx="8890" cy="17145"/>
                    </a:xfrm>
                    <a:prstGeom prst="rect">
                      <a:avLst/>
                    </a:prstGeom>
                    <a:noFill/>
                  </pic:spPr>
                </pic:pic>
              </a:graphicData>
            </a:graphic>
          </wp:anchor>
        </w:drawing>
      </w:r>
    </w:p>
    <w:p>
      <w:pPr>
        <w:sectPr>
          <w:pgSz w:w="11900" w:h="16838" w:orient="portrait"/>
          <w:cols w:equalWidth="0" w:num="1">
            <w:col w:w="11260"/>
          </w:cols>
          <w:pgMar w:left="320" w:top="337" w:right="319" w:bottom="1440" w:gutter="0" w:footer="0" w:header="0"/>
        </w:sectPr>
      </w:pPr>
    </w:p>
    <w:bookmarkStart w:id="120" w:name="page121"/>
    <w:bookmarkEnd w:id="120"/>
    <w:p>
      <w:pPr>
        <w:jc w:val="both"/>
        <w:ind w:right="20"/>
        <w:spacing w:after="0" w:line="251" w:lineRule="auto"/>
        <w:rPr>
          <w:sz w:val="20"/>
          <w:szCs w:val="20"/>
          <w:color w:val="auto"/>
        </w:rPr>
      </w:pPr>
      <w:r>
        <w:rPr>
          <w:rFonts w:ascii="Arial" w:cs="Arial" w:eastAsia="Arial" w:hAnsi="Arial"/>
          <w:sz w:val="13"/>
          <w:szCs w:val="13"/>
          <w:color w:val="auto"/>
        </w:rPr>
        <w:t xml:space="preserve">Default unless and until written notice thereof is given to the Administrative Agent by the Borrower or a Lender, and the Administrative Agent shall not be responsible for or have any duty to ascertain or inquire into (i) any statement, warranty or representation made in or in connection with this Agreement or any other Loan Document, (ii) the contents of any certificate, report or other document delivered hereunder or thereunder or in connection herewith or therewith, (iii) the performance or observance of any of the covenants, agreements or other terms or conditions set forth herein or therein, (iv) the validity, enforceability, effectiveness or genuineness of this Agreement, any other Loan Document or any other agreement, instrument or document, or (v) the satisfaction of any condition set forth in </w:t>
      </w:r>
      <w:r>
        <w:rPr>
          <w:rFonts w:ascii="Arial" w:cs="Arial" w:eastAsia="Arial" w:hAnsi="Arial"/>
          <w:sz w:val="13"/>
          <w:szCs w:val="13"/>
          <w:u w:val="single" w:color="auto"/>
          <w:color w:val="auto"/>
        </w:rPr>
        <w:t>Article IV</w:t>
      </w:r>
      <w:r>
        <w:rPr>
          <w:rFonts w:ascii="Arial" w:cs="Arial" w:eastAsia="Arial" w:hAnsi="Arial"/>
          <w:sz w:val="13"/>
          <w:szCs w:val="13"/>
          <w:color w:val="auto"/>
        </w:rPr>
        <w:t xml:space="preserve"> or elsewhere herein or therein, other than to confirm receipt of items expressly required to be delivered to the Administrative Agent.</w:t>
      </w:r>
    </w:p>
    <w:p>
      <w:pPr>
        <w:spacing w:after="0" w:line="177" w:lineRule="exact"/>
        <w:rPr>
          <w:sz w:val="20"/>
          <w:szCs w:val="20"/>
          <w:color w:val="auto"/>
        </w:rPr>
      </w:pPr>
    </w:p>
    <w:p>
      <w:pPr>
        <w:jc w:val="both"/>
        <w:ind w:right="20" w:firstLine="1727"/>
        <w:spacing w:after="0" w:line="251" w:lineRule="auto"/>
        <w:rPr>
          <w:sz w:val="20"/>
          <w:szCs w:val="20"/>
          <w:color w:val="auto"/>
        </w:rPr>
      </w:pPr>
      <w:r>
        <w:rPr>
          <w:rFonts w:ascii="Arial" w:cs="Arial" w:eastAsia="Arial" w:hAnsi="Arial"/>
          <w:sz w:val="13"/>
          <w:szCs w:val="13"/>
          <w:color w:val="auto"/>
        </w:rPr>
        <w:t xml:space="preserve">SECTION 8.04. </w:t>
      </w:r>
      <w:r>
        <w:rPr>
          <w:rFonts w:ascii="Arial" w:cs="Arial" w:eastAsia="Arial" w:hAnsi="Arial"/>
          <w:sz w:val="13"/>
          <w:szCs w:val="13"/>
          <w:u w:val="single" w:color="auto"/>
          <w:color w:val="auto"/>
        </w:rPr>
        <w:t>Reliance</w:t>
      </w:r>
      <w:r>
        <w:rPr>
          <w:rFonts w:ascii="Arial" w:cs="Arial" w:eastAsia="Arial" w:hAnsi="Arial"/>
          <w:sz w:val="13"/>
          <w:szCs w:val="13"/>
          <w:color w:val="auto"/>
        </w:rPr>
        <w:t>. The Administrative Agent shall be entitled to rely upon, and shall not incur any liability for relying upon, any notice, request, certificate, consent, statement, instrument, document or other writing (including any electronic message, Internet or intranet website posting or other distribution) believed by it to be genuine and to have been signed or sent by the proper Person. The Administrative Agent also may rely upon any statement made to it orally or by telephone and believed by it to be made by the proper Person, and shall not incur any liability for relying thereon. The Administrative Agent may consult with legal counsel (who may be counsel for the Borrower), independent accountants and other experts selected by it, and shall not be liable for any action taken or not taken by it in accordance with the advice of any such counsel, accountants or experts.</w:t>
      </w:r>
    </w:p>
    <w:p>
      <w:pPr>
        <w:spacing w:after="0" w:line="177" w:lineRule="exact"/>
        <w:rPr>
          <w:sz w:val="20"/>
          <w:szCs w:val="20"/>
          <w:color w:val="auto"/>
        </w:rPr>
      </w:pPr>
    </w:p>
    <w:p>
      <w:pPr>
        <w:jc w:val="both"/>
        <w:ind w:right="20" w:firstLine="1727"/>
        <w:spacing w:after="0" w:line="229" w:lineRule="auto"/>
        <w:rPr>
          <w:sz w:val="20"/>
          <w:szCs w:val="20"/>
          <w:color w:val="auto"/>
        </w:rPr>
      </w:pPr>
      <w:r>
        <w:rPr>
          <w:rFonts w:ascii="Arial" w:cs="Arial" w:eastAsia="Arial" w:hAnsi="Arial"/>
          <w:sz w:val="14"/>
          <w:szCs w:val="14"/>
          <w:color w:val="auto"/>
        </w:rPr>
        <w:t xml:space="preserve">SECTION 8.05. </w:t>
      </w:r>
      <w:r>
        <w:rPr>
          <w:rFonts w:ascii="Arial" w:cs="Arial" w:eastAsia="Arial" w:hAnsi="Arial"/>
          <w:sz w:val="14"/>
          <w:szCs w:val="14"/>
          <w:u w:val="single" w:color="auto"/>
          <w:color w:val="auto"/>
        </w:rPr>
        <w:t>Sub-Agents</w:t>
      </w:r>
      <w:r>
        <w:rPr>
          <w:rFonts w:ascii="Arial" w:cs="Arial" w:eastAsia="Arial" w:hAnsi="Arial"/>
          <w:sz w:val="14"/>
          <w:szCs w:val="14"/>
          <w:color w:val="auto"/>
        </w:rPr>
        <w:t>. The Administrative Agent may perform any and all its duties and exercise its rights and powers by or through any one or more sub-agents appointed by the Administrative Agent. The Administrative Agent and any such sub-agent may perform any and all its duties and exercise its rights and powers through their respective Related Parties. The exculpatory provisions of the preceding paragraphs shall apply to any such sub-agent and to the Related Parties of the Administrative Agent and any such sub-agent, and shall apply to their respective activities in connection with the syndication of the credit facilities provided for herein as well as activities as Administrative Agent. The Administrative Agent shall not be responsible for the negligence or misconduct of any sub-agents except to the extent that a count of competent jurisdiction determines in a final and non-appealable judgment that the Administrative Agent acted with gross negligence or willful misconduct in the selection of such sub-agents.</w:t>
      </w:r>
    </w:p>
    <w:p>
      <w:pPr>
        <w:spacing w:after="0" w:line="185" w:lineRule="exact"/>
        <w:rPr>
          <w:sz w:val="20"/>
          <w:szCs w:val="20"/>
          <w:color w:val="auto"/>
        </w:rPr>
      </w:pPr>
    </w:p>
    <w:p>
      <w:pPr>
        <w:jc w:val="both"/>
        <w:ind w:right="20" w:firstLine="1727"/>
        <w:spacing w:after="0" w:line="243" w:lineRule="auto"/>
        <w:rPr>
          <w:sz w:val="20"/>
          <w:szCs w:val="20"/>
          <w:color w:val="auto"/>
        </w:rPr>
      </w:pPr>
      <w:r>
        <w:rPr>
          <w:rFonts w:ascii="Arial" w:cs="Arial" w:eastAsia="Arial" w:hAnsi="Arial"/>
          <w:sz w:val="13"/>
          <w:szCs w:val="13"/>
          <w:color w:val="auto"/>
        </w:rPr>
        <w:t xml:space="preserve">SECTION 8.06. </w:t>
      </w:r>
      <w:r>
        <w:rPr>
          <w:rFonts w:ascii="Arial" w:cs="Arial" w:eastAsia="Arial" w:hAnsi="Arial"/>
          <w:sz w:val="13"/>
          <w:szCs w:val="13"/>
          <w:u w:val="single" w:color="auto"/>
          <w:color w:val="auto"/>
        </w:rPr>
        <w:t>Resignation; Successor Administrative Agent</w:t>
      </w:r>
      <w:r>
        <w:rPr>
          <w:rFonts w:ascii="Arial" w:cs="Arial" w:eastAsia="Arial" w:hAnsi="Arial"/>
          <w:sz w:val="13"/>
          <w:szCs w:val="13"/>
          <w:color w:val="auto"/>
        </w:rPr>
        <w:t xml:space="preserve">. The Administrative Agent may resign at any time by notifying the Lenders, the Issuing Bank and the Borrower. Upon any such resignation, the Required Lenders shall have the right, with the consent of the Borrower not to be unreasonably withheld (or, if an Event of Default has occurred and is continuing in consultation with the Borrower), to appoint a successor. If no successor shall have been so appointed by the Required Lenders and shall have accepted such appointment within 30 days after the retiring Administrative Agent gives notice of its resignation, then the retiring Administrative Agent’s resignation shall nonetheless become effective and (1) the retiring Administrative Agent shall be discharged from its duties and obligations hereunder and (2) the Required Lenders shall perform the duties of the Administrative Agent (and all payments and communications provided to be made by, to or through the Administrative Agent shall instead be made by or to each Lender directly) until such time as the Required Lenders appoint a successor agent as provided for above in this paragraph. Upon the acceptance of its appointment as Administrative Agent hereunder by a successor, such successor shall succeed to and become vested with all the rights, powers, privileges and duties of the retiring (or retired) Administrative Agent and the retiring Administrative Agent shall be discharged from its duties and obligations hereunder (if not already discharged therefrom as provided above in this paragraph). The fees payable by the Borrower to a successor Administrative Agent shall be the same as those payable to its predecessor unless otherwise agreed between the Borrower and such successor. After the Administrative Agent’s resignation hereunder, the provisions of this Article and </w:t>
      </w:r>
      <w:r>
        <w:rPr>
          <w:rFonts w:ascii="Arial" w:cs="Arial" w:eastAsia="Arial" w:hAnsi="Arial"/>
          <w:sz w:val="13"/>
          <w:szCs w:val="13"/>
          <w:u w:val="single" w:color="auto"/>
          <w:color w:val="auto"/>
        </w:rPr>
        <w:t>Section 9.03</w:t>
      </w:r>
      <w:r>
        <w:rPr>
          <w:rFonts w:ascii="Arial" w:cs="Arial" w:eastAsia="Arial" w:hAnsi="Arial"/>
          <w:sz w:val="13"/>
          <w:szCs w:val="13"/>
          <w:color w:val="auto"/>
        </w:rPr>
        <w:t xml:space="preserve"> shall continue in effect for its benefit in respect of any actions taken or omitted to be taken by it while it was acting as Administrative Agent.</w:t>
      </w:r>
    </w:p>
    <w:p>
      <w:pPr>
        <w:spacing w:after="0" w:line="185" w:lineRule="exact"/>
        <w:rPr>
          <w:sz w:val="20"/>
          <w:szCs w:val="20"/>
          <w:color w:val="auto"/>
        </w:rPr>
      </w:pPr>
    </w:p>
    <w:p>
      <w:pPr>
        <w:jc w:val="both"/>
        <w:ind w:right="20" w:firstLine="864"/>
        <w:spacing w:after="0" w:line="251" w:lineRule="auto"/>
        <w:rPr>
          <w:sz w:val="20"/>
          <w:szCs w:val="20"/>
          <w:color w:val="auto"/>
        </w:rPr>
      </w:pPr>
      <w:r>
        <w:rPr>
          <w:rFonts w:ascii="Arial" w:cs="Arial" w:eastAsia="Arial" w:hAnsi="Arial"/>
          <w:sz w:val="13"/>
          <w:szCs w:val="13"/>
          <w:color w:val="auto"/>
        </w:rPr>
        <w:t>Any resignation by SunTrust as Administrative Agent pursuant to this Section shall also constitute its resignation as Issuing Bank and Swingline Lender. Upon the acceptance of a successor’s appointment as Administrative Agent hereunder, (a) such successor shall succeed to and become vested with all of the rights, powers, privileges and duties of the retiring Issuing Bank and Swingline Lender, (b) the retiring Issuing Bank and Swingline Lender shall be discharged from all of their respective duties and obligations hereunder or under the other Loan Documents, and (c) the successor Issuing Bank shall issue letters of credit in substitution for the Letters of Credit, if any, outstanding at the time of such succession or make other arrangements satisfactory to the retiring Issuing Bank to effectively assume the obligations of the retiring Issuing Bank with respect to such Letters of Credit.</w:t>
      </w:r>
    </w:p>
    <w:p>
      <w:pPr>
        <w:spacing w:after="0" w:line="177" w:lineRule="exact"/>
        <w:rPr>
          <w:sz w:val="20"/>
          <w:szCs w:val="20"/>
          <w:color w:val="auto"/>
        </w:rPr>
      </w:pPr>
    </w:p>
    <w:p>
      <w:pPr>
        <w:jc w:val="both"/>
        <w:ind w:right="20" w:firstLine="1727"/>
        <w:spacing w:after="0" w:line="247" w:lineRule="auto"/>
        <w:rPr>
          <w:sz w:val="20"/>
          <w:szCs w:val="20"/>
          <w:color w:val="auto"/>
        </w:rPr>
      </w:pPr>
      <w:r>
        <w:rPr>
          <w:rFonts w:ascii="Arial" w:cs="Arial" w:eastAsia="Arial" w:hAnsi="Arial"/>
          <w:sz w:val="13"/>
          <w:szCs w:val="13"/>
          <w:color w:val="auto"/>
        </w:rPr>
        <w:t xml:space="preserve">SECTION 8.07. </w:t>
      </w:r>
      <w:r>
        <w:rPr>
          <w:rFonts w:ascii="Arial" w:cs="Arial" w:eastAsia="Arial" w:hAnsi="Arial"/>
          <w:sz w:val="13"/>
          <w:szCs w:val="13"/>
          <w:u w:val="single" w:color="auto"/>
          <w:color w:val="auto"/>
        </w:rPr>
        <w:t>Reliance by Lenders</w:t>
      </w:r>
      <w:r>
        <w:rPr>
          <w:rFonts w:ascii="Arial" w:cs="Arial" w:eastAsia="Arial" w:hAnsi="Arial"/>
          <w:sz w:val="13"/>
          <w:szCs w:val="13"/>
          <w:color w:val="auto"/>
        </w:rPr>
        <w:t>. Each Lender acknowledges that it has, independently and without reliance upon the Administrative Agent or any other Lender and based on such documents and information as it has deemed appropriate, made its own credit analysis and decision to enter into this Agreement. Each Lender also acknowledges that it will, independently and without reliance upon the Administrative Agent or any other Lender and based on such documents and information as it shall from time to time deem appropriate, continue to make its own decisions in taking or not taking action under or based upon this Agreement, any other Loan Document or any related agreement or any document furnished hereunder or thereunder. The Administrative Agent shall have no duty or responsibility, either initially or on a continuing basis, to make any such investigation or any such appraisal on behalf of Lenders or to provide any Lender with any credit or other information with respect thereto, whether coming into its possession before the making of the Loans or at any time or times thereafter, and the Administrative Agent shall have no responsibility with respect to the accuracy of or the completeness of any information provided to Lenders.</w:t>
      </w:r>
    </w:p>
    <w:p>
      <w:pPr>
        <w:spacing w:after="0" w:line="179" w:lineRule="exact"/>
        <w:rPr>
          <w:sz w:val="20"/>
          <w:szCs w:val="20"/>
          <w:color w:val="auto"/>
        </w:rPr>
      </w:pPr>
    </w:p>
    <w:p>
      <w:pPr>
        <w:jc w:val="both"/>
        <w:ind w:right="20" w:firstLine="864"/>
        <w:spacing w:after="0" w:line="253" w:lineRule="auto"/>
        <w:rPr>
          <w:sz w:val="20"/>
          <w:szCs w:val="20"/>
          <w:color w:val="auto"/>
        </w:rPr>
      </w:pPr>
      <w:r>
        <w:rPr>
          <w:rFonts w:ascii="Arial" w:cs="Arial" w:eastAsia="Arial" w:hAnsi="Arial"/>
          <w:sz w:val="14"/>
          <w:szCs w:val="14"/>
          <w:color w:val="auto"/>
        </w:rPr>
        <w:t>Each Lender, by delivering its signature page to this Agreement or any Assignment and Assumption and funding any Loan shall be deemed to have acknowledged receipt of, and consented to and approved, each Loan Document and each other document required to be approved by the Administrative Agent, Required Lenders or Lenders.</w:t>
      </w:r>
    </w:p>
    <w:p>
      <w:pPr>
        <w:spacing w:after="0" w:line="174" w:lineRule="exact"/>
        <w:rPr>
          <w:sz w:val="20"/>
          <w:szCs w:val="20"/>
          <w:color w:val="auto"/>
        </w:rPr>
      </w:pPr>
    </w:p>
    <w:p>
      <w:pPr>
        <w:jc w:val="both"/>
        <w:ind w:right="20" w:firstLine="1727"/>
        <w:spacing w:after="0" w:line="264" w:lineRule="auto"/>
        <w:rPr>
          <w:sz w:val="20"/>
          <w:szCs w:val="20"/>
          <w:color w:val="auto"/>
        </w:rPr>
      </w:pPr>
      <w:r>
        <w:rPr>
          <w:rFonts w:ascii="Arial" w:cs="Arial" w:eastAsia="Arial" w:hAnsi="Arial"/>
          <w:sz w:val="13"/>
          <w:szCs w:val="13"/>
          <w:color w:val="auto"/>
        </w:rPr>
        <w:t xml:space="preserve">SECTION 8.08. </w:t>
      </w:r>
      <w:r>
        <w:rPr>
          <w:rFonts w:ascii="Arial" w:cs="Arial" w:eastAsia="Arial" w:hAnsi="Arial"/>
          <w:sz w:val="13"/>
          <w:szCs w:val="13"/>
          <w:u w:val="single" w:color="auto"/>
          <w:color w:val="auto"/>
        </w:rPr>
        <w:t>Modifications to Loan Documents</w:t>
      </w:r>
      <w:r>
        <w:rPr>
          <w:rFonts w:ascii="Arial" w:cs="Arial" w:eastAsia="Arial" w:hAnsi="Arial"/>
          <w:sz w:val="13"/>
          <w:szCs w:val="13"/>
          <w:color w:val="auto"/>
        </w:rPr>
        <w:t xml:space="preserve">. Except as otherwise provided in </w:t>
      </w:r>
      <w:r>
        <w:rPr>
          <w:rFonts w:ascii="Arial" w:cs="Arial" w:eastAsia="Arial" w:hAnsi="Arial"/>
          <w:sz w:val="13"/>
          <w:szCs w:val="13"/>
          <w:u w:val="single" w:color="auto"/>
          <w:color w:val="auto"/>
        </w:rPr>
        <w:t>Section 9.02(b)</w:t>
      </w:r>
      <w:r>
        <w:rPr>
          <w:rFonts w:ascii="Arial" w:cs="Arial" w:eastAsia="Arial" w:hAnsi="Arial"/>
          <w:sz w:val="13"/>
          <w:szCs w:val="13"/>
          <w:color w:val="auto"/>
        </w:rPr>
        <w:t xml:space="preserve"> or </w:t>
      </w:r>
      <w:r>
        <w:rPr>
          <w:rFonts w:ascii="Arial" w:cs="Arial" w:eastAsia="Arial" w:hAnsi="Arial"/>
          <w:sz w:val="13"/>
          <w:szCs w:val="13"/>
          <w:u w:val="single" w:color="auto"/>
          <w:color w:val="auto"/>
        </w:rPr>
        <w:t>(c)</w:t>
      </w:r>
      <w:r>
        <w:rPr>
          <w:rFonts w:ascii="Arial" w:cs="Arial" w:eastAsia="Arial" w:hAnsi="Arial"/>
          <w:sz w:val="13"/>
          <w:szCs w:val="13"/>
          <w:color w:val="auto"/>
        </w:rPr>
        <w:t xml:space="preserve"> of this Agreement or the Security Documents with respect to this Agreement, the Administrative Agent may, with the prior consent of the Required Lenders (but not otherwise), consent to any modification, supplement or waiver under any of the Loan Documents; </w:t>
      </w:r>
      <w:r>
        <w:rPr>
          <w:rFonts w:ascii="Arial" w:cs="Arial" w:eastAsia="Arial" w:hAnsi="Arial"/>
          <w:sz w:val="13"/>
          <w:szCs w:val="13"/>
          <w:u w:val="single" w:color="auto"/>
          <w:color w:val="auto"/>
        </w:rPr>
        <w:t>provided</w:t>
      </w:r>
      <w:r>
        <w:rPr>
          <w:rFonts w:ascii="Arial" w:cs="Arial" w:eastAsia="Arial" w:hAnsi="Arial"/>
          <w:sz w:val="13"/>
          <w:szCs w:val="13"/>
          <w:color w:val="auto"/>
        </w:rPr>
        <w:t xml:space="preserve"> that, without the prior consent of each Lender, the Administrative Agent shall not (except as provided herein or in the Security Documents) release all or</w:t>
      </w:r>
    </w:p>
    <w:p>
      <w:pPr>
        <w:spacing w:after="0" w:line="200" w:lineRule="exact"/>
        <w:rPr>
          <w:sz w:val="20"/>
          <w:szCs w:val="20"/>
          <w:color w:val="auto"/>
        </w:rPr>
      </w:pPr>
    </w:p>
    <w:p>
      <w:pPr>
        <w:spacing w:after="0" w:line="38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7580" w:type="dxa"/>
            <w:vAlign w:val="bottom"/>
          </w:tcPr>
          <w:p>
            <w:pPr>
              <w:jc w:val="right"/>
              <w:ind w:right="1808"/>
              <w:spacing w:after="0"/>
              <w:rPr>
                <w:sz w:val="20"/>
                <w:szCs w:val="20"/>
                <w:color w:val="auto"/>
              </w:rPr>
            </w:pPr>
            <w:r>
              <w:rPr>
                <w:rFonts w:ascii="Arial" w:cs="Arial" w:eastAsia="Arial" w:hAnsi="Arial"/>
                <w:sz w:val="14"/>
                <w:szCs w:val="14"/>
                <w:color w:val="auto"/>
              </w:rPr>
              <w:t>58</w:t>
            </w:r>
          </w:p>
        </w:tc>
        <w:tc>
          <w:tcPr>
            <w:tcW w:w="3680" w:type="dxa"/>
            <w:vAlign w:val="bottom"/>
          </w:tcPr>
          <w:p>
            <w:pPr>
              <w:jc w:val="right"/>
              <w:spacing w:after="0"/>
              <w:rPr>
                <w:sz w:val="20"/>
                <w:szCs w:val="20"/>
                <w:color w:val="auto"/>
              </w:rPr>
            </w:pPr>
            <w:r>
              <w:rPr>
                <w:rFonts w:ascii="Arial" w:cs="Arial" w:eastAsia="Arial" w:hAnsi="Arial"/>
                <w:sz w:val="14"/>
                <w:szCs w:val="14"/>
                <w:i w:val="1"/>
                <w:iCs w:val="1"/>
                <w:color w:val="auto"/>
              </w:rPr>
              <w:t>Second Amended and Restated</w:t>
            </w:r>
          </w:p>
        </w:tc>
      </w:tr>
      <w:tr>
        <w:trPr>
          <w:trHeight w:val="182"/>
        </w:trPr>
        <w:tc>
          <w:tcPr>
            <w:tcW w:w="7580" w:type="dxa"/>
            <w:vAlign w:val="bottom"/>
          </w:tcPr>
          <w:p>
            <w:pPr>
              <w:spacing w:after="0"/>
              <w:rPr>
                <w:sz w:val="15"/>
                <w:szCs w:val="15"/>
                <w:color w:val="auto"/>
              </w:rPr>
            </w:pPr>
          </w:p>
        </w:tc>
        <w:tc>
          <w:tcPr>
            <w:tcW w:w="3680" w:type="dxa"/>
            <w:vAlign w:val="bottom"/>
          </w:tcPr>
          <w:p>
            <w:pPr>
              <w:jc w:val="right"/>
              <w:spacing w:after="0"/>
              <w:rPr>
                <w:sz w:val="20"/>
                <w:szCs w:val="20"/>
                <w:color w:val="auto"/>
              </w:rPr>
            </w:pPr>
            <w:r>
              <w:rPr>
                <w:rFonts w:ascii="Arial" w:cs="Arial" w:eastAsia="Arial" w:hAnsi="Arial"/>
                <w:sz w:val="14"/>
                <w:szCs w:val="14"/>
                <w:i w:val="1"/>
                <w:iCs w:val="1"/>
                <w:color w:val="auto"/>
              </w:rPr>
              <w:t>Revolving Credit Agreement</w:t>
            </w:r>
          </w:p>
        </w:tc>
      </w:tr>
      <w:tr>
        <w:trPr>
          <w:trHeight w:val="316"/>
        </w:trPr>
        <w:tc>
          <w:tcPr>
            <w:tcW w:w="7580" w:type="dxa"/>
            <w:vAlign w:val="bottom"/>
            <w:tcBorders>
              <w:bottom w:val="single" w:sz="8" w:color="9A9A9A"/>
            </w:tcBorders>
          </w:tcPr>
          <w:p>
            <w:pPr>
              <w:spacing w:after="0"/>
              <w:rPr>
                <w:sz w:val="24"/>
                <w:szCs w:val="24"/>
                <w:color w:val="auto"/>
              </w:rPr>
            </w:pPr>
          </w:p>
        </w:tc>
        <w:tc>
          <w:tcPr>
            <w:tcW w:w="368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7145655</wp:posOffset>
            </wp:positionH>
            <wp:positionV relativeFrom="paragraph">
              <wp:posOffset>-7620</wp:posOffset>
            </wp:positionV>
            <wp:extent cx="8255" cy="8255"/>
            <wp:wrapNone/>
            <wp:docPr id="221" name="Picture 2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1"/>
                    <pic:cNvPicPr>
                      <a:picLocks noChangeAspect="1" noChangeArrowheads="1"/>
                    </pic:cNvPicPr>
                  </pic:nvPicPr>
                  <pic:blipFill>
                    <a:blip r:embed="rId228">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-16510</wp:posOffset>
            </wp:positionV>
            <wp:extent cx="8890" cy="17145"/>
            <wp:wrapNone/>
            <wp:docPr id="222" name="Picture 2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2"/>
                    <pic:cNvPicPr>
                      <a:picLocks noChangeAspect="1" noChangeArrowheads="1"/>
                    </pic:cNvPicPr>
                  </pic:nvPicPr>
                  <pic:blipFill>
                    <a:blip r:embed="rId229">
                      <a:extLst>
                        <a:ext uri="{28A0092B-C50C-407E-A947-70E740481C1C}"/>
                      </a:extLst>
                    </a:blip>
                    <a:srcRect/>
                    <a:stretch>
                      <a:fillRect/>
                    </a:stretch>
                  </pic:blipFill>
                  <pic:spPr bwMode="auto">
                    <a:xfrm>
                      <a:off x="0" y="0"/>
                      <a:ext cx="8890" cy="17145"/>
                    </a:xfrm>
                    <a:prstGeom prst="rect">
                      <a:avLst/>
                    </a:prstGeom>
                    <a:noFill/>
                  </pic:spPr>
                </pic:pic>
              </a:graphicData>
            </a:graphic>
          </wp:anchor>
        </w:drawing>
      </w:r>
    </w:p>
    <w:p>
      <w:pPr>
        <w:sectPr>
          <w:pgSz w:w="11900" w:h="16838" w:orient="portrait"/>
          <w:cols w:equalWidth="0" w:num="1">
            <w:col w:w="11260"/>
          </w:cols>
          <w:pgMar w:left="320" w:top="337" w:right="319" w:bottom="1440" w:gutter="0" w:footer="0" w:header="0"/>
        </w:sectPr>
      </w:pPr>
    </w:p>
    <w:bookmarkStart w:id="121" w:name="page122"/>
    <w:bookmarkEnd w:id="121"/>
    <w:p>
      <w:pPr>
        <w:jc w:val="both"/>
        <w:ind w:right="20"/>
        <w:spacing w:after="0" w:line="244" w:lineRule="auto"/>
        <w:rPr>
          <w:sz w:val="20"/>
          <w:szCs w:val="20"/>
          <w:color w:val="auto"/>
        </w:rPr>
      </w:pPr>
      <w:r>
        <w:rPr>
          <w:rFonts w:ascii="Arial" w:cs="Arial" w:eastAsia="Arial" w:hAnsi="Arial"/>
          <w:sz w:val="13"/>
          <w:szCs w:val="13"/>
          <w:color w:val="auto"/>
        </w:rPr>
        <w:t>substantially all of the Collateral or otherwise terminate all or substantially all of the Liens under any Security Document providing for collateral security, agree to additional obligations being secured by all or substantially all of such collateral security, or alter the relative priorities of the obligations entitled to the benefits of the Liens created under the Security Documents with respect to all or substantially all of the Collateral, except that no such consent shall be required, and the Administrative Agent is hereby authorized, (w) to release any Subsidiary Guarantor from its guarantee obligations to the extent it may be released in accordance with Section 10.03 of the Guarantee and Security Agreement, (x) to release any Lien covering property that is the subject of either a disposition of property permitted hereunder or a disposition to which the Required Lenders have consented, (y) for the avoidance of doubt, execute and deliver agreements, instruments and other documents reasonably requested by the Borrower to implement collateral sharing with respect to Secured Longer-Term Indebtedness and Secured Shorter-Term Indebtedness, and (z) following the (i) cancellation or termination of any commitment to extend credit or issue Letters of Credit under this Agreement or any other Loan Document, (ii) final payment and performance in full of all obligations under this Agreement or any other Loan Document so long as all Letters of Credit have expired, been terminated, Cash Collateralized or backstopped and all LC Disbursements have been reimbursed and (iii) termination of this Agreement, to release all Liens and guarantees by Obligors.</w:t>
      </w:r>
    </w:p>
    <w:p>
      <w:pPr>
        <w:spacing w:after="0" w:line="185" w:lineRule="exact"/>
        <w:rPr>
          <w:sz w:val="20"/>
          <w:szCs w:val="20"/>
          <w:color w:val="auto"/>
        </w:rPr>
      </w:pPr>
    </w:p>
    <w:p>
      <w:pPr>
        <w:jc w:val="center"/>
        <w:ind w:right="20"/>
        <w:spacing w:after="0"/>
        <w:rPr>
          <w:sz w:val="20"/>
          <w:szCs w:val="20"/>
          <w:color w:val="auto"/>
        </w:rPr>
      </w:pPr>
      <w:r>
        <w:rPr>
          <w:rFonts w:ascii="Arial" w:cs="Arial" w:eastAsia="Arial" w:hAnsi="Arial"/>
          <w:sz w:val="14"/>
          <w:szCs w:val="14"/>
          <w:color w:val="auto"/>
        </w:rPr>
        <w:t>ARTICLE IX</w:t>
      </w:r>
    </w:p>
    <w:p>
      <w:pPr>
        <w:spacing w:after="0" w:line="136" w:lineRule="exact"/>
        <w:rPr>
          <w:sz w:val="20"/>
          <w:szCs w:val="20"/>
          <w:color w:val="auto"/>
        </w:rPr>
      </w:pPr>
    </w:p>
    <w:p>
      <w:pPr>
        <w:jc w:val="center"/>
        <w:ind w:right="20"/>
        <w:spacing w:after="0"/>
        <w:rPr>
          <w:sz w:val="20"/>
          <w:szCs w:val="20"/>
          <w:color w:val="auto"/>
        </w:rPr>
      </w:pPr>
      <w:r>
        <w:rPr>
          <w:rFonts w:ascii="Arial" w:cs="Arial" w:eastAsia="Arial" w:hAnsi="Arial"/>
          <w:sz w:val="14"/>
          <w:szCs w:val="14"/>
          <w:u w:val="single" w:color="auto"/>
          <w:color w:val="auto"/>
        </w:rPr>
        <w:t>MISCELLANEOUS</w:t>
      </w:r>
    </w:p>
    <w:p>
      <w:pPr>
        <w:spacing w:after="0" w:line="204" w:lineRule="exact"/>
        <w:rPr>
          <w:sz w:val="20"/>
          <w:szCs w:val="20"/>
          <w:color w:val="auto"/>
        </w:rPr>
      </w:pPr>
    </w:p>
    <w:p>
      <w:pPr>
        <w:ind w:left="1740"/>
        <w:spacing w:after="0"/>
        <w:rPr>
          <w:sz w:val="20"/>
          <w:szCs w:val="20"/>
          <w:color w:val="auto"/>
        </w:rPr>
      </w:pPr>
      <w:r>
        <w:rPr>
          <w:rFonts w:ascii="Arial" w:cs="Arial" w:eastAsia="Arial" w:hAnsi="Arial"/>
          <w:sz w:val="14"/>
          <w:szCs w:val="14"/>
          <w:color w:val="auto"/>
        </w:rPr>
        <w:t xml:space="preserve">SECTION 9.01. </w:t>
      </w:r>
      <w:r>
        <w:rPr>
          <w:rFonts w:ascii="Arial" w:cs="Arial" w:eastAsia="Arial" w:hAnsi="Arial"/>
          <w:sz w:val="14"/>
          <w:szCs w:val="14"/>
          <w:u w:val="single" w:color="auto"/>
          <w:color w:val="auto"/>
        </w:rPr>
        <w:t>Notices; Electronic Communications</w:t>
      </w:r>
      <w:r>
        <w:rPr>
          <w:rFonts w:ascii="Arial" w:cs="Arial" w:eastAsia="Arial" w:hAnsi="Arial"/>
          <w:sz w:val="14"/>
          <w:szCs w:val="14"/>
          <w:color w:val="auto"/>
        </w:rPr>
        <w:t>.</w:t>
      </w:r>
    </w:p>
    <w:p>
      <w:pPr>
        <w:spacing w:after="0" w:line="204" w:lineRule="exact"/>
        <w:rPr>
          <w:sz w:val="20"/>
          <w:szCs w:val="20"/>
          <w:color w:val="auto"/>
        </w:rPr>
      </w:pPr>
    </w:p>
    <w:p>
      <w:pPr>
        <w:ind w:right="20" w:firstLine="1735"/>
        <w:spacing w:after="0" w:line="290" w:lineRule="auto"/>
        <w:tabs>
          <w:tab w:leader="none" w:pos="2535" w:val="left"/>
        </w:tabs>
        <w:numPr>
          <w:ilvl w:val="1"/>
          <w:numId w:val="146"/>
        </w:numPr>
        <w:rPr>
          <w:rFonts w:ascii="Arial" w:cs="Arial" w:eastAsia="Arial" w:hAnsi="Arial"/>
          <w:sz w:val="13"/>
          <w:szCs w:val="13"/>
          <w:color w:val="auto"/>
        </w:rPr>
      </w:pPr>
      <w:r>
        <w:rPr>
          <w:rFonts w:ascii="Arial" w:cs="Arial" w:eastAsia="Arial" w:hAnsi="Arial"/>
          <w:sz w:val="13"/>
          <w:szCs w:val="13"/>
          <w:u w:val="single" w:color="auto"/>
          <w:color w:val="auto"/>
        </w:rPr>
        <w:t>Notices Generally</w:t>
      </w:r>
      <w:r>
        <w:rPr>
          <w:rFonts w:ascii="Arial" w:cs="Arial" w:eastAsia="Arial" w:hAnsi="Arial"/>
          <w:sz w:val="13"/>
          <w:szCs w:val="13"/>
          <w:color w:val="auto"/>
        </w:rPr>
        <w:t>. Except in the case of notices and other communications expressly permitted to be given by telephone, all notices and other communications provided for herein shall be in writing and shall be delivered by hand or overnight courier service, mailed by certified or registered mail or sent by telecopy, as follows:</w:t>
      </w:r>
    </w:p>
    <w:p>
      <w:pPr>
        <w:spacing w:after="0" w:line="151" w:lineRule="exact"/>
        <w:rPr>
          <w:rFonts w:ascii="Arial" w:cs="Arial" w:eastAsia="Arial" w:hAnsi="Arial"/>
          <w:sz w:val="13"/>
          <w:szCs w:val="13"/>
          <w:color w:val="auto"/>
        </w:rPr>
      </w:pPr>
    </w:p>
    <w:p>
      <w:pPr>
        <w:ind w:left="2460" w:hanging="791"/>
        <w:spacing w:after="0"/>
        <w:tabs>
          <w:tab w:leader="none" w:pos="2460" w:val="left"/>
        </w:tabs>
        <w:numPr>
          <w:ilvl w:val="0"/>
          <w:numId w:val="147"/>
        </w:numPr>
        <w:rPr>
          <w:rFonts w:ascii="Arial" w:cs="Arial" w:eastAsia="Arial" w:hAnsi="Arial"/>
          <w:sz w:val="14"/>
          <w:szCs w:val="14"/>
          <w:color w:val="auto"/>
        </w:rPr>
      </w:pPr>
      <w:r>
        <w:rPr>
          <w:rFonts w:ascii="Arial" w:cs="Arial" w:eastAsia="Arial" w:hAnsi="Arial"/>
          <w:sz w:val="14"/>
          <w:szCs w:val="14"/>
          <w:color w:val="auto"/>
        </w:rPr>
        <w:t>if to the Borrower, to it at:</w:t>
      </w:r>
    </w:p>
    <w:p>
      <w:pPr>
        <w:spacing w:after="0" w:line="203" w:lineRule="exact"/>
        <w:rPr>
          <w:sz w:val="20"/>
          <w:szCs w:val="20"/>
          <w:color w:val="auto"/>
        </w:rPr>
      </w:pPr>
    </w:p>
    <w:p>
      <w:pPr>
        <w:ind w:left="3460"/>
        <w:spacing w:after="0"/>
        <w:rPr>
          <w:sz w:val="20"/>
          <w:szCs w:val="20"/>
          <w:color w:val="auto"/>
        </w:rPr>
      </w:pPr>
      <w:r>
        <w:rPr>
          <w:rFonts w:ascii="Arial" w:cs="Arial" w:eastAsia="Arial" w:hAnsi="Arial"/>
          <w:sz w:val="14"/>
          <w:szCs w:val="14"/>
          <w:color w:val="auto"/>
        </w:rPr>
        <w:t>PennantPark Investment Corporation</w:t>
      </w:r>
    </w:p>
    <w:p>
      <w:pPr>
        <w:ind w:left="3460"/>
        <w:spacing w:after="0" w:line="221" w:lineRule="auto"/>
        <w:rPr>
          <w:sz w:val="20"/>
          <w:szCs w:val="20"/>
          <w:color w:val="auto"/>
        </w:rPr>
      </w:pPr>
      <w:r>
        <w:rPr>
          <w:rFonts w:ascii="Arial" w:cs="Arial" w:eastAsia="Arial" w:hAnsi="Arial"/>
          <w:sz w:val="14"/>
          <w:szCs w:val="14"/>
          <w:color w:val="auto"/>
        </w:rPr>
        <w:t>590 Madison Avenue, 15</w:t>
      </w:r>
      <w:r>
        <w:rPr>
          <w:rFonts w:ascii="Arial" w:cs="Arial" w:eastAsia="Arial" w:hAnsi="Arial"/>
          <w:sz w:val="12"/>
          <w:szCs w:val="12"/>
          <w:color w:val="auto"/>
        </w:rPr>
        <w:t>th</w:t>
      </w:r>
      <w:r>
        <w:rPr>
          <w:rFonts w:ascii="Arial" w:cs="Arial" w:eastAsia="Arial" w:hAnsi="Arial"/>
          <w:sz w:val="14"/>
          <w:szCs w:val="14"/>
          <w:color w:val="auto"/>
        </w:rPr>
        <w:t xml:space="preserve"> Floor</w:t>
      </w:r>
    </w:p>
    <w:p>
      <w:pPr>
        <w:ind w:left="3460"/>
        <w:spacing w:after="0" w:line="221" w:lineRule="auto"/>
        <w:rPr>
          <w:sz w:val="20"/>
          <w:szCs w:val="20"/>
          <w:color w:val="auto"/>
        </w:rPr>
      </w:pPr>
      <w:r>
        <w:rPr>
          <w:rFonts w:ascii="Arial" w:cs="Arial" w:eastAsia="Arial" w:hAnsi="Arial"/>
          <w:sz w:val="14"/>
          <w:szCs w:val="14"/>
          <w:color w:val="auto"/>
        </w:rPr>
        <w:t>New York, New York 10022</w:t>
      </w:r>
    </w:p>
    <w:p>
      <w:pPr>
        <w:ind w:left="3460"/>
        <w:spacing w:after="0" w:line="222" w:lineRule="auto"/>
        <w:rPr>
          <w:sz w:val="20"/>
          <w:szCs w:val="20"/>
          <w:color w:val="auto"/>
        </w:rPr>
      </w:pPr>
      <w:r>
        <w:rPr>
          <w:rFonts w:ascii="Arial" w:cs="Arial" w:eastAsia="Arial" w:hAnsi="Arial"/>
          <w:sz w:val="14"/>
          <w:szCs w:val="14"/>
          <w:color w:val="auto"/>
        </w:rPr>
        <w:t>Attention: Aviv Efrat, Chief Financial Officer</w:t>
      </w:r>
    </w:p>
    <w:p>
      <w:pPr>
        <w:ind w:left="3460"/>
        <w:spacing w:after="0" w:line="221" w:lineRule="auto"/>
        <w:rPr>
          <w:sz w:val="20"/>
          <w:szCs w:val="20"/>
          <w:color w:val="auto"/>
        </w:rPr>
      </w:pPr>
      <w:r>
        <w:rPr>
          <w:rFonts w:ascii="Arial" w:cs="Arial" w:eastAsia="Arial" w:hAnsi="Arial"/>
          <w:sz w:val="14"/>
          <w:szCs w:val="14"/>
          <w:color w:val="auto"/>
        </w:rPr>
        <w:t>Telecopy Number: (212) 905-1075</w:t>
      </w:r>
    </w:p>
    <w:p>
      <w:pPr>
        <w:ind w:left="3460"/>
        <w:spacing w:after="0"/>
        <w:rPr>
          <w:sz w:val="20"/>
          <w:szCs w:val="20"/>
          <w:color w:val="auto"/>
        </w:rPr>
      </w:pPr>
      <w:r>
        <w:rPr>
          <w:rFonts w:ascii="Arial" w:cs="Arial" w:eastAsia="Arial" w:hAnsi="Arial"/>
          <w:sz w:val="14"/>
          <w:szCs w:val="14"/>
          <w:color w:val="auto"/>
        </w:rPr>
        <w:t>Telephone: (212) 905-1000</w:t>
      </w:r>
    </w:p>
    <w:p>
      <w:pPr>
        <w:spacing w:after="0" w:line="192" w:lineRule="exact"/>
        <w:rPr>
          <w:sz w:val="20"/>
          <w:szCs w:val="20"/>
          <w:color w:val="auto"/>
        </w:rPr>
      </w:pPr>
    </w:p>
    <w:p>
      <w:pPr>
        <w:ind w:left="2500" w:hanging="831"/>
        <w:spacing w:after="0"/>
        <w:tabs>
          <w:tab w:leader="none" w:pos="2500" w:val="left"/>
        </w:tabs>
        <w:numPr>
          <w:ilvl w:val="0"/>
          <w:numId w:val="148"/>
        </w:numPr>
        <w:rPr>
          <w:rFonts w:ascii="Arial" w:cs="Arial" w:eastAsia="Arial" w:hAnsi="Arial"/>
          <w:sz w:val="14"/>
          <w:szCs w:val="14"/>
          <w:color w:val="auto"/>
        </w:rPr>
      </w:pPr>
      <w:r>
        <w:rPr>
          <w:rFonts w:ascii="Arial" w:cs="Arial" w:eastAsia="Arial" w:hAnsi="Arial"/>
          <w:sz w:val="14"/>
          <w:szCs w:val="14"/>
          <w:color w:val="auto"/>
        </w:rPr>
        <w:t>if to the Administrative Agent or Swingline Lender, to it at:</w:t>
      </w:r>
    </w:p>
    <w:p>
      <w:pPr>
        <w:spacing w:after="0" w:line="203" w:lineRule="exact"/>
        <w:rPr>
          <w:sz w:val="20"/>
          <w:szCs w:val="20"/>
          <w:color w:val="auto"/>
        </w:rPr>
      </w:pPr>
    </w:p>
    <w:p>
      <w:pPr>
        <w:ind w:left="3460"/>
        <w:spacing w:after="0"/>
        <w:rPr>
          <w:sz w:val="20"/>
          <w:szCs w:val="20"/>
          <w:color w:val="auto"/>
        </w:rPr>
      </w:pPr>
      <w:r>
        <w:rPr>
          <w:rFonts w:ascii="Arial" w:cs="Arial" w:eastAsia="Arial" w:hAnsi="Arial"/>
          <w:sz w:val="14"/>
          <w:szCs w:val="14"/>
          <w:color w:val="auto"/>
        </w:rPr>
        <w:t>SunTrust Bank</w:t>
      </w:r>
    </w:p>
    <w:p>
      <w:pPr>
        <w:ind w:left="3460"/>
        <w:spacing w:after="0" w:line="221" w:lineRule="auto"/>
        <w:rPr>
          <w:sz w:val="20"/>
          <w:szCs w:val="20"/>
          <w:color w:val="auto"/>
        </w:rPr>
      </w:pPr>
      <w:r>
        <w:rPr>
          <w:rFonts w:ascii="Arial" w:cs="Arial" w:eastAsia="Arial" w:hAnsi="Arial"/>
          <w:sz w:val="14"/>
          <w:szCs w:val="14"/>
          <w:color w:val="auto"/>
        </w:rPr>
        <w:t>3333 Peachtree Road, 7</w:t>
      </w:r>
      <w:r>
        <w:rPr>
          <w:rFonts w:ascii="Arial" w:cs="Arial" w:eastAsia="Arial" w:hAnsi="Arial"/>
          <w:sz w:val="12"/>
          <w:szCs w:val="12"/>
          <w:color w:val="auto"/>
        </w:rPr>
        <w:t>th</w:t>
      </w:r>
      <w:r>
        <w:rPr>
          <w:rFonts w:ascii="Arial" w:cs="Arial" w:eastAsia="Arial" w:hAnsi="Arial"/>
          <w:sz w:val="14"/>
          <w:szCs w:val="14"/>
          <w:color w:val="auto"/>
        </w:rPr>
        <w:t xml:space="preserve"> Floor</w:t>
      </w:r>
    </w:p>
    <w:p>
      <w:pPr>
        <w:ind w:left="3460"/>
        <w:spacing w:after="0" w:line="221" w:lineRule="auto"/>
        <w:rPr>
          <w:sz w:val="20"/>
          <w:szCs w:val="20"/>
          <w:color w:val="auto"/>
        </w:rPr>
      </w:pPr>
      <w:r>
        <w:rPr>
          <w:rFonts w:ascii="Arial" w:cs="Arial" w:eastAsia="Arial" w:hAnsi="Arial"/>
          <w:sz w:val="14"/>
          <w:szCs w:val="14"/>
          <w:color w:val="auto"/>
        </w:rPr>
        <w:t>Atlanta, Georgia 30326</w:t>
      </w:r>
    </w:p>
    <w:p>
      <w:pPr>
        <w:ind w:left="3460"/>
        <w:spacing w:after="0" w:line="222" w:lineRule="auto"/>
        <w:rPr>
          <w:sz w:val="20"/>
          <w:szCs w:val="20"/>
          <w:color w:val="auto"/>
        </w:rPr>
      </w:pPr>
      <w:r>
        <w:rPr>
          <w:rFonts w:ascii="Arial" w:cs="Arial" w:eastAsia="Arial" w:hAnsi="Arial"/>
          <w:sz w:val="14"/>
          <w:szCs w:val="14"/>
          <w:color w:val="auto"/>
        </w:rPr>
        <w:t>Attention: Robert Ashcom</w:t>
      </w:r>
    </w:p>
    <w:p>
      <w:pPr>
        <w:ind w:left="3460"/>
        <w:spacing w:after="0"/>
        <w:rPr>
          <w:sz w:val="20"/>
          <w:szCs w:val="20"/>
          <w:color w:val="auto"/>
        </w:rPr>
      </w:pPr>
      <w:r>
        <w:rPr>
          <w:rFonts w:ascii="Arial" w:cs="Arial" w:eastAsia="Arial" w:hAnsi="Arial"/>
          <w:sz w:val="14"/>
          <w:szCs w:val="14"/>
          <w:color w:val="auto"/>
        </w:rPr>
        <w:t>Telecopy Number: (404) 581-1775</w:t>
      </w:r>
    </w:p>
    <w:p>
      <w:pPr>
        <w:spacing w:after="0" w:line="192" w:lineRule="exact"/>
        <w:rPr>
          <w:sz w:val="20"/>
          <w:szCs w:val="20"/>
          <w:color w:val="auto"/>
        </w:rPr>
      </w:pPr>
    </w:p>
    <w:p>
      <w:pPr>
        <w:ind w:left="3460"/>
        <w:spacing w:after="0"/>
        <w:rPr>
          <w:sz w:val="20"/>
          <w:szCs w:val="20"/>
          <w:color w:val="auto"/>
        </w:rPr>
      </w:pPr>
      <w:r>
        <w:rPr>
          <w:rFonts w:ascii="Arial" w:cs="Arial" w:eastAsia="Arial" w:hAnsi="Arial"/>
          <w:sz w:val="14"/>
          <w:szCs w:val="14"/>
          <w:color w:val="auto"/>
        </w:rPr>
        <w:t>with a copy to:</w:t>
      </w:r>
    </w:p>
    <w:p>
      <w:pPr>
        <w:spacing w:after="0" w:line="203" w:lineRule="exact"/>
        <w:rPr>
          <w:sz w:val="20"/>
          <w:szCs w:val="20"/>
          <w:color w:val="auto"/>
        </w:rPr>
      </w:pPr>
    </w:p>
    <w:p>
      <w:pPr>
        <w:ind w:left="3460"/>
        <w:spacing w:after="0"/>
        <w:rPr>
          <w:sz w:val="20"/>
          <w:szCs w:val="20"/>
          <w:color w:val="auto"/>
        </w:rPr>
      </w:pPr>
      <w:r>
        <w:rPr>
          <w:rFonts w:ascii="Arial" w:cs="Arial" w:eastAsia="Arial" w:hAnsi="Arial"/>
          <w:sz w:val="14"/>
          <w:szCs w:val="14"/>
          <w:color w:val="auto"/>
        </w:rPr>
        <w:t>SunTrust Bank</w:t>
      </w:r>
    </w:p>
    <w:p>
      <w:pPr>
        <w:ind w:left="3460"/>
        <w:spacing w:after="0" w:line="221" w:lineRule="auto"/>
        <w:rPr>
          <w:sz w:val="20"/>
          <w:szCs w:val="20"/>
          <w:color w:val="auto"/>
        </w:rPr>
      </w:pPr>
      <w:r>
        <w:rPr>
          <w:rFonts w:ascii="Arial" w:cs="Arial" w:eastAsia="Arial" w:hAnsi="Arial"/>
          <w:sz w:val="14"/>
          <w:szCs w:val="14"/>
          <w:color w:val="auto"/>
        </w:rPr>
        <w:t>Agency Services</w:t>
      </w:r>
    </w:p>
    <w:p>
      <w:pPr>
        <w:ind w:left="3460"/>
        <w:spacing w:after="0" w:line="221" w:lineRule="auto"/>
        <w:rPr>
          <w:sz w:val="20"/>
          <w:szCs w:val="20"/>
          <w:color w:val="auto"/>
        </w:rPr>
      </w:pPr>
      <w:r>
        <w:rPr>
          <w:rFonts w:ascii="Arial" w:cs="Arial" w:eastAsia="Arial" w:hAnsi="Arial"/>
          <w:sz w:val="14"/>
          <w:szCs w:val="14"/>
          <w:color w:val="auto"/>
        </w:rPr>
        <w:t>3333 Peachtree Road, 7</w:t>
      </w:r>
      <w:r>
        <w:rPr>
          <w:rFonts w:ascii="Arial" w:cs="Arial" w:eastAsia="Arial" w:hAnsi="Arial"/>
          <w:sz w:val="12"/>
          <w:szCs w:val="12"/>
          <w:color w:val="auto"/>
        </w:rPr>
        <w:t>th</w:t>
      </w:r>
      <w:r>
        <w:rPr>
          <w:rFonts w:ascii="Arial" w:cs="Arial" w:eastAsia="Arial" w:hAnsi="Arial"/>
          <w:sz w:val="14"/>
          <w:szCs w:val="14"/>
          <w:color w:val="auto"/>
        </w:rPr>
        <w:t xml:space="preserve"> Floor</w:t>
      </w:r>
    </w:p>
    <w:p>
      <w:pPr>
        <w:ind w:left="3460"/>
        <w:spacing w:after="0" w:line="222" w:lineRule="auto"/>
        <w:rPr>
          <w:sz w:val="20"/>
          <w:szCs w:val="20"/>
          <w:color w:val="auto"/>
        </w:rPr>
      </w:pPr>
      <w:r>
        <w:rPr>
          <w:rFonts w:ascii="Arial" w:cs="Arial" w:eastAsia="Arial" w:hAnsi="Arial"/>
          <w:sz w:val="14"/>
          <w:szCs w:val="14"/>
          <w:color w:val="auto"/>
        </w:rPr>
        <w:t>Atlanta, Georgia 30326</w:t>
      </w:r>
    </w:p>
    <w:p>
      <w:pPr>
        <w:ind w:left="3460"/>
        <w:spacing w:after="0" w:line="221" w:lineRule="auto"/>
        <w:rPr>
          <w:sz w:val="20"/>
          <w:szCs w:val="20"/>
          <w:color w:val="auto"/>
        </w:rPr>
      </w:pPr>
      <w:r>
        <w:rPr>
          <w:rFonts w:ascii="Arial" w:cs="Arial" w:eastAsia="Arial" w:hAnsi="Arial"/>
          <w:sz w:val="14"/>
          <w:szCs w:val="14"/>
          <w:color w:val="auto"/>
        </w:rPr>
        <w:t>Attention: Wanda Gregory</w:t>
      </w:r>
    </w:p>
    <w:p>
      <w:pPr>
        <w:ind w:left="3460"/>
        <w:spacing w:after="0"/>
        <w:rPr>
          <w:sz w:val="20"/>
          <w:szCs w:val="20"/>
          <w:color w:val="auto"/>
        </w:rPr>
      </w:pPr>
      <w:r>
        <w:rPr>
          <w:rFonts w:ascii="Arial" w:cs="Arial" w:eastAsia="Arial" w:hAnsi="Arial"/>
          <w:sz w:val="14"/>
          <w:szCs w:val="14"/>
          <w:color w:val="auto"/>
        </w:rPr>
        <w:t>Telecopy Number: (404) 658-4906</w:t>
      </w:r>
    </w:p>
    <w:p>
      <w:pPr>
        <w:spacing w:after="0" w:line="192" w:lineRule="exact"/>
        <w:rPr>
          <w:sz w:val="20"/>
          <w:szCs w:val="20"/>
          <w:color w:val="auto"/>
        </w:rPr>
      </w:pPr>
    </w:p>
    <w:p>
      <w:pPr>
        <w:ind w:left="2540" w:hanging="871"/>
        <w:spacing w:after="0"/>
        <w:tabs>
          <w:tab w:leader="none" w:pos="2540" w:val="left"/>
        </w:tabs>
        <w:numPr>
          <w:ilvl w:val="0"/>
          <w:numId w:val="149"/>
        </w:numPr>
        <w:rPr>
          <w:rFonts w:ascii="Arial" w:cs="Arial" w:eastAsia="Arial" w:hAnsi="Arial"/>
          <w:sz w:val="14"/>
          <w:szCs w:val="14"/>
          <w:color w:val="auto"/>
        </w:rPr>
      </w:pPr>
      <w:r>
        <w:rPr>
          <w:rFonts w:ascii="Arial" w:cs="Arial" w:eastAsia="Arial" w:hAnsi="Arial"/>
          <w:sz w:val="14"/>
          <w:szCs w:val="14"/>
          <w:color w:val="auto"/>
        </w:rPr>
        <w:t>if to the Issuing Bank, to it at:</w:t>
      </w:r>
    </w:p>
    <w:p>
      <w:pPr>
        <w:spacing w:after="0" w:line="203" w:lineRule="exact"/>
        <w:rPr>
          <w:sz w:val="20"/>
          <w:szCs w:val="20"/>
          <w:color w:val="auto"/>
        </w:rPr>
      </w:pPr>
    </w:p>
    <w:p>
      <w:pPr>
        <w:ind w:left="3460"/>
        <w:spacing w:after="0"/>
        <w:rPr>
          <w:sz w:val="20"/>
          <w:szCs w:val="20"/>
          <w:color w:val="auto"/>
        </w:rPr>
      </w:pPr>
      <w:r>
        <w:rPr>
          <w:rFonts w:ascii="Arial" w:cs="Arial" w:eastAsia="Arial" w:hAnsi="Arial"/>
          <w:sz w:val="14"/>
          <w:szCs w:val="14"/>
          <w:color w:val="auto"/>
        </w:rPr>
        <w:t>SunTrust Bank</w:t>
      </w:r>
    </w:p>
    <w:p>
      <w:pPr>
        <w:ind w:left="3460"/>
        <w:spacing w:after="0" w:line="221" w:lineRule="auto"/>
        <w:rPr>
          <w:sz w:val="20"/>
          <w:szCs w:val="20"/>
          <w:color w:val="auto"/>
        </w:rPr>
      </w:pPr>
      <w:r>
        <w:rPr>
          <w:rFonts w:ascii="Arial" w:cs="Arial" w:eastAsia="Arial" w:hAnsi="Arial"/>
          <w:sz w:val="14"/>
          <w:szCs w:val="14"/>
          <w:color w:val="auto"/>
        </w:rPr>
        <w:t>3333 Peachtree Road, 7</w:t>
      </w:r>
      <w:r>
        <w:rPr>
          <w:rFonts w:ascii="Arial" w:cs="Arial" w:eastAsia="Arial" w:hAnsi="Arial"/>
          <w:sz w:val="12"/>
          <w:szCs w:val="12"/>
          <w:color w:val="auto"/>
        </w:rPr>
        <w:t>th</w:t>
      </w:r>
      <w:r>
        <w:rPr>
          <w:rFonts w:ascii="Arial" w:cs="Arial" w:eastAsia="Arial" w:hAnsi="Arial"/>
          <w:sz w:val="14"/>
          <w:szCs w:val="14"/>
          <w:color w:val="auto"/>
        </w:rPr>
        <w:t xml:space="preserve"> Floor</w:t>
      </w:r>
    </w:p>
    <w:p>
      <w:pPr>
        <w:ind w:left="3460"/>
        <w:spacing w:after="0" w:line="221" w:lineRule="auto"/>
        <w:rPr>
          <w:sz w:val="20"/>
          <w:szCs w:val="20"/>
          <w:color w:val="auto"/>
        </w:rPr>
      </w:pPr>
      <w:r>
        <w:rPr>
          <w:rFonts w:ascii="Arial" w:cs="Arial" w:eastAsia="Arial" w:hAnsi="Arial"/>
          <w:sz w:val="14"/>
          <w:szCs w:val="14"/>
          <w:color w:val="auto"/>
        </w:rPr>
        <w:t>Atlanta, Georgia 30326</w:t>
      </w:r>
    </w:p>
    <w:p>
      <w:pPr>
        <w:ind w:left="3460"/>
        <w:spacing w:after="0" w:line="222" w:lineRule="auto"/>
        <w:rPr>
          <w:sz w:val="20"/>
          <w:szCs w:val="20"/>
          <w:color w:val="auto"/>
        </w:rPr>
      </w:pPr>
      <w:r>
        <w:rPr>
          <w:rFonts w:ascii="Arial" w:cs="Arial" w:eastAsia="Arial" w:hAnsi="Arial"/>
          <w:sz w:val="14"/>
          <w:szCs w:val="14"/>
          <w:color w:val="auto"/>
        </w:rPr>
        <w:t>Attention: Wanda Gregory</w:t>
      </w:r>
    </w:p>
    <w:p>
      <w:pPr>
        <w:ind w:left="3460"/>
        <w:spacing w:after="0"/>
        <w:rPr>
          <w:sz w:val="20"/>
          <w:szCs w:val="20"/>
          <w:color w:val="auto"/>
        </w:rPr>
      </w:pPr>
      <w:r>
        <w:rPr>
          <w:rFonts w:ascii="Arial" w:cs="Arial" w:eastAsia="Arial" w:hAnsi="Arial"/>
          <w:sz w:val="14"/>
          <w:szCs w:val="14"/>
          <w:color w:val="auto"/>
        </w:rPr>
        <w:t>Telecopy Number: (404) 658-4906</w:t>
      </w:r>
    </w:p>
    <w:p>
      <w:pPr>
        <w:spacing w:after="0" w:line="192" w:lineRule="exact"/>
        <w:rPr>
          <w:sz w:val="20"/>
          <w:szCs w:val="20"/>
          <w:color w:val="auto"/>
        </w:rPr>
      </w:pPr>
    </w:p>
    <w:p>
      <w:pPr>
        <w:ind w:left="2520" w:hanging="851"/>
        <w:spacing w:after="0"/>
        <w:tabs>
          <w:tab w:leader="none" w:pos="2520" w:val="left"/>
        </w:tabs>
        <w:numPr>
          <w:ilvl w:val="0"/>
          <w:numId w:val="150"/>
        </w:numPr>
        <w:rPr>
          <w:rFonts w:ascii="Arial" w:cs="Arial" w:eastAsia="Arial" w:hAnsi="Arial"/>
          <w:sz w:val="14"/>
          <w:szCs w:val="14"/>
          <w:color w:val="auto"/>
        </w:rPr>
      </w:pPr>
      <w:r>
        <w:rPr>
          <w:rFonts w:ascii="Arial" w:cs="Arial" w:eastAsia="Arial" w:hAnsi="Arial"/>
          <w:sz w:val="14"/>
          <w:szCs w:val="14"/>
          <w:color w:val="auto"/>
        </w:rPr>
        <w:t>if to any other Lender, to it at its address (or telecopy number) set forth in its Administrative Questionnaire.</w:t>
      </w:r>
    </w:p>
    <w:p>
      <w:pPr>
        <w:spacing w:after="0" w:line="204" w:lineRule="exact"/>
        <w:rPr>
          <w:sz w:val="20"/>
          <w:szCs w:val="20"/>
          <w:color w:val="auto"/>
        </w:rPr>
      </w:pPr>
    </w:p>
    <w:p>
      <w:pPr>
        <w:jc w:val="both"/>
        <w:ind w:right="20" w:firstLine="1727"/>
        <w:spacing w:after="0" w:line="238" w:lineRule="auto"/>
        <w:rPr>
          <w:sz w:val="20"/>
          <w:szCs w:val="20"/>
          <w:color w:val="auto"/>
        </w:rPr>
      </w:pPr>
      <w:r>
        <w:rPr>
          <w:rFonts w:ascii="Arial" w:cs="Arial" w:eastAsia="Arial" w:hAnsi="Arial"/>
          <w:sz w:val="14"/>
          <w:szCs w:val="14"/>
          <w:color w:val="auto"/>
        </w:rPr>
        <w:t xml:space="preserve">Any party hereto may change its address or telecopy number for notices and other communications hereunder by notice to the other parties hereto All notices and other communications given to any party hereto in accordance with the provisions of this Agreement shall be deemed to have been given on the date of receipt. Notices delivered through electronic communications to the extent provided in </w:t>
      </w:r>
      <w:r>
        <w:rPr>
          <w:rFonts w:ascii="Arial" w:cs="Arial" w:eastAsia="Arial" w:hAnsi="Arial"/>
          <w:sz w:val="14"/>
          <w:szCs w:val="14"/>
          <w:u w:val="single" w:color="auto"/>
          <w:color w:val="auto"/>
        </w:rPr>
        <w:t>paragraph (b)</w:t>
      </w:r>
      <w:r>
        <w:rPr>
          <w:rFonts w:ascii="Arial" w:cs="Arial" w:eastAsia="Arial" w:hAnsi="Arial"/>
          <w:sz w:val="14"/>
          <w:szCs w:val="14"/>
          <w:color w:val="auto"/>
        </w:rPr>
        <w:t xml:space="preserve"> below, shall be effective as provided in said </w:t>
      </w:r>
      <w:r>
        <w:rPr>
          <w:rFonts w:ascii="Arial" w:cs="Arial" w:eastAsia="Arial" w:hAnsi="Arial"/>
          <w:sz w:val="14"/>
          <w:szCs w:val="14"/>
          <w:u w:val="single" w:color="auto"/>
          <w:color w:val="auto"/>
        </w:rPr>
        <w:t>paragraph (b)</w:t>
      </w:r>
      <w:r>
        <w:rPr>
          <w:rFonts w:ascii="Arial" w:cs="Arial" w:eastAsia="Arial" w:hAnsi="Arial"/>
          <w:sz w:val="14"/>
          <w:szCs w:val="14"/>
          <w:color w:val="auto"/>
        </w:rPr>
        <w:t>.</w:t>
      </w:r>
    </w:p>
    <w:p>
      <w:pPr>
        <w:spacing w:after="0" w:line="200" w:lineRule="exact"/>
        <w:rPr>
          <w:sz w:val="20"/>
          <w:szCs w:val="20"/>
          <w:color w:val="auto"/>
        </w:rPr>
      </w:pPr>
    </w:p>
    <w:p>
      <w:pPr>
        <w:spacing w:after="0" w:line="200" w:lineRule="exact"/>
        <w:rPr>
          <w:sz w:val="20"/>
          <w:szCs w:val="20"/>
          <w:color w:val="auto"/>
        </w:rPr>
      </w:pPr>
    </w:p>
    <w:p>
      <w:pPr>
        <w:spacing w:after="0" w:line="20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7580" w:type="dxa"/>
            <w:vAlign w:val="bottom"/>
          </w:tcPr>
          <w:p>
            <w:pPr>
              <w:jc w:val="right"/>
              <w:ind w:right="1808"/>
              <w:spacing w:after="0"/>
              <w:rPr>
                <w:sz w:val="20"/>
                <w:szCs w:val="20"/>
                <w:color w:val="auto"/>
              </w:rPr>
            </w:pPr>
            <w:r>
              <w:rPr>
                <w:rFonts w:ascii="Arial" w:cs="Arial" w:eastAsia="Arial" w:hAnsi="Arial"/>
                <w:sz w:val="14"/>
                <w:szCs w:val="14"/>
                <w:color w:val="auto"/>
              </w:rPr>
              <w:t>59</w:t>
            </w:r>
          </w:p>
        </w:tc>
        <w:tc>
          <w:tcPr>
            <w:tcW w:w="3680" w:type="dxa"/>
            <w:vAlign w:val="bottom"/>
          </w:tcPr>
          <w:p>
            <w:pPr>
              <w:jc w:val="right"/>
              <w:spacing w:after="0"/>
              <w:rPr>
                <w:sz w:val="20"/>
                <w:szCs w:val="20"/>
                <w:color w:val="auto"/>
              </w:rPr>
            </w:pPr>
            <w:r>
              <w:rPr>
                <w:rFonts w:ascii="Arial" w:cs="Arial" w:eastAsia="Arial" w:hAnsi="Arial"/>
                <w:sz w:val="14"/>
                <w:szCs w:val="14"/>
                <w:i w:val="1"/>
                <w:iCs w:val="1"/>
                <w:color w:val="auto"/>
              </w:rPr>
              <w:t>Second Amended and Restated</w:t>
            </w:r>
          </w:p>
        </w:tc>
      </w:tr>
      <w:tr>
        <w:trPr>
          <w:trHeight w:val="182"/>
        </w:trPr>
        <w:tc>
          <w:tcPr>
            <w:tcW w:w="7580" w:type="dxa"/>
            <w:vAlign w:val="bottom"/>
          </w:tcPr>
          <w:p>
            <w:pPr>
              <w:spacing w:after="0"/>
              <w:rPr>
                <w:sz w:val="15"/>
                <w:szCs w:val="15"/>
                <w:color w:val="auto"/>
              </w:rPr>
            </w:pPr>
          </w:p>
        </w:tc>
        <w:tc>
          <w:tcPr>
            <w:tcW w:w="3680" w:type="dxa"/>
            <w:vAlign w:val="bottom"/>
          </w:tcPr>
          <w:p>
            <w:pPr>
              <w:jc w:val="right"/>
              <w:spacing w:after="0"/>
              <w:rPr>
                <w:sz w:val="20"/>
                <w:szCs w:val="20"/>
                <w:color w:val="auto"/>
              </w:rPr>
            </w:pPr>
            <w:r>
              <w:rPr>
                <w:rFonts w:ascii="Arial" w:cs="Arial" w:eastAsia="Arial" w:hAnsi="Arial"/>
                <w:sz w:val="14"/>
                <w:szCs w:val="14"/>
                <w:i w:val="1"/>
                <w:iCs w:val="1"/>
                <w:color w:val="auto"/>
              </w:rPr>
              <w:t>Revolving Credit Agreement</w:t>
            </w:r>
          </w:p>
        </w:tc>
      </w:tr>
      <w:tr>
        <w:trPr>
          <w:trHeight w:val="316"/>
        </w:trPr>
        <w:tc>
          <w:tcPr>
            <w:tcW w:w="7580" w:type="dxa"/>
            <w:vAlign w:val="bottom"/>
            <w:tcBorders>
              <w:bottom w:val="single" w:sz="8" w:color="9A9A9A"/>
            </w:tcBorders>
          </w:tcPr>
          <w:p>
            <w:pPr>
              <w:spacing w:after="0"/>
              <w:rPr>
                <w:sz w:val="24"/>
                <w:szCs w:val="24"/>
                <w:color w:val="auto"/>
              </w:rPr>
            </w:pPr>
          </w:p>
        </w:tc>
        <w:tc>
          <w:tcPr>
            <w:tcW w:w="368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7145655</wp:posOffset>
            </wp:positionH>
            <wp:positionV relativeFrom="paragraph">
              <wp:posOffset>-8255</wp:posOffset>
            </wp:positionV>
            <wp:extent cx="8255" cy="8890"/>
            <wp:wrapNone/>
            <wp:docPr id="223" name="Picture 2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3"/>
                    <pic:cNvPicPr>
                      <a:picLocks noChangeAspect="1" noChangeArrowheads="1"/>
                    </pic:cNvPicPr>
                  </pic:nvPicPr>
                  <pic:blipFill>
                    <a:blip r:embed="rId230">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-16510</wp:posOffset>
            </wp:positionV>
            <wp:extent cx="8890" cy="17145"/>
            <wp:wrapNone/>
            <wp:docPr id="224" name="Picture 2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4"/>
                    <pic:cNvPicPr>
                      <a:picLocks noChangeAspect="1" noChangeArrowheads="1"/>
                    </pic:cNvPicPr>
                  </pic:nvPicPr>
                  <pic:blipFill>
                    <a:blip r:embed="rId231">
                      <a:extLst>
                        <a:ext uri="{28A0092B-C50C-407E-A947-70E740481C1C}"/>
                      </a:extLst>
                    </a:blip>
                    <a:srcRect/>
                    <a:stretch>
                      <a:fillRect/>
                    </a:stretch>
                  </pic:blipFill>
                  <pic:spPr bwMode="auto">
                    <a:xfrm>
                      <a:off x="0" y="0"/>
                      <a:ext cx="8890" cy="17145"/>
                    </a:xfrm>
                    <a:prstGeom prst="rect">
                      <a:avLst/>
                    </a:prstGeom>
                    <a:noFill/>
                  </pic:spPr>
                </pic:pic>
              </a:graphicData>
            </a:graphic>
          </wp:anchor>
        </w:drawing>
      </w:r>
    </w:p>
    <w:p>
      <w:pPr>
        <w:sectPr>
          <w:pgSz w:w="11900" w:h="16838" w:orient="portrait"/>
          <w:cols w:equalWidth="0" w:num="1">
            <w:col w:w="11260"/>
          </w:cols>
          <w:pgMar w:left="320" w:top="337" w:right="319" w:bottom="1440" w:gutter="0" w:footer="0" w:header="0"/>
        </w:sectPr>
      </w:pPr>
    </w:p>
    <w:bookmarkStart w:id="122" w:name="page123"/>
    <w:bookmarkEnd w:id="122"/>
    <w:p>
      <w:pPr>
        <w:jc w:val="both"/>
        <w:ind w:right="20" w:firstLine="1735"/>
        <w:spacing w:after="0" w:line="251" w:lineRule="auto"/>
        <w:tabs>
          <w:tab w:leader="none" w:pos="2543" w:val="left"/>
        </w:tabs>
        <w:numPr>
          <w:ilvl w:val="0"/>
          <w:numId w:val="151"/>
        </w:numPr>
        <w:rPr>
          <w:rFonts w:ascii="Arial" w:cs="Arial" w:eastAsia="Arial" w:hAnsi="Arial"/>
          <w:sz w:val="13"/>
          <w:szCs w:val="13"/>
          <w:color w:val="auto"/>
        </w:rPr>
      </w:pPr>
      <w:r>
        <w:rPr>
          <w:rFonts w:ascii="Arial" w:cs="Arial" w:eastAsia="Arial" w:hAnsi="Arial"/>
          <w:sz w:val="13"/>
          <w:szCs w:val="13"/>
          <w:u w:val="single" w:color="auto"/>
          <w:color w:val="auto"/>
        </w:rPr>
        <w:t>Electronic Communications</w:t>
      </w:r>
      <w:r>
        <w:rPr>
          <w:rFonts w:ascii="Arial" w:cs="Arial" w:eastAsia="Arial" w:hAnsi="Arial"/>
          <w:sz w:val="13"/>
          <w:szCs w:val="13"/>
          <w:color w:val="auto"/>
        </w:rPr>
        <w:t xml:space="preserve">. Notices and other communications to the Lenders and the Issuing Bank hereunder may be delivered or furnished by electronic communication (including e-mail and Internet or intranet websites) pursuant to procedures approved by the Administrative Agent; </w:t>
      </w:r>
      <w:r>
        <w:rPr>
          <w:rFonts w:ascii="Arial" w:cs="Arial" w:eastAsia="Arial" w:hAnsi="Arial"/>
          <w:sz w:val="13"/>
          <w:szCs w:val="13"/>
          <w:u w:val="single" w:color="auto"/>
          <w:color w:val="auto"/>
        </w:rPr>
        <w:t>provided</w:t>
      </w:r>
      <w:r>
        <w:rPr>
          <w:rFonts w:ascii="Arial" w:cs="Arial" w:eastAsia="Arial" w:hAnsi="Arial"/>
          <w:sz w:val="13"/>
          <w:szCs w:val="13"/>
          <w:color w:val="auto"/>
        </w:rPr>
        <w:t xml:space="preserve"> that the foregoing shall not apply to notices to any Lender or the Issuing Bank pursuant to </w:t>
      </w:r>
      <w:r>
        <w:rPr>
          <w:rFonts w:ascii="Arial" w:cs="Arial" w:eastAsia="Arial" w:hAnsi="Arial"/>
          <w:sz w:val="13"/>
          <w:szCs w:val="13"/>
          <w:u w:val="single" w:color="auto"/>
          <w:color w:val="auto"/>
        </w:rPr>
        <w:t>Section 2.06</w:t>
      </w:r>
      <w:r>
        <w:rPr>
          <w:rFonts w:ascii="Arial" w:cs="Arial" w:eastAsia="Arial" w:hAnsi="Arial"/>
          <w:sz w:val="13"/>
          <w:szCs w:val="13"/>
          <w:color w:val="auto"/>
        </w:rPr>
        <w:t xml:space="preserve"> if such Lender or the Issuing Bank, as applicable, has notified the Administrative Agent that it is incapable of receiving notices under such Article by electronic communication. The Administrative Agent or the Borrower may, in its discretion, agree to accept notices and other communications to it hereunder by electronic communications pursuant to procedures approved by it; </w:t>
      </w:r>
      <w:r>
        <w:rPr>
          <w:rFonts w:ascii="Arial" w:cs="Arial" w:eastAsia="Arial" w:hAnsi="Arial"/>
          <w:sz w:val="13"/>
          <w:szCs w:val="13"/>
          <w:u w:val="single" w:color="auto"/>
          <w:color w:val="auto"/>
        </w:rPr>
        <w:t>provided</w:t>
      </w:r>
      <w:r>
        <w:rPr>
          <w:rFonts w:ascii="Arial" w:cs="Arial" w:eastAsia="Arial" w:hAnsi="Arial"/>
          <w:sz w:val="13"/>
          <w:szCs w:val="13"/>
          <w:color w:val="auto"/>
        </w:rPr>
        <w:t xml:space="preserve"> that approval of such procedures may be limited to particular notices or communications.</w:t>
      </w:r>
    </w:p>
    <w:p>
      <w:pPr>
        <w:spacing w:after="0" w:line="177" w:lineRule="exact"/>
        <w:rPr>
          <w:sz w:val="20"/>
          <w:szCs w:val="20"/>
          <w:color w:val="auto"/>
        </w:rPr>
      </w:pPr>
    </w:p>
    <w:p>
      <w:pPr>
        <w:jc w:val="both"/>
        <w:ind w:right="20" w:firstLine="1735"/>
        <w:spacing w:after="0" w:line="243" w:lineRule="auto"/>
        <w:tabs>
          <w:tab w:leader="none" w:pos="1918" w:val="left"/>
        </w:tabs>
        <w:numPr>
          <w:ilvl w:val="1"/>
          <w:numId w:val="152"/>
        </w:numPr>
        <w:rPr>
          <w:rFonts w:ascii="Arial" w:cs="Arial" w:eastAsia="Arial" w:hAnsi="Arial"/>
          <w:sz w:val="13"/>
          <w:szCs w:val="13"/>
          <w:color w:val="auto"/>
        </w:rPr>
      </w:pPr>
      <w:r>
        <w:rPr>
          <w:rFonts w:ascii="Arial" w:cs="Arial" w:eastAsia="Arial" w:hAnsi="Arial"/>
          <w:sz w:val="13"/>
          <w:szCs w:val="13"/>
          <w:color w:val="auto"/>
        </w:rPr>
        <w:t xml:space="preserve">Notices and other communications sent to an e-mail address shall be deemed received upon the sender’s receipt of an acknowledgement from the intended recipient (such as by the “return receipt requested” function, as available, return e-mail or other written acknowledgement); </w:t>
      </w:r>
      <w:r>
        <w:rPr>
          <w:rFonts w:ascii="Arial" w:cs="Arial" w:eastAsia="Arial" w:hAnsi="Arial"/>
          <w:sz w:val="13"/>
          <w:szCs w:val="13"/>
          <w:u w:val="single" w:color="auto"/>
          <w:color w:val="auto"/>
        </w:rPr>
        <w:t>provided</w:t>
      </w:r>
      <w:r>
        <w:rPr>
          <w:rFonts w:ascii="Arial" w:cs="Arial" w:eastAsia="Arial" w:hAnsi="Arial"/>
          <w:sz w:val="13"/>
          <w:szCs w:val="13"/>
          <w:color w:val="auto"/>
        </w:rPr>
        <w:t xml:space="preserve"> that if such notice or other communication is not sent during the normal business hours of the recipient, such notice or communication shall be deemed to have been sent at the opening of business on the next Business Day for the recipient, and (ii) notices or communications posted to an Internet or intranet website shall be deemed received upon the deemed receipt by the intended recipient at its e-mail address as described in the foregoing </w:t>
      </w:r>
      <w:r>
        <w:rPr>
          <w:rFonts w:ascii="Arial" w:cs="Arial" w:eastAsia="Arial" w:hAnsi="Arial"/>
          <w:sz w:val="13"/>
          <w:szCs w:val="13"/>
          <w:u w:val="single" w:color="auto"/>
          <w:color w:val="auto"/>
        </w:rPr>
        <w:t>clause</w:t>
      </w:r>
    </w:p>
    <w:p>
      <w:pPr>
        <w:ind w:left="180" w:hanging="172"/>
        <w:spacing w:after="0"/>
        <w:tabs>
          <w:tab w:leader="none" w:pos="180" w:val="left"/>
        </w:tabs>
        <w:numPr>
          <w:ilvl w:val="0"/>
          <w:numId w:val="153"/>
        </w:numPr>
        <w:rPr>
          <w:rFonts w:ascii="Arial" w:cs="Arial" w:eastAsia="Arial" w:hAnsi="Arial"/>
          <w:sz w:val="14"/>
          <w:szCs w:val="14"/>
          <w:u w:val="single" w:color="auto"/>
          <w:color w:val="auto"/>
        </w:rPr>
      </w:pPr>
      <w:r>
        <w:rPr>
          <w:rFonts w:ascii="Arial" w:cs="Arial" w:eastAsia="Arial" w:hAnsi="Arial"/>
          <w:sz w:val="14"/>
          <w:szCs w:val="14"/>
          <w:color w:val="auto"/>
        </w:rPr>
        <w:t>of notification that such notice or communication is available and identifying the website address therefor.</w:t>
      </w:r>
    </w:p>
    <w:p>
      <w:pPr>
        <w:spacing w:after="0" w:line="192" w:lineRule="exact"/>
        <w:rPr>
          <w:sz w:val="20"/>
          <w:szCs w:val="20"/>
          <w:color w:val="auto"/>
        </w:rPr>
      </w:pPr>
    </w:p>
    <w:p>
      <w:pPr>
        <w:jc w:val="both"/>
        <w:ind w:right="20" w:firstLine="1727"/>
        <w:spacing w:after="0" w:line="227" w:lineRule="auto"/>
        <w:rPr>
          <w:sz w:val="20"/>
          <w:szCs w:val="20"/>
          <w:color w:val="auto"/>
        </w:rPr>
      </w:pPr>
      <w:r>
        <w:rPr>
          <w:rFonts w:ascii="Arial" w:cs="Arial" w:eastAsia="Arial" w:hAnsi="Arial"/>
          <w:sz w:val="14"/>
          <w:szCs w:val="14"/>
          <w:color w:val="auto"/>
        </w:rPr>
        <w:t>Each party hereto understands that the distribution of material through an electronic medium is not necessarily secure and that there are confidentiality and other risks associated with such distribution and agrees and assumes the risks associated with such electronic distribution, except to the extent caused by the willful misconduct or gross negligence of Administrative Agent, any Lender or their respective Related Parties, as determined by a final, non-appealable judgment of a court of competent jurisdiction. The Platform and any electronic communications media approved by the Administrative Agent as provided herein are provided “as is” and “as available”. None of the Administrative Agent or its Related Parties warrant the accuracy, adequacy, or completeness of such media or the Platform and each expressly disclaims liability for errors or omissions in the Platform and such media. No warranty of any kind, express, implied or statutory, including any warranty of merchantability, fitness for a particular purpose, non-infringement of third party rights or freedom from viruses or other code defects is made by the Administrative Agent and any of its Related Parties in connection with the Platform or the electronic communications media approved by the Administrative Agent as provided for herein.</w:t>
      </w:r>
    </w:p>
    <w:p>
      <w:pPr>
        <w:spacing w:after="0" w:line="186" w:lineRule="exact"/>
        <w:rPr>
          <w:sz w:val="20"/>
          <w:szCs w:val="20"/>
          <w:color w:val="auto"/>
        </w:rPr>
      </w:pPr>
    </w:p>
    <w:p>
      <w:pPr>
        <w:jc w:val="both"/>
        <w:ind w:right="20" w:firstLine="1735"/>
        <w:spacing w:after="0" w:line="228" w:lineRule="auto"/>
        <w:tabs>
          <w:tab w:leader="none" w:pos="2535" w:val="left"/>
        </w:tabs>
        <w:numPr>
          <w:ilvl w:val="0"/>
          <w:numId w:val="154"/>
        </w:numPr>
        <w:rPr>
          <w:rFonts w:ascii="Arial" w:cs="Arial" w:eastAsia="Arial" w:hAnsi="Arial"/>
          <w:sz w:val="14"/>
          <w:szCs w:val="14"/>
          <w:color w:val="auto"/>
        </w:rPr>
      </w:pPr>
      <w:r>
        <w:rPr>
          <w:rFonts w:ascii="Arial" w:cs="Arial" w:eastAsia="Arial" w:hAnsi="Arial"/>
          <w:sz w:val="14"/>
          <w:szCs w:val="14"/>
          <w:u w:val="single" w:color="auto"/>
          <w:color w:val="auto"/>
        </w:rPr>
        <w:t>Private Side Information Contacts</w:t>
      </w:r>
      <w:r>
        <w:rPr>
          <w:rFonts w:ascii="Arial" w:cs="Arial" w:eastAsia="Arial" w:hAnsi="Arial"/>
          <w:sz w:val="14"/>
          <w:szCs w:val="14"/>
          <w:color w:val="auto"/>
        </w:rPr>
        <w:t>. Each Public Lender agrees to cause at least one individual at or on behalf of such Public Lender to at all times have selected the “Private Side Information” or similar designation on the content declaration screen of the Platform in order to enable such Public Lender or its delegate, in accordance with such Public Lender’s compliance procedures and applicable law, including United States federal and state securities laws, to make reference to information that is not made available through the “Public Side Information” portion of the Platform and that may contain Non-Public Information with respect to the Borrower, its Subsidiaries or their Securities for purposes of United States federal or state securities laws. In the event that any Public Lender has determined for itself to not access any information disclosed through the Platform or otherwise, such Public Lender acknowledges that (i) other Lenders may have availed themselves of such information and (ii) neither Borrower nor Administrative Agent has any responsibility for such Public Lender’s decision to limit the scope of the information it has obtained in connection with this Agreement and the other Loan Documents.</w:t>
      </w:r>
    </w:p>
    <w:p>
      <w:pPr>
        <w:spacing w:after="0" w:line="184" w:lineRule="exact"/>
        <w:rPr>
          <w:rFonts w:ascii="Arial" w:cs="Arial" w:eastAsia="Arial" w:hAnsi="Arial"/>
          <w:sz w:val="14"/>
          <w:szCs w:val="14"/>
          <w:color w:val="auto"/>
        </w:rPr>
      </w:pPr>
    </w:p>
    <w:p>
      <w:pPr>
        <w:jc w:val="both"/>
        <w:ind w:right="20" w:firstLine="1735"/>
        <w:spacing w:after="0" w:line="233" w:lineRule="auto"/>
        <w:tabs>
          <w:tab w:leader="none" w:pos="2543" w:val="left"/>
        </w:tabs>
        <w:numPr>
          <w:ilvl w:val="0"/>
          <w:numId w:val="154"/>
        </w:numPr>
        <w:rPr>
          <w:rFonts w:ascii="Arial" w:cs="Arial" w:eastAsia="Arial" w:hAnsi="Arial"/>
          <w:sz w:val="14"/>
          <w:szCs w:val="14"/>
          <w:color w:val="auto"/>
        </w:rPr>
      </w:pPr>
      <w:r>
        <w:rPr>
          <w:rFonts w:ascii="Arial" w:cs="Arial" w:eastAsia="Arial" w:hAnsi="Arial"/>
          <w:sz w:val="14"/>
          <w:szCs w:val="14"/>
          <w:u w:val="single" w:color="auto"/>
          <w:color w:val="auto"/>
        </w:rPr>
        <w:t>Documents to be Delivered under Sections 5.01 and 5.12(a)</w:t>
      </w:r>
      <w:r>
        <w:rPr>
          <w:rFonts w:ascii="Arial" w:cs="Arial" w:eastAsia="Arial" w:hAnsi="Arial"/>
          <w:sz w:val="14"/>
          <w:szCs w:val="14"/>
          <w:color w:val="auto"/>
        </w:rPr>
        <w:t xml:space="preserve">. For so long as an Intralinks™ or equivalent website is available to each of the Lenders hereunder, the Borrower may satisfy its obligation to deliver documents to the Administrative Agent or the Lenders under </w:t>
      </w:r>
      <w:r>
        <w:rPr>
          <w:rFonts w:ascii="Arial" w:cs="Arial" w:eastAsia="Arial" w:hAnsi="Arial"/>
          <w:sz w:val="14"/>
          <w:szCs w:val="14"/>
          <w:u w:val="single" w:color="auto"/>
          <w:color w:val="auto"/>
        </w:rPr>
        <w:t>Sections 5.01</w:t>
      </w:r>
      <w:r>
        <w:rPr>
          <w:rFonts w:ascii="Arial" w:cs="Arial" w:eastAsia="Arial" w:hAnsi="Arial"/>
          <w:sz w:val="14"/>
          <w:szCs w:val="14"/>
          <w:color w:val="auto"/>
        </w:rPr>
        <w:t xml:space="preserve"> and </w:t>
      </w:r>
      <w:r>
        <w:rPr>
          <w:rFonts w:ascii="Arial" w:cs="Arial" w:eastAsia="Arial" w:hAnsi="Arial"/>
          <w:sz w:val="14"/>
          <w:szCs w:val="14"/>
          <w:u w:val="single" w:color="auto"/>
          <w:color w:val="auto"/>
        </w:rPr>
        <w:t>5.12(a)</w:t>
      </w:r>
      <w:r>
        <w:rPr>
          <w:rFonts w:ascii="Arial" w:cs="Arial" w:eastAsia="Arial" w:hAnsi="Arial"/>
          <w:sz w:val="14"/>
          <w:szCs w:val="14"/>
          <w:color w:val="auto"/>
        </w:rPr>
        <w:t xml:space="preserve"> by delivering one hard copy thereof to the Administrative Agent and either an electronic copy or a notice identifying the website where such information is located for posting by the Administrative Agent on Intralinks™ or such equivalent website; </w:t>
      </w:r>
      <w:r>
        <w:rPr>
          <w:rFonts w:ascii="Arial" w:cs="Arial" w:eastAsia="Arial" w:hAnsi="Arial"/>
          <w:sz w:val="14"/>
          <w:szCs w:val="14"/>
          <w:u w:val="single" w:color="auto"/>
          <w:color w:val="auto"/>
        </w:rPr>
        <w:t>provided</w:t>
      </w:r>
      <w:r>
        <w:rPr>
          <w:rFonts w:ascii="Arial" w:cs="Arial" w:eastAsia="Arial" w:hAnsi="Arial"/>
          <w:sz w:val="14"/>
          <w:szCs w:val="14"/>
          <w:color w:val="auto"/>
        </w:rPr>
        <w:t xml:space="preserve"> that the Administrative Agent shall have no responsibility to maintain access to Intralinks™ or an equivalent website.</w:t>
      </w:r>
    </w:p>
    <w:p>
      <w:pPr>
        <w:spacing w:after="0" w:line="185" w:lineRule="exact"/>
        <w:rPr>
          <w:sz w:val="20"/>
          <w:szCs w:val="20"/>
          <w:color w:val="auto"/>
        </w:rPr>
      </w:pPr>
    </w:p>
    <w:p>
      <w:pPr>
        <w:ind w:left="1740"/>
        <w:spacing w:after="0"/>
        <w:rPr>
          <w:sz w:val="20"/>
          <w:szCs w:val="20"/>
          <w:color w:val="auto"/>
        </w:rPr>
      </w:pPr>
      <w:r>
        <w:rPr>
          <w:rFonts w:ascii="Arial" w:cs="Arial" w:eastAsia="Arial" w:hAnsi="Arial"/>
          <w:sz w:val="14"/>
          <w:szCs w:val="14"/>
          <w:color w:val="auto"/>
        </w:rPr>
        <w:t xml:space="preserve">SECTION 9.02. </w:t>
      </w:r>
      <w:r>
        <w:rPr>
          <w:rFonts w:ascii="Arial" w:cs="Arial" w:eastAsia="Arial" w:hAnsi="Arial"/>
          <w:sz w:val="14"/>
          <w:szCs w:val="14"/>
          <w:u w:val="single" w:color="auto"/>
          <w:color w:val="auto"/>
        </w:rPr>
        <w:t>Waivers; Amendments</w:t>
      </w:r>
      <w:r>
        <w:rPr>
          <w:rFonts w:ascii="Arial" w:cs="Arial" w:eastAsia="Arial" w:hAnsi="Arial"/>
          <w:sz w:val="14"/>
          <w:szCs w:val="14"/>
          <w:color w:val="auto"/>
        </w:rPr>
        <w:t>.</w:t>
      </w:r>
    </w:p>
    <w:p>
      <w:pPr>
        <w:spacing w:after="0" w:line="204" w:lineRule="exact"/>
        <w:rPr>
          <w:sz w:val="20"/>
          <w:szCs w:val="20"/>
          <w:color w:val="auto"/>
        </w:rPr>
      </w:pPr>
    </w:p>
    <w:p>
      <w:pPr>
        <w:jc w:val="both"/>
        <w:ind w:right="20" w:firstLine="1735"/>
        <w:spacing w:after="0" w:line="227" w:lineRule="auto"/>
        <w:tabs>
          <w:tab w:leader="none" w:pos="2535" w:val="left"/>
        </w:tabs>
        <w:numPr>
          <w:ilvl w:val="1"/>
          <w:numId w:val="155"/>
        </w:numPr>
        <w:rPr>
          <w:rFonts w:ascii="Arial" w:cs="Arial" w:eastAsia="Arial" w:hAnsi="Arial"/>
          <w:sz w:val="14"/>
          <w:szCs w:val="14"/>
          <w:color w:val="auto"/>
        </w:rPr>
      </w:pPr>
      <w:r>
        <w:rPr>
          <w:rFonts w:ascii="Arial" w:cs="Arial" w:eastAsia="Arial" w:hAnsi="Arial"/>
          <w:sz w:val="14"/>
          <w:szCs w:val="14"/>
          <w:u w:val="single" w:color="auto"/>
          <w:color w:val="auto"/>
        </w:rPr>
        <w:t>No Deemed Waivers Remedies Cumulative</w:t>
      </w:r>
      <w:r>
        <w:rPr>
          <w:rFonts w:ascii="Arial" w:cs="Arial" w:eastAsia="Arial" w:hAnsi="Arial"/>
          <w:sz w:val="14"/>
          <w:szCs w:val="14"/>
          <w:color w:val="auto"/>
        </w:rPr>
        <w:t xml:space="preserve">. No failure or delay by the Administrative Agent the Issuing Bank, the Swingline Lender or any Lender in exercising any right or power hereunder shall operate as a waiver thereof nor shall any single or partial exercise of any such right or power, or any abandonment or discontinuance of steps to enforce such a right or power, preclude any other or further exercise thereof or the exercise of any other right or power. The rights and remedies of the Administrative Agent, the Issuing Bank, the Swingline Lender and the Lenders hereunder are cumulative and are not exclusive of any rights or remedies that they would otherwise have. No waiver of any provision of this Agreement or consent to any departure by the Borrower therefrom shall in any event be effective unless the same shall be permitted by </w:t>
      </w:r>
      <w:r>
        <w:rPr>
          <w:rFonts w:ascii="Arial" w:cs="Arial" w:eastAsia="Arial" w:hAnsi="Arial"/>
          <w:sz w:val="14"/>
          <w:szCs w:val="14"/>
          <w:u w:val="single" w:color="auto"/>
          <w:color w:val="auto"/>
        </w:rPr>
        <w:t>paragraph (b)</w:t>
      </w:r>
      <w:r>
        <w:rPr>
          <w:rFonts w:ascii="Arial" w:cs="Arial" w:eastAsia="Arial" w:hAnsi="Arial"/>
          <w:sz w:val="14"/>
          <w:szCs w:val="14"/>
          <w:color w:val="auto"/>
        </w:rPr>
        <w:t xml:space="preserve"> of this Section, and then such waiver or consent shall be effective only in the specific instance and for the purpose for which given. Without limiting the generality of the foregoing, the making of a Loan, Swingline Loan or issuance of a Letter of Credit shall not be construed as a waiver of any Default, regardless of whether the Administrative Agent, the Swingline Lender, any Lender or the Issuing Bank may have had notice or knowledge of such Default at the time.</w:t>
      </w:r>
    </w:p>
    <w:p>
      <w:pPr>
        <w:spacing w:after="0" w:line="185" w:lineRule="exact"/>
        <w:rPr>
          <w:rFonts w:ascii="Arial" w:cs="Arial" w:eastAsia="Arial" w:hAnsi="Arial"/>
          <w:sz w:val="14"/>
          <w:szCs w:val="14"/>
          <w:color w:val="auto"/>
        </w:rPr>
      </w:pPr>
    </w:p>
    <w:p>
      <w:pPr>
        <w:jc w:val="both"/>
        <w:ind w:right="20" w:firstLine="1735"/>
        <w:spacing w:after="0" w:line="238" w:lineRule="auto"/>
        <w:tabs>
          <w:tab w:leader="none" w:pos="2543" w:val="left"/>
        </w:tabs>
        <w:numPr>
          <w:ilvl w:val="1"/>
          <w:numId w:val="155"/>
        </w:numPr>
        <w:rPr>
          <w:rFonts w:ascii="Arial" w:cs="Arial" w:eastAsia="Arial" w:hAnsi="Arial"/>
          <w:sz w:val="14"/>
          <w:szCs w:val="14"/>
          <w:color w:val="auto"/>
        </w:rPr>
      </w:pPr>
      <w:r>
        <w:rPr>
          <w:rFonts w:ascii="Arial" w:cs="Arial" w:eastAsia="Arial" w:hAnsi="Arial"/>
          <w:sz w:val="14"/>
          <w:szCs w:val="14"/>
          <w:u w:val="single" w:color="auto"/>
          <w:color w:val="auto"/>
        </w:rPr>
        <w:t>Amendments to this Agreement</w:t>
      </w:r>
      <w:r>
        <w:rPr>
          <w:rFonts w:ascii="Arial" w:cs="Arial" w:eastAsia="Arial" w:hAnsi="Arial"/>
          <w:sz w:val="14"/>
          <w:szCs w:val="14"/>
          <w:color w:val="auto"/>
        </w:rPr>
        <w:t xml:space="preserve">. Neither this Agreement nor any provision hereof may be waived, amended or modified except pursuant to an agreement or agreements in writing entered into by the Borrower and the Required Lenders or by the Borrower and the Administrative Agent with the consent of the Required Lenders; </w:t>
      </w:r>
      <w:r>
        <w:rPr>
          <w:rFonts w:ascii="Arial" w:cs="Arial" w:eastAsia="Arial" w:hAnsi="Arial"/>
          <w:sz w:val="14"/>
          <w:szCs w:val="14"/>
          <w:u w:val="single" w:color="auto"/>
          <w:color w:val="auto"/>
        </w:rPr>
        <w:t>provided</w:t>
      </w:r>
      <w:r>
        <w:rPr>
          <w:rFonts w:ascii="Arial" w:cs="Arial" w:eastAsia="Arial" w:hAnsi="Arial"/>
          <w:sz w:val="14"/>
          <w:szCs w:val="14"/>
          <w:color w:val="auto"/>
        </w:rPr>
        <w:t xml:space="preserve"> that no such agreement shall</w:t>
      </w:r>
    </w:p>
    <w:p>
      <w:pPr>
        <w:spacing w:after="0" w:line="182" w:lineRule="exact"/>
        <w:rPr>
          <w:rFonts w:ascii="Arial" w:cs="Arial" w:eastAsia="Arial" w:hAnsi="Arial"/>
          <w:sz w:val="14"/>
          <w:szCs w:val="14"/>
          <w:color w:val="auto"/>
        </w:rPr>
      </w:pPr>
    </w:p>
    <w:p>
      <w:pPr>
        <w:ind w:left="2460" w:hanging="791"/>
        <w:spacing w:after="0"/>
        <w:tabs>
          <w:tab w:leader="none" w:pos="2460" w:val="left"/>
        </w:tabs>
        <w:numPr>
          <w:ilvl w:val="0"/>
          <w:numId w:val="156"/>
        </w:numPr>
        <w:rPr>
          <w:rFonts w:ascii="Arial" w:cs="Arial" w:eastAsia="Arial" w:hAnsi="Arial"/>
          <w:sz w:val="14"/>
          <w:szCs w:val="14"/>
          <w:color w:val="auto"/>
        </w:rPr>
      </w:pPr>
      <w:r>
        <w:rPr>
          <w:rFonts w:ascii="Arial" w:cs="Arial" w:eastAsia="Arial" w:hAnsi="Arial"/>
          <w:sz w:val="14"/>
          <w:szCs w:val="14"/>
          <w:color w:val="auto"/>
        </w:rPr>
        <w:t>increase the Commitment of any Lender without the written consent of such Lender,</w:t>
      </w:r>
    </w:p>
    <w:p>
      <w:pPr>
        <w:spacing w:after="0" w:line="203" w:lineRule="exact"/>
        <w:rPr>
          <w:rFonts w:ascii="Arial" w:cs="Arial" w:eastAsia="Arial" w:hAnsi="Arial"/>
          <w:sz w:val="14"/>
          <w:szCs w:val="14"/>
          <w:color w:val="auto"/>
        </w:rPr>
      </w:pPr>
    </w:p>
    <w:p>
      <w:pPr>
        <w:ind w:left="880" w:right="20" w:firstLine="789"/>
        <w:spacing w:after="0" w:line="253" w:lineRule="auto"/>
        <w:tabs>
          <w:tab w:leader="none" w:pos="2501" w:val="left"/>
        </w:tabs>
        <w:numPr>
          <w:ilvl w:val="0"/>
          <w:numId w:val="156"/>
        </w:numPr>
        <w:rPr>
          <w:rFonts w:ascii="Arial" w:cs="Arial" w:eastAsia="Arial" w:hAnsi="Arial"/>
          <w:sz w:val="14"/>
          <w:szCs w:val="14"/>
          <w:color w:val="auto"/>
        </w:rPr>
      </w:pPr>
      <w:r>
        <w:rPr>
          <w:rFonts w:ascii="Arial" w:cs="Arial" w:eastAsia="Arial" w:hAnsi="Arial"/>
          <w:sz w:val="14"/>
          <w:szCs w:val="14"/>
          <w:color w:val="auto"/>
        </w:rPr>
        <w:t>reduce the principal amount of any Loan or LC Disbursement or reduce the rate of interest thereon (other than with respect to the election of or the failure to elect the Default Rate), or reduce any fees payable hereunder, without the written consent of each Lender directly affected thereby,</w:t>
      </w:r>
    </w:p>
    <w:p>
      <w:pPr>
        <w:spacing w:after="0" w:line="200" w:lineRule="exact"/>
        <w:rPr>
          <w:sz w:val="20"/>
          <w:szCs w:val="20"/>
          <w:color w:val="auto"/>
        </w:rPr>
      </w:pPr>
    </w:p>
    <w:p>
      <w:pPr>
        <w:spacing w:after="0" w:line="39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7580" w:type="dxa"/>
            <w:vAlign w:val="bottom"/>
          </w:tcPr>
          <w:p>
            <w:pPr>
              <w:jc w:val="right"/>
              <w:ind w:right="1808"/>
              <w:spacing w:after="0"/>
              <w:rPr>
                <w:sz w:val="20"/>
                <w:szCs w:val="20"/>
                <w:color w:val="auto"/>
              </w:rPr>
            </w:pPr>
            <w:r>
              <w:rPr>
                <w:rFonts w:ascii="Arial" w:cs="Arial" w:eastAsia="Arial" w:hAnsi="Arial"/>
                <w:sz w:val="14"/>
                <w:szCs w:val="14"/>
                <w:color w:val="auto"/>
              </w:rPr>
              <w:t>60</w:t>
            </w:r>
          </w:p>
        </w:tc>
        <w:tc>
          <w:tcPr>
            <w:tcW w:w="3680" w:type="dxa"/>
            <w:vAlign w:val="bottom"/>
          </w:tcPr>
          <w:p>
            <w:pPr>
              <w:jc w:val="right"/>
              <w:spacing w:after="0"/>
              <w:rPr>
                <w:sz w:val="20"/>
                <w:szCs w:val="20"/>
                <w:color w:val="auto"/>
              </w:rPr>
            </w:pPr>
            <w:r>
              <w:rPr>
                <w:rFonts w:ascii="Arial" w:cs="Arial" w:eastAsia="Arial" w:hAnsi="Arial"/>
                <w:sz w:val="14"/>
                <w:szCs w:val="14"/>
                <w:i w:val="1"/>
                <w:iCs w:val="1"/>
                <w:color w:val="auto"/>
              </w:rPr>
              <w:t>Second Amended and Restated</w:t>
            </w:r>
          </w:p>
        </w:tc>
      </w:tr>
      <w:tr>
        <w:trPr>
          <w:trHeight w:val="182"/>
        </w:trPr>
        <w:tc>
          <w:tcPr>
            <w:tcW w:w="7580" w:type="dxa"/>
            <w:vAlign w:val="bottom"/>
          </w:tcPr>
          <w:p>
            <w:pPr>
              <w:spacing w:after="0"/>
              <w:rPr>
                <w:sz w:val="15"/>
                <w:szCs w:val="15"/>
                <w:color w:val="auto"/>
              </w:rPr>
            </w:pPr>
          </w:p>
        </w:tc>
        <w:tc>
          <w:tcPr>
            <w:tcW w:w="3680" w:type="dxa"/>
            <w:vAlign w:val="bottom"/>
          </w:tcPr>
          <w:p>
            <w:pPr>
              <w:jc w:val="right"/>
              <w:spacing w:after="0"/>
              <w:rPr>
                <w:sz w:val="20"/>
                <w:szCs w:val="20"/>
                <w:color w:val="auto"/>
              </w:rPr>
            </w:pPr>
            <w:r>
              <w:rPr>
                <w:rFonts w:ascii="Arial" w:cs="Arial" w:eastAsia="Arial" w:hAnsi="Arial"/>
                <w:sz w:val="14"/>
                <w:szCs w:val="14"/>
                <w:i w:val="1"/>
                <w:iCs w:val="1"/>
                <w:color w:val="auto"/>
              </w:rPr>
              <w:t>Revolving Credit Agreement</w:t>
            </w:r>
          </w:p>
        </w:tc>
      </w:tr>
      <w:tr>
        <w:trPr>
          <w:trHeight w:val="316"/>
        </w:trPr>
        <w:tc>
          <w:tcPr>
            <w:tcW w:w="7580" w:type="dxa"/>
            <w:vAlign w:val="bottom"/>
            <w:tcBorders>
              <w:bottom w:val="single" w:sz="8" w:color="9A9A9A"/>
            </w:tcBorders>
          </w:tcPr>
          <w:p>
            <w:pPr>
              <w:spacing w:after="0"/>
              <w:rPr>
                <w:sz w:val="24"/>
                <w:szCs w:val="24"/>
                <w:color w:val="auto"/>
              </w:rPr>
            </w:pPr>
          </w:p>
        </w:tc>
        <w:tc>
          <w:tcPr>
            <w:tcW w:w="368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7145655</wp:posOffset>
            </wp:positionH>
            <wp:positionV relativeFrom="paragraph">
              <wp:posOffset>-7620</wp:posOffset>
            </wp:positionV>
            <wp:extent cx="8255" cy="8255"/>
            <wp:wrapNone/>
            <wp:docPr id="225" name="Picture 2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5"/>
                    <pic:cNvPicPr>
                      <a:picLocks noChangeAspect="1" noChangeArrowheads="1"/>
                    </pic:cNvPicPr>
                  </pic:nvPicPr>
                  <pic:blipFill>
                    <a:blip r:embed="rId232">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-16510</wp:posOffset>
            </wp:positionV>
            <wp:extent cx="8890" cy="17145"/>
            <wp:wrapNone/>
            <wp:docPr id="226" name="Picture 2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6"/>
                    <pic:cNvPicPr>
                      <a:picLocks noChangeAspect="1" noChangeArrowheads="1"/>
                    </pic:cNvPicPr>
                  </pic:nvPicPr>
                  <pic:blipFill>
                    <a:blip r:embed="rId233">
                      <a:extLst>
                        <a:ext uri="{28A0092B-C50C-407E-A947-70E740481C1C}"/>
                      </a:extLst>
                    </a:blip>
                    <a:srcRect/>
                    <a:stretch>
                      <a:fillRect/>
                    </a:stretch>
                  </pic:blipFill>
                  <pic:spPr bwMode="auto">
                    <a:xfrm>
                      <a:off x="0" y="0"/>
                      <a:ext cx="8890" cy="17145"/>
                    </a:xfrm>
                    <a:prstGeom prst="rect">
                      <a:avLst/>
                    </a:prstGeom>
                    <a:noFill/>
                  </pic:spPr>
                </pic:pic>
              </a:graphicData>
            </a:graphic>
          </wp:anchor>
        </w:drawing>
      </w:r>
    </w:p>
    <w:p>
      <w:pPr>
        <w:sectPr>
          <w:pgSz w:w="11900" w:h="16838" w:orient="portrait"/>
          <w:cols w:equalWidth="0" w:num="1">
            <w:col w:w="11260"/>
          </w:cols>
          <w:pgMar w:left="320" w:top="337" w:right="319" w:bottom="1440" w:gutter="0" w:footer="0" w:header="0"/>
        </w:sectPr>
      </w:pPr>
    </w:p>
    <w:bookmarkStart w:id="123" w:name="page124"/>
    <w:bookmarkEnd w:id="123"/>
    <w:p>
      <w:pPr>
        <w:jc w:val="both"/>
        <w:ind w:left="880" w:right="20" w:firstLine="789"/>
        <w:spacing w:after="0" w:line="238" w:lineRule="auto"/>
        <w:tabs>
          <w:tab w:leader="none" w:pos="2541" w:val="left"/>
        </w:tabs>
        <w:numPr>
          <w:ilvl w:val="0"/>
          <w:numId w:val="157"/>
        </w:numPr>
        <w:rPr>
          <w:rFonts w:ascii="Arial" w:cs="Arial" w:eastAsia="Arial" w:hAnsi="Arial"/>
          <w:sz w:val="14"/>
          <w:szCs w:val="14"/>
          <w:color w:val="auto"/>
        </w:rPr>
      </w:pPr>
      <w:r>
        <w:rPr>
          <w:rFonts w:ascii="Arial" w:cs="Arial" w:eastAsia="Arial" w:hAnsi="Arial"/>
          <w:sz w:val="14"/>
          <w:szCs w:val="14"/>
          <w:color w:val="auto"/>
        </w:rPr>
        <w:t>postpone the scheduled date of payment of the principal amount of any Loan or LC Disbursement, or any interest thereon, or any fees payable hereunder, or reduce the amount of waive or excuse any such payment, or postpone the scheduled date of expiration of any Commitment, without the written consent of each Lender directly affected thereby,</w:t>
      </w:r>
    </w:p>
    <w:p>
      <w:pPr>
        <w:spacing w:after="0" w:line="182" w:lineRule="exact"/>
        <w:rPr>
          <w:rFonts w:ascii="Arial" w:cs="Arial" w:eastAsia="Arial" w:hAnsi="Arial"/>
          <w:sz w:val="14"/>
          <w:szCs w:val="14"/>
          <w:color w:val="auto"/>
        </w:rPr>
      </w:pPr>
    </w:p>
    <w:p>
      <w:pPr>
        <w:ind w:left="880" w:right="40" w:firstLine="789"/>
        <w:spacing w:after="0" w:line="253" w:lineRule="auto"/>
        <w:tabs>
          <w:tab w:leader="none" w:pos="2533" w:val="left"/>
        </w:tabs>
        <w:numPr>
          <w:ilvl w:val="0"/>
          <w:numId w:val="157"/>
        </w:numPr>
        <w:rPr>
          <w:rFonts w:ascii="Arial" w:cs="Arial" w:eastAsia="Arial" w:hAnsi="Arial"/>
          <w:sz w:val="14"/>
          <w:szCs w:val="14"/>
          <w:color w:val="auto"/>
        </w:rPr>
      </w:pPr>
      <w:r>
        <w:rPr>
          <w:rFonts w:ascii="Arial" w:cs="Arial" w:eastAsia="Arial" w:hAnsi="Arial"/>
          <w:sz w:val="14"/>
          <w:szCs w:val="14"/>
          <w:color w:val="auto"/>
        </w:rPr>
        <w:t xml:space="preserve">change </w:t>
      </w:r>
      <w:r>
        <w:rPr>
          <w:rFonts w:ascii="Arial" w:cs="Arial" w:eastAsia="Arial" w:hAnsi="Arial"/>
          <w:sz w:val="14"/>
          <w:szCs w:val="14"/>
          <w:u w:val="single" w:color="auto"/>
          <w:color w:val="auto"/>
        </w:rPr>
        <w:t>Section 2.17(b)</w:t>
      </w:r>
      <w:r>
        <w:rPr>
          <w:rFonts w:ascii="Arial" w:cs="Arial" w:eastAsia="Arial" w:hAnsi="Arial"/>
          <w:sz w:val="14"/>
          <w:szCs w:val="14"/>
          <w:color w:val="auto"/>
        </w:rPr>
        <w:t xml:space="preserve">, </w:t>
      </w:r>
      <w:r>
        <w:rPr>
          <w:rFonts w:ascii="Arial" w:cs="Arial" w:eastAsia="Arial" w:hAnsi="Arial"/>
          <w:sz w:val="14"/>
          <w:szCs w:val="14"/>
          <w:u w:val="single" w:color="auto"/>
          <w:color w:val="auto"/>
        </w:rPr>
        <w:t>(c)</w:t>
      </w:r>
      <w:r>
        <w:rPr>
          <w:rFonts w:ascii="Arial" w:cs="Arial" w:eastAsia="Arial" w:hAnsi="Arial"/>
          <w:sz w:val="14"/>
          <w:szCs w:val="14"/>
          <w:color w:val="auto"/>
        </w:rPr>
        <w:t xml:space="preserve"> or </w:t>
      </w:r>
      <w:r>
        <w:rPr>
          <w:rFonts w:ascii="Arial" w:cs="Arial" w:eastAsia="Arial" w:hAnsi="Arial"/>
          <w:sz w:val="14"/>
          <w:szCs w:val="14"/>
          <w:u w:val="single" w:color="auto"/>
          <w:color w:val="auto"/>
        </w:rPr>
        <w:t>(d)</w:t>
      </w:r>
      <w:r>
        <w:rPr>
          <w:rFonts w:ascii="Arial" w:cs="Arial" w:eastAsia="Arial" w:hAnsi="Arial"/>
          <w:sz w:val="14"/>
          <w:szCs w:val="14"/>
          <w:color w:val="auto"/>
        </w:rPr>
        <w:t xml:space="preserve"> in a manner that would alter the pro rata sharing of payments, or making of disbursements, required thereby without the written consent of each Lender directly affected thereby, or</w:t>
      </w:r>
    </w:p>
    <w:p>
      <w:pPr>
        <w:spacing w:after="0" w:line="173" w:lineRule="exact"/>
        <w:rPr>
          <w:rFonts w:ascii="Arial" w:cs="Arial" w:eastAsia="Arial" w:hAnsi="Arial"/>
          <w:sz w:val="14"/>
          <w:szCs w:val="14"/>
          <w:color w:val="auto"/>
        </w:rPr>
      </w:pPr>
    </w:p>
    <w:p>
      <w:pPr>
        <w:jc w:val="both"/>
        <w:ind w:left="880" w:right="20" w:firstLine="789"/>
        <w:spacing w:after="0" w:line="238" w:lineRule="auto"/>
        <w:tabs>
          <w:tab w:leader="none" w:pos="2493" w:val="left"/>
        </w:tabs>
        <w:numPr>
          <w:ilvl w:val="0"/>
          <w:numId w:val="157"/>
        </w:numPr>
        <w:rPr>
          <w:rFonts w:ascii="Arial" w:cs="Arial" w:eastAsia="Arial" w:hAnsi="Arial"/>
          <w:sz w:val="14"/>
          <w:szCs w:val="14"/>
          <w:color w:val="auto"/>
        </w:rPr>
      </w:pPr>
      <w:r>
        <w:rPr>
          <w:rFonts w:ascii="Arial" w:cs="Arial" w:eastAsia="Arial" w:hAnsi="Arial"/>
          <w:sz w:val="14"/>
          <w:szCs w:val="14"/>
          <w:color w:val="auto"/>
        </w:rPr>
        <w:t>change any of the provisions of this Section or the definition of the term “Required Lenders” or any other provision hereof specifying the number or percentage of Lenders required to waive, amend or modify any rights hereunder or make any determination or grant any consent hereunder, without the written consent of each Lender directly affected thereby;</w:t>
      </w:r>
    </w:p>
    <w:p>
      <w:pPr>
        <w:spacing w:after="0" w:line="183" w:lineRule="exact"/>
        <w:rPr>
          <w:sz w:val="20"/>
          <w:szCs w:val="20"/>
          <w:color w:val="auto"/>
        </w:rPr>
      </w:pPr>
    </w:p>
    <w:p>
      <w:pPr>
        <w:jc w:val="both"/>
        <w:ind w:right="20"/>
        <w:spacing w:after="0" w:line="231" w:lineRule="auto"/>
        <w:rPr>
          <w:sz w:val="20"/>
          <w:szCs w:val="20"/>
          <w:color w:val="auto"/>
        </w:rPr>
      </w:pPr>
      <w:r>
        <w:rPr>
          <w:rFonts w:ascii="Arial" w:cs="Arial" w:eastAsia="Arial" w:hAnsi="Arial"/>
          <w:sz w:val="14"/>
          <w:szCs w:val="14"/>
          <w:u w:val="single" w:color="auto"/>
          <w:color w:val="auto"/>
        </w:rPr>
        <w:t>provided</w:t>
      </w:r>
      <w:r>
        <w:rPr>
          <w:rFonts w:ascii="Arial" w:cs="Arial" w:eastAsia="Arial" w:hAnsi="Arial"/>
          <w:sz w:val="14"/>
          <w:szCs w:val="14"/>
          <w:color w:val="auto"/>
        </w:rPr>
        <w:t xml:space="preserve"> further that (x) no such agreement shall amend, modify or otherwise affect the rights or duties of the Administrative Agent, the Issuing Bank or the Swingline Lender hereunder without the prior written consent of the Administrative Agent, the Issuing Bank or the Swingline Lender, as the case may be and (y) the consent of Lenders (other than Defaulting Lenders) holding not less than two-thirds of the Revolving Credit Exposure and unused Commitments (other than of Defaulting Lenders) will be required (A) for any adverse change affecting the provisions of this Agreement relating to the Borrowing Base (including the definitions used therein), or the provisions of </w:t>
      </w:r>
      <w:r>
        <w:rPr>
          <w:rFonts w:ascii="Arial" w:cs="Arial" w:eastAsia="Arial" w:hAnsi="Arial"/>
          <w:sz w:val="14"/>
          <w:szCs w:val="14"/>
          <w:u w:val="single" w:color="auto"/>
          <w:color w:val="auto"/>
        </w:rPr>
        <w:t>Section 5.12(c)(ii)</w:t>
      </w:r>
      <w:r>
        <w:rPr>
          <w:rFonts w:ascii="Arial" w:cs="Arial" w:eastAsia="Arial" w:hAnsi="Arial"/>
          <w:sz w:val="14"/>
          <w:szCs w:val="14"/>
          <w:color w:val="auto"/>
        </w:rPr>
        <w:t xml:space="preserve">, and </w:t>
      </w:r>
      <w:r>
        <w:rPr>
          <w:rFonts w:ascii="Arial" w:cs="Arial" w:eastAsia="Arial" w:hAnsi="Arial"/>
          <w:sz w:val="14"/>
          <w:szCs w:val="14"/>
          <w:u w:val="single" w:color="auto"/>
          <w:color w:val="auto"/>
        </w:rPr>
        <w:t>(B)</w:t>
      </w:r>
      <w:r>
        <w:rPr>
          <w:rFonts w:ascii="Arial" w:cs="Arial" w:eastAsia="Arial" w:hAnsi="Arial"/>
          <w:sz w:val="14"/>
          <w:szCs w:val="14"/>
          <w:color w:val="auto"/>
        </w:rPr>
        <w:t xml:space="preserve"> for any release of any material portion of the Collateral other than for fair value or as otherwise permitted hereunder or under the other Loan Documents.</w:t>
      </w:r>
    </w:p>
    <w:p>
      <w:pPr>
        <w:spacing w:after="0" w:line="184" w:lineRule="exact"/>
        <w:rPr>
          <w:sz w:val="20"/>
          <w:szCs w:val="20"/>
          <w:color w:val="auto"/>
        </w:rPr>
      </w:pPr>
    </w:p>
    <w:p>
      <w:pPr>
        <w:jc w:val="both"/>
        <w:ind w:right="20" w:firstLine="1727"/>
        <w:spacing w:after="0" w:line="238" w:lineRule="auto"/>
        <w:rPr>
          <w:sz w:val="20"/>
          <w:szCs w:val="20"/>
          <w:color w:val="auto"/>
        </w:rPr>
      </w:pPr>
      <w:r>
        <w:rPr>
          <w:rFonts w:ascii="Arial" w:cs="Arial" w:eastAsia="Arial" w:hAnsi="Arial"/>
          <w:sz w:val="14"/>
          <w:szCs w:val="14"/>
          <w:color w:val="auto"/>
        </w:rPr>
        <w:t>Anything in this Agreement to the contrary notwithstanding, no waiver or modification of any provision of this Agreement or any other Loan Document that could reasonably be expected to adversely affect the Lenders of any Class in a manner that does not affect all Classes equally shall be effective against the Lenders of such Class unless the Required Lenders of such Class shall have concurred with such waiver or modification.</w:t>
      </w:r>
    </w:p>
    <w:p>
      <w:pPr>
        <w:spacing w:after="0" w:line="183" w:lineRule="exact"/>
        <w:rPr>
          <w:sz w:val="20"/>
          <w:szCs w:val="20"/>
          <w:color w:val="auto"/>
        </w:rPr>
      </w:pPr>
    </w:p>
    <w:p>
      <w:pPr>
        <w:jc w:val="both"/>
        <w:ind w:right="20" w:firstLine="1735"/>
        <w:spacing w:after="0" w:line="242" w:lineRule="auto"/>
        <w:tabs>
          <w:tab w:leader="none" w:pos="2535" w:val="left"/>
        </w:tabs>
        <w:numPr>
          <w:ilvl w:val="0"/>
          <w:numId w:val="158"/>
        </w:numPr>
        <w:rPr>
          <w:rFonts w:ascii="Arial" w:cs="Arial" w:eastAsia="Arial" w:hAnsi="Arial"/>
          <w:sz w:val="13"/>
          <w:szCs w:val="13"/>
          <w:color w:val="auto"/>
        </w:rPr>
      </w:pPr>
      <w:r>
        <w:rPr>
          <w:rFonts w:ascii="Arial" w:cs="Arial" w:eastAsia="Arial" w:hAnsi="Arial"/>
          <w:sz w:val="13"/>
          <w:szCs w:val="13"/>
          <w:u w:val="single" w:color="auto"/>
          <w:color w:val="auto"/>
        </w:rPr>
        <w:t>Amendments to Security Documents</w:t>
      </w:r>
      <w:r>
        <w:rPr>
          <w:rFonts w:ascii="Arial" w:cs="Arial" w:eastAsia="Arial" w:hAnsi="Arial"/>
          <w:sz w:val="13"/>
          <w:szCs w:val="13"/>
          <w:color w:val="auto"/>
        </w:rPr>
        <w:t xml:space="preserve">. No Security Document nor any provision thereof may be waived, amended or modified, nor may the Liens thereof be spread to secure any additional obligations (including any increase in Loans hereunder, but excluding any such increase pursuant to a Commitment Increase under </w:t>
      </w:r>
      <w:r>
        <w:rPr>
          <w:rFonts w:ascii="Arial" w:cs="Arial" w:eastAsia="Arial" w:hAnsi="Arial"/>
          <w:sz w:val="13"/>
          <w:szCs w:val="13"/>
          <w:u w:val="single" w:color="auto"/>
          <w:color w:val="auto"/>
        </w:rPr>
        <w:t>Section 2.08(e)</w:t>
      </w:r>
      <w:r>
        <w:rPr>
          <w:rFonts w:ascii="Arial" w:cs="Arial" w:eastAsia="Arial" w:hAnsi="Arial"/>
          <w:sz w:val="13"/>
          <w:szCs w:val="13"/>
          <w:color w:val="auto"/>
        </w:rPr>
        <w:t xml:space="preserve"> to an amount not greater than $750,000,000) except pursuant to an agreement or agreements in writing entered into by the Borrower, and by the Collateral Agent with the consent of the Required Lenders; </w:t>
      </w:r>
      <w:r>
        <w:rPr>
          <w:rFonts w:ascii="Arial" w:cs="Arial" w:eastAsia="Arial" w:hAnsi="Arial"/>
          <w:sz w:val="13"/>
          <w:szCs w:val="13"/>
          <w:u w:val="single" w:color="auto"/>
          <w:color w:val="auto"/>
        </w:rPr>
        <w:t>provided</w:t>
      </w:r>
      <w:r>
        <w:rPr>
          <w:rFonts w:ascii="Arial" w:cs="Arial" w:eastAsia="Arial" w:hAnsi="Arial"/>
          <w:sz w:val="13"/>
          <w:szCs w:val="13"/>
          <w:color w:val="auto"/>
        </w:rPr>
        <w:t xml:space="preserve"> that, (i) without the written consent of each Lender, no such agreement shall release all or substantially all of the Obligors from their respective obligations under the Security Documents and (ii) without the written consent of each Lender, no such agreement shall release all or substantially all of the collateral security or otherwise terminate all or substantially all of the Liens under the Security Documents, alter the relative priorities of the obligations entitled to the Liens created under the Security Documents (except in connection with securing additional obligations equally and ratably with the Loans and other obligations hereunder) with respect to all or substantially all of the collateral security provided thereby, or release all or substantially all of the guarantors under the Guarantee and Security Agreement from their guarantee obligations thereunder, except that no such consent shall be required, and the Administrative Agent is hereby authorized (and so agrees with the Borrower) to direct the Collateral Agent under the Guarantee and Security Agreement, (x) to release any Lien covering property (and to release any such guarantor) that is the subject of either a disposition of property permitted hereunder or a disposition to which the Required Lenders have consented, (y) to release any Lien and/or guarantee obligation in accordance with Section 10.03 of the Guarantee and Security Agreement and (z) to release (and to acknowledge the release of) all Liens and guarantees of Obligors with respect to the Revolving Credit Exposure upon the termination of this Agreement (including in connection with a complete refinancing) following the payment in full in cash of all Revolving Credit Exposure (other than contingent indemnification and fee reimbursement obligations) following the termination of the Commitments; </w:t>
      </w:r>
      <w:r>
        <w:rPr>
          <w:rFonts w:ascii="Arial" w:cs="Arial" w:eastAsia="Arial" w:hAnsi="Arial"/>
          <w:sz w:val="13"/>
          <w:szCs w:val="13"/>
          <w:u w:val="single" w:color="auto"/>
          <w:color w:val="auto"/>
        </w:rPr>
        <w:t>provided</w:t>
      </w:r>
      <w:r>
        <w:rPr>
          <w:rFonts w:ascii="Arial" w:cs="Arial" w:eastAsia="Arial" w:hAnsi="Arial"/>
          <w:sz w:val="13"/>
          <w:szCs w:val="13"/>
          <w:color w:val="auto"/>
        </w:rPr>
        <w:t xml:space="preserve"> that, for the avoidance of doubt, the Administrative Agent shall not be required under this </w:t>
      </w:r>
      <w:r>
        <w:rPr>
          <w:rFonts w:ascii="Arial" w:cs="Arial" w:eastAsia="Arial" w:hAnsi="Arial"/>
          <w:sz w:val="13"/>
          <w:szCs w:val="13"/>
          <w:u w:val="single" w:color="auto"/>
          <w:color w:val="auto"/>
        </w:rPr>
        <w:t>clause (z)</w:t>
      </w:r>
      <w:r>
        <w:rPr>
          <w:rFonts w:ascii="Arial" w:cs="Arial" w:eastAsia="Arial" w:hAnsi="Arial"/>
          <w:sz w:val="13"/>
          <w:szCs w:val="13"/>
          <w:color w:val="auto"/>
        </w:rPr>
        <w:t xml:space="preserve"> to instruct the Collateral Agent to release any Lien or guarantee of an Obligor solely as it relates to such Lien securing or guarantee guaranteeing any Secured Obligations other than Credit Agreement Obligations (in each case, as defined in the Guarantee and Security Agreement).</w:t>
      </w:r>
    </w:p>
    <w:p>
      <w:pPr>
        <w:spacing w:after="0" w:line="182" w:lineRule="exact"/>
        <w:rPr>
          <w:rFonts w:ascii="Arial" w:cs="Arial" w:eastAsia="Arial" w:hAnsi="Arial"/>
          <w:sz w:val="13"/>
          <w:szCs w:val="13"/>
          <w:color w:val="auto"/>
        </w:rPr>
      </w:pPr>
    </w:p>
    <w:p>
      <w:pPr>
        <w:jc w:val="both"/>
        <w:ind w:right="20" w:firstLine="1735"/>
        <w:spacing w:after="0" w:line="231" w:lineRule="auto"/>
        <w:tabs>
          <w:tab w:leader="none" w:pos="2543" w:val="left"/>
        </w:tabs>
        <w:numPr>
          <w:ilvl w:val="0"/>
          <w:numId w:val="158"/>
        </w:numPr>
        <w:rPr>
          <w:rFonts w:ascii="Arial" w:cs="Arial" w:eastAsia="Arial" w:hAnsi="Arial"/>
          <w:sz w:val="14"/>
          <w:szCs w:val="14"/>
          <w:color w:val="auto"/>
        </w:rPr>
      </w:pPr>
      <w:r>
        <w:rPr>
          <w:rFonts w:ascii="Arial" w:cs="Arial" w:eastAsia="Arial" w:hAnsi="Arial"/>
          <w:sz w:val="14"/>
          <w:szCs w:val="14"/>
          <w:u w:val="single" w:color="auto"/>
          <w:color w:val="auto"/>
        </w:rPr>
        <w:t>Replacement of Non-Consenting Lender</w:t>
      </w:r>
      <w:r>
        <w:rPr>
          <w:rFonts w:ascii="Arial" w:cs="Arial" w:eastAsia="Arial" w:hAnsi="Arial"/>
          <w:sz w:val="14"/>
          <w:szCs w:val="14"/>
          <w:color w:val="auto"/>
        </w:rPr>
        <w:t xml:space="preserve">. If, in connection with any proposed change, waiver, discharge or termination to any of the provisions of this Agreement as contemplated by this </w:t>
      </w:r>
      <w:r>
        <w:rPr>
          <w:rFonts w:ascii="Arial" w:cs="Arial" w:eastAsia="Arial" w:hAnsi="Arial"/>
          <w:sz w:val="14"/>
          <w:szCs w:val="14"/>
          <w:u w:val="single" w:color="auto"/>
          <w:color w:val="auto"/>
        </w:rPr>
        <w:t>Section 9.02</w:t>
      </w:r>
      <w:r>
        <w:rPr>
          <w:rFonts w:ascii="Arial" w:cs="Arial" w:eastAsia="Arial" w:hAnsi="Arial"/>
          <w:sz w:val="14"/>
          <w:szCs w:val="14"/>
          <w:color w:val="auto"/>
        </w:rPr>
        <w:t xml:space="preserve">, the consent of the Required Lenders shall have been obtained but the consent of one or more Lenders (each a “Non-Consenting Lender”) whose consent is required for such proposed change, waiver, discharge or termination is not obtained, then (so long as no Event of Default has occurred and is continuing) the Borrower shall have the right, at its sole cost and expense, to replace each such Non-Consenting Lender or Lenders with one or more replacement Lenders pursuant to </w:t>
      </w:r>
      <w:r>
        <w:rPr>
          <w:rFonts w:ascii="Arial" w:cs="Arial" w:eastAsia="Arial" w:hAnsi="Arial"/>
          <w:sz w:val="14"/>
          <w:szCs w:val="14"/>
          <w:u w:val="single" w:color="auto"/>
          <w:color w:val="auto"/>
        </w:rPr>
        <w:t>Section 2.18(b)</w:t>
      </w:r>
      <w:r>
        <w:rPr>
          <w:rFonts w:ascii="Arial" w:cs="Arial" w:eastAsia="Arial" w:hAnsi="Arial"/>
          <w:sz w:val="14"/>
          <w:szCs w:val="14"/>
          <w:color w:val="auto"/>
        </w:rPr>
        <w:t xml:space="preserve"> so long as at the time of such replacement, each such replacement Lender consents to the proposed change, waiver, discharge or termination.</w:t>
      </w:r>
    </w:p>
    <w:p>
      <w:pPr>
        <w:spacing w:after="0" w:line="184" w:lineRule="exact"/>
        <w:rPr>
          <w:sz w:val="20"/>
          <w:szCs w:val="20"/>
          <w:color w:val="auto"/>
        </w:rPr>
      </w:pPr>
    </w:p>
    <w:p>
      <w:pPr>
        <w:ind w:left="1740"/>
        <w:spacing w:after="0"/>
        <w:rPr>
          <w:sz w:val="20"/>
          <w:szCs w:val="20"/>
          <w:color w:val="auto"/>
        </w:rPr>
      </w:pPr>
      <w:r>
        <w:rPr>
          <w:rFonts w:ascii="Arial" w:cs="Arial" w:eastAsia="Arial" w:hAnsi="Arial"/>
          <w:sz w:val="14"/>
          <w:szCs w:val="14"/>
          <w:color w:val="auto"/>
        </w:rPr>
        <w:t xml:space="preserve">SECTION 9.03. </w:t>
      </w:r>
      <w:r>
        <w:rPr>
          <w:rFonts w:ascii="Arial" w:cs="Arial" w:eastAsia="Arial" w:hAnsi="Arial"/>
          <w:sz w:val="14"/>
          <w:szCs w:val="14"/>
          <w:u w:val="single" w:color="auto"/>
          <w:color w:val="auto"/>
        </w:rPr>
        <w:t>Expenses; Indemnity; Damage Waiver</w:t>
      </w:r>
      <w:r>
        <w:rPr>
          <w:rFonts w:ascii="Arial" w:cs="Arial" w:eastAsia="Arial" w:hAnsi="Arial"/>
          <w:sz w:val="14"/>
          <w:szCs w:val="14"/>
          <w:color w:val="auto"/>
        </w:rPr>
        <w:t>.</w:t>
      </w:r>
    </w:p>
    <w:p>
      <w:pPr>
        <w:spacing w:after="0" w:line="204" w:lineRule="exact"/>
        <w:rPr>
          <w:sz w:val="20"/>
          <w:szCs w:val="20"/>
          <w:color w:val="auto"/>
        </w:rPr>
      </w:pPr>
    </w:p>
    <w:p>
      <w:pPr>
        <w:jc w:val="both"/>
        <w:ind w:right="20" w:firstLine="1735"/>
        <w:spacing w:after="0" w:line="226" w:lineRule="auto"/>
        <w:tabs>
          <w:tab w:leader="none" w:pos="2535" w:val="left"/>
        </w:tabs>
        <w:numPr>
          <w:ilvl w:val="0"/>
          <w:numId w:val="159"/>
        </w:numPr>
        <w:rPr>
          <w:rFonts w:ascii="Arial" w:cs="Arial" w:eastAsia="Arial" w:hAnsi="Arial"/>
          <w:sz w:val="14"/>
          <w:szCs w:val="14"/>
          <w:color w:val="auto"/>
        </w:rPr>
      </w:pPr>
      <w:r>
        <w:rPr>
          <w:rFonts w:ascii="Arial" w:cs="Arial" w:eastAsia="Arial" w:hAnsi="Arial"/>
          <w:sz w:val="14"/>
          <w:szCs w:val="14"/>
          <w:u w:val="single" w:color="auto"/>
          <w:color w:val="auto"/>
        </w:rPr>
        <w:t>Costs and Expenses</w:t>
      </w:r>
      <w:r>
        <w:rPr>
          <w:rFonts w:ascii="Arial" w:cs="Arial" w:eastAsia="Arial" w:hAnsi="Arial"/>
          <w:sz w:val="14"/>
          <w:szCs w:val="14"/>
          <w:color w:val="auto"/>
        </w:rPr>
        <w:t>. The Borrower shall pay (i) all reasonable and documented out-of-pocket costs and expenses incurred by the Administrative Agent, the Collateral Agent and their Affiliates, including the reasonable and documented fees, charges and disbursements of counsel for the Administrative Agent and the Collateral Agent, in connection with the syndication of the credit facilities provided for herein, the preparation and administration of this Agreement and the other Loan Documents and any amendments, modifications or waivers of the provisions hereof or thereof (whether or not the transactions contemplated hereby or thereby shall be consummated), (ii) all reasonable and documented out-of-pocket expenses incurred by the Issuing Bank in connection with the issuance, amendment, renewal or extension of any Letter of Credit or any demand for payment thereunder, (iii) all reasonable and documented out-of-pocket costs and expenses incurred by the Administrative Agent, the Issuing Bank, the Swingline Lender or any Lender, including the reasonable and documented fees, charges and disbursements of one outside counsel for the Administrative Agent, the Issuing Bank and the Swingline Lender as well as one outside counsel for the Lenders and additional counsel should any conflict of interest arise, in connection with the enforcement or protection of its rights in connection with this Agreement and the other Loan Documents, including its rights under this Section, or in connection with the</w:t>
      </w: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7580" w:type="dxa"/>
            <w:vAlign w:val="bottom"/>
          </w:tcPr>
          <w:p>
            <w:pPr>
              <w:jc w:val="right"/>
              <w:ind w:right="1808"/>
              <w:spacing w:after="0"/>
              <w:rPr>
                <w:sz w:val="20"/>
                <w:szCs w:val="20"/>
                <w:color w:val="auto"/>
              </w:rPr>
            </w:pPr>
            <w:r>
              <w:rPr>
                <w:rFonts w:ascii="Arial" w:cs="Arial" w:eastAsia="Arial" w:hAnsi="Arial"/>
                <w:sz w:val="14"/>
                <w:szCs w:val="14"/>
                <w:color w:val="auto"/>
              </w:rPr>
              <w:t>61</w:t>
            </w:r>
          </w:p>
        </w:tc>
        <w:tc>
          <w:tcPr>
            <w:tcW w:w="3680" w:type="dxa"/>
            <w:vAlign w:val="bottom"/>
          </w:tcPr>
          <w:p>
            <w:pPr>
              <w:jc w:val="right"/>
              <w:spacing w:after="0"/>
              <w:rPr>
                <w:sz w:val="20"/>
                <w:szCs w:val="20"/>
                <w:color w:val="auto"/>
              </w:rPr>
            </w:pPr>
            <w:r>
              <w:rPr>
                <w:rFonts w:ascii="Arial" w:cs="Arial" w:eastAsia="Arial" w:hAnsi="Arial"/>
                <w:sz w:val="14"/>
                <w:szCs w:val="14"/>
                <w:i w:val="1"/>
                <w:iCs w:val="1"/>
                <w:color w:val="auto"/>
              </w:rPr>
              <w:t>Second Amended and Restated</w:t>
            </w:r>
          </w:p>
        </w:tc>
      </w:tr>
      <w:tr>
        <w:trPr>
          <w:trHeight w:val="182"/>
        </w:trPr>
        <w:tc>
          <w:tcPr>
            <w:tcW w:w="7580" w:type="dxa"/>
            <w:vAlign w:val="bottom"/>
          </w:tcPr>
          <w:p>
            <w:pPr>
              <w:spacing w:after="0"/>
              <w:rPr>
                <w:sz w:val="15"/>
                <w:szCs w:val="15"/>
                <w:color w:val="auto"/>
              </w:rPr>
            </w:pPr>
          </w:p>
        </w:tc>
        <w:tc>
          <w:tcPr>
            <w:tcW w:w="3680" w:type="dxa"/>
            <w:vAlign w:val="bottom"/>
          </w:tcPr>
          <w:p>
            <w:pPr>
              <w:jc w:val="right"/>
              <w:spacing w:after="0"/>
              <w:rPr>
                <w:sz w:val="20"/>
                <w:szCs w:val="20"/>
                <w:color w:val="auto"/>
              </w:rPr>
            </w:pPr>
            <w:r>
              <w:rPr>
                <w:rFonts w:ascii="Arial" w:cs="Arial" w:eastAsia="Arial" w:hAnsi="Arial"/>
                <w:sz w:val="14"/>
                <w:szCs w:val="14"/>
                <w:i w:val="1"/>
                <w:iCs w:val="1"/>
                <w:color w:val="auto"/>
              </w:rPr>
              <w:t>Revolving Credit Agreement</w:t>
            </w:r>
          </w:p>
        </w:tc>
      </w:tr>
      <w:tr>
        <w:trPr>
          <w:trHeight w:val="316"/>
        </w:trPr>
        <w:tc>
          <w:tcPr>
            <w:tcW w:w="7580" w:type="dxa"/>
            <w:vAlign w:val="bottom"/>
            <w:tcBorders>
              <w:bottom w:val="single" w:sz="8" w:color="9A9A9A"/>
            </w:tcBorders>
          </w:tcPr>
          <w:p>
            <w:pPr>
              <w:spacing w:after="0"/>
              <w:rPr>
                <w:sz w:val="24"/>
                <w:szCs w:val="24"/>
                <w:color w:val="auto"/>
              </w:rPr>
            </w:pPr>
          </w:p>
        </w:tc>
        <w:tc>
          <w:tcPr>
            <w:tcW w:w="368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7145655</wp:posOffset>
            </wp:positionH>
            <wp:positionV relativeFrom="paragraph">
              <wp:posOffset>-8255</wp:posOffset>
            </wp:positionV>
            <wp:extent cx="8255" cy="8890"/>
            <wp:wrapNone/>
            <wp:docPr id="227" name="Picture 2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7"/>
                    <pic:cNvPicPr>
                      <a:picLocks noChangeAspect="1" noChangeArrowheads="1"/>
                    </pic:cNvPicPr>
                  </pic:nvPicPr>
                  <pic:blipFill>
                    <a:blip r:embed="rId234">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-16510</wp:posOffset>
            </wp:positionV>
            <wp:extent cx="8890" cy="17145"/>
            <wp:wrapNone/>
            <wp:docPr id="228" name="Picture 2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8"/>
                    <pic:cNvPicPr>
                      <a:picLocks noChangeAspect="1" noChangeArrowheads="1"/>
                    </pic:cNvPicPr>
                  </pic:nvPicPr>
                  <pic:blipFill>
                    <a:blip r:embed="rId235">
                      <a:extLst>
                        <a:ext uri="{28A0092B-C50C-407E-A947-70E740481C1C}"/>
                      </a:extLst>
                    </a:blip>
                    <a:srcRect/>
                    <a:stretch>
                      <a:fillRect/>
                    </a:stretch>
                  </pic:blipFill>
                  <pic:spPr bwMode="auto">
                    <a:xfrm>
                      <a:off x="0" y="0"/>
                      <a:ext cx="8890" cy="17145"/>
                    </a:xfrm>
                    <a:prstGeom prst="rect">
                      <a:avLst/>
                    </a:prstGeom>
                    <a:noFill/>
                  </pic:spPr>
                </pic:pic>
              </a:graphicData>
            </a:graphic>
          </wp:anchor>
        </w:drawing>
      </w:r>
    </w:p>
    <w:p>
      <w:pPr>
        <w:sectPr>
          <w:pgSz w:w="11900" w:h="16838" w:orient="portrait"/>
          <w:cols w:equalWidth="0" w:num="1">
            <w:col w:w="11260"/>
          </w:cols>
          <w:pgMar w:left="320" w:top="337" w:right="319" w:bottom="1440" w:gutter="0" w:footer="0" w:header="0"/>
        </w:sectPr>
      </w:pPr>
    </w:p>
    <w:bookmarkStart w:id="124" w:name="page125"/>
    <w:bookmarkEnd w:id="124"/>
    <w:p>
      <w:pPr>
        <w:jc w:val="both"/>
        <w:ind w:right="20"/>
        <w:spacing w:after="0" w:line="238" w:lineRule="auto"/>
        <w:rPr>
          <w:sz w:val="20"/>
          <w:szCs w:val="20"/>
          <w:color w:val="auto"/>
        </w:rPr>
      </w:pPr>
      <w:r>
        <w:rPr>
          <w:rFonts w:ascii="Arial" w:cs="Arial" w:eastAsia="Arial" w:hAnsi="Arial"/>
          <w:sz w:val="14"/>
          <w:szCs w:val="14"/>
          <w:color w:val="auto"/>
        </w:rPr>
        <w:t>Loans made or Letters of Credit issued hereunder, including all such documented out-of-pocket expenses incurred during any workout, restructuring or negotiations in respect thereof and (iv) and all documented costs, expenses, taxes, assessments and other charges reasonably incurred in connection with any filing, registration, recording or perfection of any security interest contemplated by any Security Document or any other document referred to therein.</w:t>
      </w:r>
    </w:p>
    <w:p>
      <w:pPr>
        <w:spacing w:after="0" w:line="183" w:lineRule="exact"/>
        <w:rPr>
          <w:sz w:val="20"/>
          <w:szCs w:val="20"/>
          <w:color w:val="auto"/>
        </w:rPr>
      </w:pPr>
    </w:p>
    <w:p>
      <w:pPr>
        <w:jc w:val="both"/>
        <w:ind w:right="20" w:firstLine="1735"/>
        <w:spacing w:after="0" w:line="241" w:lineRule="auto"/>
        <w:tabs>
          <w:tab w:leader="none" w:pos="2543" w:val="left"/>
        </w:tabs>
        <w:numPr>
          <w:ilvl w:val="0"/>
          <w:numId w:val="160"/>
        </w:numPr>
        <w:rPr>
          <w:rFonts w:ascii="Arial" w:cs="Arial" w:eastAsia="Arial" w:hAnsi="Arial"/>
          <w:sz w:val="13"/>
          <w:szCs w:val="13"/>
          <w:color w:val="auto"/>
        </w:rPr>
      </w:pPr>
      <w:r>
        <w:rPr>
          <w:rFonts w:ascii="Arial" w:cs="Arial" w:eastAsia="Arial" w:hAnsi="Arial"/>
          <w:sz w:val="13"/>
          <w:szCs w:val="13"/>
          <w:u w:val="single" w:color="auto"/>
          <w:color w:val="auto"/>
        </w:rPr>
        <w:t>Indemnification by the Borrower</w:t>
      </w:r>
      <w:r>
        <w:rPr>
          <w:rFonts w:ascii="Arial" w:cs="Arial" w:eastAsia="Arial" w:hAnsi="Arial"/>
          <w:sz w:val="13"/>
          <w:szCs w:val="13"/>
          <w:color w:val="auto"/>
        </w:rPr>
        <w:t>. The Borrower shall indemnify the Administrative Agent, the Issuing Bank, the Swingline Lender and each Lender, and each Related Party of any of the foregoing Persons (each such Person being called an “</w:t>
      </w:r>
      <w:r>
        <w:rPr>
          <w:rFonts w:ascii="Arial" w:cs="Arial" w:eastAsia="Arial" w:hAnsi="Arial"/>
          <w:sz w:val="13"/>
          <w:szCs w:val="13"/>
          <w:u w:val="single" w:color="auto"/>
          <w:color w:val="auto"/>
        </w:rPr>
        <w:t>Indemnitee</w:t>
      </w:r>
      <w:r>
        <w:rPr>
          <w:rFonts w:ascii="Arial" w:cs="Arial" w:eastAsia="Arial" w:hAnsi="Arial"/>
          <w:sz w:val="13"/>
          <w:szCs w:val="13"/>
          <w:color w:val="auto"/>
        </w:rPr>
        <w:t>”) against, and hold each Indemnitee harmless from, any and all losses, claims, damages, liabilities, actions, judgments, suits, costs, expenses and disbursements of any kind or nature whatsoever (including the reasonable and documented out-of-pocket fees and disbursements of one outside counsel for all Indemnitees (and, if reasonably necessary, of one local counsel in any relevant jurisdiction for all Indemnitees) unless, in the reasonable opinion of an Indemnitee, representation of all Indemnitees by such counsel would be inappropriate due to the existence of an actual or potential conflict of interest) (collectively, “</w:t>
      </w:r>
      <w:r>
        <w:rPr>
          <w:rFonts w:ascii="Arial" w:cs="Arial" w:eastAsia="Arial" w:hAnsi="Arial"/>
          <w:sz w:val="13"/>
          <w:szCs w:val="13"/>
          <w:u w:val="single" w:color="auto"/>
          <w:color w:val="auto"/>
        </w:rPr>
        <w:t>Losses</w:t>
      </w:r>
      <w:r>
        <w:rPr>
          <w:rFonts w:ascii="Arial" w:cs="Arial" w:eastAsia="Arial" w:hAnsi="Arial"/>
          <w:sz w:val="13"/>
          <w:szCs w:val="13"/>
          <w:color w:val="auto"/>
        </w:rPr>
        <w:t xml:space="preserve">”) in connection with any investigative, administrative or judicial proceeding or hearing commenced or threatened by any Person, whether or not any such Indemnitee shall be designated as a party or a potential party thereto, and any fees or expenses incurred by Indemnitees in enforcing this indemnity), whether based on any federal, state or foreign laws, statutes, rules or regulations (including securities and commercial laws, statutes, rules or regulations and laws, statutes, rules or regulations relating to environmental, occupational safety and health or land use matters), on common law or equitable cause or on contract or otherwise and related expenses or disbursements of any kind (other than Taxes or Other Taxes which shall only be indemnified by the Borrower to the extent provided in </w:t>
      </w:r>
      <w:r>
        <w:rPr>
          <w:rFonts w:ascii="Arial" w:cs="Arial" w:eastAsia="Arial" w:hAnsi="Arial"/>
          <w:sz w:val="13"/>
          <w:szCs w:val="13"/>
          <w:u w:val="single" w:color="auto"/>
          <w:color w:val="auto"/>
        </w:rPr>
        <w:t>Section 2.16</w:t>
      </w:r>
      <w:r>
        <w:rPr>
          <w:rFonts w:ascii="Arial" w:cs="Arial" w:eastAsia="Arial" w:hAnsi="Arial"/>
          <w:sz w:val="13"/>
          <w:szCs w:val="13"/>
          <w:color w:val="auto"/>
        </w:rPr>
        <w:t xml:space="preserve">), including the fees, charges and disbursements of counsel for any Indemnitee as specified above, incurred by or asserted against any Indemnitee arising out of, in connection with, or as a result of (i) the execution or delivery of this Agreement or any agreement or instrument contemplated hereby, the performance by the parties hereto of their respective obligations hereunder or the consummation of the Transactions or any other transactions contemplated hereby, (ii) any Loan, Swingline Loan or Letter of Credit or the use of the proceeds therefrom (including any refusal by the Issuing Bank to honor a demand for payment under a Letter of Credit if the documents presented in connection with such demand do not strictly comply with the terms of such Letter of Credit) or (iii) any actual or prospective claim, litigation, investigation or proceeding relating to any of the foregoing, whether based on contract, tort or any other theory and whether brought by the Borrower or a third party and regardless of whether any Indemnitee is a party thereto; </w:t>
      </w:r>
      <w:r>
        <w:rPr>
          <w:rFonts w:ascii="Arial" w:cs="Arial" w:eastAsia="Arial" w:hAnsi="Arial"/>
          <w:sz w:val="13"/>
          <w:szCs w:val="13"/>
          <w:u w:val="single" w:color="auto"/>
          <w:color w:val="auto"/>
        </w:rPr>
        <w:t>provided</w:t>
      </w:r>
      <w:r>
        <w:rPr>
          <w:rFonts w:ascii="Arial" w:cs="Arial" w:eastAsia="Arial" w:hAnsi="Arial"/>
          <w:sz w:val="13"/>
          <w:szCs w:val="13"/>
          <w:color w:val="auto"/>
        </w:rPr>
        <w:t xml:space="preserve"> that such indemnity shall not as to any Indemnitee, be available to the extent that such Losses are (A) determined by a court of competent jurisdiction by final and nonappealable judgment to have resulted from the willful misconduct or gross negligence of such Indemnitee or its Related Parties, (B) result from the settlement of any such claim, investigation, litigation or other proceedings described in </w:t>
      </w:r>
      <w:r>
        <w:rPr>
          <w:rFonts w:ascii="Arial" w:cs="Arial" w:eastAsia="Arial" w:hAnsi="Arial"/>
          <w:sz w:val="13"/>
          <w:szCs w:val="13"/>
          <w:u w:val="single" w:color="auto"/>
          <w:color w:val="auto"/>
        </w:rPr>
        <w:t>clause (iii)</w:t>
      </w:r>
      <w:r>
        <w:rPr>
          <w:rFonts w:ascii="Arial" w:cs="Arial" w:eastAsia="Arial" w:hAnsi="Arial"/>
          <w:sz w:val="13"/>
          <w:szCs w:val="13"/>
          <w:color w:val="auto"/>
        </w:rPr>
        <w:t xml:space="preserve"> above unless the Borrower has consented to such settlement (which consent shall not be unreasonably withheld or delayed (provided that nothing in this </w:t>
      </w:r>
      <w:r>
        <w:rPr>
          <w:rFonts w:ascii="Arial" w:cs="Arial" w:eastAsia="Arial" w:hAnsi="Arial"/>
          <w:sz w:val="13"/>
          <w:szCs w:val="13"/>
          <w:u w:val="single" w:color="auto"/>
          <w:color w:val="auto"/>
        </w:rPr>
        <w:t>clause (B)</w:t>
      </w:r>
      <w:r>
        <w:rPr>
          <w:rFonts w:ascii="Arial" w:cs="Arial" w:eastAsia="Arial" w:hAnsi="Arial"/>
          <w:sz w:val="13"/>
          <w:szCs w:val="13"/>
          <w:color w:val="auto"/>
        </w:rPr>
        <w:t xml:space="preserve"> shall restrict the right of any person to settle any claim for which it has waived its right of indemnity by the Borrower) or (C) result from disputes solely among Indemnitees and not involving any act or omission of an Obligor or any of Affiliate thereof (other than any dispute against the Administrative Agent in its capacity as such). Notwithstanding the foregoing, it is understood and agreed that indemnification for Taxes is subject to the provisions of </w:t>
      </w:r>
      <w:r>
        <w:rPr>
          <w:rFonts w:ascii="Arial" w:cs="Arial" w:eastAsia="Arial" w:hAnsi="Arial"/>
          <w:sz w:val="13"/>
          <w:szCs w:val="13"/>
          <w:u w:val="single" w:color="auto"/>
          <w:color w:val="auto"/>
        </w:rPr>
        <w:t>Section</w:t>
      </w:r>
      <w:r>
        <w:rPr>
          <w:rFonts w:ascii="Arial" w:cs="Arial" w:eastAsia="Arial" w:hAnsi="Arial"/>
          <w:sz w:val="13"/>
          <w:szCs w:val="13"/>
          <w:color w:val="auto"/>
        </w:rPr>
        <w:t xml:space="preserve"> </w:t>
      </w:r>
      <w:r>
        <w:rPr>
          <w:rFonts w:ascii="Arial" w:cs="Arial" w:eastAsia="Arial" w:hAnsi="Arial"/>
          <w:sz w:val="13"/>
          <w:szCs w:val="13"/>
          <w:u w:val="single" w:color="auto"/>
          <w:color w:val="auto"/>
        </w:rPr>
        <w:t>2.16</w:t>
      </w:r>
      <w:r>
        <w:rPr>
          <w:rFonts w:ascii="Arial" w:cs="Arial" w:eastAsia="Arial" w:hAnsi="Arial"/>
          <w:sz w:val="13"/>
          <w:szCs w:val="13"/>
          <w:color w:val="auto"/>
        </w:rPr>
        <w:t>.</w:t>
      </w:r>
    </w:p>
    <w:p>
      <w:pPr>
        <w:spacing w:after="0" w:line="332" w:lineRule="exact"/>
        <w:rPr>
          <w:rFonts w:ascii="Arial" w:cs="Arial" w:eastAsia="Arial" w:hAnsi="Arial"/>
          <w:sz w:val="13"/>
          <w:szCs w:val="13"/>
          <w:color w:val="auto"/>
        </w:rPr>
      </w:pPr>
    </w:p>
    <w:p>
      <w:pPr>
        <w:jc w:val="both"/>
        <w:ind w:right="20" w:firstLine="1735"/>
        <w:spacing w:after="0" w:line="231" w:lineRule="auto"/>
        <w:tabs>
          <w:tab w:leader="none" w:pos="2535" w:val="left"/>
        </w:tabs>
        <w:numPr>
          <w:ilvl w:val="0"/>
          <w:numId w:val="160"/>
        </w:numPr>
        <w:rPr>
          <w:rFonts w:ascii="Arial" w:cs="Arial" w:eastAsia="Arial" w:hAnsi="Arial"/>
          <w:sz w:val="14"/>
          <w:szCs w:val="14"/>
          <w:color w:val="auto"/>
        </w:rPr>
      </w:pPr>
      <w:r>
        <w:rPr>
          <w:rFonts w:ascii="Arial" w:cs="Arial" w:eastAsia="Arial" w:hAnsi="Arial"/>
          <w:sz w:val="14"/>
          <w:szCs w:val="14"/>
          <w:color w:val="auto"/>
        </w:rPr>
        <w:t xml:space="preserve">The Borrower shall not be liable to any Indemnitee for any special, indirect, consequential or punitive Losses (as opposed to direct or actual damages (which may include special, indirect, consequential or punitive Losses asserted against any such party hereto by a third party)) arising out of, in connection with, or as a result of this Agreement or any agreement or instrument contemplated hereby, the Transactions, any Loan or Letter of Credit or the use of proceeds thereof, asserted by an Indemnitee against the Borrower or any other Obligor ; </w:t>
      </w:r>
      <w:r>
        <w:rPr>
          <w:rFonts w:ascii="Arial" w:cs="Arial" w:eastAsia="Arial" w:hAnsi="Arial"/>
          <w:sz w:val="14"/>
          <w:szCs w:val="14"/>
          <w:u w:val="single" w:color="auto"/>
          <w:color w:val="auto"/>
        </w:rPr>
        <w:t>provided</w:t>
      </w:r>
      <w:r>
        <w:rPr>
          <w:rFonts w:ascii="Arial" w:cs="Arial" w:eastAsia="Arial" w:hAnsi="Arial"/>
          <w:sz w:val="14"/>
          <w:szCs w:val="14"/>
          <w:color w:val="auto"/>
        </w:rPr>
        <w:t xml:space="preserve"> that the foregoing limitation shall not be deemed to impair or affect the obligations of the Borrower under the preceding provisions of this subsection with respect to Losses not expressly described in the foregoing limitation.</w:t>
      </w:r>
    </w:p>
    <w:p>
      <w:pPr>
        <w:spacing w:after="0" w:line="183" w:lineRule="exact"/>
        <w:rPr>
          <w:rFonts w:ascii="Arial" w:cs="Arial" w:eastAsia="Arial" w:hAnsi="Arial"/>
          <w:sz w:val="14"/>
          <w:szCs w:val="14"/>
          <w:color w:val="auto"/>
        </w:rPr>
      </w:pPr>
    </w:p>
    <w:p>
      <w:pPr>
        <w:jc w:val="both"/>
        <w:ind w:right="20" w:firstLine="1735"/>
        <w:spacing w:after="0" w:line="231" w:lineRule="auto"/>
        <w:tabs>
          <w:tab w:leader="none" w:pos="2543" w:val="left"/>
        </w:tabs>
        <w:numPr>
          <w:ilvl w:val="0"/>
          <w:numId w:val="160"/>
        </w:numPr>
        <w:rPr>
          <w:rFonts w:ascii="Arial" w:cs="Arial" w:eastAsia="Arial" w:hAnsi="Arial"/>
          <w:sz w:val="14"/>
          <w:szCs w:val="14"/>
          <w:color w:val="auto"/>
        </w:rPr>
      </w:pPr>
      <w:r>
        <w:rPr>
          <w:rFonts w:ascii="Arial" w:cs="Arial" w:eastAsia="Arial" w:hAnsi="Arial"/>
          <w:sz w:val="14"/>
          <w:szCs w:val="14"/>
          <w:u w:val="single" w:color="auto"/>
          <w:color w:val="auto"/>
        </w:rPr>
        <w:t>Reimbursement by Lenders</w:t>
      </w:r>
      <w:r>
        <w:rPr>
          <w:rFonts w:ascii="Arial" w:cs="Arial" w:eastAsia="Arial" w:hAnsi="Arial"/>
          <w:sz w:val="14"/>
          <w:szCs w:val="14"/>
          <w:color w:val="auto"/>
        </w:rPr>
        <w:t xml:space="preserve">. To the extent that the Borrower fails to pay any amount required to be paid by it to the Administrative Agent, the Issuing Bank or the Swingline Lender under </w:t>
      </w:r>
      <w:r>
        <w:rPr>
          <w:rFonts w:ascii="Arial" w:cs="Arial" w:eastAsia="Arial" w:hAnsi="Arial"/>
          <w:sz w:val="14"/>
          <w:szCs w:val="14"/>
          <w:u w:val="single" w:color="auto"/>
          <w:color w:val="auto"/>
        </w:rPr>
        <w:t>paragraph (a)</w:t>
      </w:r>
      <w:r>
        <w:rPr>
          <w:rFonts w:ascii="Arial" w:cs="Arial" w:eastAsia="Arial" w:hAnsi="Arial"/>
          <w:sz w:val="14"/>
          <w:szCs w:val="14"/>
          <w:color w:val="auto"/>
        </w:rPr>
        <w:t xml:space="preserve"> or </w:t>
      </w:r>
      <w:r>
        <w:rPr>
          <w:rFonts w:ascii="Arial" w:cs="Arial" w:eastAsia="Arial" w:hAnsi="Arial"/>
          <w:sz w:val="14"/>
          <w:szCs w:val="14"/>
          <w:u w:val="single" w:color="auto"/>
          <w:color w:val="auto"/>
        </w:rPr>
        <w:t>(b)</w:t>
      </w:r>
      <w:r>
        <w:rPr>
          <w:rFonts w:ascii="Arial" w:cs="Arial" w:eastAsia="Arial" w:hAnsi="Arial"/>
          <w:sz w:val="14"/>
          <w:szCs w:val="14"/>
          <w:color w:val="auto"/>
        </w:rPr>
        <w:t xml:space="preserve"> of this Section, each Lender severally agrees to pay to the Administrative Agent, the Issuing Bank or the Swingline Lender, as the case may be, such Lender’s Applicable Percentage (determined as of the time that the applicable unreimbursed expense or indemnity payment is sought) of such unpaid amount; </w:t>
      </w:r>
      <w:r>
        <w:rPr>
          <w:rFonts w:ascii="Arial" w:cs="Arial" w:eastAsia="Arial" w:hAnsi="Arial"/>
          <w:sz w:val="14"/>
          <w:szCs w:val="14"/>
          <w:u w:val="single" w:color="auto"/>
          <w:color w:val="auto"/>
        </w:rPr>
        <w:t>provided</w:t>
      </w:r>
      <w:r>
        <w:rPr>
          <w:rFonts w:ascii="Arial" w:cs="Arial" w:eastAsia="Arial" w:hAnsi="Arial"/>
          <w:sz w:val="14"/>
          <w:szCs w:val="14"/>
          <w:color w:val="auto"/>
        </w:rPr>
        <w:t xml:space="preserve"> that the unreimbursed expense or indemnified loss, claim, damage, liability or related expense, as the case may be, was incurred by or asserted against the Administrative Agent, the Issuing Bank or the Swingline Lender in its capacity as such.</w:t>
      </w:r>
    </w:p>
    <w:p>
      <w:pPr>
        <w:spacing w:after="0" w:line="183" w:lineRule="exact"/>
        <w:rPr>
          <w:rFonts w:ascii="Arial" w:cs="Arial" w:eastAsia="Arial" w:hAnsi="Arial"/>
          <w:sz w:val="14"/>
          <w:szCs w:val="14"/>
          <w:color w:val="auto"/>
        </w:rPr>
      </w:pPr>
    </w:p>
    <w:p>
      <w:pPr>
        <w:jc w:val="both"/>
        <w:ind w:right="20" w:firstLine="1735"/>
        <w:spacing w:after="0" w:line="248" w:lineRule="auto"/>
        <w:tabs>
          <w:tab w:leader="none" w:pos="2535" w:val="left"/>
        </w:tabs>
        <w:numPr>
          <w:ilvl w:val="0"/>
          <w:numId w:val="160"/>
        </w:numPr>
        <w:rPr>
          <w:rFonts w:ascii="Arial" w:cs="Arial" w:eastAsia="Arial" w:hAnsi="Arial"/>
          <w:sz w:val="13"/>
          <w:szCs w:val="13"/>
          <w:color w:val="auto"/>
        </w:rPr>
      </w:pPr>
      <w:r>
        <w:rPr>
          <w:rFonts w:ascii="Arial" w:cs="Arial" w:eastAsia="Arial" w:hAnsi="Arial"/>
          <w:sz w:val="13"/>
          <w:szCs w:val="13"/>
          <w:u w:val="single" w:color="auto"/>
          <w:color w:val="auto"/>
        </w:rPr>
        <w:t>Waiver of Consequential Damages, Etc</w:t>
      </w:r>
      <w:r>
        <w:rPr>
          <w:rFonts w:ascii="Arial" w:cs="Arial" w:eastAsia="Arial" w:hAnsi="Arial"/>
          <w:sz w:val="13"/>
          <w:szCs w:val="13"/>
          <w:color w:val="auto"/>
        </w:rPr>
        <w:t>. To the extent permitted by applicable law, the Borrower shall not assert, and hereby waives, any claim against any Indemnitee, on any theory of liability, for special, indirect, consequential or punitive damages (as opposed to direct or actual damages) arising out of, in connection with, or as a result of; this Agreement or any agreement or instrument contemplated hereby, the Transactions, any Loan or Letter of Credit or the use of the proceeds thereof. No Indemnitee shall be liable for any damages arising from the use by unintended recipients of any information or other materials distributed by it through telecommunications, electronic or other information transmission systems in connection with this Agreement or the other Loan Documents or the transactions contemplated hereby or thereby, except to the extent caused by the willful misconduct or gross negligence of such Indemnitee or its Related Parties, as determined by a final, non-appealable judgment of a court of competent jurisdiction.</w:t>
      </w:r>
    </w:p>
    <w:p>
      <w:pPr>
        <w:spacing w:after="0" w:line="180" w:lineRule="exact"/>
        <w:rPr>
          <w:rFonts w:ascii="Arial" w:cs="Arial" w:eastAsia="Arial" w:hAnsi="Arial"/>
          <w:sz w:val="13"/>
          <w:szCs w:val="13"/>
          <w:color w:val="auto"/>
        </w:rPr>
      </w:pPr>
    </w:p>
    <w:p>
      <w:pPr>
        <w:ind w:left="2520" w:hanging="785"/>
        <w:spacing w:after="0"/>
        <w:tabs>
          <w:tab w:leader="none" w:pos="2520" w:val="left"/>
        </w:tabs>
        <w:numPr>
          <w:ilvl w:val="0"/>
          <w:numId w:val="160"/>
        </w:numPr>
        <w:rPr>
          <w:rFonts w:ascii="Arial" w:cs="Arial" w:eastAsia="Arial" w:hAnsi="Arial"/>
          <w:sz w:val="14"/>
          <w:szCs w:val="14"/>
          <w:color w:val="auto"/>
        </w:rPr>
      </w:pPr>
      <w:r>
        <w:rPr>
          <w:rFonts w:ascii="Arial" w:cs="Arial" w:eastAsia="Arial" w:hAnsi="Arial"/>
          <w:sz w:val="14"/>
          <w:szCs w:val="14"/>
          <w:u w:val="single" w:color="auto"/>
          <w:color w:val="auto"/>
        </w:rPr>
        <w:t>Payments</w:t>
      </w:r>
      <w:r>
        <w:rPr>
          <w:rFonts w:ascii="Arial" w:cs="Arial" w:eastAsia="Arial" w:hAnsi="Arial"/>
          <w:sz w:val="14"/>
          <w:szCs w:val="14"/>
          <w:color w:val="auto"/>
        </w:rPr>
        <w:t>. All amounts due under this Section shall be payable promptly after written demand therefor.</w:t>
      </w:r>
    </w:p>
    <w:p>
      <w:pPr>
        <w:spacing w:after="0" w:line="204" w:lineRule="exact"/>
        <w:rPr>
          <w:sz w:val="20"/>
          <w:szCs w:val="20"/>
          <w:color w:val="auto"/>
        </w:rPr>
      </w:pPr>
    </w:p>
    <w:p>
      <w:pPr>
        <w:ind w:left="1740"/>
        <w:spacing w:after="0"/>
        <w:rPr>
          <w:sz w:val="20"/>
          <w:szCs w:val="20"/>
          <w:color w:val="auto"/>
        </w:rPr>
      </w:pPr>
      <w:r>
        <w:rPr>
          <w:rFonts w:ascii="Arial" w:cs="Arial" w:eastAsia="Arial" w:hAnsi="Arial"/>
          <w:sz w:val="14"/>
          <w:szCs w:val="14"/>
          <w:color w:val="auto"/>
        </w:rPr>
        <w:t xml:space="preserve">SECTION 9.04. </w:t>
      </w:r>
      <w:r>
        <w:rPr>
          <w:rFonts w:ascii="Arial" w:cs="Arial" w:eastAsia="Arial" w:hAnsi="Arial"/>
          <w:sz w:val="14"/>
          <w:szCs w:val="14"/>
          <w:u w:val="single" w:color="auto"/>
          <w:color w:val="auto"/>
        </w:rPr>
        <w:t>Successors and Assigns</w:t>
      </w:r>
      <w:r>
        <w:rPr>
          <w:rFonts w:ascii="Arial" w:cs="Arial" w:eastAsia="Arial" w:hAnsi="Arial"/>
          <w:sz w:val="14"/>
          <w:szCs w:val="14"/>
          <w:color w:val="auto"/>
        </w:rPr>
        <w:t>.</w:t>
      </w:r>
    </w:p>
    <w:p>
      <w:pPr>
        <w:spacing w:after="0" w:line="204" w:lineRule="exact"/>
        <w:rPr>
          <w:sz w:val="20"/>
          <w:szCs w:val="20"/>
          <w:color w:val="auto"/>
        </w:rPr>
      </w:pPr>
    </w:p>
    <w:p>
      <w:pPr>
        <w:jc w:val="both"/>
        <w:ind w:right="20" w:firstLine="1735"/>
        <w:spacing w:after="0" w:line="229" w:lineRule="auto"/>
        <w:tabs>
          <w:tab w:leader="none" w:pos="2535" w:val="left"/>
        </w:tabs>
        <w:numPr>
          <w:ilvl w:val="0"/>
          <w:numId w:val="161"/>
        </w:numPr>
        <w:rPr>
          <w:rFonts w:ascii="Arial" w:cs="Arial" w:eastAsia="Arial" w:hAnsi="Arial"/>
          <w:sz w:val="14"/>
          <w:szCs w:val="14"/>
          <w:color w:val="auto"/>
        </w:rPr>
      </w:pPr>
      <w:r>
        <w:rPr>
          <w:rFonts w:ascii="Arial" w:cs="Arial" w:eastAsia="Arial" w:hAnsi="Arial"/>
          <w:sz w:val="14"/>
          <w:szCs w:val="14"/>
          <w:u w:val="single" w:color="auto"/>
          <w:color w:val="auto"/>
        </w:rPr>
        <w:t>Assignments Generally</w:t>
      </w:r>
      <w:r>
        <w:rPr>
          <w:rFonts w:ascii="Arial" w:cs="Arial" w:eastAsia="Arial" w:hAnsi="Arial"/>
          <w:sz w:val="14"/>
          <w:szCs w:val="14"/>
          <w:color w:val="auto"/>
        </w:rPr>
        <w:t>. The provisions of this Agreement shall be binding upon and inure to the benefit of the parties hereto and their respective successors and assigns permitted hereby (including any Affiliate of the Issuing Bank that issues any Letter of Credit), except that (i) the Borrower may not assign or otherwise transfer any of its rights or obligations hereunder without the prior written consent of each Lender (and any attempted assignment or transfer by the Borrower without such consent shall be null and void) and (ii) no Lender may assign or otherwise transfer its rights or obligations hereunder except in accordance with this Section. Nothing in this Agreement, expressed or implied, shall be construed to confer upon any Person (other than the parties hereto, their respective successors and assigns permitted hereby (including any Affiliate of the Issuing Bank that issues any Letter of Credit) and, to the extent expressly contemplated hereby,</w:t>
      </w:r>
    </w:p>
    <w:p>
      <w:pPr>
        <w:spacing w:after="0" w:line="200" w:lineRule="exact"/>
        <w:rPr>
          <w:sz w:val="20"/>
          <w:szCs w:val="20"/>
          <w:color w:val="auto"/>
        </w:rPr>
      </w:pPr>
    </w:p>
    <w:p>
      <w:pPr>
        <w:spacing w:after="0" w:line="200" w:lineRule="exact"/>
        <w:rPr>
          <w:sz w:val="20"/>
          <w:szCs w:val="20"/>
          <w:color w:val="auto"/>
        </w:rPr>
      </w:pPr>
    </w:p>
    <w:p>
      <w:pPr>
        <w:spacing w:after="0" w:line="20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7580" w:type="dxa"/>
            <w:vAlign w:val="bottom"/>
          </w:tcPr>
          <w:p>
            <w:pPr>
              <w:jc w:val="right"/>
              <w:ind w:right="1808"/>
              <w:spacing w:after="0"/>
              <w:rPr>
                <w:sz w:val="20"/>
                <w:szCs w:val="20"/>
                <w:color w:val="auto"/>
              </w:rPr>
            </w:pPr>
            <w:r>
              <w:rPr>
                <w:rFonts w:ascii="Arial" w:cs="Arial" w:eastAsia="Arial" w:hAnsi="Arial"/>
                <w:sz w:val="14"/>
                <w:szCs w:val="14"/>
                <w:color w:val="auto"/>
              </w:rPr>
              <w:t>62</w:t>
            </w:r>
          </w:p>
        </w:tc>
        <w:tc>
          <w:tcPr>
            <w:tcW w:w="3680" w:type="dxa"/>
            <w:vAlign w:val="bottom"/>
          </w:tcPr>
          <w:p>
            <w:pPr>
              <w:jc w:val="right"/>
              <w:spacing w:after="0"/>
              <w:rPr>
                <w:sz w:val="20"/>
                <w:szCs w:val="20"/>
                <w:color w:val="auto"/>
              </w:rPr>
            </w:pPr>
            <w:r>
              <w:rPr>
                <w:rFonts w:ascii="Arial" w:cs="Arial" w:eastAsia="Arial" w:hAnsi="Arial"/>
                <w:sz w:val="14"/>
                <w:szCs w:val="14"/>
                <w:i w:val="1"/>
                <w:iCs w:val="1"/>
                <w:color w:val="auto"/>
              </w:rPr>
              <w:t>Second Amended and Restated</w:t>
            </w:r>
          </w:p>
        </w:tc>
      </w:tr>
      <w:tr>
        <w:trPr>
          <w:trHeight w:val="182"/>
        </w:trPr>
        <w:tc>
          <w:tcPr>
            <w:tcW w:w="7580" w:type="dxa"/>
            <w:vAlign w:val="bottom"/>
          </w:tcPr>
          <w:p>
            <w:pPr>
              <w:spacing w:after="0"/>
              <w:rPr>
                <w:sz w:val="15"/>
                <w:szCs w:val="15"/>
                <w:color w:val="auto"/>
              </w:rPr>
            </w:pPr>
          </w:p>
        </w:tc>
        <w:tc>
          <w:tcPr>
            <w:tcW w:w="3680" w:type="dxa"/>
            <w:vAlign w:val="bottom"/>
          </w:tcPr>
          <w:p>
            <w:pPr>
              <w:jc w:val="right"/>
              <w:spacing w:after="0"/>
              <w:rPr>
                <w:sz w:val="20"/>
                <w:szCs w:val="20"/>
                <w:color w:val="auto"/>
              </w:rPr>
            </w:pPr>
            <w:r>
              <w:rPr>
                <w:rFonts w:ascii="Arial" w:cs="Arial" w:eastAsia="Arial" w:hAnsi="Arial"/>
                <w:sz w:val="14"/>
                <w:szCs w:val="14"/>
                <w:i w:val="1"/>
                <w:iCs w:val="1"/>
                <w:color w:val="auto"/>
              </w:rPr>
              <w:t>Revolving Credit Agreement</w:t>
            </w:r>
          </w:p>
        </w:tc>
      </w:tr>
      <w:tr>
        <w:trPr>
          <w:trHeight w:val="316"/>
        </w:trPr>
        <w:tc>
          <w:tcPr>
            <w:tcW w:w="7580" w:type="dxa"/>
            <w:vAlign w:val="bottom"/>
            <w:tcBorders>
              <w:bottom w:val="single" w:sz="8" w:color="9A9A9A"/>
            </w:tcBorders>
          </w:tcPr>
          <w:p>
            <w:pPr>
              <w:spacing w:after="0"/>
              <w:rPr>
                <w:sz w:val="24"/>
                <w:szCs w:val="24"/>
                <w:color w:val="auto"/>
              </w:rPr>
            </w:pPr>
          </w:p>
        </w:tc>
        <w:tc>
          <w:tcPr>
            <w:tcW w:w="368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7145655</wp:posOffset>
            </wp:positionH>
            <wp:positionV relativeFrom="paragraph">
              <wp:posOffset>-7620</wp:posOffset>
            </wp:positionV>
            <wp:extent cx="8255" cy="8255"/>
            <wp:wrapNone/>
            <wp:docPr id="229" name="Picture 2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9"/>
                    <pic:cNvPicPr>
                      <a:picLocks noChangeAspect="1" noChangeArrowheads="1"/>
                    </pic:cNvPicPr>
                  </pic:nvPicPr>
                  <pic:blipFill>
                    <a:blip r:embed="rId236">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-16510</wp:posOffset>
            </wp:positionV>
            <wp:extent cx="8890" cy="17145"/>
            <wp:wrapNone/>
            <wp:docPr id="230" name="Picture 2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0"/>
                    <pic:cNvPicPr>
                      <a:picLocks noChangeAspect="1" noChangeArrowheads="1"/>
                    </pic:cNvPicPr>
                  </pic:nvPicPr>
                  <pic:blipFill>
                    <a:blip r:embed="rId237">
                      <a:extLst>
                        <a:ext uri="{28A0092B-C50C-407E-A947-70E740481C1C}"/>
                      </a:extLst>
                    </a:blip>
                    <a:srcRect/>
                    <a:stretch>
                      <a:fillRect/>
                    </a:stretch>
                  </pic:blipFill>
                  <pic:spPr bwMode="auto">
                    <a:xfrm>
                      <a:off x="0" y="0"/>
                      <a:ext cx="8890" cy="17145"/>
                    </a:xfrm>
                    <a:prstGeom prst="rect">
                      <a:avLst/>
                    </a:prstGeom>
                    <a:noFill/>
                  </pic:spPr>
                </pic:pic>
              </a:graphicData>
            </a:graphic>
          </wp:anchor>
        </w:drawing>
      </w:r>
    </w:p>
    <w:p>
      <w:pPr>
        <w:sectPr>
          <w:pgSz w:w="11900" w:h="16838" w:orient="portrait"/>
          <w:cols w:equalWidth="0" w:num="1">
            <w:col w:w="11260"/>
          </w:cols>
          <w:pgMar w:left="320" w:top="337" w:right="319" w:bottom="1440" w:gutter="0" w:footer="0" w:header="0"/>
        </w:sectPr>
      </w:pPr>
    </w:p>
    <w:bookmarkStart w:id="125" w:name="page126"/>
    <w:bookmarkEnd w:id="125"/>
    <w:p>
      <w:pPr>
        <w:spacing w:after="0"/>
        <w:rPr>
          <w:sz w:val="20"/>
          <w:szCs w:val="20"/>
          <w:color w:val="auto"/>
        </w:rPr>
      </w:pPr>
      <w:r>
        <w:rPr>
          <w:rFonts w:ascii="Arial" w:cs="Arial" w:eastAsia="Arial" w:hAnsi="Arial"/>
          <w:sz w:val="14"/>
          <w:szCs w:val="14"/>
          <w:color w:val="auto"/>
        </w:rPr>
        <w:t>the Related Parties of each of the Administrative Agent, the Issuing Bank and the Lenders) any legal or equitable right, remedy or claim under or by reason of this Agreement.</w:t>
      </w:r>
    </w:p>
    <w:p>
      <w:pPr>
        <w:spacing w:after="0" w:line="204" w:lineRule="exact"/>
        <w:rPr>
          <w:sz w:val="20"/>
          <w:szCs w:val="20"/>
          <w:color w:val="auto"/>
        </w:rPr>
      </w:pPr>
    </w:p>
    <w:p>
      <w:pPr>
        <w:ind w:left="2560" w:hanging="825"/>
        <w:spacing w:after="0"/>
        <w:tabs>
          <w:tab w:leader="none" w:pos="2560" w:val="left"/>
        </w:tabs>
        <w:numPr>
          <w:ilvl w:val="1"/>
          <w:numId w:val="162"/>
        </w:numPr>
        <w:rPr>
          <w:rFonts w:ascii="Arial" w:cs="Arial" w:eastAsia="Arial" w:hAnsi="Arial"/>
          <w:sz w:val="14"/>
          <w:szCs w:val="14"/>
          <w:color w:val="auto"/>
        </w:rPr>
      </w:pPr>
      <w:r>
        <w:rPr>
          <w:rFonts w:ascii="Arial" w:cs="Arial" w:eastAsia="Arial" w:hAnsi="Arial"/>
          <w:sz w:val="14"/>
          <w:szCs w:val="14"/>
          <w:u w:val="single" w:color="auto"/>
          <w:color w:val="auto"/>
        </w:rPr>
        <w:t>Assignments by Lenders</w:t>
      </w:r>
      <w:r>
        <w:rPr>
          <w:rFonts w:ascii="Arial" w:cs="Arial" w:eastAsia="Arial" w:hAnsi="Arial"/>
          <w:sz w:val="14"/>
          <w:szCs w:val="14"/>
          <w:color w:val="auto"/>
        </w:rPr>
        <w:t>.</w:t>
      </w:r>
    </w:p>
    <w:p>
      <w:pPr>
        <w:spacing w:after="0" w:line="203" w:lineRule="exact"/>
        <w:rPr>
          <w:rFonts w:ascii="Arial" w:cs="Arial" w:eastAsia="Arial" w:hAnsi="Arial"/>
          <w:sz w:val="14"/>
          <w:szCs w:val="14"/>
          <w:color w:val="auto"/>
        </w:rPr>
      </w:pPr>
    </w:p>
    <w:p>
      <w:pPr>
        <w:jc w:val="both"/>
        <w:ind w:left="880" w:right="20" w:firstLine="789"/>
        <w:spacing w:after="0" w:line="233" w:lineRule="auto"/>
        <w:tabs>
          <w:tab w:leader="none" w:pos="2461" w:val="left"/>
        </w:tabs>
        <w:numPr>
          <w:ilvl w:val="0"/>
          <w:numId w:val="163"/>
        </w:numPr>
        <w:rPr>
          <w:rFonts w:ascii="Arial" w:cs="Arial" w:eastAsia="Arial" w:hAnsi="Arial"/>
          <w:sz w:val="14"/>
          <w:szCs w:val="14"/>
          <w:color w:val="auto"/>
        </w:rPr>
      </w:pPr>
      <w:r>
        <w:rPr>
          <w:rFonts w:ascii="Arial" w:cs="Arial" w:eastAsia="Arial" w:hAnsi="Arial"/>
          <w:sz w:val="14"/>
          <w:szCs w:val="14"/>
          <w:u w:val="single" w:color="auto"/>
          <w:color w:val="auto"/>
        </w:rPr>
        <w:t>Assignments Generally</w:t>
      </w:r>
      <w:r>
        <w:rPr>
          <w:rFonts w:ascii="Arial" w:cs="Arial" w:eastAsia="Arial" w:hAnsi="Arial"/>
          <w:sz w:val="14"/>
          <w:szCs w:val="14"/>
          <w:color w:val="auto"/>
        </w:rPr>
        <w:t xml:space="preserve">. Subject to the conditions set forth in </w:t>
      </w:r>
      <w:r>
        <w:rPr>
          <w:rFonts w:ascii="Arial" w:cs="Arial" w:eastAsia="Arial" w:hAnsi="Arial"/>
          <w:sz w:val="14"/>
          <w:szCs w:val="14"/>
          <w:u w:val="single" w:color="auto"/>
          <w:color w:val="auto"/>
        </w:rPr>
        <w:t>clause (ii)</w:t>
      </w:r>
      <w:r>
        <w:rPr>
          <w:rFonts w:ascii="Arial" w:cs="Arial" w:eastAsia="Arial" w:hAnsi="Arial"/>
          <w:sz w:val="14"/>
          <w:szCs w:val="14"/>
          <w:color w:val="auto"/>
        </w:rPr>
        <w:t xml:space="preserve"> below, any Lender may assign to one or more assignees (other than natural persons, any Defaulting Lender or any Person listed in the Prohibited Assignees and Participants Side Letter) all or a portion of its rights and obligations under this Agreement (including all or a portion of its Commitments and the Loans and LC Exposure at the time owing to it) with the prior written consent (such consent not to be unreasonably withheld or delayed) of:</w:t>
      </w:r>
    </w:p>
    <w:p>
      <w:pPr>
        <w:spacing w:after="0" w:line="184" w:lineRule="exact"/>
        <w:rPr>
          <w:rFonts w:ascii="Arial" w:cs="Arial" w:eastAsia="Arial" w:hAnsi="Arial"/>
          <w:sz w:val="14"/>
          <w:szCs w:val="14"/>
          <w:color w:val="auto"/>
        </w:rPr>
      </w:pPr>
    </w:p>
    <w:p>
      <w:pPr>
        <w:jc w:val="both"/>
        <w:ind w:left="1740" w:right="20" w:firstLine="726"/>
        <w:spacing w:after="0" w:line="264" w:lineRule="auto"/>
        <w:tabs>
          <w:tab w:leader="none" w:pos="3318" w:val="left"/>
        </w:tabs>
        <w:numPr>
          <w:ilvl w:val="2"/>
          <w:numId w:val="163"/>
        </w:numPr>
        <w:rPr>
          <w:rFonts w:ascii="Arial" w:cs="Arial" w:eastAsia="Arial" w:hAnsi="Arial"/>
          <w:sz w:val="13"/>
          <w:szCs w:val="13"/>
          <w:color w:val="auto"/>
        </w:rPr>
      </w:pPr>
      <w:r>
        <w:rPr>
          <w:rFonts w:ascii="Arial" w:cs="Arial" w:eastAsia="Arial" w:hAnsi="Arial"/>
          <w:sz w:val="13"/>
          <w:szCs w:val="13"/>
          <w:color w:val="auto"/>
        </w:rPr>
        <w:t xml:space="preserve">the Borrower; </w:t>
      </w:r>
      <w:r>
        <w:rPr>
          <w:rFonts w:ascii="Arial" w:cs="Arial" w:eastAsia="Arial" w:hAnsi="Arial"/>
          <w:sz w:val="13"/>
          <w:szCs w:val="13"/>
          <w:u w:val="single" w:color="auto"/>
          <w:color w:val="auto"/>
        </w:rPr>
        <w:t>provided</w:t>
      </w:r>
      <w:r>
        <w:rPr>
          <w:rFonts w:ascii="Arial" w:cs="Arial" w:eastAsia="Arial" w:hAnsi="Arial"/>
          <w:sz w:val="13"/>
          <w:szCs w:val="13"/>
          <w:color w:val="auto"/>
        </w:rPr>
        <w:t xml:space="preserve"> that no consent of the Borrower shall be required for an assignment to a Lender, an Affiliate of a Lender, or, if an Event of Default has occurred and is continuing, any other assignee; </w:t>
      </w:r>
      <w:r>
        <w:rPr>
          <w:rFonts w:ascii="Arial" w:cs="Arial" w:eastAsia="Arial" w:hAnsi="Arial"/>
          <w:sz w:val="13"/>
          <w:szCs w:val="13"/>
          <w:u w:val="single" w:color="auto"/>
          <w:color w:val="auto"/>
        </w:rPr>
        <w:t>provided</w:t>
      </w:r>
      <w:r>
        <w:rPr>
          <w:rFonts w:ascii="Arial" w:cs="Arial" w:eastAsia="Arial" w:hAnsi="Arial"/>
          <w:sz w:val="13"/>
          <w:szCs w:val="13"/>
          <w:color w:val="auto"/>
        </w:rPr>
        <w:t xml:space="preserve">, </w:t>
      </w:r>
      <w:r>
        <w:rPr>
          <w:rFonts w:ascii="Arial" w:cs="Arial" w:eastAsia="Arial" w:hAnsi="Arial"/>
          <w:sz w:val="13"/>
          <w:szCs w:val="13"/>
          <w:u w:val="single" w:color="auto"/>
          <w:color w:val="auto"/>
        </w:rPr>
        <w:t>further</w:t>
      </w:r>
      <w:r>
        <w:rPr>
          <w:rFonts w:ascii="Arial" w:cs="Arial" w:eastAsia="Arial" w:hAnsi="Arial"/>
          <w:sz w:val="13"/>
          <w:szCs w:val="13"/>
          <w:color w:val="auto"/>
        </w:rPr>
        <w:t>, that the Borrower shall be deemed to have consented to any such assignment unless it shall have objected thereto by written notice to the Administrative Agent within five Business Days after having received notice thereof; and</w:t>
      </w:r>
    </w:p>
    <w:p>
      <w:pPr>
        <w:spacing w:after="0" w:line="168" w:lineRule="exact"/>
        <w:rPr>
          <w:rFonts w:ascii="Arial" w:cs="Arial" w:eastAsia="Arial" w:hAnsi="Arial"/>
          <w:sz w:val="13"/>
          <w:szCs w:val="13"/>
          <w:color w:val="auto"/>
        </w:rPr>
      </w:pPr>
    </w:p>
    <w:p>
      <w:pPr>
        <w:ind w:left="3300" w:hanging="834"/>
        <w:spacing w:after="0"/>
        <w:tabs>
          <w:tab w:leader="none" w:pos="3300" w:val="left"/>
        </w:tabs>
        <w:numPr>
          <w:ilvl w:val="2"/>
          <w:numId w:val="163"/>
        </w:numPr>
        <w:rPr>
          <w:rFonts w:ascii="Arial" w:cs="Arial" w:eastAsia="Arial" w:hAnsi="Arial"/>
          <w:sz w:val="14"/>
          <w:szCs w:val="14"/>
          <w:color w:val="auto"/>
        </w:rPr>
      </w:pPr>
      <w:r>
        <w:rPr>
          <w:rFonts w:ascii="Arial" w:cs="Arial" w:eastAsia="Arial" w:hAnsi="Arial"/>
          <w:sz w:val="14"/>
          <w:szCs w:val="14"/>
          <w:color w:val="auto"/>
        </w:rPr>
        <w:t>the Administrative Agent and the Issuing Bank.</w:t>
      </w:r>
    </w:p>
    <w:p>
      <w:pPr>
        <w:spacing w:after="0" w:line="203" w:lineRule="exact"/>
        <w:rPr>
          <w:rFonts w:ascii="Arial" w:cs="Arial" w:eastAsia="Arial" w:hAnsi="Arial"/>
          <w:sz w:val="14"/>
          <w:szCs w:val="14"/>
          <w:color w:val="auto"/>
        </w:rPr>
      </w:pPr>
    </w:p>
    <w:p>
      <w:pPr>
        <w:ind w:left="2500" w:hanging="831"/>
        <w:spacing w:after="0"/>
        <w:tabs>
          <w:tab w:leader="none" w:pos="2500" w:val="left"/>
        </w:tabs>
        <w:numPr>
          <w:ilvl w:val="0"/>
          <w:numId w:val="163"/>
        </w:numPr>
        <w:rPr>
          <w:rFonts w:ascii="Arial" w:cs="Arial" w:eastAsia="Arial" w:hAnsi="Arial"/>
          <w:sz w:val="14"/>
          <w:szCs w:val="14"/>
          <w:color w:val="auto"/>
        </w:rPr>
      </w:pPr>
      <w:r>
        <w:rPr>
          <w:rFonts w:ascii="Arial" w:cs="Arial" w:eastAsia="Arial" w:hAnsi="Arial"/>
          <w:sz w:val="14"/>
          <w:szCs w:val="14"/>
          <w:u w:val="single" w:color="auto"/>
          <w:color w:val="auto"/>
        </w:rPr>
        <w:t>Certain Conditions to Assignments</w:t>
      </w:r>
      <w:r>
        <w:rPr>
          <w:rFonts w:ascii="Arial" w:cs="Arial" w:eastAsia="Arial" w:hAnsi="Arial"/>
          <w:sz w:val="14"/>
          <w:szCs w:val="14"/>
          <w:color w:val="auto"/>
        </w:rPr>
        <w:t>. Assignments shall be subject to the following additional conditions:</w:t>
      </w:r>
    </w:p>
    <w:p>
      <w:pPr>
        <w:spacing w:after="0" w:line="203" w:lineRule="exact"/>
        <w:rPr>
          <w:rFonts w:ascii="Arial" w:cs="Arial" w:eastAsia="Arial" w:hAnsi="Arial"/>
          <w:sz w:val="14"/>
          <w:szCs w:val="14"/>
          <w:color w:val="auto"/>
        </w:rPr>
      </w:pPr>
    </w:p>
    <w:p>
      <w:pPr>
        <w:jc w:val="both"/>
        <w:ind w:left="1740" w:right="20" w:firstLine="726"/>
        <w:spacing w:after="0" w:line="231" w:lineRule="auto"/>
        <w:tabs>
          <w:tab w:leader="none" w:pos="3318" w:val="left"/>
        </w:tabs>
        <w:numPr>
          <w:ilvl w:val="2"/>
          <w:numId w:val="163"/>
        </w:numPr>
        <w:rPr>
          <w:rFonts w:ascii="Arial" w:cs="Arial" w:eastAsia="Arial" w:hAnsi="Arial"/>
          <w:sz w:val="14"/>
          <w:szCs w:val="14"/>
          <w:color w:val="auto"/>
        </w:rPr>
      </w:pPr>
      <w:r>
        <w:rPr>
          <w:rFonts w:ascii="Arial" w:cs="Arial" w:eastAsia="Arial" w:hAnsi="Arial"/>
          <w:sz w:val="14"/>
          <w:szCs w:val="14"/>
          <w:color w:val="auto"/>
        </w:rPr>
        <w:t xml:space="preserve">except in the case of an Assignment to a Lender or an Affiliate of a Lender or an assignment of the entire remaining amount of the assigning Lender’s Commitment or Loans and LC Exposure of a Class, the amount of the Commitment or Loans and LC Exposure of such Class of the assigning Lender subject to each such assignment (determined as of the date the Assignment and Assumption with respect to such Assignment is delivered to the Administrative Agent) shall not be less than U.S. $5,000,000 unless each of the Borrower and the Administrative Agent otherwise consent; </w:t>
      </w:r>
      <w:r>
        <w:rPr>
          <w:rFonts w:ascii="Arial" w:cs="Arial" w:eastAsia="Arial" w:hAnsi="Arial"/>
          <w:sz w:val="14"/>
          <w:szCs w:val="14"/>
          <w:u w:val="single" w:color="auto"/>
          <w:color w:val="auto"/>
        </w:rPr>
        <w:t>provided</w:t>
      </w:r>
      <w:r>
        <w:rPr>
          <w:rFonts w:ascii="Arial" w:cs="Arial" w:eastAsia="Arial" w:hAnsi="Arial"/>
          <w:sz w:val="14"/>
          <w:szCs w:val="14"/>
          <w:color w:val="auto"/>
        </w:rPr>
        <w:t xml:space="preserve"> that no such consent of the Borrower shall be required if an Event of Default has occurred and is continuing;</w:t>
      </w:r>
    </w:p>
    <w:p>
      <w:pPr>
        <w:spacing w:after="0" w:line="183" w:lineRule="exact"/>
        <w:rPr>
          <w:rFonts w:ascii="Arial" w:cs="Arial" w:eastAsia="Arial" w:hAnsi="Arial"/>
          <w:sz w:val="14"/>
          <w:szCs w:val="14"/>
          <w:color w:val="auto"/>
        </w:rPr>
      </w:pPr>
    </w:p>
    <w:p>
      <w:pPr>
        <w:ind w:left="1740" w:right="40" w:firstLine="726"/>
        <w:spacing w:after="0" w:line="290" w:lineRule="auto"/>
        <w:tabs>
          <w:tab w:leader="none" w:pos="3311" w:val="left"/>
        </w:tabs>
        <w:numPr>
          <w:ilvl w:val="2"/>
          <w:numId w:val="163"/>
        </w:numPr>
        <w:rPr>
          <w:rFonts w:ascii="Arial" w:cs="Arial" w:eastAsia="Arial" w:hAnsi="Arial"/>
          <w:sz w:val="13"/>
          <w:szCs w:val="13"/>
          <w:color w:val="auto"/>
        </w:rPr>
      </w:pPr>
      <w:r>
        <w:rPr>
          <w:rFonts w:ascii="Arial" w:cs="Arial" w:eastAsia="Arial" w:hAnsi="Arial"/>
          <w:sz w:val="13"/>
          <w:szCs w:val="13"/>
          <w:color w:val="auto"/>
        </w:rPr>
        <w:t>each partial assignment of any Class of Commitments or Loans and LC Exposure shall be made as an assignment of a proportionate part of all the assigning Lender’s rights and obligations under this Agreement in respect of such Class of Commitments, Loans and LC Exposure;</w:t>
      </w:r>
    </w:p>
    <w:p>
      <w:pPr>
        <w:spacing w:after="0" w:line="151" w:lineRule="exact"/>
        <w:rPr>
          <w:rFonts w:ascii="Arial" w:cs="Arial" w:eastAsia="Arial" w:hAnsi="Arial"/>
          <w:sz w:val="13"/>
          <w:szCs w:val="13"/>
          <w:color w:val="auto"/>
        </w:rPr>
      </w:pPr>
    </w:p>
    <w:p>
      <w:pPr>
        <w:jc w:val="both"/>
        <w:ind w:left="1740" w:right="20" w:firstLine="726"/>
        <w:spacing w:after="0" w:line="238" w:lineRule="auto"/>
        <w:tabs>
          <w:tab w:leader="none" w:pos="3311" w:val="left"/>
        </w:tabs>
        <w:numPr>
          <w:ilvl w:val="2"/>
          <w:numId w:val="163"/>
        </w:numPr>
        <w:rPr>
          <w:rFonts w:ascii="Arial" w:cs="Arial" w:eastAsia="Arial" w:hAnsi="Arial"/>
          <w:sz w:val="14"/>
          <w:szCs w:val="14"/>
          <w:color w:val="auto"/>
        </w:rPr>
      </w:pPr>
      <w:r>
        <w:rPr>
          <w:rFonts w:ascii="Arial" w:cs="Arial" w:eastAsia="Arial" w:hAnsi="Arial"/>
          <w:sz w:val="14"/>
          <w:szCs w:val="14"/>
          <w:color w:val="auto"/>
        </w:rPr>
        <w:t xml:space="preserve">the parties to each assignment shall execute and deliver to the Administrative Agent an Assignment and Assumption in substantially the form of </w:t>
      </w:r>
      <w:r>
        <w:rPr>
          <w:rFonts w:ascii="Arial" w:cs="Arial" w:eastAsia="Arial" w:hAnsi="Arial"/>
          <w:sz w:val="14"/>
          <w:szCs w:val="14"/>
          <w:u w:val="single" w:color="auto"/>
          <w:color w:val="auto"/>
        </w:rPr>
        <w:t>Exhibit A</w:t>
      </w:r>
      <w:r>
        <w:rPr>
          <w:rFonts w:ascii="Arial" w:cs="Arial" w:eastAsia="Arial" w:hAnsi="Arial"/>
          <w:sz w:val="14"/>
          <w:szCs w:val="14"/>
          <w:color w:val="auto"/>
        </w:rPr>
        <w:t xml:space="preserve"> hereto, together with a processing and recordation fee of U.S. $3,500 (which fee shall not be payable in connection with an assignment to a Lender or to an Affiliate of a Lender), for which the Borrower and the Guarantors shall not be obligated; and</w:t>
      </w:r>
    </w:p>
    <w:p>
      <w:pPr>
        <w:spacing w:after="0" w:line="182" w:lineRule="exact"/>
        <w:rPr>
          <w:rFonts w:ascii="Arial" w:cs="Arial" w:eastAsia="Arial" w:hAnsi="Arial"/>
          <w:sz w:val="14"/>
          <w:szCs w:val="14"/>
          <w:color w:val="auto"/>
        </w:rPr>
      </w:pPr>
    </w:p>
    <w:p>
      <w:pPr>
        <w:ind w:left="3320" w:hanging="854"/>
        <w:spacing w:after="0"/>
        <w:tabs>
          <w:tab w:leader="none" w:pos="3320" w:val="left"/>
        </w:tabs>
        <w:numPr>
          <w:ilvl w:val="2"/>
          <w:numId w:val="163"/>
        </w:numPr>
        <w:rPr>
          <w:rFonts w:ascii="Arial" w:cs="Arial" w:eastAsia="Arial" w:hAnsi="Arial"/>
          <w:sz w:val="13"/>
          <w:szCs w:val="13"/>
          <w:color w:val="auto"/>
        </w:rPr>
      </w:pPr>
      <w:r>
        <w:rPr>
          <w:rFonts w:ascii="Arial" w:cs="Arial" w:eastAsia="Arial" w:hAnsi="Arial"/>
          <w:sz w:val="13"/>
          <w:szCs w:val="13"/>
          <w:color w:val="auto"/>
        </w:rPr>
        <w:t>the assignee, if it shall not already be a Lender of the applicable Class, shall deliver to the Administrative Agent an Administrative</w:t>
      </w:r>
    </w:p>
    <w:p>
      <w:pPr>
        <w:spacing w:after="0" w:line="11" w:lineRule="exact"/>
        <w:rPr>
          <w:rFonts w:ascii="Arial" w:cs="Arial" w:eastAsia="Arial" w:hAnsi="Arial"/>
          <w:sz w:val="13"/>
          <w:szCs w:val="13"/>
          <w:color w:val="auto"/>
        </w:rPr>
      </w:pPr>
    </w:p>
    <w:p>
      <w:pPr>
        <w:ind w:left="1740"/>
        <w:spacing w:after="0"/>
        <w:rPr>
          <w:rFonts w:ascii="Arial" w:cs="Arial" w:eastAsia="Arial" w:hAnsi="Arial"/>
          <w:sz w:val="13"/>
          <w:szCs w:val="13"/>
          <w:color w:val="auto"/>
        </w:rPr>
      </w:pPr>
      <w:r>
        <w:rPr>
          <w:rFonts w:ascii="Arial" w:cs="Arial" w:eastAsia="Arial" w:hAnsi="Arial"/>
          <w:sz w:val="14"/>
          <w:szCs w:val="14"/>
          <w:color w:val="auto"/>
        </w:rPr>
        <w:t>Questionnaire.</w:t>
      </w:r>
    </w:p>
    <w:p>
      <w:pPr>
        <w:spacing w:after="0" w:line="191" w:lineRule="exact"/>
        <w:rPr>
          <w:rFonts w:ascii="Arial" w:cs="Arial" w:eastAsia="Arial" w:hAnsi="Arial"/>
          <w:sz w:val="13"/>
          <w:szCs w:val="13"/>
          <w:color w:val="auto"/>
        </w:rPr>
      </w:pPr>
    </w:p>
    <w:p>
      <w:pPr>
        <w:jc w:val="both"/>
        <w:ind w:left="880" w:right="20" w:firstLine="789"/>
        <w:spacing w:after="0" w:line="241" w:lineRule="auto"/>
        <w:tabs>
          <w:tab w:leader="none" w:pos="2541" w:val="left"/>
        </w:tabs>
        <w:numPr>
          <w:ilvl w:val="0"/>
          <w:numId w:val="163"/>
        </w:numPr>
        <w:rPr>
          <w:rFonts w:ascii="Arial" w:cs="Arial" w:eastAsia="Arial" w:hAnsi="Arial"/>
          <w:sz w:val="13"/>
          <w:szCs w:val="13"/>
          <w:color w:val="auto"/>
        </w:rPr>
      </w:pPr>
      <w:r>
        <w:rPr>
          <w:rFonts w:ascii="Arial" w:cs="Arial" w:eastAsia="Arial" w:hAnsi="Arial"/>
          <w:sz w:val="13"/>
          <w:szCs w:val="13"/>
          <w:u w:val="single" w:color="auto"/>
          <w:color w:val="auto"/>
        </w:rPr>
        <w:t>Effectiveness of Assignments</w:t>
      </w:r>
      <w:r>
        <w:rPr>
          <w:rFonts w:ascii="Arial" w:cs="Arial" w:eastAsia="Arial" w:hAnsi="Arial"/>
          <w:sz w:val="13"/>
          <w:szCs w:val="13"/>
          <w:color w:val="auto"/>
        </w:rPr>
        <w:t xml:space="preserve">. Subject to acceptance and recording thereof pursuant to </w:t>
      </w:r>
      <w:r>
        <w:rPr>
          <w:rFonts w:ascii="Arial" w:cs="Arial" w:eastAsia="Arial" w:hAnsi="Arial"/>
          <w:sz w:val="13"/>
          <w:szCs w:val="13"/>
          <w:u w:val="single" w:color="auto"/>
          <w:color w:val="auto"/>
        </w:rPr>
        <w:t>paragraph (c)</w:t>
      </w:r>
      <w:r>
        <w:rPr>
          <w:rFonts w:ascii="Arial" w:cs="Arial" w:eastAsia="Arial" w:hAnsi="Arial"/>
          <w:sz w:val="13"/>
          <w:szCs w:val="13"/>
          <w:color w:val="auto"/>
        </w:rPr>
        <w:t xml:space="preserve"> of this Section, from and after the effective date specified in each Assignment and Assumption the assignee thereunder shall be a party hereto and, to the extent of the interest assigned by such Assignment and Assumption, have the rights and obligations of a Lender under this Agreement, and the assigning Lender thereunder shall, to the extent of the interest assigned by such Assignment and Assumption, be released from its obligations under this Agreement (and, in the case of an Assignment and Assumption covering all of the assigning Lender’s rights and obligations under this Agreement, such Lender shall cease to be a party hereto but shall continue to be entitled to the benefits of </w:t>
      </w:r>
      <w:r>
        <w:rPr>
          <w:rFonts w:ascii="Arial" w:cs="Arial" w:eastAsia="Arial" w:hAnsi="Arial"/>
          <w:sz w:val="13"/>
          <w:szCs w:val="13"/>
          <w:u w:val="single" w:color="auto"/>
          <w:color w:val="auto"/>
        </w:rPr>
        <w:t>Sections 2.14</w:t>
      </w:r>
      <w:r>
        <w:rPr>
          <w:rFonts w:ascii="Arial" w:cs="Arial" w:eastAsia="Arial" w:hAnsi="Arial"/>
          <w:sz w:val="13"/>
          <w:szCs w:val="13"/>
          <w:color w:val="auto"/>
        </w:rPr>
        <w:t xml:space="preserve">, </w:t>
      </w:r>
      <w:r>
        <w:rPr>
          <w:rFonts w:ascii="Arial" w:cs="Arial" w:eastAsia="Arial" w:hAnsi="Arial"/>
          <w:sz w:val="13"/>
          <w:szCs w:val="13"/>
          <w:u w:val="single" w:color="auto"/>
          <w:color w:val="auto"/>
        </w:rPr>
        <w:t>2.15</w:t>
      </w:r>
      <w:r>
        <w:rPr>
          <w:rFonts w:ascii="Arial" w:cs="Arial" w:eastAsia="Arial" w:hAnsi="Arial"/>
          <w:sz w:val="13"/>
          <w:szCs w:val="13"/>
          <w:color w:val="auto"/>
        </w:rPr>
        <w:t xml:space="preserve">, </w:t>
      </w:r>
      <w:r>
        <w:rPr>
          <w:rFonts w:ascii="Arial" w:cs="Arial" w:eastAsia="Arial" w:hAnsi="Arial"/>
          <w:sz w:val="13"/>
          <w:szCs w:val="13"/>
          <w:u w:val="single" w:color="auto"/>
          <w:color w:val="auto"/>
        </w:rPr>
        <w:t>2.16</w:t>
      </w:r>
      <w:r>
        <w:rPr>
          <w:rFonts w:ascii="Arial" w:cs="Arial" w:eastAsia="Arial" w:hAnsi="Arial"/>
          <w:sz w:val="13"/>
          <w:szCs w:val="13"/>
          <w:color w:val="auto"/>
        </w:rPr>
        <w:t xml:space="preserve"> and </w:t>
      </w:r>
      <w:r>
        <w:rPr>
          <w:rFonts w:ascii="Arial" w:cs="Arial" w:eastAsia="Arial" w:hAnsi="Arial"/>
          <w:sz w:val="13"/>
          <w:szCs w:val="13"/>
          <w:u w:val="single" w:color="auto"/>
          <w:color w:val="auto"/>
        </w:rPr>
        <w:t>9.03</w:t>
      </w:r>
      <w:r>
        <w:rPr>
          <w:rFonts w:ascii="Arial" w:cs="Arial" w:eastAsia="Arial" w:hAnsi="Arial"/>
          <w:sz w:val="13"/>
          <w:szCs w:val="13"/>
          <w:color w:val="auto"/>
        </w:rPr>
        <w:t xml:space="preserve"> with respect to facts and circumstances occurring prior to the effective date of such assignment). Any assignment or transfer by a Lender of rights or obligations under this Agreement that does not comply with this </w:t>
      </w:r>
      <w:r>
        <w:rPr>
          <w:rFonts w:ascii="Arial" w:cs="Arial" w:eastAsia="Arial" w:hAnsi="Arial"/>
          <w:sz w:val="13"/>
          <w:szCs w:val="13"/>
          <w:u w:val="single" w:color="auto"/>
          <w:color w:val="auto"/>
        </w:rPr>
        <w:t>Section 9.04</w:t>
      </w:r>
      <w:r>
        <w:rPr>
          <w:rFonts w:ascii="Arial" w:cs="Arial" w:eastAsia="Arial" w:hAnsi="Arial"/>
          <w:sz w:val="13"/>
          <w:szCs w:val="13"/>
          <w:color w:val="auto"/>
        </w:rPr>
        <w:t xml:space="preserve"> shall be treated for purposes of this Agreement as a sale by such Lender of a participation in such rights and obligations in accordance with </w:t>
      </w:r>
      <w:r>
        <w:rPr>
          <w:rFonts w:ascii="Arial" w:cs="Arial" w:eastAsia="Arial" w:hAnsi="Arial"/>
          <w:sz w:val="13"/>
          <w:szCs w:val="13"/>
          <w:u w:val="single" w:color="auto"/>
          <w:color w:val="auto"/>
        </w:rPr>
        <w:t>paragraph (f)</w:t>
      </w:r>
      <w:r>
        <w:rPr>
          <w:rFonts w:ascii="Arial" w:cs="Arial" w:eastAsia="Arial" w:hAnsi="Arial"/>
          <w:sz w:val="13"/>
          <w:szCs w:val="13"/>
          <w:color w:val="auto"/>
        </w:rPr>
        <w:t xml:space="preserve"> of this Section. Notwithstanding anything to the contrary herein, in connection with any assignment of rights and obligations of any Defaulting Lender hereunder, no such assignment shall be effective unless and until, in addition to the other conditions set forth in </w:t>
      </w:r>
      <w:r>
        <w:rPr>
          <w:rFonts w:ascii="Arial" w:cs="Arial" w:eastAsia="Arial" w:hAnsi="Arial"/>
          <w:sz w:val="13"/>
          <w:szCs w:val="13"/>
          <w:u w:val="single" w:color="auto"/>
          <w:color w:val="auto"/>
        </w:rPr>
        <w:t>Section 9.04(b)(ii)</w:t>
      </w:r>
      <w:r>
        <w:rPr>
          <w:rFonts w:ascii="Arial" w:cs="Arial" w:eastAsia="Arial" w:hAnsi="Arial"/>
          <w:sz w:val="13"/>
          <w:szCs w:val="13"/>
          <w:color w:val="auto"/>
        </w:rPr>
        <w:t xml:space="preserve"> or otherwise, the parties to the assignment shall make such additional payments to Administrative Agent in an aggregate amount sufficient, upon distribution thereof as appropriate (which may be outright payment, purchases by the assignee of participations or subparticipations, or other compensating actions, including funding, with the consent of Borrower and Administrative Agent, the Applicable Percentage of Loans previously requested but not funded by the Defaulting Lender, to each of which the applicable assignee and assignor hereby irrevocably consent), to (x) pay and satisfy in full all payment liabilities then owed by such Defaulting Lender to Administrative Agent, Issuing Bank, Swingline Lender and each Lender hereunder (and interest accrued thereon), and (y) acquire (and fund as appropriate) its full Applicable Percentage of all Loans and participations in Letters of Credit and Swingline Loans. Notwithstanding the foregoing, in the event that any assignment of rights and obligations of any Defaulting Lender hereunder shall become effective under applicable law without compliance with the provisions of this paragraph, then the assignee of such interest shall be deemed to be a Defaulting Lender for all purposes of this Agreement until such compliance occurs.</w:t>
      </w:r>
    </w:p>
    <w:p>
      <w:pPr>
        <w:spacing w:after="0" w:line="190" w:lineRule="exact"/>
        <w:rPr>
          <w:rFonts w:ascii="Arial" w:cs="Arial" w:eastAsia="Arial" w:hAnsi="Arial"/>
          <w:sz w:val="13"/>
          <w:szCs w:val="13"/>
          <w:color w:val="auto"/>
        </w:rPr>
      </w:pPr>
    </w:p>
    <w:p>
      <w:pPr>
        <w:jc w:val="both"/>
        <w:ind w:right="20" w:firstLine="1735"/>
        <w:spacing w:after="0" w:line="238" w:lineRule="auto"/>
        <w:tabs>
          <w:tab w:leader="none" w:pos="2535" w:val="left"/>
        </w:tabs>
        <w:numPr>
          <w:ilvl w:val="1"/>
          <w:numId w:val="163"/>
        </w:numPr>
        <w:rPr>
          <w:rFonts w:ascii="Arial" w:cs="Arial" w:eastAsia="Arial" w:hAnsi="Arial"/>
          <w:sz w:val="14"/>
          <w:szCs w:val="14"/>
          <w:color w:val="auto"/>
        </w:rPr>
      </w:pPr>
      <w:r>
        <w:rPr>
          <w:rFonts w:ascii="Arial" w:cs="Arial" w:eastAsia="Arial" w:hAnsi="Arial"/>
          <w:sz w:val="14"/>
          <w:szCs w:val="14"/>
          <w:u w:val="single" w:color="auto"/>
          <w:color w:val="auto"/>
        </w:rPr>
        <w:t>Maintenance of Registers by Administrative Agent</w:t>
      </w:r>
      <w:r>
        <w:rPr>
          <w:rFonts w:ascii="Arial" w:cs="Arial" w:eastAsia="Arial" w:hAnsi="Arial"/>
          <w:sz w:val="14"/>
          <w:szCs w:val="14"/>
          <w:color w:val="auto"/>
        </w:rPr>
        <w:t>. The Administrative Agent, acting for this purpose as an agent of the Borrower, shall maintain at one of its offices in New York City a copy of each Assignment and Assumption delivered to it and a register for the recordation of the names and addresses of the Lenders, and the Commitments of, and principal amount (and stated interest) of the</w:t>
      </w:r>
    </w:p>
    <w:p>
      <w:pPr>
        <w:spacing w:after="0" w:line="200" w:lineRule="exact"/>
        <w:rPr>
          <w:sz w:val="20"/>
          <w:szCs w:val="20"/>
          <w:color w:val="auto"/>
        </w:rPr>
      </w:pPr>
    </w:p>
    <w:p>
      <w:pPr>
        <w:spacing w:after="0" w:line="200" w:lineRule="exact"/>
        <w:rPr>
          <w:sz w:val="20"/>
          <w:szCs w:val="20"/>
          <w:color w:val="auto"/>
        </w:rPr>
      </w:pPr>
    </w:p>
    <w:p>
      <w:pPr>
        <w:spacing w:after="0" w:line="20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7580" w:type="dxa"/>
            <w:vAlign w:val="bottom"/>
          </w:tcPr>
          <w:p>
            <w:pPr>
              <w:jc w:val="right"/>
              <w:ind w:right="1808"/>
              <w:spacing w:after="0"/>
              <w:rPr>
                <w:sz w:val="20"/>
                <w:szCs w:val="20"/>
                <w:color w:val="auto"/>
              </w:rPr>
            </w:pPr>
            <w:r>
              <w:rPr>
                <w:rFonts w:ascii="Arial" w:cs="Arial" w:eastAsia="Arial" w:hAnsi="Arial"/>
                <w:sz w:val="14"/>
                <w:szCs w:val="14"/>
                <w:color w:val="auto"/>
              </w:rPr>
              <w:t>63</w:t>
            </w:r>
          </w:p>
        </w:tc>
        <w:tc>
          <w:tcPr>
            <w:tcW w:w="3680" w:type="dxa"/>
            <w:vAlign w:val="bottom"/>
          </w:tcPr>
          <w:p>
            <w:pPr>
              <w:jc w:val="right"/>
              <w:spacing w:after="0"/>
              <w:rPr>
                <w:sz w:val="20"/>
                <w:szCs w:val="20"/>
                <w:color w:val="auto"/>
              </w:rPr>
            </w:pPr>
            <w:r>
              <w:rPr>
                <w:rFonts w:ascii="Arial" w:cs="Arial" w:eastAsia="Arial" w:hAnsi="Arial"/>
                <w:sz w:val="14"/>
                <w:szCs w:val="14"/>
                <w:i w:val="1"/>
                <w:iCs w:val="1"/>
                <w:color w:val="auto"/>
              </w:rPr>
              <w:t>Second Amended and Restated</w:t>
            </w:r>
          </w:p>
        </w:tc>
      </w:tr>
      <w:tr>
        <w:trPr>
          <w:trHeight w:val="182"/>
        </w:trPr>
        <w:tc>
          <w:tcPr>
            <w:tcW w:w="7580" w:type="dxa"/>
            <w:vAlign w:val="bottom"/>
          </w:tcPr>
          <w:p>
            <w:pPr>
              <w:spacing w:after="0"/>
              <w:rPr>
                <w:sz w:val="15"/>
                <w:szCs w:val="15"/>
                <w:color w:val="auto"/>
              </w:rPr>
            </w:pPr>
          </w:p>
        </w:tc>
        <w:tc>
          <w:tcPr>
            <w:tcW w:w="3680" w:type="dxa"/>
            <w:vAlign w:val="bottom"/>
          </w:tcPr>
          <w:p>
            <w:pPr>
              <w:jc w:val="right"/>
              <w:spacing w:after="0"/>
              <w:rPr>
                <w:sz w:val="20"/>
                <w:szCs w:val="20"/>
                <w:color w:val="auto"/>
              </w:rPr>
            </w:pPr>
            <w:r>
              <w:rPr>
                <w:rFonts w:ascii="Arial" w:cs="Arial" w:eastAsia="Arial" w:hAnsi="Arial"/>
                <w:sz w:val="14"/>
                <w:szCs w:val="14"/>
                <w:i w:val="1"/>
                <w:iCs w:val="1"/>
                <w:color w:val="auto"/>
              </w:rPr>
              <w:t>Revolving Credit Agreement</w:t>
            </w:r>
          </w:p>
        </w:tc>
      </w:tr>
      <w:tr>
        <w:trPr>
          <w:trHeight w:val="316"/>
        </w:trPr>
        <w:tc>
          <w:tcPr>
            <w:tcW w:w="7580" w:type="dxa"/>
            <w:vAlign w:val="bottom"/>
            <w:tcBorders>
              <w:bottom w:val="single" w:sz="8" w:color="9A9A9A"/>
            </w:tcBorders>
          </w:tcPr>
          <w:p>
            <w:pPr>
              <w:spacing w:after="0"/>
              <w:rPr>
                <w:sz w:val="24"/>
                <w:szCs w:val="24"/>
                <w:color w:val="auto"/>
              </w:rPr>
            </w:pPr>
          </w:p>
        </w:tc>
        <w:tc>
          <w:tcPr>
            <w:tcW w:w="368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7145655</wp:posOffset>
            </wp:positionH>
            <wp:positionV relativeFrom="paragraph">
              <wp:posOffset>-7620</wp:posOffset>
            </wp:positionV>
            <wp:extent cx="8255" cy="8255"/>
            <wp:wrapNone/>
            <wp:docPr id="231" name="Picture 2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1"/>
                    <pic:cNvPicPr>
                      <a:picLocks noChangeAspect="1" noChangeArrowheads="1"/>
                    </pic:cNvPicPr>
                  </pic:nvPicPr>
                  <pic:blipFill>
                    <a:blip r:embed="rId238">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-16510</wp:posOffset>
            </wp:positionV>
            <wp:extent cx="8890" cy="17145"/>
            <wp:wrapNone/>
            <wp:docPr id="232" name="Picture 2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2"/>
                    <pic:cNvPicPr>
                      <a:picLocks noChangeAspect="1" noChangeArrowheads="1"/>
                    </pic:cNvPicPr>
                  </pic:nvPicPr>
                  <pic:blipFill>
                    <a:blip r:embed="rId239">
                      <a:extLst>
                        <a:ext uri="{28A0092B-C50C-407E-A947-70E740481C1C}"/>
                      </a:extLst>
                    </a:blip>
                    <a:srcRect/>
                    <a:stretch>
                      <a:fillRect/>
                    </a:stretch>
                  </pic:blipFill>
                  <pic:spPr bwMode="auto">
                    <a:xfrm>
                      <a:off x="0" y="0"/>
                      <a:ext cx="8890" cy="17145"/>
                    </a:xfrm>
                    <a:prstGeom prst="rect">
                      <a:avLst/>
                    </a:prstGeom>
                    <a:noFill/>
                  </pic:spPr>
                </pic:pic>
              </a:graphicData>
            </a:graphic>
          </wp:anchor>
        </w:drawing>
      </w:r>
    </w:p>
    <w:p>
      <w:pPr>
        <w:sectPr>
          <w:pgSz w:w="11900" w:h="16838" w:orient="portrait"/>
          <w:cols w:equalWidth="0" w:num="1">
            <w:col w:w="11260"/>
          </w:cols>
          <w:pgMar w:left="320" w:top="337" w:right="319" w:bottom="1440" w:gutter="0" w:footer="0" w:header="0"/>
        </w:sectPr>
      </w:pPr>
    </w:p>
    <w:bookmarkStart w:id="126" w:name="page127"/>
    <w:bookmarkEnd w:id="126"/>
    <w:p>
      <w:pPr>
        <w:jc w:val="both"/>
        <w:ind w:right="20"/>
        <w:spacing w:after="0" w:line="233" w:lineRule="auto"/>
        <w:rPr>
          <w:sz w:val="20"/>
          <w:szCs w:val="20"/>
          <w:color w:val="auto"/>
        </w:rPr>
      </w:pPr>
      <w:r>
        <w:rPr>
          <w:rFonts w:ascii="Arial" w:cs="Arial" w:eastAsia="Arial" w:hAnsi="Arial"/>
          <w:sz w:val="14"/>
          <w:szCs w:val="14"/>
          <w:color w:val="auto"/>
        </w:rPr>
        <w:t>Loans and LC Disbursements owing to, each Lender pursuant to the terms hereof from time to time (the “</w:t>
      </w:r>
      <w:r>
        <w:rPr>
          <w:rFonts w:ascii="Arial" w:cs="Arial" w:eastAsia="Arial" w:hAnsi="Arial"/>
          <w:sz w:val="14"/>
          <w:szCs w:val="14"/>
          <w:u w:val="single" w:color="auto"/>
          <w:color w:val="auto"/>
        </w:rPr>
        <w:t>Registers</w:t>
      </w:r>
      <w:r>
        <w:rPr>
          <w:rFonts w:ascii="Arial" w:cs="Arial" w:eastAsia="Arial" w:hAnsi="Arial"/>
          <w:sz w:val="14"/>
          <w:szCs w:val="14"/>
          <w:color w:val="auto"/>
        </w:rPr>
        <w:t>” and each individually, a “</w:t>
      </w:r>
      <w:r>
        <w:rPr>
          <w:rFonts w:ascii="Arial" w:cs="Arial" w:eastAsia="Arial" w:hAnsi="Arial"/>
          <w:sz w:val="14"/>
          <w:szCs w:val="14"/>
          <w:u w:val="single" w:color="auto"/>
          <w:color w:val="auto"/>
        </w:rPr>
        <w:t>Register</w:t>
      </w:r>
      <w:r>
        <w:rPr>
          <w:rFonts w:ascii="Arial" w:cs="Arial" w:eastAsia="Arial" w:hAnsi="Arial"/>
          <w:sz w:val="14"/>
          <w:szCs w:val="14"/>
          <w:color w:val="auto"/>
        </w:rPr>
        <w:t>”). The entries in the Registers shall be conclusive absent manifest error, and the Borrower, the Administrative Agent, the Issuing Bank and the Lenders may treat each Person whose name is recorded in the Registers pursuant to the terms hereof as a Lender hereunder for all purposes of this Agreement, notwithstanding notice to the contrary. The Registers shall be available for inspection by the Borrower, the Issuing Bank and any Lender, at any reasonable time and from time to time upon reasonable prior notice.</w:t>
      </w:r>
    </w:p>
    <w:p>
      <w:pPr>
        <w:spacing w:after="0" w:line="185" w:lineRule="exact"/>
        <w:rPr>
          <w:sz w:val="20"/>
          <w:szCs w:val="20"/>
          <w:color w:val="auto"/>
        </w:rPr>
      </w:pPr>
    </w:p>
    <w:p>
      <w:pPr>
        <w:jc w:val="both"/>
        <w:ind w:right="20" w:firstLine="1735"/>
        <w:spacing w:after="0" w:line="255" w:lineRule="auto"/>
        <w:tabs>
          <w:tab w:leader="none" w:pos="2543" w:val="left"/>
        </w:tabs>
        <w:numPr>
          <w:ilvl w:val="0"/>
          <w:numId w:val="164"/>
        </w:numPr>
        <w:rPr>
          <w:rFonts w:ascii="Arial" w:cs="Arial" w:eastAsia="Arial" w:hAnsi="Arial"/>
          <w:sz w:val="13"/>
          <w:szCs w:val="13"/>
          <w:color w:val="auto"/>
        </w:rPr>
      </w:pPr>
      <w:r>
        <w:rPr>
          <w:rFonts w:ascii="Arial" w:cs="Arial" w:eastAsia="Arial" w:hAnsi="Arial"/>
          <w:sz w:val="13"/>
          <w:szCs w:val="13"/>
          <w:u w:val="single" w:color="auto"/>
          <w:color w:val="auto"/>
        </w:rPr>
        <w:t>Acceptance of Assignments by Administrative Agent</w:t>
      </w:r>
      <w:r>
        <w:rPr>
          <w:rFonts w:ascii="Arial" w:cs="Arial" w:eastAsia="Arial" w:hAnsi="Arial"/>
          <w:sz w:val="13"/>
          <w:szCs w:val="13"/>
          <w:color w:val="auto"/>
        </w:rPr>
        <w:t xml:space="preserve">. Upon its receipt of a duly completed Assignment and Assumption executed by an assigning Lender and an assignee, the assignee’s completed Administrative Questionnaire (unless the assignee shall already be a Lender hereunder), the processing and recordation fee referred to in </w:t>
      </w:r>
      <w:r>
        <w:rPr>
          <w:rFonts w:ascii="Arial" w:cs="Arial" w:eastAsia="Arial" w:hAnsi="Arial"/>
          <w:sz w:val="13"/>
          <w:szCs w:val="13"/>
          <w:u w:val="single" w:color="auto"/>
          <w:color w:val="auto"/>
        </w:rPr>
        <w:t>paragraph (b)</w:t>
      </w:r>
      <w:r>
        <w:rPr>
          <w:rFonts w:ascii="Arial" w:cs="Arial" w:eastAsia="Arial" w:hAnsi="Arial"/>
          <w:sz w:val="13"/>
          <w:szCs w:val="13"/>
          <w:color w:val="auto"/>
        </w:rPr>
        <w:t xml:space="preserve"> of this Section and any written consent to such assignment required by </w:t>
      </w:r>
      <w:r>
        <w:rPr>
          <w:rFonts w:ascii="Arial" w:cs="Arial" w:eastAsia="Arial" w:hAnsi="Arial"/>
          <w:sz w:val="13"/>
          <w:szCs w:val="13"/>
          <w:u w:val="single" w:color="auto"/>
          <w:color w:val="auto"/>
        </w:rPr>
        <w:t>paragraph (b)</w:t>
      </w:r>
      <w:r>
        <w:rPr>
          <w:rFonts w:ascii="Arial" w:cs="Arial" w:eastAsia="Arial" w:hAnsi="Arial"/>
          <w:sz w:val="13"/>
          <w:szCs w:val="13"/>
          <w:color w:val="auto"/>
        </w:rPr>
        <w:t xml:space="preserve"> of this Section, the Administrative Agent shall accept such Assignment and Assumption and record the information contained therein in the Register. No assignment shall be effective for purposes of this Agreement unless it has been recorded in the Register as provided in this paragraph.</w:t>
      </w:r>
    </w:p>
    <w:p>
      <w:pPr>
        <w:spacing w:after="0" w:line="174" w:lineRule="exact"/>
        <w:rPr>
          <w:rFonts w:ascii="Arial" w:cs="Arial" w:eastAsia="Arial" w:hAnsi="Arial"/>
          <w:sz w:val="13"/>
          <w:szCs w:val="13"/>
          <w:color w:val="auto"/>
        </w:rPr>
      </w:pPr>
    </w:p>
    <w:p>
      <w:pPr>
        <w:jc w:val="both"/>
        <w:ind w:right="20" w:firstLine="1735"/>
        <w:spacing w:after="0" w:line="226" w:lineRule="auto"/>
        <w:tabs>
          <w:tab w:leader="none" w:pos="2535" w:val="left"/>
        </w:tabs>
        <w:numPr>
          <w:ilvl w:val="0"/>
          <w:numId w:val="164"/>
        </w:numPr>
        <w:rPr>
          <w:rFonts w:ascii="Arial" w:cs="Arial" w:eastAsia="Arial" w:hAnsi="Arial"/>
          <w:sz w:val="14"/>
          <w:szCs w:val="14"/>
          <w:color w:val="auto"/>
        </w:rPr>
      </w:pPr>
      <w:r>
        <w:rPr>
          <w:rFonts w:ascii="Arial" w:cs="Arial" w:eastAsia="Arial" w:hAnsi="Arial"/>
          <w:sz w:val="14"/>
          <w:szCs w:val="14"/>
          <w:u w:val="single" w:color="auto"/>
          <w:color w:val="auto"/>
        </w:rPr>
        <w:t>Special Purposes Vehicles</w:t>
      </w:r>
      <w:r>
        <w:rPr>
          <w:rFonts w:ascii="Arial" w:cs="Arial" w:eastAsia="Arial" w:hAnsi="Arial"/>
          <w:sz w:val="14"/>
          <w:szCs w:val="14"/>
          <w:color w:val="auto"/>
        </w:rPr>
        <w:t>. Notwithstanding anything to the contrary contained herein, any Lender (a “</w:t>
      </w:r>
      <w:r>
        <w:rPr>
          <w:rFonts w:ascii="Arial" w:cs="Arial" w:eastAsia="Arial" w:hAnsi="Arial"/>
          <w:sz w:val="14"/>
          <w:szCs w:val="14"/>
          <w:u w:val="single" w:color="auto"/>
          <w:color w:val="auto"/>
        </w:rPr>
        <w:t>Granting Lender</w:t>
      </w:r>
      <w:r>
        <w:rPr>
          <w:rFonts w:ascii="Arial" w:cs="Arial" w:eastAsia="Arial" w:hAnsi="Arial"/>
          <w:sz w:val="14"/>
          <w:szCs w:val="14"/>
          <w:color w:val="auto"/>
        </w:rPr>
        <w:t>”) may grant to a special purpose funding vehicle (an “</w:t>
      </w:r>
      <w:r>
        <w:rPr>
          <w:rFonts w:ascii="Arial" w:cs="Arial" w:eastAsia="Arial" w:hAnsi="Arial"/>
          <w:sz w:val="14"/>
          <w:szCs w:val="14"/>
          <w:u w:val="single" w:color="auto"/>
          <w:color w:val="auto"/>
        </w:rPr>
        <w:t>SPC</w:t>
      </w:r>
      <w:r>
        <w:rPr>
          <w:rFonts w:ascii="Arial" w:cs="Arial" w:eastAsia="Arial" w:hAnsi="Arial"/>
          <w:sz w:val="14"/>
          <w:szCs w:val="14"/>
          <w:color w:val="auto"/>
        </w:rPr>
        <w:t xml:space="preserve">”) owned or administered by such Granting Lender, identified as such in writing from time to time by the Granting Lender to the Administrative Agent and the Borrower, the option to provide all or any part of any Loan that such Granting Lender would otherwise be obligated to make; </w:t>
      </w:r>
      <w:r>
        <w:rPr>
          <w:rFonts w:ascii="Arial" w:cs="Arial" w:eastAsia="Arial" w:hAnsi="Arial"/>
          <w:sz w:val="14"/>
          <w:szCs w:val="14"/>
          <w:u w:val="single" w:color="auto"/>
          <w:color w:val="auto"/>
        </w:rPr>
        <w:t>provided</w:t>
      </w:r>
      <w:r>
        <w:rPr>
          <w:rFonts w:ascii="Arial" w:cs="Arial" w:eastAsia="Arial" w:hAnsi="Arial"/>
          <w:sz w:val="14"/>
          <w:szCs w:val="14"/>
          <w:color w:val="auto"/>
        </w:rPr>
        <w:t xml:space="preserve"> that (i) nothing herein shall constitute a commitment to make any Loan by any SPC, (ii) if an SPC elects not to exercise such option or otherwise fails to provide all or any part of such Loan, the Granting Lender shall, subject to the terms of this Agreement, make such Loan pursuant to the terms hereof, (iii) the rights of any such SPC shall be derivative of the rights of the Granting Lender, and such SPC shall be subject to all of the restrictions upon the Granting Lender herein contained, and (iv) no SPC shall be entitled to the benefits of </w:t>
      </w:r>
      <w:r>
        <w:rPr>
          <w:rFonts w:ascii="Arial" w:cs="Arial" w:eastAsia="Arial" w:hAnsi="Arial"/>
          <w:sz w:val="14"/>
          <w:szCs w:val="14"/>
          <w:u w:val="single" w:color="auto"/>
          <w:color w:val="auto"/>
        </w:rPr>
        <w:t>Sections 2.14</w:t>
      </w:r>
      <w:r>
        <w:rPr>
          <w:rFonts w:ascii="Arial" w:cs="Arial" w:eastAsia="Arial" w:hAnsi="Arial"/>
          <w:sz w:val="14"/>
          <w:szCs w:val="14"/>
          <w:color w:val="auto"/>
        </w:rPr>
        <w:t xml:space="preserve"> (or any other increased costs protection provision), </w:t>
      </w:r>
      <w:r>
        <w:rPr>
          <w:rFonts w:ascii="Arial" w:cs="Arial" w:eastAsia="Arial" w:hAnsi="Arial"/>
          <w:sz w:val="14"/>
          <w:szCs w:val="14"/>
          <w:u w:val="single" w:color="auto"/>
          <w:color w:val="auto"/>
        </w:rPr>
        <w:t>Section 2.15</w:t>
      </w:r>
      <w:r>
        <w:rPr>
          <w:rFonts w:ascii="Arial" w:cs="Arial" w:eastAsia="Arial" w:hAnsi="Arial"/>
          <w:sz w:val="14"/>
          <w:szCs w:val="14"/>
          <w:color w:val="auto"/>
        </w:rPr>
        <w:t xml:space="preserve"> or </w:t>
      </w:r>
      <w:r>
        <w:rPr>
          <w:rFonts w:ascii="Arial" w:cs="Arial" w:eastAsia="Arial" w:hAnsi="Arial"/>
          <w:sz w:val="14"/>
          <w:szCs w:val="14"/>
          <w:u w:val="single" w:color="auto"/>
          <w:color w:val="auto"/>
        </w:rPr>
        <w:t>2.16</w:t>
      </w:r>
      <w:r>
        <w:rPr>
          <w:rFonts w:ascii="Arial" w:cs="Arial" w:eastAsia="Arial" w:hAnsi="Arial"/>
          <w:sz w:val="14"/>
          <w:szCs w:val="14"/>
          <w:color w:val="auto"/>
        </w:rPr>
        <w:t>. Each SPC shall be conclusively presumed to have made arrangements with its Granting Lender for the exercise of voting and other rights hereunder in a manner which is acceptable to the SPC, the Administrative Agent, the Lenders and the Borrower, and each of the Administrative Agent, the Lenders and the Obligors shall be entitled to rely upon and deal solely with the Granting Lender with respect to Loans made by or through its SPC. The making of a Loan by an SPC hereunder shall utilize the Commitment of the Granting Lender to the same extent, and as if, such Loan were made by the Granting Lender.</w:t>
      </w:r>
    </w:p>
    <w:p>
      <w:pPr>
        <w:spacing w:after="0" w:line="185" w:lineRule="exact"/>
        <w:rPr>
          <w:sz w:val="20"/>
          <w:szCs w:val="20"/>
          <w:color w:val="auto"/>
        </w:rPr>
      </w:pPr>
    </w:p>
    <w:p>
      <w:pPr>
        <w:jc w:val="both"/>
        <w:ind w:right="20" w:firstLine="1727"/>
        <w:spacing w:after="0" w:line="225" w:lineRule="auto"/>
        <w:rPr>
          <w:sz w:val="20"/>
          <w:szCs w:val="20"/>
          <w:color w:val="auto"/>
        </w:rPr>
      </w:pPr>
      <w:r>
        <w:rPr>
          <w:rFonts w:ascii="Arial" w:cs="Arial" w:eastAsia="Arial" w:hAnsi="Arial"/>
          <w:sz w:val="14"/>
          <w:szCs w:val="14"/>
          <w:color w:val="auto"/>
        </w:rPr>
        <w:t xml:space="preserve">Each party hereto hereby agrees (which agreement shall survive the termination of this Agreement) that, prior to the date that is one year and one day after the payment in full of all outstanding senior indebtedness of any SPC, it will not institute against, or join any other person in instituting against, such SPC, any bankruptcy, reorganization, arrangement, insolvency or liquidation proceedings or similar proceedings under the laws of the United States or any State thereof, in respect of claims arising out of this Agreement; </w:t>
      </w:r>
      <w:r>
        <w:rPr>
          <w:rFonts w:ascii="Arial" w:cs="Arial" w:eastAsia="Arial" w:hAnsi="Arial"/>
          <w:sz w:val="14"/>
          <w:szCs w:val="14"/>
          <w:u w:val="single" w:color="auto"/>
          <w:color w:val="auto"/>
        </w:rPr>
        <w:t>provided</w:t>
      </w:r>
      <w:r>
        <w:rPr>
          <w:rFonts w:ascii="Arial" w:cs="Arial" w:eastAsia="Arial" w:hAnsi="Arial"/>
          <w:sz w:val="14"/>
          <w:szCs w:val="14"/>
          <w:color w:val="auto"/>
        </w:rPr>
        <w:t xml:space="preserve"> that the Granting Lender for each SPC hereby agrees to indemnify, save and hold harmless each other party hereto for any loss, cost, damage and expense arising out of their inability to institute any such proceeding against its SPC. In addition, notwithstanding anything to the contrary contained in this Section, any SPC may (i) without the prior written consent of the Borrower and the Administrative Agent and without paying any processing fee therefor, assign all or a portion of its interests in any Loans to its Granting Lender or to any financial institutions providing liquidity and/or credit facilities to or for the account of such SPC to fund the Loans made by such SPC or to support the securities (if any) issued by such SPC to fund such Loans (but nothing contained herein shall be construed in derogation of the obligation of the Granting Lender to make Loans hereunder); </w:t>
      </w:r>
      <w:r>
        <w:rPr>
          <w:rFonts w:ascii="Arial" w:cs="Arial" w:eastAsia="Arial" w:hAnsi="Arial"/>
          <w:sz w:val="14"/>
          <w:szCs w:val="14"/>
          <w:u w:val="single" w:color="auto"/>
          <w:color w:val="auto"/>
        </w:rPr>
        <w:t>provided</w:t>
      </w:r>
      <w:r>
        <w:rPr>
          <w:rFonts w:ascii="Arial" w:cs="Arial" w:eastAsia="Arial" w:hAnsi="Arial"/>
          <w:sz w:val="14"/>
          <w:szCs w:val="14"/>
          <w:color w:val="auto"/>
        </w:rPr>
        <w:t xml:space="preserve"> that neither the consent of the SPC or of any such assignee shall be required for amendments or waivers hereunder except for those amendments or waivers for which the consent of participants is required under </w:t>
      </w:r>
      <w:r>
        <w:rPr>
          <w:rFonts w:ascii="Arial" w:cs="Arial" w:eastAsia="Arial" w:hAnsi="Arial"/>
          <w:sz w:val="14"/>
          <w:szCs w:val="14"/>
          <w:u w:val="single" w:color="auto"/>
          <w:color w:val="auto"/>
        </w:rPr>
        <w:t>paragraph (f)</w:t>
      </w:r>
      <w:r>
        <w:rPr>
          <w:rFonts w:ascii="Arial" w:cs="Arial" w:eastAsia="Arial" w:hAnsi="Arial"/>
          <w:sz w:val="14"/>
          <w:szCs w:val="14"/>
          <w:color w:val="auto"/>
        </w:rPr>
        <w:t xml:space="preserve"> below, and (ii) disclose on a confidential basis (in the same manner described in </w:t>
      </w:r>
      <w:r>
        <w:rPr>
          <w:rFonts w:ascii="Arial" w:cs="Arial" w:eastAsia="Arial" w:hAnsi="Arial"/>
          <w:sz w:val="14"/>
          <w:szCs w:val="14"/>
          <w:u w:val="single" w:color="auto"/>
          <w:color w:val="auto"/>
        </w:rPr>
        <w:t>Section 9.13(b)</w:t>
      </w:r>
      <w:r>
        <w:rPr>
          <w:rFonts w:ascii="Arial" w:cs="Arial" w:eastAsia="Arial" w:hAnsi="Arial"/>
          <w:sz w:val="14"/>
          <w:szCs w:val="14"/>
          <w:color w:val="auto"/>
        </w:rPr>
        <w:t>) any non-public information relating to its Loans to any rating agency, commercial paper dealer or provider of a surety, guarantee or credit or liquidity enhancement to such SPC.</w:t>
      </w:r>
    </w:p>
    <w:p>
      <w:pPr>
        <w:spacing w:after="0" w:line="189" w:lineRule="exact"/>
        <w:rPr>
          <w:sz w:val="20"/>
          <w:szCs w:val="20"/>
          <w:color w:val="auto"/>
        </w:rPr>
      </w:pPr>
    </w:p>
    <w:p>
      <w:pPr>
        <w:jc w:val="both"/>
        <w:ind w:right="20" w:firstLine="1735"/>
        <w:spacing w:after="0" w:line="241" w:lineRule="auto"/>
        <w:tabs>
          <w:tab w:leader="none" w:pos="2519" w:val="left"/>
        </w:tabs>
        <w:numPr>
          <w:ilvl w:val="0"/>
          <w:numId w:val="165"/>
        </w:numPr>
        <w:rPr>
          <w:rFonts w:ascii="Arial" w:cs="Arial" w:eastAsia="Arial" w:hAnsi="Arial"/>
          <w:sz w:val="13"/>
          <w:szCs w:val="13"/>
          <w:color w:val="auto"/>
        </w:rPr>
      </w:pPr>
      <w:r>
        <w:rPr>
          <w:rFonts w:ascii="Arial" w:cs="Arial" w:eastAsia="Arial" w:hAnsi="Arial"/>
          <w:sz w:val="13"/>
          <w:szCs w:val="13"/>
          <w:u w:val="single" w:color="auto"/>
          <w:color w:val="auto"/>
        </w:rPr>
        <w:t>Participations</w:t>
      </w:r>
      <w:r>
        <w:rPr>
          <w:rFonts w:ascii="Arial" w:cs="Arial" w:eastAsia="Arial" w:hAnsi="Arial"/>
          <w:sz w:val="13"/>
          <w:szCs w:val="13"/>
          <w:color w:val="auto"/>
        </w:rPr>
        <w:t>. Any Lender may, with the consent of the Borrower (such consent not to be unreasonably withheld or delayed), sell participations to one or more banks or other entities (a “</w:t>
      </w:r>
      <w:r>
        <w:rPr>
          <w:rFonts w:ascii="Arial" w:cs="Arial" w:eastAsia="Arial" w:hAnsi="Arial"/>
          <w:sz w:val="13"/>
          <w:szCs w:val="13"/>
          <w:u w:val="single" w:color="auto"/>
          <w:color w:val="auto"/>
        </w:rPr>
        <w:t>Participant</w:t>
      </w:r>
      <w:r>
        <w:rPr>
          <w:rFonts w:ascii="Arial" w:cs="Arial" w:eastAsia="Arial" w:hAnsi="Arial"/>
          <w:sz w:val="13"/>
          <w:szCs w:val="13"/>
          <w:color w:val="auto"/>
        </w:rPr>
        <w:t xml:space="preserve">”) in all or a portion of such Lender’s rights and obligations under this Agreement and the other Loan Documents (including all or a portion of its Commitments and the Loans and LC Disbursements owing to it); </w:t>
      </w:r>
      <w:r>
        <w:rPr>
          <w:rFonts w:ascii="Arial" w:cs="Arial" w:eastAsia="Arial" w:hAnsi="Arial"/>
          <w:sz w:val="13"/>
          <w:szCs w:val="13"/>
          <w:u w:val="single" w:color="auto"/>
          <w:color w:val="auto"/>
        </w:rPr>
        <w:t>provided</w:t>
      </w:r>
      <w:r>
        <w:rPr>
          <w:rFonts w:ascii="Arial" w:cs="Arial" w:eastAsia="Arial" w:hAnsi="Arial"/>
          <w:sz w:val="13"/>
          <w:szCs w:val="13"/>
          <w:color w:val="auto"/>
        </w:rPr>
        <w:t xml:space="preserve"> that (i) the consent of the Borrower shall not be required if such Participant does not have the right to receive any non-public information that may be provided pursuant to this Agreement (and the Lender selling such participation agrees with the Borrower at the time of the sale of such participation that it will not deliver such non-public information to the Participant), (ii) such Lender’s obligations under this Agreement and the other Loan Documents shall remain unchanged, (iii) such Lender shall remain solely responsible to the other parties hereto for the performance of such obligations, (iv) the Borrower, the Administrative Agent, the Issuing Bank and the other Lenders shall continue to deal solely and directly with such Lender in connection with such Lender’s rights and obligations under this Agreement and the other Loan Documents and (v)no Person listed in the Prohibited Assignees and Participants Side Letter may be a Participant. Any agreement or instrument pursuant to which a Lender sells such a participation shall provide that such Lender shall retain the sole right to enforce this Agreement and the other Loan Documents and to approve any amendment, modification or waiver of any provision of this Agreement or any other Loan Document; </w:t>
      </w:r>
      <w:r>
        <w:rPr>
          <w:rFonts w:ascii="Arial" w:cs="Arial" w:eastAsia="Arial" w:hAnsi="Arial"/>
          <w:sz w:val="13"/>
          <w:szCs w:val="13"/>
          <w:u w:val="single" w:color="auto"/>
          <w:color w:val="auto"/>
        </w:rPr>
        <w:t>provided</w:t>
      </w:r>
      <w:r>
        <w:rPr>
          <w:rFonts w:ascii="Arial" w:cs="Arial" w:eastAsia="Arial" w:hAnsi="Arial"/>
          <w:sz w:val="13"/>
          <w:szCs w:val="13"/>
          <w:color w:val="auto"/>
        </w:rPr>
        <w:t xml:space="preserve"> that such agreement or instrument may provide that such Lender will not, without the consent of the Participant, agree to any amendment, modification or waiver described in the first proviso to </w:t>
      </w:r>
      <w:r>
        <w:rPr>
          <w:rFonts w:ascii="Arial" w:cs="Arial" w:eastAsia="Arial" w:hAnsi="Arial"/>
          <w:sz w:val="13"/>
          <w:szCs w:val="13"/>
          <w:u w:val="single" w:color="auto"/>
          <w:color w:val="auto"/>
        </w:rPr>
        <w:t>Section 9.02(b)</w:t>
      </w:r>
      <w:r>
        <w:rPr>
          <w:rFonts w:ascii="Arial" w:cs="Arial" w:eastAsia="Arial" w:hAnsi="Arial"/>
          <w:sz w:val="13"/>
          <w:szCs w:val="13"/>
          <w:color w:val="auto"/>
        </w:rPr>
        <w:t xml:space="preserve"> that affects such Participant. Subject to </w:t>
      </w:r>
      <w:r>
        <w:rPr>
          <w:rFonts w:ascii="Arial" w:cs="Arial" w:eastAsia="Arial" w:hAnsi="Arial"/>
          <w:sz w:val="13"/>
          <w:szCs w:val="13"/>
          <w:u w:val="single" w:color="auto"/>
          <w:color w:val="auto"/>
        </w:rPr>
        <w:t>paragraph (g)</w:t>
      </w:r>
      <w:r>
        <w:rPr>
          <w:rFonts w:ascii="Arial" w:cs="Arial" w:eastAsia="Arial" w:hAnsi="Arial"/>
          <w:sz w:val="13"/>
          <w:szCs w:val="13"/>
          <w:color w:val="auto"/>
        </w:rPr>
        <w:t xml:space="preserve"> of this Section, the Borrower agrees that each Participant shall be entitled to the benefits of </w:t>
      </w:r>
      <w:r>
        <w:rPr>
          <w:rFonts w:ascii="Arial" w:cs="Arial" w:eastAsia="Arial" w:hAnsi="Arial"/>
          <w:sz w:val="13"/>
          <w:szCs w:val="13"/>
          <w:u w:val="single" w:color="auto"/>
          <w:color w:val="auto"/>
        </w:rPr>
        <w:t>Sections 2.14</w:t>
      </w:r>
      <w:r>
        <w:rPr>
          <w:rFonts w:ascii="Arial" w:cs="Arial" w:eastAsia="Arial" w:hAnsi="Arial"/>
          <w:sz w:val="13"/>
          <w:szCs w:val="13"/>
          <w:color w:val="auto"/>
        </w:rPr>
        <w:t xml:space="preserve">, </w:t>
      </w:r>
      <w:r>
        <w:rPr>
          <w:rFonts w:ascii="Arial" w:cs="Arial" w:eastAsia="Arial" w:hAnsi="Arial"/>
          <w:sz w:val="13"/>
          <w:szCs w:val="13"/>
          <w:u w:val="single" w:color="auto"/>
          <w:color w:val="auto"/>
        </w:rPr>
        <w:t>2.15</w:t>
      </w:r>
      <w:r>
        <w:rPr>
          <w:rFonts w:ascii="Arial" w:cs="Arial" w:eastAsia="Arial" w:hAnsi="Arial"/>
          <w:sz w:val="13"/>
          <w:szCs w:val="13"/>
          <w:color w:val="auto"/>
        </w:rPr>
        <w:t xml:space="preserve"> and </w:t>
      </w:r>
      <w:r>
        <w:rPr>
          <w:rFonts w:ascii="Arial" w:cs="Arial" w:eastAsia="Arial" w:hAnsi="Arial"/>
          <w:sz w:val="13"/>
          <w:szCs w:val="13"/>
          <w:u w:val="single" w:color="auto"/>
          <w:color w:val="auto"/>
        </w:rPr>
        <w:t>2.16</w:t>
      </w:r>
      <w:r>
        <w:rPr>
          <w:rFonts w:ascii="Arial" w:cs="Arial" w:eastAsia="Arial" w:hAnsi="Arial"/>
          <w:sz w:val="13"/>
          <w:szCs w:val="13"/>
          <w:color w:val="auto"/>
        </w:rPr>
        <w:t xml:space="preserve"> to the same extent as if it were a Lender and had acquired its interest by assignment pursuant to </w:t>
      </w:r>
      <w:r>
        <w:rPr>
          <w:rFonts w:ascii="Arial" w:cs="Arial" w:eastAsia="Arial" w:hAnsi="Arial"/>
          <w:sz w:val="13"/>
          <w:szCs w:val="13"/>
          <w:u w:val="single" w:color="auto"/>
          <w:color w:val="auto"/>
        </w:rPr>
        <w:t>paragraph (b)</w:t>
      </w:r>
      <w:r>
        <w:rPr>
          <w:rFonts w:ascii="Arial" w:cs="Arial" w:eastAsia="Arial" w:hAnsi="Arial"/>
          <w:sz w:val="13"/>
          <w:szCs w:val="13"/>
          <w:color w:val="auto"/>
        </w:rPr>
        <w:t xml:space="preserve"> of this Section; </w:t>
      </w:r>
      <w:r>
        <w:rPr>
          <w:rFonts w:ascii="Arial" w:cs="Arial" w:eastAsia="Arial" w:hAnsi="Arial"/>
          <w:sz w:val="13"/>
          <w:szCs w:val="13"/>
          <w:u w:val="single" w:color="auto"/>
          <w:color w:val="auto"/>
        </w:rPr>
        <w:t>provided</w:t>
      </w:r>
      <w:r>
        <w:rPr>
          <w:rFonts w:ascii="Arial" w:cs="Arial" w:eastAsia="Arial" w:hAnsi="Arial"/>
          <w:sz w:val="13"/>
          <w:szCs w:val="13"/>
          <w:color w:val="auto"/>
        </w:rPr>
        <w:t xml:space="preserve"> that such Participant shall not be entitled to receive any greater payment under </w:t>
      </w:r>
      <w:r>
        <w:rPr>
          <w:rFonts w:ascii="Arial" w:cs="Arial" w:eastAsia="Arial" w:hAnsi="Arial"/>
          <w:sz w:val="13"/>
          <w:szCs w:val="13"/>
          <w:u w:val="single" w:color="auto"/>
          <w:color w:val="auto"/>
        </w:rPr>
        <w:t>Sections 2.14</w:t>
      </w:r>
      <w:r>
        <w:rPr>
          <w:rFonts w:ascii="Arial" w:cs="Arial" w:eastAsia="Arial" w:hAnsi="Arial"/>
          <w:sz w:val="13"/>
          <w:szCs w:val="13"/>
          <w:color w:val="auto"/>
        </w:rPr>
        <w:t xml:space="preserve">, </w:t>
      </w:r>
      <w:r>
        <w:rPr>
          <w:rFonts w:ascii="Arial" w:cs="Arial" w:eastAsia="Arial" w:hAnsi="Arial"/>
          <w:sz w:val="13"/>
          <w:szCs w:val="13"/>
          <w:u w:val="single" w:color="auto"/>
          <w:color w:val="auto"/>
        </w:rPr>
        <w:t>2.15</w:t>
      </w:r>
      <w:r>
        <w:rPr>
          <w:rFonts w:ascii="Arial" w:cs="Arial" w:eastAsia="Arial" w:hAnsi="Arial"/>
          <w:sz w:val="13"/>
          <w:szCs w:val="13"/>
          <w:color w:val="auto"/>
        </w:rPr>
        <w:t xml:space="preserve"> or </w:t>
      </w:r>
      <w:r>
        <w:rPr>
          <w:rFonts w:ascii="Arial" w:cs="Arial" w:eastAsia="Arial" w:hAnsi="Arial"/>
          <w:sz w:val="13"/>
          <w:szCs w:val="13"/>
          <w:u w:val="single" w:color="auto"/>
          <w:color w:val="auto"/>
        </w:rPr>
        <w:t>2.16</w:t>
      </w:r>
      <w:r>
        <w:rPr>
          <w:rFonts w:ascii="Arial" w:cs="Arial" w:eastAsia="Arial" w:hAnsi="Arial"/>
          <w:sz w:val="13"/>
          <w:szCs w:val="13"/>
          <w:color w:val="auto"/>
        </w:rPr>
        <w:t xml:space="preserve">, with respect to any participation, than its participating Lenders would have been entitled to receive, except to the extent such entitlement to receive a greater payment results from a Change in Law that occurs after the Participant acquired the applicable participation; </w:t>
      </w:r>
      <w:r>
        <w:rPr>
          <w:rFonts w:ascii="Arial" w:cs="Arial" w:eastAsia="Arial" w:hAnsi="Arial"/>
          <w:sz w:val="13"/>
          <w:szCs w:val="13"/>
          <w:u w:val="single" w:color="auto"/>
          <w:color w:val="auto"/>
        </w:rPr>
        <w:t>provided</w:t>
      </w:r>
      <w:r>
        <w:rPr>
          <w:rFonts w:ascii="Arial" w:cs="Arial" w:eastAsia="Arial" w:hAnsi="Arial"/>
          <w:sz w:val="13"/>
          <w:szCs w:val="13"/>
          <w:color w:val="auto"/>
        </w:rPr>
        <w:t xml:space="preserve">, </w:t>
      </w:r>
      <w:r>
        <w:rPr>
          <w:rFonts w:ascii="Arial" w:cs="Arial" w:eastAsia="Arial" w:hAnsi="Arial"/>
          <w:sz w:val="13"/>
          <w:szCs w:val="13"/>
          <w:u w:val="single" w:color="auto"/>
          <w:color w:val="auto"/>
        </w:rPr>
        <w:t>further</w:t>
      </w:r>
      <w:r>
        <w:rPr>
          <w:rFonts w:ascii="Arial" w:cs="Arial" w:eastAsia="Arial" w:hAnsi="Arial"/>
          <w:sz w:val="13"/>
          <w:szCs w:val="13"/>
          <w:color w:val="auto"/>
        </w:rPr>
        <w:t xml:space="preserve">, that no Participant shall be entitled to the benefits of </w:t>
      </w:r>
      <w:r>
        <w:rPr>
          <w:rFonts w:ascii="Arial" w:cs="Arial" w:eastAsia="Arial" w:hAnsi="Arial"/>
          <w:sz w:val="13"/>
          <w:szCs w:val="13"/>
          <w:u w:val="single" w:color="auto"/>
          <w:color w:val="auto"/>
        </w:rPr>
        <w:t>Section 2.16</w:t>
      </w:r>
      <w:r>
        <w:rPr>
          <w:rFonts w:ascii="Arial" w:cs="Arial" w:eastAsia="Arial" w:hAnsi="Arial"/>
          <w:sz w:val="13"/>
          <w:szCs w:val="13"/>
          <w:color w:val="auto"/>
        </w:rPr>
        <w:t xml:space="preserve"> unless the Borrower is notified of the participation granted to such Participant and such Participant shall have complied with the requirements of </w:t>
      </w:r>
      <w:r>
        <w:rPr>
          <w:rFonts w:ascii="Arial" w:cs="Arial" w:eastAsia="Arial" w:hAnsi="Arial"/>
          <w:sz w:val="13"/>
          <w:szCs w:val="13"/>
          <w:u w:val="single" w:color="auto"/>
          <w:color w:val="auto"/>
        </w:rPr>
        <w:t>Section 2.16</w:t>
      </w:r>
      <w:r>
        <w:rPr>
          <w:rFonts w:ascii="Arial" w:cs="Arial" w:eastAsia="Arial" w:hAnsi="Arial"/>
          <w:sz w:val="13"/>
          <w:szCs w:val="13"/>
          <w:color w:val="auto"/>
        </w:rPr>
        <w:t xml:space="preserve"> as if such Participant is a Lender. To the extent permitted by law, each Participant also shall be entitled to the benefits of </w:t>
      </w:r>
      <w:r>
        <w:rPr>
          <w:rFonts w:ascii="Arial" w:cs="Arial" w:eastAsia="Arial" w:hAnsi="Arial"/>
          <w:sz w:val="13"/>
          <w:szCs w:val="13"/>
          <w:u w:val="single" w:color="auto"/>
          <w:color w:val="auto"/>
        </w:rPr>
        <w:t>Section 9.08</w:t>
      </w:r>
      <w:r>
        <w:rPr>
          <w:rFonts w:ascii="Arial" w:cs="Arial" w:eastAsia="Arial" w:hAnsi="Arial"/>
          <w:sz w:val="13"/>
          <w:szCs w:val="13"/>
          <w:color w:val="auto"/>
        </w:rPr>
        <w:t xml:space="preserve"> as though it were a Lender; provided such Participant agrees to be subject to </w:t>
      </w:r>
      <w:r>
        <w:rPr>
          <w:rFonts w:ascii="Arial" w:cs="Arial" w:eastAsia="Arial" w:hAnsi="Arial"/>
          <w:sz w:val="13"/>
          <w:szCs w:val="13"/>
          <w:u w:val="single" w:color="auto"/>
          <w:color w:val="auto"/>
        </w:rPr>
        <w:t>Section 2.17(d)</w:t>
      </w:r>
      <w:r>
        <w:rPr>
          <w:rFonts w:ascii="Arial" w:cs="Arial" w:eastAsia="Arial" w:hAnsi="Arial"/>
          <w:sz w:val="13"/>
          <w:szCs w:val="13"/>
          <w:color w:val="auto"/>
        </w:rPr>
        <w:t xml:space="preserve"> as though it were a Lender hereunder. Each Lender that sells a participation shall, acting solely for this purpose as a non-fiduciary agent of the Borrower, maintain a register on which it enters the name and address of each participant and the principal amounts (and stated interest of each Participant’s interest in the loans or other obligations under the Loan Documents (the “</w:t>
      </w:r>
      <w:r>
        <w:rPr>
          <w:rFonts w:ascii="Arial" w:cs="Arial" w:eastAsia="Arial" w:hAnsi="Arial"/>
          <w:sz w:val="13"/>
          <w:szCs w:val="13"/>
          <w:u w:val="single" w:color="auto"/>
          <w:color w:val="auto"/>
        </w:rPr>
        <w:t>Participant Register</w:t>
      </w:r>
      <w:r>
        <w:rPr>
          <w:rFonts w:ascii="Arial" w:cs="Arial" w:eastAsia="Arial" w:hAnsi="Arial"/>
          <w:sz w:val="13"/>
          <w:szCs w:val="13"/>
          <w:color w:val="auto"/>
        </w:rPr>
        <w:t>”); provided that no Lender shall have any obligation to disclose all or any portion of the Participant Register (including the identity of any Participant or any other information relating to a Participant’s interest</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7580" w:type="dxa"/>
            <w:vAlign w:val="bottom"/>
          </w:tcPr>
          <w:p>
            <w:pPr>
              <w:jc w:val="right"/>
              <w:ind w:right="1808"/>
              <w:spacing w:after="0"/>
              <w:rPr>
                <w:sz w:val="20"/>
                <w:szCs w:val="20"/>
                <w:color w:val="auto"/>
              </w:rPr>
            </w:pPr>
            <w:r>
              <w:rPr>
                <w:rFonts w:ascii="Arial" w:cs="Arial" w:eastAsia="Arial" w:hAnsi="Arial"/>
                <w:sz w:val="14"/>
                <w:szCs w:val="14"/>
                <w:color w:val="auto"/>
              </w:rPr>
              <w:t>64</w:t>
            </w:r>
          </w:p>
        </w:tc>
        <w:tc>
          <w:tcPr>
            <w:tcW w:w="3680" w:type="dxa"/>
            <w:vAlign w:val="bottom"/>
          </w:tcPr>
          <w:p>
            <w:pPr>
              <w:jc w:val="right"/>
              <w:spacing w:after="0"/>
              <w:rPr>
                <w:sz w:val="20"/>
                <w:szCs w:val="20"/>
                <w:color w:val="auto"/>
              </w:rPr>
            </w:pPr>
            <w:r>
              <w:rPr>
                <w:rFonts w:ascii="Arial" w:cs="Arial" w:eastAsia="Arial" w:hAnsi="Arial"/>
                <w:sz w:val="14"/>
                <w:szCs w:val="14"/>
                <w:i w:val="1"/>
                <w:iCs w:val="1"/>
                <w:color w:val="auto"/>
              </w:rPr>
              <w:t>Second Amended and Restated</w:t>
            </w:r>
          </w:p>
        </w:tc>
      </w:tr>
      <w:tr>
        <w:trPr>
          <w:trHeight w:val="182"/>
        </w:trPr>
        <w:tc>
          <w:tcPr>
            <w:tcW w:w="7580" w:type="dxa"/>
            <w:vAlign w:val="bottom"/>
          </w:tcPr>
          <w:p>
            <w:pPr>
              <w:spacing w:after="0"/>
              <w:rPr>
                <w:sz w:val="15"/>
                <w:szCs w:val="15"/>
                <w:color w:val="auto"/>
              </w:rPr>
            </w:pPr>
          </w:p>
        </w:tc>
        <w:tc>
          <w:tcPr>
            <w:tcW w:w="3680" w:type="dxa"/>
            <w:vAlign w:val="bottom"/>
          </w:tcPr>
          <w:p>
            <w:pPr>
              <w:jc w:val="right"/>
              <w:spacing w:after="0"/>
              <w:rPr>
                <w:sz w:val="20"/>
                <w:szCs w:val="20"/>
                <w:color w:val="auto"/>
              </w:rPr>
            </w:pPr>
            <w:r>
              <w:rPr>
                <w:rFonts w:ascii="Arial" w:cs="Arial" w:eastAsia="Arial" w:hAnsi="Arial"/>
                <w:sz w:val="14"/>
                <w:szCs w:val="14"/>
                <w:i w:val="1"/>
                <w:iCs w:val="1"/>
                <w:color w:val="auto"/>
              </w:rPr>
              <w:t>Revolving Credit Agreement</w:t>
            </w:r>
          </w:p>
        </w:tc>
      </w:tr>
      <w:tr>
        <w:trPr>
          <w:trHeight w:val="316"/>
        </w:trPr>
        <w:tc>
          <w:tcPr>
            <w:tcW w:w="7580" w:type="dxa"/>
            <w:vAlign w:val="bottom"/>
            <w:tcBorders>
              <w:bottom w:val="single" w:sz="8" w:color="9A9A9A"/>
            </w:tcBorders>
          </w:tcPr>
          <w:p>
            <w:pPr>
              <w:spacing w:after="0"/>
              <w:rPr>
                <w:sz w:val="24"/>
                <w:szCs w:val="24"/>
                <w:color w:val="auto"/>
              </w:rPr>
            </w:pPr>
          </w:p>
        </w:tc>
        <w:tc>
          <w:tcPr>
            <w:tcW w:w="368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7145655</wp:posOffset>
            </wp:positionH>
            <wp:positionV relativeFrom="paragraph">
              <wp:posOffset>-7620</wp:posOffset>
            </wp:positionV>
            <wp:extent cx="8255" cy="8255"/>
            <wp:wrapNone/>
            <wp:docPr id="233" name="Picture 2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3"/>
                    <pic:cNvPicPr>
                      <a:picLocks noChangeAspect="1" noChangeArrowheads="1"/>
                    </pic:cNvPicPr>
                  </pic:nvPicPr>
                  <pic:blipFill>
                    <a:blip r:embed="rId240">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-16510</wp:posOffset>
            </wp:positionV>
            <wp:extent cx="8890" cy="17145"/>
            <wp:wrapNone/>
            <wp:docPr id="234" name="Picture 2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4"/>
                    <pic:cNvPicPr>
                      <a:picLocks noChangeAspect="1" noChangeArrowheads="1"/>
                    </pic:cNvPicPr>
                  </pic:nvPicPr>
                  <pic:blipFill>
                    <a:blip r:embed="rId241">
                      <a:extLst>
                        <a:ext uri="{28A0092B-C50C-407E-A947-70E740481C1C}"/>
                      </a:extLst>
                    </a:blip>
                    <a:srcRect/>
                    <a:stretch>
                      <a:fillRect/>
                    </a:stretch>
                  </pic:blipFill>
                  <pic:spPr bwMode="auto">
                    <a:xfrm>
                      <a:off x="0" y="0"/>
                      <a:ext cx="8890" cy="17145"/>
                    </a:xfrm>
                    <a:prstGeom prst="rect">
                      <a:avLst/>
                    </a:prstGeom>
                    <a:noFill/>
                  </pic:spPr>
                </pic:pic>
              </a:graphicData>
            </a:graphic>
          </wp:anchor>
        </w:drawing>
      </w:r>
    </w:p>
    <w:p>
      <w:pPr>
        <w:sectPr>
          <w:pgSz w:w="11900" w:h="16838" w:orient="portrait"/>
          <w:cols w:equalWidth="0" w:num="1">
            <w:col w:w="11260"/>
          </w:cols>
          <w:pgMar w:left="320" w:top="337" w:right="319" w:bottom="1440" w:gutter="0" w:footer="0" w:header="0"/>
        </w:sectPr>
      </w:pPr>
    </w:p>
    <w:bookmarkStart w:id="127" w:name="page128"/>
    <w:bookmarkEnd w:id="127"/>
    <w:p>
      <w:pPr>
        <w:jc w:val="both"/>
        <w:ind w:right="20"/>
        <w:spacing w:after="0" w:line="231" w:lineRule="auto"/>
        <w:rPr>
          <w:sz w:val="20"/>
          <w:szCs w:val="20"/>
          <w:color w:val="auto"/>
        </w:rPr>
      </w:pPr>
      <w:r>
        <w:rPr>
          <w:rFonts w:ascii="Arial" w:cs="Arial" w:eastAsia="Arial" w:hAnsi="Arial"/>
          <w:sz w:val="14"/>
          <w:szCs w:val="14"/>
          <w:color w:val="auto"/>
        </w:rPr>
        <w:t>in any commitments, loans, letters of credit or is other obligations under any Loan Document) to any person except to the extent that such disclosures are necessary to establish that such commitment, loan, letter of credit or other obligation is in registered form under Section 5f.103-1(c) of the United States Treasury Regulations. The entries in the Participant Register shall be conclusive absent manifest error, and such Lender shall treat each Person whose name is recorded in the Participant Register as the owner of such participation for all purposes of this Agreement notwithstanding any notice to the contrary. For the avoidance of doubt, the Administrative Agent (in its capacity as Administrative Agent) shall have no responsibility for maintaining a Participant Register.</w:t>
      </w:r>
    </w:p>
    <w:p>
      <w:pPr>
        <w:spacing w:after="0" w:line="184" w:lineRule="exact"/>
        <w:rPr>
          <w:sz w:val="20"/>
          <w:szCs w:val="20"/>
          <w:color w:val="auto"/>
        </w:rPr>
      </w:pPr>
    </w:p>
    <w:p>
      <w:pPr>
        <w:jc w:val="both"/>
        <w:ind w:right="20" w:firstLine="1735"/>
        <w:spacing w:after="0" w:line="248" w:lineRule="auto"/>
        <w:tabs>
          <w:tab w:leader="none" w:pos="2543" w:val="left"/>
        </w:tabs>
        <w:numPr>
          <w:ilvl w:val="0"/>
          <w:numId w:val="166"/>
        </w:numPr>
        <w:rPr>
          <w:rFonts w:ascii="Arial" w:cs="Arial" w:eastAsia="Arial" w:hAnsi="Arial"/>
          <w:sz w:val="13"/>
          <w:szCs w:val="13"/>
          <w:color w:val="auto"/>
        </w:rPr>
      </w:pPr>
      <w:r>
        <w:rPr>
          <w:rFonts w:ascii="Arial" w:cs="Arial" w:eastAsia="Arial" w:hAnsi="Arial"/>
          <w:sz w:val="13"/>
          <w:szCs w:val="13"/>
          <w:u w:val="single" w:color="auto"/>
          <w:color w:val="auto"/>
        </w:rPr>
        <w:t>Limitations on Rights of Participants</w:t>
      </w:r>
      <w:r>
        <w:rPr>
          <w:rFonts w:ascii="Arial" w:cs="Arial" w:eastAsia="Arial" w:hAnsi="Arial"/>
          <w:sz w:val="13"/>
          <w:szCs w:val="13"/>
          <w:color w:val="auto"/>
        </w:rPr>
        <w:t xml:space="preserve">. A Participant shall not be entitled to receive any greater payment under </w:t>
      </w:r>
      <w:r>
        <w:rPr>
          <w:rFonts w:ascii="Arial" w:cs="Arial" w:eastAsia="Arial" w:hAnsi="Arial"/>
          <w:sz w:val="13"/>
          <w:szCs w:val="13"/>
          <w:u w:val="single" w:color="auto"/>
          <w:color w:val="auto"/>
        </w:rPr>
        <w:t>Section 2.14</w:t>
      </w:r>
      <w:r>
        <w:rPr>
          <w:rFonts w:ascii="Arial" w:cs="Arial" w:eastAsia="Arial" w:hAnsi="Arial"/>
          <w:sz w:val="13"/>
          <w:szCs w:val="13"/>
          <w:color w:val="auto"/>
        </w:rPr>
        <w:t xml:space="preserve">, </w:t>
      </w:r>
      <w:r>
        <w:rPr>
          <w:rFonts w:ascii="Arial" w:cs="Arial" w:eastAsia="Arial" w:hAnsi="Arial"/>
          <w:sz w:val="13"/>
          <w:szCs w:val="13"/>
          <w:u w:val="single" w:color="auto"/>
          <w:color w:val="auto"/>
        </w:rPr>
        <w:t>2.15</w:t>
      </w:r>
      <w:r>
        <w:rPr>
          <w:rFonts w:ascii="Arial" w:cs="Arial" w:eastAsia="Arial" w:hAnsi="Arial"/>
          <w:sz w:val="13"/>
          <w:szCs w:val="13"/>
          <w:color w:val="auto"/>
        </w:rPr>
        <w:t xml:space="preserve"> or </w:t>
      </w:r>
      <w:r>
        <w:rPr>
          <w:rFonts w:ascii="Arial" w:cs="Arial" w:eastAsia="Arial" w:hAnsi="Arial"/>
          <w:sz w:val="13"/>
          <w:szCs w:val="13"/>
          <w:u w:val="single" w:color="auto"/>
          <w:color w:val="auto"/>
        </w:rPr>
        <w:t>2.16</w:t>
      </w:r>
      <w:r>
        <w:rPr>
          <w:rFonts w:ascii="Arial" w:cs="Arial" w:eastAsia="Arial" w:hAnsi="Arial"/>
          <w:sz w:val="13"/>
          <w:szCs w:val="13"/>
          <w:color w:val="auto"/>
        </w:rPr>
        <w:t xml:space="preserve"> than the applicable Lender would have been entitled to receive with respect to the participation sold to such Participant, unless the sale of the participation to such Participant is made with the Borrower’s prior written consent. A Participant that would be a Foreign Lender if it were a Lender shall not be entitled to the benefits of </w:t>
      </w:r>
      <w:r>
        <w:rPr>
          <w:rFonts w:ascii="Arial" w:cs="Arial" w:eastAsia="Arial" w:hAnsi="Arial"/>
          <w:sz w:val="13"/>
          <w:szCs w:val="13"/>
          <w:u w:val="single" w:color="auto"/>
          <w:color w:val="auto"/>
        </w:rPr>
        <w:t>Section 2.16</w:t>
      </w:r>
      <w:r>
        <w:rPr>
          <w:rFonts w:ascii="Arial" w:cs="Arial" w:eastAsia="Arial" w:hAnsi="Arial"/>
          <w:sz w:val="13"/>
          <w:szCs w:val="13"/>
          <w:color w:val="auto"/>
        </w:rPr>
        <w:t xml:space="preserve"> unless the Borrower is notified of the participation sold to such Participant and such Participant agrees, for the benefit of the Borrower, to comply with </w:t>
      </w:r>
      <w:r>
        <w:rPr>
          <w:rFonts w:ascii="Arial" w:cs="Arial" w:eastAsia="Arial" w:hAnsi="Arial"/>
          <w:sz w:val="13"/>
          <w:szCs w:val="13"/>
          <w:u w:val="single" w:color="auto"/>
          <w:color w:val="auto"/>
        </w:rPr>
        <w:t>paragraphs (e)</w:t>
      </w:r>
      <w:r>
        <w:rPr>
          <w:rFonts w:ascii="Arial" w:cs="Arial" w:eastAsia="Arial" w:hAnsi="Arial"/>
          <w:sz w:val="13"/>
          <w:szCs w:val="13"/>
          <w:color w:val="auto"/>
        </w:rPr>
        <w:t xml:space="preserve"> and </w:t>
      </w:r>
      <w:r>
        <w:rPr>
          <w:rFonts w:ascii="Arial" w:cs="Arial" w:eastAsia="Arial" w:hAnsi="Arial"/>
          <w:sz w:val="13"/>
          <w:szCs w:val="13"/>
          <w:u w:val="single" w:color="auto"/>
          <w:color w:val="auto"/>
        </w:rPr>
        <w:t>(f)</w:t>
      </w:r>
      <w:r>
        <w:rPr>
          <w:rFonts w:ascii="Arial" w:cs="Arial" w:eastAsia="Arial" w:hAnsi="Arial"/>
          <w:sz w:val="13"/>
          <w:szCs w:val="13"/>
          <w:color w:val="auto"/>
        </w:rPr>
        <w:t xml:space="preserve"> of </w:t>
      </w:r>
      <w:r>
        <w:rPr>
          <w:rFonts w:ascii="Arial" w:cs="Arial" w:eastAsia="Arial" w:hAnsi="Arial"/>
          <w:sz w:val="13"/>
          <w:szCs w:val="13"/>
          <w:u w:val="single" w:color="auto"/>
          <w:color w:val="auto"/>
        </w:rPr>
        <w:t>Section 2.16</w:t>
      </w:r>
      <w:r>
        <w:rPr>
          <w:rFonts w:ascii="Arial" w:cs="Arial" w:eastAsia="Arial" w:hAnsi="Arial"/>
          <w:sz w:val="13"/>
          <w:szCs w:val="13"/>
          <w:color w:val="auto"/>
        </w:rPr>
        <w:t xml:space="preserve"> as though it were a Lender and in the case of a Participant claiming exemption for portfolio interest under Section 871(h) or 881(c) of the Code, the applicable Lender shall provide the Borrower with satisfactory evidence that the participation is in registered form and shall permit the Borrower to review such register as reasonably needed for the Borrower to comply with its obligations under applicable laws and regulations.</w:t>
      </w:r>
    </w:p>
    <w:p>
      <w:pPr>
        <w:spacing w:after="0" w:line="180" w:lineRule="exact"/>
        <w:rPr>
          <w:rFonts w:ascii="Arial" w:cs="Arial" w:eastAsia="Arial" w:hAnsi="Arial"/>
          <w:sz w:val="13"/>
          <w:szCs w:val="13"/>
          <w:color w:val="auto"/>
        </w:rPr>
      </w:pPr>
    </w:p>
    <w:p>
      <w:pPr>
        <w:jc w:val="both"/>
        <w:ind w:right="20" w:firstLine="1735"/>
        <w:spacing w:after="0" w:line="233" w:lineRule="auto"/>
        <w:tabs>
          <w:tab w:leader="none" w:pos="2543" w:val="left"/>
        </w:tabs>
        <w:numPr>
          <w:ilvl w:val="0"/>
          <w:numId w:val="166"/>
        </w:numPr>
        <w:rPr>
          <w:rFonts w:ascii="Arial" w:cs="Arial" w:eastAsia="Arial" w:hAnsi="Arial"/>
          <w:sz w:val="14"/>
          <w:szCs w:val="14"/>
          <w:color w:val="auto"/>
        </w:rPr>
      </w:pPr>
      <w:r>
        <w:rPr>
          <w:rFonts w:ascii="Arial" w:cs="Arial" w:eastAsia="Arial" w:hAnsi="Arial"/>
          <w:sz w:val="14"/>
          <w:szCs w:val="14"/>
          <w:u w:val="single" w:color="auto"/>
          <w:color w:val="auto"/>
        </w:rPr>
        <w:t>Certain Pledges</w:t>
      </w:r>
      <w:r>
        <w:rPr>
          <w:rFonts w:ascii="Arial" w:cs="Arial" w:eastAsia="Arial" w:hAnsi="Arial"/>
          <w:sz w:val="14"/>
          <w:szCs w:val="14"/>
          <w:color w:val="auto"/>
        </w:rPr>
        <w:t xml:space="preserve">. Any Lender may at any time pledge or assign a security interest in all or any portion of its rights under this Agreement to secure obligations of such Lender, including any such pledge or assignment to a Federal Reserve Bank or any other central bank having jurisdiction over such Lender, and this Section shall not apply to any such pledge or assignment of a security interest; </w:t>
      </w:r>
      <w:r>
        <w:rPr>
          <w:rFonts w:ascii="Arial" w:cs="Arial" w:eastAsia="Arial" w:hAnsi="Arial"/>
          <w:sz w:val="14"/>
          <w:szCs w:val="14"/>
          <w:u w:val="single" w:color="auto"/>
          <w:color w:val="auto"/>
        </w:rPr>
        <w:t>provided</w:t>
      </w:r>
      <w:r>
        <w:rPr>
          <w:rFonts w:ascii="Arial" w:cs="Arial" w:eastAsia="Arial" w:hAnsi="Arial"/>
          <w:sz w:val="14"/>
          <w:szCs w:val="14"/>
          <w:color w:val="auto"/>
        </w:rPr>
        <w:t xml:space="preserve"> that no such pledge or assignment of a security interest shall release a Lender from any of its obligations hereunder or substitute any such assignee for such Lender as a party hereto.</w:t>
      </w:r>
    </w:p>
    <w:p>
      <w:pPr>
        <w:spacing w:after="0" w:line="184" w:lineRule="exact"/>
        <w:rPr>
          <w:rFonts w:ascii="Arial" w:cs="Arial" w:eastAsia="Arial" w:hAnsi="Arial"/>
          <w:sz w:val="14"/>
          <w:szCs w:val="14"/>
          <w:color w:val="auto"/>
        </w:rPr>
      </w:pPr>
    </w:p>
    <w:p>
      <w:pPr>
        <w:ind w:right="20" w:firstLine="1735"/>
        <w:spacing w:after="0" w:line="253" w:lineRule="auto"/>
        <w:tabs>
          <w:tab w:leader="none" w:pos="2511" w:val="left"/>
        </w:tabs>
        <w:numPr>
          <w:ilvl w:val="0"/>
          <w:numId w:val="166"/>
        </w:numPr>
        <w:rPr>
          <w:rFonts w:ascii="Arial" w:cs="Arial" w:eastAsia="Arial" w:hAnsi="Arial"/>
          <w:sz w:val="14"/>
          <w:szCs w:val="14"/>
          <w:color w:val="auto"/>
        </w:rPr>
      </w:pPr>
      <w:r>
        <w:rPr>
          <w:rFonts w:ascii="Arial" w:cs="Arial" w:eastAsia="Arial" w:hAnsi="Arial"/>
          <w:sz w:val="14"/>
          <w:szCs w:val="14"/>
          <w:u w:val="single" w:color="auto"/>
          <w:color w:val="auto"/>
        </w:rPr>
        <w:t>No Assignments to the Borrower or Affiliates</w:t>
      </w:r>
      <w:r>
        <w:rPr>
          <w:rFonts w:ascii="Arial" w:cs="Arial" w:eastAsia="Arial" w:hAnsi="Arial"/>
          <w:sz w:val="14"/>
          <w:szCs w:val="14"/>
          <w:color w:val="auto"/>
        </w:rPr>
        <w:t>. Anything in this Section to the contrary notwithstanding, no Lender may assign or participate any interest in any Loan or LC Exposure held by it hereunder to the Borrower or any of its Affiliates or Subsidiaries without the prior consent of each Lender.</w:t>
      </w:r>
    </w:p>
    <w:p>
      <w:pPr>
        <w:spacing w:after="0" w:line="174" w:lineRule="exact"/>
        <w:rPr>
          <w:sz w:val="20"/>
          <w:szCs w:val="20"/>
          <w:color w:val="auto"/>
        </w:rPr>
      </w:pPr>
    </w:p>
    <w:p>
      <w:pPr>
        <w:jc w:val="both"/>
        <w:ind w:right="20" w:firstLine="1727"/>
        <w:spacing w:after="0" w:line="227" w:lineRule="auto"/>
        <w:rPr>
          <w:sz w:val="20"/>
          <w:szCs w:val="20"/>
          <w:color w:val="auto"/>
        </w:rPr>
      </w:pPr>
      <w:r>
        <w:rPr>
          <w:rFonts w:ascii="Arial" w:cs="Arial" w:eastAsia="Arial" w:hAnsi="Arial"/>
          <w:sz w:val="14"/>
          <w:szCs w:val="14"/>
          <w:color w:val="auto"/>
        </w:rPr>
        <w:t xml:space="preserve">SECTION 9.05. </w:t>
      </w:r>
      <w:r>
        <w:rPr>
          <w:rFonts w:ascii="Arial" w:cs="Arial" w:eastAsia="Arial" w:hAnsi="Arial"/>
          <w:sz w:val="14"/>
          <w:szCs w:val="14"/>
          <w:u w:val="single" w:color="auto"/>
          <w:color w:val="auto"/>
        </w:rPr>
        <w:t>Survival</w:t>
      </w:r>
      <w:r>
        <w:rPr>
          <w:rFonts w:ascii="Arial" w:cs="Arial" w:eastAsia="Arial" w:hAnsi="Arial"/>
          <w:sz w:val="14"/>
          <w:szCs w:val="14"/>
          <w:color w:val="auto"/>
        </w:rPr>
        <w:t xml:space="preserve">. All covenants, agreements, representations and warranties made by the Borrower herein and in the certificates or other instruments delivered in connection with or pursuant to this Agreement shall be considered to have been relied upon by the other parties hereto and shall survive the execution and delivery of this Agreement and the making of any Loans and issuance of any Letters of Credit, regardless of any investigation made by any such other party or on its behalf and notwithstanding that the Administrative Agent, the Issuing Bank or any Lender may have had notice or knowledge of any Default or incorrect representation or warranty at the time any credit is extended hereunder, and shall continue in full force and effect as long as the principal of or any accrued interest on any Loan or any fee or any other amount payable under this Agreement is outstanding and unpaid or any Letter of Credit is outstanding and so long as the Commitments have not expired or terminated. The provisions of </w:t>
      </w:r>
      <w:r>
        <w:rPr>
          <w:rFonts w:ascii="Arial" w:cs="Arial" w:eastAsia="Arial" w:hAnsi="Arial"/>
          <w:sz w:val="14"/>
          <w:szCs w:val="14"/>
          <w:u w:val="single" w:color="auto"/>
          <w:color w:val="auto"/>
        </w:rPr>
        <w:t>Sections 2.14</w:t>
      </w:r>
      <w:r>
        <w:rPr>
          <w:rFonts w:ascii="Arial" w:cs="Arial" w:eastAsia="Arial" w:hAnsi="Arial"/>
          <w:sz w:val="14"/>
          <w:szCs w:val="14"/>
          <w:color w:val="auto"/>
        </w:rPr>
        <w:t xml:space="preserve">, </w:t>
      </w:r>
      <w:r>
        <w:rPr>
          <w:rFonts w:ascii="Arial" w:cs="Arial" w:eastAsia="Arial" w:hAnsi="Arial"/>
          <w:sz w:val="14"/>
          <w:szCs w:val="14"/>
          <w:u w:val="single" w:color="auto"/>
          <w:color w:val="auto"/>
        </w:rPr>
        <w:t>2.15</w:t>
      </w:r>
      <w:r>
        <w:rPr>
          <w:rFonts w:ascii="Arial" w:cs="Arial" w:eastAsia="Arial" w:hAnsi="Arial"/>
          <w:sz w:val="14"/>
          <w:szCs w:val="14"/>
          <w:color w:val="auto"/>
        </w:rPr>
        <w:t xml:space="preserve">, </w:t>
      </w:r>
      <w:r>
        <w:rPr>
          <w:rFonts w:ascii="Arial" w:cs="Arial" w:eastAsia="Arial" w:hAnsi="Arial"/>
          <w:sz w:val="14"/>
          <w:szCs w:val="14"/>
          <w:u w:val="single" w:color="auto"/>
          <w:color w:val="auto"/>
        </w:rPr>
        <w:t>2.16</w:t>
      </w:r>
      <w:r>
        <w:rPr>
          <w:rFonts w:ascii="Arial" w:cs="Arial" w:eastAsia="Arial" w:hAnsi="Arial"/>
          <w:sz w:val="14"/>
          <w:szCs w:val="14"/>
          <w:color w:val="auto"/>
        </w:rPr>
        <w:t xml:space="preserve"> and </w:t>
      </w:r>
      <w:r>
        <w:rPr>
          <w:rFonts w:ascii="Arial" w:cs="Arial" w:eastAsia="Arial" w:hAnsi="Arial"/>
          <w:sz w:val="14"/>
          <w:szCs w:val="14"/>
          <w:u w:val="single" w:color="auto"/>
          <w:color w:val="auto"/>
        </w:rPr>
        <w:t>9.03</w:t>
      </w:r>
      <w:r>
        <w:rPr>
          <w:rFonts w:ascii="Arial" w:cs="Arial" w:eastAsia="Arial" w:hAnsi="Arial"/>
          <w:sz w:val="14"/>
          <w:szCs w:val="14"/>
          <w:color w:val="auto"/>
        </w:rPr>
        <w:t xml:space="preserve"> and </w:t>
      </w:r>
      <w:r>
        <w:rPr>
          <w:rFonts w:ascii="Arial" w:cs="Arial" w:eastAsia="Arial" w:hAnsi="Arial"/>
          <w:sz w:val="14"/>
          <w:szCs w:val="14"/>
          <w:u w:val="single" w:color="auto"/>
          <w:color w:val="auto"/>
        </w:rPr>
        <w:t>Article VIII</w:t>
      </w:r>
      <w:r>
        <w:rPr>
          <w:rFonts w:ascii="Arial" w:cs="Arial" w:eastAsia="Arial" w:hAnsi="Arial"/>
          <w:sz w:val="14"/>
          <w:szCs w:val="14"/>
          <w:color w:val="auto"/>
        </w:rPr>
        <w:t xml:space="preserve"> shall survive and remain in full force and effect regardless of the consummation of the transactions contemplated hereby, the repayment of the Loans, the expiration or termination, Cash Collateralization or backstop of the Letters of Credit and the Commitments or the termination of this Agreement or any provision hereof.</w:t>
      </w:r>
    </w:p>
    <w:p>
      <w:pPr>
        <w:spacing w:after="0" w:line="186" w:lineRule="exact"/>
        <w:rPr>
          <w:sz w:val="20"/>
          <w:szCs w:val="20"/>
          <w:color w:val="auto"/>
        </w:rPr>
      </w:pPr>
    </w:p>
    <w:p>
      <w:pPr>
        <w:ind w:left="1740"/>
        <w:spacing w:after="0"/>
        <w:rPr>
          <w:sz w:val="20"/>
          <w:szCs w:val="20"/>
          <w:color w:val="auto"/>
        </w:rPr>
      </w:pPr>
      <w:r>
        <w:rPr>
          <w:rFonts w:ascii="Arial" w:cs="Arial" w:eastAsia="Arial" w:hAnsi="Arial"/>
          <w:sz w:val="14"/>
          <w:szCs w:val="14"/>
          <w:color w:val="auto"/>
        </w:rPr>
        <w:t xml:space="preserve">SECTION 9.06. </w:t>
      </w:r>
      <w:r>
        <w:rPr>
          <w:rFonts w:ascii="Arial" w:cs="Arial" w:eastAsia="Arial" w:hAnsi="Arial"/>
          <w:sz w:val="14"/>
          <w:szCs w:val="14"/>
          <w:u w:val="single" w:color="auto"/>
          <w:color w:val="auto"/>
        </w:rPr>
        <w:t>Counterparts; Integration; Effectiveness; Electronic Execution</w:t>
      </w:r>
      <w:r>
        <w:rPr>
          <w:rFonts w:ascii="Arial" w:cs="Arial" w:eastAsia="Arial" w:hAnsi="Arial"/>
          <w:sz w:val="14"/>
          <w:szCs w:val="14"/>
          <w:color w:val="auto"/>
        </w:rPr>
        <w:t>.</w:t>
      </w:r>
    </w:p>
    <w:p>
      <w:pPr>
        <w:spacing w:after="0" w:line="204" w:lineRule="exact"/>
        <w:rPr>
          <w:sz w:val="20"/>
          <w:szCs w:val="20"/>
          <w:color w:val="auto"/>
        </w:rPr>
      </w:pPr>
    </w:p>
    <w:p>
      <w:pPr>
        <w:jc w:val="both"/>
        <w:ind w:right="20" w:firstLine="1735"/>
        <w:spacing w:after="0" w:line="228" w:lineRule="auto"/>
        <w:tabs>
          <w:tab w:leader="none" w:pos="2535" w:val="left"/>
        </w:tabs>
        <w:numPr>
          <w:ilvl w:val="0"/>
          <w:numId w:val="167"/>
        </w:numPr>
        <w:rPr>
          <w:rFonts w:ascii="Arial" w:cs="Arial" w:eastAsia="Arial" w:hAnsi="Arial"/>
          <w:sz w:val="14"/>
          <w:szCs w:val="14"/>
          <w:color w:val="auto"/>
        </w:rPr>
      </w:pPr>
      <w:r>
        <w:rPr>
          <w:rFonts w:ascii="Arial" w:cs="Arial" w:eastAsia="Arial" w:hAnsi="Arial"/>
          <w:sz w:val="14"/>
          <w:szCs w:val="14"/>
          <w:u w:val="single" w:color="auto"/>
          <w:color w:val="auto"/>
        </w:rPr>
        <w:t>Counterparts; Integration; Effectiveness</w:t>
      </w:r>
      <w:r>
        <w:rPr>
          <w:rFonts w:ascii="Arial" w:cs="Arial" w:eastAsia="Arial" w:hAnsi="Arial"/>
          <w:sz w:val="14"/>
          <w:szCs w:val="14"/>
          <w:color w:val="auto"/>
        </w:rPr>
        <w:t xml:space="preserve">. This Agreement may be executed in counterparts (and by different parties hereto on different counterparts), each of which shall constitute an original, but all of which when taken together shall constitute a single contract. This Agreement and any separate letter agreements with respect to fees payable to the Administrative Agent constitute the entire contract between and among the parties relating to the subject matter hereof and supersede any and all previous agreements and understandings, oral or written, relating to the subject matter hereof. Except as provided in </w:t>
      </w:r>
      <w:r>
        <w:rPr>
          <w:rFonts w:ascii="Arial" w:cs="Arial" w:eastAsia="Arial" w:hAnsi="Arial"/>
          <w:sz w:val="14"/>
          <w:szCs w:val="14"/>
          <w:u w:val="single" w:color="auto"/>
          <w:color w:val="auto"/>
        </w:rPr>
        <w:t>Section 4.01</w:t>
      </w:r>
      <w:r>
        <w:rPr>
          <w:rFonts w:ascii="Arial" w:cs="Arial" w:eastAsia="Arial" w:hAnsi="Arial"/>
          <w:sz w:val="14"/>
          <w:szCs w:val="14"/>
          <w:color w:val="auto"/>
        </w:rPr>
        <w:t>, this Agreement shall become effective when it shall have been executed by the Administrative Agent and when the Administrative Agent shall have received counterparts hereof which, when taken together, bear the signatures of each of the other parties hereto, and thereafter shall be binding upon and inure to the benefit of the parties hereto and their respective successors and assigns. Delivery of an executed counterpart of a signature page to this Agreement by telecopy electronically (e.g. pdf) shall be effective as delivery of a manually executed counterpart of this Agreement.</w:t>
      </w:r>
    </w:p>
    <w:p>
      <w:pPr>
        <w:spacing w:after="0" w:line="184" w:lineRule="exact"/>
        <w:rPr>
          <w:rFonts w:ascii="Arial" w:cs="Arial" w:eastAsia="Arial" w:hAnsi="Arial"/>
          <w:sz w:val="14"/>
          <w:szCs w:val="14"/>
          <w:color w:val="auto"/>
        </w:rPr>
      </w:pPr>
    </w:p>
    <w:p>
      <w:pPr>
        <w:jc w:val="both"/>
        <w:ind w:right="20" w:firstLine="1735"/>
        <w:spacing w:after="0" w:line="255" w:lineRule="auto"/>
        <w:tabs>
          <w:tab w:leader="none" w:pos="2543" w:val="left"/>
        </w:tabs>
        <w:numPr>
          <w:ilvl w:val="0"/>
          <w:numId w:val="167"/>
        </w:numPr>
        <w:rPr>
          <w:rFonts w:ascii="Arial" w:cs="Arial" w:eastAsia="Arial" w:hAnsi="Arial"/>
          <w:sz w:val="13"/>
          <w:szCs w:val="13"/>
          <w:color w:val="auto"/>
        </w:rPr>
      </w:pPr>
      <w:r>
        <w:rPr>
          <w:rFonts w:ascii="Arial" w:cs="Arial" w:eastAsia="Arial" w:hAnsi="Arial"/>
          <w:sz w:val="13"/>
          <w:szCs w:val="13"/>
          <w:u w:val="single" w:color="auto"/>
          <w:color w:val="auto"/>
        </w:rPr>
        <w:t>Electronic Execution of Assignments</w:t>
      </w:r>
      <w:r>
        <w:rPr>
          <w:rFonts w:ascii="Arial" w:cs="Arial" w:eastAsia="Arial" w:hAnsi="Arial"/>
          <w:sz w:val="13"/>
          <w:szCs w:val="13"/>
          <w:color w:val="auto"/>
        </w:rPr>
        <w:t>. The words “execution,” “signed,” “signature,” and words of like import in any Assignment and Assumption shall be deemed to include electronic signatures or the keeping of records in electronic form, each of which shall be of the same legal effect validity or enforceability as a manually executed signature or the use of a paper-based recordkeeping system, as the case may be, to the extent and as provided for in any applicable law, including the Federal Electronic Signatures in Global and National Commerce Act, the New York State Electronic Signatures and Records Act, or any other similar state laws based on the Uniform Electronic Transactions Act.</w:t>
      </w:r>
    </w:p>
    <w:p>
      <w:pPr>
        <w:spacing w:after="0" w:line="175" w:lineRule="exact"/>
        <w:rPr>
          <w:sz w:val="20"/>
          <w:szCs w:val="20"/>
          <w:color w:val="auto"/>
        </w:rPr>
      </w:pPr>
    </w:p>
    <w:p>
      <w:pPr>
        <w:jc w:val="both"/>
        <w:ind w:right="20" w:firstLine="1727"/>
        <w:spacing w:after="0" w:line="238" w:lineRule="auto"/>
        <w:rPr>
          <w:sz w:val="20"/>
          <w:szCs w:val="20"/>
          <w:color w:val="auto"/>
        </w:rPr>
      </w:pPr>
      <w:r>
        <w:rPr>
          <w:rFonts w:ascii="Arial" w:cs="Arial" w:eastAsia="Arial" w:hAnsi="Arial"/>
          <w:sz w:val="14"/>
          <w:szCs w:val="14"/>
          <w:color w:val="auto"/>
        </w:rPr>
        <w:t xml:space="preserve">SECTION 9.07. </w:t>
      </w:r>
      <w:r>
        <w:rPr>
          <w:rFonts w:ascii="Arial" w:cs="Arial" w:eastAsia="Arial" w:hAnsi="Arial"/>
          <w:sz w:val="14"/>
          <w:szCs w:val="14"/>
          <w:u w:val="single" w:color="auto"/>
          <w:color w:val="auto"/>
        </w:rPr>
        <w:t>Severability</w:t>
      </w:r>
      <w:r>
        <w:rPr>
          <w:rFonts w:ascii="Arial" w:cs="Arial" w:eastAsia="Arial" w:hAnsi="Arial"/>
          <w:sz w:val="14"/>
          <w:szCs w:val="14"/>
          <w:color w:val="auto"/>
        </w:rPr>
        <w:t>. Any provision of this Agreement held to be invalid, illegal or unenforceable in any jurisdiction shall, as to such jurisdiction, be ineffective to the extent of such invalidity, illegality or unenforceability without affecting the validity, legality and enforceability of the remaining provisions hereof; and the invalidity of a particular provision in a particular jurisdiction shall not invalidate such provision in any other jurisdiction.</w:t>
      </w:r>
    </w:p>
    <w:p>
      <w:pPr>
        <w:spacing w:after="0" w:line="183" w:lineRule="exact"/>
        <w:rPr>
          <w:sz w:val="20"/>
          <w:szCs w:val="20"/>
          <w:color w:val="auto"/>
        </w:rPr>
      </w:pPr>
    </w:p>
    <w:p>
      <w:pPr>
        <w:jc w:val="both"/>
        <w:ind w:right="20" w:firstLine="1727"/>
        <w:spacing w:after="0" w:line="233" w:lineRule="auto"/>
        <w:rPr>
          <w:sz w:val="20"/>
          <w:szCs w:val="20"/>
          <w:color w:val="auto"/>
        </w:rPr>
      </w:pPr>
      <w:r>
        <w:rPr>
          <w:rFonts w:ascii="Arial" w:cs="Arial" w:eastAsia="Arial" w:hAnsi="Arial"/>
          <w:sz w:val="14"/>
          <w:szCs w:val="14"/>
          <w:color w:val="auto"/>
        </w:rPr>
        <w:t xml:space="preserve">SECTION 9.08. </w:t>
      </w:r>
      <w:r>
        <w:rPr>
          <w:rFonts w:ascii="Arial" w:cs="Arial" w:eastAsia="Arial" w:hAnsi="Arial"/>
          <w:sz w:val="14"/>
          <w:szCs w:val="14"/>
          <w:u w:val="single" w:color="auto"/>
          <w:color w:val="auto"/>
        </w:rPr>
        <w:t>Right of Setoff</w:t>
      </w:r>
      <w:r>
        <w:rPr>
          <w:rFonts w:ascii="Arial" w:cs="Arial" w:eastAsia="Arial" w:hAnsi="Arial"/>
          <w:sz w:val="14"/>
          <w:szCs w:val="14"/>
          <w:color w:val="auto"/>
        </w:rPr>
        <w:t>. If an Event of Default shall have occurred and be continuing, each Lender and each of its Affiliates is hereby authorized at any time and from time to time, to the fullest extent permitted by law, to set off and apply any and all deposits (general or special, time or demand, provisional or final) at any time held and other obligations at any time owing by such Lender or Affiliate to or for the credit or the account of the Borrower against any of and all the obligations of the Borrower now or hereafter existing under this Agreement held by such Lender, irrespective of whether or not such Lender shall have made any demand under this Agreement and although</w:t>
      </w:r>
    </w:p>
    <w:p>
      <w:pPr>
        <w:spacing w:after="0" w:line="200" w:lineRule="exact"/>
        <w:rPr>
          <w:sz w:val="20"/>
          <w:szCs w:val="20"/>
          <w:color w:val="auto"/>
        </w:rPr>
      </w:pPr>
    </w:p>
    <w:p>
      <w:pPr>
        <w:spacing w:after="0" w:line="200" w:lineRule="exact"/>
        <w:rPr>
          <w:sz w:val="20"/>
          <w:szCs w:val="20"/>
          <w:color w:val="auto"/>
        </w:rPr>
      </w:pPr>
    </w:p>
    <w:p>
      <w:pPr>
        <w:spacing w:after="0" w:line="20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7580" w:type="dxa"/>
            <w:vAlign w:val="bottom"/>
          </w:tcPr>
          <w:p>
            <w:pPr>
              <w:jc w:val="right"/>
              <w:ind w:right="1808"/>
              <w:spacing w:after="0"/>
              <w:rPr>
                <w:sz w:val="20"/>
                <w:szCs w:val="20"/>
                <w:color w:val="auto"/>
              </w:rPr>
            </w:pPr>
            <w:r>
              <w:rPr>
                <w:rFonts w:ascii="Arial" w:cs="Arial" w:eastAsia="Arial" w:hAnsi="Arial"/>
                <w:sz w:val="14"/>
                <w:szCs w:val="14"/>
                <w:color w:val="auto"/>
              </w:rPr>
              <w:t>65</w:t>
            </w:r>
          </w:p>
        </w:tc>
        <w:tc>
          <w:tcPr>
            <w:tcW w:w="3680" w:type="dxa"/>
            <w:vAlign w:val="bottom"/>
          </w:tcPr>
          <w:p>
            <w:pPr>
              <w:jc w:val="right"/>
              <w:spacing w:after="0"/>
              <w:rPr>
                <w:sz w:val="20"/>
                <w:szCs w:val="20"/>
                <w:color w:val="auto"/>
              </w:rPr>
            </w:pPr>
            <w:r>
              <w:rPr>
                <w:rFonts w:ascii="Arial" w:cs="Arial" w:eastAsia="Arial" w:hAnsi="Arial"/>
                <w:sz w:val="14"/>
                <w:szCs w:val="14"/>
                <w:i w:val="1"/>
                <w:iCs w:val="1"/>
                <w:color w:val="auto"/>
              </w:rPr>
              <w:t>Second Amended and Restated</w:t>
            </w:r>
          </w:p>
        </w:tc>
      </w:tr>
      <w:tr>
        <w:trPr>
          <w:trHeight w:val="182"/>
        </w:trPr>
        <w:tc>
          <w:tcPr>
            <w:tcW w:w="7580" w:type="dxa"/>
            <w:vAlign w:val="bottom"/>
          </w:tcPr>
          <w:p>
            <w:pPr>
              <w:spacing w:after="0"/>
              <w:rPr>
                <w:sz w:val="15"/>
                <w:szCs w:val="15"/>
                <w:color w:val="auto"/>
              </w:rPr>
            </w:pPr>
          </w:p>
        </w:tc>
        <w:tc>
          <w:tcPr>
            <w:tcW w:w="3680" w:type="dxa"/>
            <w:vAlign w:val="bottom"/>
          </w:tcPr>
          <w:p>
            <w:pPr>
              <w:jc w:val="right"/>
              <w:spacing w:after="0"/>
              <w:rPr>
                <w:sz w:val="20"/>
                <w:szCs w:val="20"/>
                <w:color w:val="auto"/>
              </w:rPr>
            </w:pPr>
            <w:r>
              <w:rPr>
                <w:rFonts w:ascii="Arial" w:cs="Arial" w:eastAsia="Arial" w:hAnsi="Arial"/>
                <w:sz w:val="14"/>
                <w:szCs w:val="14"/>
                <w:i w:val="1"/>
                <w:iCs w:val="1"/>
                <w:color w:val="auto"/>
              </w:rPr>
              <w:t>Revolving Credit Agreement</w:t>
            </w:r>
          </w:p>
        </w:tc>
      </w:tr>
      <w:tr>
        <w:trPr>
          <w:trHeight w:val="316"/>
        </w:trPr>
        <w:tc>
          <w:tcPr>
            <w:tcW w:w="7580" w:type="dxa"/>
            <w:vAlign w:val="bottom"/>
            <w:tcBorders>
              <w:bottom w:val="single" w:sz="8" w:color="9A9A9A"/>
            </w:tcBorders>
          </w:tcPr>
          <w:p>
            <w:pPr>
              <w:spacing w:after="0"/>
              <w:rPr>
                <w:sz w:val="24"/>
                <w:szCs w:val="24"/>
                <w:color w:val="auto"/>
              </w:rPr>
            </w:pPr>
          </w:p>
        </w:tc>
        <w:tc>
          <w:tcPr>
            <w:tcW w:w="368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7145655</wp:posOffset>
            </wp:positionH>
            <wp:positionV relativeFrom="paragraph">
              <wp:posOffset>-7620</wp:posOffset>
            </wp:positionV>
            <wp:extent cx="8255" cy="8255"/>
            <wp:wrapNone/>
            <wp:docPr id="235" name="Picture 2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5"/>
                    <pic:cNvPicPr>
                      <a:picLocks noChangeAspect="1" noChangeArrowheads="1"/>
                    </pic:cNvPicPr>
                  </pic:nvPicPr>
                  <pic:blipFill>
                    <a:blip r:embed="rId242">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-16510</wp:posOffset>
            </wp:positionV>
            <wp:extent cx="8890" cy="17145"/>
            <wp:wrapNone/>
            <wp:docPr id="236" name="Picture 2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6"/>
                    <pic:cNvPicPr>
                      <a:picLocks noChangeAspect="1" noChangeArrowheads="1"/>
                    </pic:cNvPicPr>
                  </pic:nvPicPr>
                  <pic:blipFill>
                    <a:blip r:embed="rId243">
                      <a:extLst>
                        <a:ext uri="{28A0092B-C50C-407E-A947-70E740481C1C}"/>
                      </a:extLst>
                    </a:blip>
                    <a:srcRect/>
                    <a:stretch>
                      <a:fillRect/>
                    </a:stretch>
                  </pic:blipFill>
                  <pic:spPr bwMode="auto">
                    <a:xfrm>
                      <a:off x="0" y="0"/>
                      <a:ext cx="8890" cy="17145"/>
                    </a:xfrm>
                    <a:prstGeom prst="rect">
                      <a:avLst/>
                    </a:prstGeom>
                    <a:noFill/>
                  </pic:spPr>
                </pic:pic>
              </a:graphicData>
            </a:graphic>
          </wp:anchor>
        </w:drawing>
      </w:r>
    </w:p>
    <w:p>
      <w:pPr>
        <w:sectPr>
          <w:pgSz w:w="11900" w:h="16838" w:orient="portrait"/>
          <w:cols w:equalWidth="0" w:num="1">
            <w:col w:w="11260"/>
          </w:cols>
          <w:pgMar w:left="320" w:top="337" w:right="319" w:bottom="1440" w:gutter="0" w:footer="0" w:header="0"/>
        </w:sectPr>
      </w:pPr>
    </w:p>
    <w:bookmarkStart w:id="128" w:name="page129"/>
    <w:bookmarkEnd w:id="128"/>
    <w:p>
      <w:pPr>
        <w:jc w:val="both"/>
        <w:ind w:right="20"/>
        <w:spacing w:after="0" w:line="229" w:lineRule="auto"/>
        <w:rPr>
          <w:sz w:val="20"/>
          <w:szCs w:val="20"/>
          <w:color w:val="auto"/>
        </w:rPr>
      </w:pPr>
      <w:r>
        <w:rPr>
          <w:rFonts w:ascii="Arial" w:cs="Arial" w:eastAsia="Arial" w:hAnsi="Arial"/>
          <w:sz w:val="14"/>
          <w:szCs w:val="14"/>
          <w:color w:val="auto"/>
        </w:rPr>
        <w:t xml:space="preserve">such obligations may be unmatured; </w:t>
      </w:r>
      <w:r>
        <w:rPr>
          <w:rFonts w:ascii="Arial" w:cs="Arial" w:eastAsia="Arial" w:hAnsi="Arial"/>
          <w:sz w:val="14"/>
          <w:szCs w:val="14"/>
          <w:u w:val="single" w:color="auto"/>
          <w:color w:val="auto"/>
        </w:rPr>
        <w:t>provided</w:t>
      </w:r>
      <w:r>
        <w:rPr>
          <w:rFonts w:ascii="Arial" w:cs="Arial" w:eastAsia="Arial" w:hAnsi="Arial"/>
          <w:sz w:val="14"/>
          <w:szCs w:val="14"/>
          <w:color w:val="auto"/>
        </w:rPr>
        <w:t xml:space="preserve"> that in the event that any Defaulting Lender shall exercise any such right of setoff, (x) all amounts so set off shall be paid over immediately to Administrative Agent for further application in accordance with the provisions of </w:t>
      </w:r>
      <w:r>
        <w:rPr>
          <w:rFonts w:ascii="Arial" w:cs="Arial" w:eastAsia="Arial" w:hAnsi="Arial"/>
          <w:sz w:val="14"/>
          <w:szCs w:val="14"/>
          <w:u w:val="single" w:color="auto"/>
          <w:color w:val="auto"/>
        </w:rPr>
        <w:t>Sections 2.17(d)</w:t>
      </w:r>
      <w:r>
        <w:rPr>
          <w:rFonts w:ascii="Arial" w:cs="Arial" w:eastAsia="Arial" w:hAnsi="Arial"/>
          <w:sz w:val="14"/>
          <w:szCs w:val="14"/>
          <w:color w:val="auto"/>
        </w:rPr>
        <w:t xml:space="preserve"> and, pending such payment, shall be segregated by such Defaulting Lender from its other funds and deemed held in trust for the benefit of Administrative Agent, the Issuing Bank, and the Lenders, and (y) the Defaulting Lender shall provide promptly to Administrative Agent a statement describing in reasonable detail the amounts owing to such Defaulting Lender hereunder as to which it exercised such right of setoff. The rights of each Lender under this Section are in addition to other rights and remedies (including other rights of setoff) which such Lender may have. Each Lender agrees to notify the Borrower and the Administrative Agent promptly after any such setoff and application; </w:t>
      </w:r>
      <w:r>
        <w:rPr>
          <w:rFonts w:ascii="Arial" w:cs="Arial" w:eastAsia="Arial" w:hAnsi="Arial"/>
          <w:sz w:val="14"/>
          <w:szCs w:val="14"/>
          <w:u w:val="single" w:color="auto"/>
          <w:color w:val="auto"/>
        </w:rPr>
        <w:t>provided</w:t>
      </w:r>
      <w:r>
        <w:rPr>
          <w:rFonts w:ascii="Arial" w:cs="Arial" w:eastAsia="Arial" w:hAnsi="Arial"/>
          <w:sz w:val="14"/>
          <w:szCs w:val="14"/>
          <w:color w:val="auto"/>
        </w:rPr>
        <w:t xml:space="preserve"> that the failure to give such notice shall not affect the validity of such setoff and application.</w:t>
      </w:r>
    </w:p>
    <w:p>
      <w:pPr>
        <w:spacing w:after="0" w:line="185" w:lineRule="exact"/>
        <w:rPr>
          <w:sz w:val="20"/>
          <w:szCs w:val="20"/>
          <w:color w:val="auto"/>
        </w:rPr>
      </w:pPr>
    </w:p>
    <w:p>
      <w:pPr>
        <w:ind w:left="1740"/>
        <w:spacing w:after="0"/>
        <w:rPr>
          <w:sz w:val="20"/>
          <w:szCs w:val="20"/>
          <w:color w:val="auto"/>
        </w:rPr>
      </w:pPr>
      <w:r>
        <w:rPr>
          <w:rFonts w:ascii="Arial" w:cs="Arial" w:eastAsia="Arial" w:hAnsi="Arial"/>
          <w:sz w:val="14"/>
          <w:szCs w:val="14"/>
          <w:color w:val="auto"/>
        </w:rPr>
        <w:t xml:space="preserve">SECTION 9.09. </w:t>
      </w:r>
      <w:r>
        <w:rPr>
          <w:rFonts w:ascii="Arial" w:cs="Arial" w:eastAsia="Arial" w:hAnsi="Arial"/>
          <w:sz w:val="14"/>
          <w:szCs w:val="14"/>
          <w:u w:val="single" w:color="auto"/>
          <w:color w:val="auto"/>
        </w:rPr>
        <w:t>Governing Law; Jurisdiction; Etc</w:t>
      </w:r>
      <w:r>
        <w:rPr>
          <w:rFonts w:ascii="Arial" w:cs="Arial" w:eastAsia="Arial" w:hAnsi="Arial"/>
          <w:sz w:val="14"/>
          <w:szCs w:val="14"/>
          <w:color w:val="auto"/>
        </w:rPr>
        <w:t>.</w:t>
      </w:r>
    </w:p>
    <w:p>
      <w:pPr>
        <w:spacing w:after="0" w:line="204" w:lineRule="exact"/>
        <w:rPr>
          <w:sz w:val="20"/>
          <w:szCs w:val="20"/>
          <w:color w:val="auto"/>
        </w:rPr>
      </w:pPr>
    </w:p>
    <w:p>
      <w:pPr>
        <w:ind w:left="2540" w:hanging="805"/>
        <w:spacing w:after="0"/>
        <w:tabs>
          <w:tab w:leader="none" w:pos="2540" w:val="left"/>
        </w:tabs>
        <w:numPr>
          <w:ilvl w:val="1"/>
          <w:numId w:val="168"/>
        </w:numPr>
        <w:rPr>
          <w:rFonts w:ascii="Arial" w:cs="Arial" w:eastAsia="Arial" w:hAnsi="Arial"/>
          <w:sz w:val="14"/>
          <w:szCs w:val="14"/>
          <w:color w:val="auto"/>
        </w:rPr>
      </w:pPr>
      <w:r>
        <w:rPr>
          <w:rFonts w:ascii="Arial" w:cs="Arial" w:eastAsia="Arial" w:hAnsi="Arial"/>
          <w:sz w:val="14"/>
          <w:szCs w:val="14"/>
          <w:u w:val="single" w:color="auto"/>
          <w:color w:val="auto"/>
        </w:rPr>
        <w:t>Governing Law</w:t>
      </w:r>
      <w:r>
        <w:rPr>
          <w:rFonts w:ascii="Arial" w:cs="Arial" w:eastAsia="Arial" w:hAnsi="Arial"/>
          <w:sz w:val="14"/>
          <w:szCs w:val="14"/>
          <w:color w:val="auto"/>
        </w:rPr>
        <w:t>. This Agreement shall be construed in accordance with and governed by the law of the State of New York.</w:t>
      </w:r>
    </w:p>
    <w:p>
      <w:pPr>
        <w:spacing w:after="0" w:line="203" w:lineRule="exact"/>
        <w:rPr>
          <w:rFonts w:ascii="Arial" w:cs="Arial" w:eastAsia="Arial" w:hAnsi="Arial"/>
          <w:sz w:val="14"/>
          <w:szCs w:val="14"/>
          <w:color w:val="auto"/>
        </w:rPr>
      </w:pPr>
    </w:p>
    <w:p>
      <w:pPr>
        <w:jc w:val="both"/>
        <w:ind w:right="20" w:firstLine="1735"/>
        <w:spacing w:after="0" w:line="228" w:lineRule="auto"/>
        <w:tabs>
          <w:tab w:leader="none" w:pos="2543" w:val="left"/>
        </w:tabs>
        <w:numPr>
          <w:ilvl w:val="1"/>
          <w:numId w:val="168"/>
        </w:numPr>
        <w:rPr>
          <w:rFonts w:ascii="Arial" w:cs="Arial" w:eastAsia="Arial" w:hAnsi="Arial"/>
          <w:sz w:val="14"/>
          <w:szCs w:val="14"/>
          <w:color w:val="auto"/>
        </w:rPr>
      </w:pPr>
      <w:r>
        <w:rPr>
          <w:rFonts w:ascii="Arial" w:cs="Arial" w:eastAsia="Arial" w:hAnsi="Arial"/>
          <w:sz w:val="14"/>
          <w:szCs w:val="14"/>
          <w:u w:val="single" w:color="auto"/>
          <w:color w:val="auto"/>
        </w:rPr>
        <w:t>Submission to Jurisdiction</w:t>
      </w:r>
      <w:r>
        <w:rPr>
          <w:rFonts w:ascii="Arial" w:cs="Arial" w:eastAsia="Arial" w:hAnsi="Arial"/>
          <w:sz w:val="14"/>
          <w:szCs w:val="14"/>
          <w:color w:val="auto"/>
        </w:rPr>
        <w:t>. The Borrower hereby irrevocably and unconditionally submits, for itself and its property, to the exclusive jurisdiction of the Supreme Court of the State of New York sitting in New York County and of the United States District Court of the Southern District of New York, and any appellate court from any thereof, in any action or proceeding arising out of or relating to this Agreement and any Loan Document, or for recognition or enforcement of any judgment, and each of the parties hereto hereby irrevocably and unconditionally agrees that all claims in respect of any such action or proceeding may be heard and determined in such New York State or, to the extent permitted by law, in such Federal court. Each of the parties hereto agrees that a final judgment in any such action or proceeding shall be conclusive and may be enforced in other jurisdictions by suit on the judgment or in any other manner provided by law. Nothing in this Agreement shall affect any right that the Administrative Agent, the Issuing Bank or any Lender may otherwise have to bring any action or proceeding relating to this Agreement against the Borrower or its properties in the courts of any jurisdiction.</w:t>
      </w:r>
    </w:p>
    <w:p>
      <w:pPr>
        <w:spacing w:after="0" w:line="184" w:lineRule="exact"/>
        <w:rPr>
          <w:rFonts w:ascii="Arial" w:cs="Arial" w:eastAsia="Arial" w:hAnsi="Arial"/>
          <w:sz w:val="14"/>
          <w:szCs w:val="14"/>
          <w:color w:val="auto"/>
        </w:rPr>
      </w:pPr>
    </w:p>
    <w:p>
      <w:pPr>
        <w:jc w:val="both"/>
        <w:ind w:right="20" w:firstLine="1735"/>
        <w:spacing w:after="0" w:line="233" w:lineRule="auto"/>
        <w:tabs>
          <w:tab w:leader="none" w:pos="2535" w:val="left"/>
        </w:tabs>
        <w:numPr>
          <w:ilvl w:val="1"/>
          <w:numId w:val="168"/>
        </w:numPr>
        <w:rPr>
          <w:rFonts w:ascii="Arial" w:cs="Arial" w:eastAsia="Arial" w:hAnsi="Arial"/>
          <w:sz w:val="14"/>
          <w:szCs w:val="14"/>
          <w:color w:val="auto"/>
        </w:rPr>
      </w:pPr>
      <w:r>
        <w:rPr>
          <w:rFonts w:ascii="Arial" w:cs="Arial" w:eastAsia="Arial" w:hAnsi="Arial"/>
          <w:sz w:val="14"/>
          <w:szCs w:val="14"/>
          <w:u w:val="single" w:color="auto"/>
          <w:color w:val="auto"/>
        </w:rPr>
        <w:t>Waiver of Venue</w:t>
      </w:r>
      <w:r>
        <w:rPr>
          <w:rFonts w:ascii="Arial" w:cs="Arial" w:eastAsia="Arial" w:hAnsi="Arial"/>
          <w:sz w:val="14"/>
          <w:szCs w:val="14"/>
          <w:color w:val="auto"/>
        </w:rPr>
        <w:t xml:space="preserve">. The Borrower hereby irrevocably and unconditionally waives, to the fullest extent it may legally and effectively do so, any objection which it may now or hereafter have to the laying of venue of any suit, action or proceeding arising out of or relating to this Agreement in any court referred to in </w:t>
      </w:r>
      <w:r>
        <w:rPr>
          <w:rFonts w:ascii="Arial" w:cs="Arial" w:eastAsia="Arial" w:hAnsi="Arial"/>
          <w:sz w:val="14"/>
          <w:szCs w:val="14"/>
          <w:u w:val="single" w:color="auto"/>
          <w:color w:val="auto"/>
        </w:rPr>
        <w:t>paragraph (b)</w:t>
      </w:r>
      <w:r>
        <w:rPr>
          <w:rFonts w:ascii="Arial" w:cs="Arial" w:eastAsia="Arial" w:hAnsi="Arial"/>
          <w:sz w:val="14"/>
          <w:szCs w:val="14"/>
          <w:color w:val="auto"/>
        </w:rPr>
        <w:t xml:space="preserve"> of this Section. Each of the parties hereto hereby irrevocably waives, to the fullest extent permitted by law, the defense of an inconvenient forum to the maintenance of such action or proceeding in any such court.</w:t>
      </w:r>
    </w:p>
    <w:p>
      <w:pPr>
        <w:spacing w:after="0" w:line="184" w:lineRule="exact"/>
        <w:rPr>
          <w:rFonts w:ascii="Arial" w:cs="Arial" w:eastAsia="Arial" w:hAnsi="Arial"/>
          <w:sz w:val="14"/>
          <w:szCs w:val="14"/>
          <w:color w:val="auto"/>
        </w:rPr>
      </w:pPr>
    </w:p>
    <w:p>
      <w:pPr>
        <w:ind w:left="2560" w:hanging="825"/>
        <w:spacing w:after="0"/>
        <w:tabs>
          <w:tab w:leader="none" w:pos="2560" w:val="left"/>
        </w:tabs>
        <w:numPr>
          <w:ilvl w:val="1"/>
          <w:numId w:val="168"/>
        </w:numPr>
        <w:rPr>
          <w:rFonts w:ascii="Arial" w:cs="Arial" w:eastAsia="Arial" w:hAnsi="Arial"/>
          <w:sz w:val="13"/>
          <w:szCs w:val="13"/>
          <w:color w:val="auto"/>
        </w:rPr>
      </w:pPr>
      <w:r>
        <w:rPr>
          <w:rFonts w:ascii="Arial" w:cs="Arial" w:eastAsia="Arial" w:hAnsi="Arial"/>
          <w:sz w:val="13"/>
          <w:szCs w:val="13"/>
          <w:u w:val="single" w:color="auto"/>
          <w:color w:val="auto"/>
        </w:rPr>
        <w:t>Service of Process</w:t>
      </w:r>
      <w:r>
        <w:rPr>
          <w:rFonts w:ascii="Arial" w:cs="Arial" w:eastAsia="Arial" w:hAnsi="Arial"/>
          <w:sz w:val="13"/>
          <w:szCs w:val="13"/>
          <w:color w:val="auto"/>
        </w:rPr>
        <w:t xml:space="preserve">. Each party to this Agreement (i) irrevocably consents to service of process in the manner provided for notices in </w:t>
      </w:r>
      <w:r>
        <w:rPr>
          <w:rFonts w:ascii="Arial" w:cs="Arial" w:eastAsia="Arial" w:hAnsi="Arial"/>
          <w:sz w:val="13"/>
          <w:szCs w:val="13"/>
          <w:u w:val="single" w:color="auto"/>
          <w:color w:val="auto"/>
        </w:rPr>
        <w:t>Section 9.01</w:t>
      </w:r>
      <w:r>
        <w:rPr>
          <w:rFonts w:ascii="Arial" w:cs="Arial" w:eastAsia="Arial" w:hAnsi="Arial"/>
          <w:sz w:val="13"/>
          <w:szCs w:val="13"/>
          <w:color w:val="auto"/>
        </w:rPr>
        <w:t xml:space="preserve"> and</w:t>
      </w:r>
    </w:p>
    <w:p>
      <w:pPr>
        <w:spacing w:after="0" w:line="11" w:lineRule="exact"/>
        <w:rPr>
          <w:rFonts w:ascii="Arial" w:cs="Arial" w:eastAsia="Arial" w:hAnsi="Arial"/>
          <w:sz w:val="13"/>
          <w:szCs w:val="13"/>
          <w:color w:val="auto"/>
        </w:rPr>
      </w:pPr>
    </w:p>
    <w:p>
      <w:pPr>
        <w:ind w:right="20" w:firstLine="8"/>
        <w:spacing w:after="0" w:line="271" w:lineRule="auto"/>
        <w:tabs>
          <w:tab w:leader="none" w:pos="221" w:val="left"/>
        </w:tabs>
        <w:numPr>
          <w:ilvl w:val="0"/>
          <w:numId w:val="169"/>
        </w:numPr>
        <w:rPr>
          <w:rFonts w:ascii="Arial" w:cs="Arial" w:eastAsia="Arial" w:hAnsi="Arial"/>
          <w:sz w:val="13"/>
          <w:szCs w:val="13"/>
          <w:color w:val="auto"/>
        </w:rPr>
      </w:pPr>
      <w:r>
        <w:rPr>
          <w:rFonts w:ascii="Arial" w:cs="Arial" w:eastAsia="Arial" w:hAnsi="Arial"/>
          <w:sz w:val="13"/>
          <w:szCs w:val="13"/>
          <w:color w:val="auto"/>
        </w:rPr>
        <w:t xml:space="preserve">agrees that service as provided in the manner provided for notices in </w:t>
      </w:r>
      <w:r>
        <w:rPr>
          <w:rFonts w:ascii="Arial" w:cs="Arial" w:eastAsia="Arial" w:hAnsi="Arial"/>
          <w:sz w:val="13"/>
          <w:szCs w:val="13"/>
          <w:u w:val="single" w:color="auto"/>
          <w:color w:val="auto"/>
        </w:rPr>
        <w:t>Section 9.01</w:t>
      </w:r>
      <w:r>
        <w:rPr>
          <w:rFonts w:ascii="Arial" w:cs="Arial" w:eastAsia="Arial" w:hAnsi="Arial"/>
          <w:sz w:val="13"/>
          <w:szCs w:val="13"/>
          <w:color w:val="auto"/>
        </w:rPr>
        <w:t xml:space="preserve"> is sufficient to confer personal jurisdiction over such party in any proceeding in any court and otherwise constitutes effective and binding service in every respect. Nothing in this Agreement will affect the right of any party to this Agreement to serve process in any other manner permitted by law.</w:t>
      </w:r>
    </w:p>
    <w:p>
      <w:pPr>
        <w:spacing w:after="0" w:line="163" w:lineRule="exact"/>
        <w:rPr>
          <w:sz w:val="20"/>
          <w:szCs w:val="20"/>
          <w:color w:val="auto"/>
        </w:rPr>
      </w:pPr>
    </w:p>
    <w:p>
      <w:pPr>
        <w:jc w:val="both"/>
        <w:ind w:right="20" w:firstLine="1727"/>
        <w:spacing w:after="0" w:line="244" w:lineRule="auto"/>
        <w:rPr>
          <w:sz w:val="20"/>
          <w:szCs w:val="20"/>
          <w:color w:val="auto"/>
        </w:rPr>
      </w:pPr>
      <w:r>
        <w:rPr>
          <w:rFonts w:ascii="Arial" w:cs="Arial" w:eastAsia="Arial" w:hAnsi="Arial"/>
          <w:sz w:val="13"/>
          <w:szCs w:val="13"/>
          <w:color w:val="auto"/>
        </w:rPr>
        <w:t xml:space="preserve">SECTION 9.10. </w:t>
      </w:r>
      <w:r>
        <w:rPr>
          <w:rFonts w:ascii="Arial" w:cs="Arial" w:eastAsia="Arial" w:hAnsi="Arial"/>
          <w:sz w:val="13"/>
          <w:szCs w:val="13"/>
          <w:u w:val="single" w:color="auto"/>
          <w:color w:val="auto"/>
        </w:rPr>
        <w:t>WAIVER OF JURY TRIAL</w:t>
      </w:r>
      <w:r>
        <w:rPr>
          <w:rFonts w:ascii="Arial" w:cs="Arial" w:eastAsia="Arial" w:hAnsi="Arial"/>
          <w:sz w:val="13"/>
          <w:szCs w:val="13"/>
          <w:color w:val="auto"/>
        </w:rPr>
        <w:t>. EACH PARTY HERETO HEREBY WAIVES, TO THE FULLEST EXTENT PERMITTED BY APPLICABLE LAW, ANY RIGHT IT MAY HAVE TO A TRIAL BY JURY IN ANY LEGAL PROCEEDING DIRECTLY OR INDIRECTLY ARISING OUT OF OR RELATING TO THIS AGREEMENT, ANY LOAN DOCUMENT OR THE TRANSACTIONS CONTEMPLATED HEREBY (WHETHER BASED ON CONTRACT, TORT OR ANY OTHER THEORY). EACH PARTY HERETO</w:t>
      </w:r>
    </w:p>
    <w:p>
      <w:pPr>
        <w:spacing w:after="0" w:line="2" w:lineRule="exact"/>
        <w:rPr>
          <w:sz w:val="20"/>
          <w:szCs w:val="20"/>
          <w:color w:val="auto"/>
        </w:rPr>
      </w:pPr>
    </w:p>
    <w:p>
      <w:pPr>
        <w:jc w:val="both"/>
        <w:ind w:right="20" w:firstLine="8"/>
        <w:spacing w:after="0" w:line="232" w:lineRule="auto"/>
        <w:tabs>
          <w:tab w:leader="none" w:pos="238" w:val="left"/>
        </w:tabs>
        <w:numPr>
          <w:ilvl w:val="0"/>
          <w:numId w:val="170"/>
        </w:numPr>
        <w:rPr>
          <w:rFonts w:ascii="Arial" w:cs="Arial" w:eastAsia="Arial" w:hAnsi="Arial"/>
          <w:sz w:val="14"/>
          <w:szCs w:val="14"/>
          <w:color w:val="auto"/>
        </w:rPr>
      </w:pPr>
      <w:r>
        <w:rPr>
          <w:rFonts w:ascii="Arial" w:cs="Arial" w:eastAsia="Arial" w:hAnsi="Arial"/>
          <w:sz w:val="14"/>
          <w:szCs w:val="14"/>
          <w:color w:val="auto"/>
        </w:rPr>
        <w:t>CERTIFIES THAT NO REPRESENTATIVE, AGENT OR ATTORNEY OF ANY OTHER PARTY HAS REPRESENTED, EXPRESSLY OR OTHERWISE, THAT SUCH OTHER PARTY WOULD NOT, IN THE EVENT OF LITIGATION, SEEK TO ENFORCE THE FOREGOING WAIVER AND (B) ACKNOWLEDGES THAT IT AND THE OTHER PARTIES HERETO HAVE BEEN INDUCED TO ENTER INTO THIS AGREEMENT BY, AMONG OTHER THINGS, THE MUTUAL WAIVERS AND CERTIFICATIONS IN THIS SECTION.</w:t>
      </w:r>
    </w:p>
    <w:p>
      <w:pPr>
        <w:spacing w:after="0" w:line="183" w:lineRule="exact"/>
        <w:rPr>
          <w:sz w:val="20"/>
          <w:szCs w:val="20"/>
          <w:color w:val="auto"/>
        </w:rPr>
      </w:pPr>
    </w:p>
    <w:p>
      <w:pPr>
        <w:jc w:val="both"/>
        <w:ind w:right="20" w:firstLine="1727"/>
        <w:spacing w:after="0" w:line="242" w:lineRule="auto"/>
        <w:rPr>
          <w:sz w:val="20"/>
          <w:szCs w:val="20"/>
          <w:color w:val="auto"/>
        </w:rPr>
      </w:pPr>
      <w:r>
        <w:rPr>
          <w:rFonts w:ascii="Arial" w:cs="Arial" w:eastAsia="Arial" w:hAnsi="Arial"/>
          <w:sz w:val="13"/>
          <w:szCs w:val="13"/>
          <w:color w:val="auto"/>
        </w:rPr>
        <w:t xml:space="preserve">SECTION 9.11. </w:t>
      </w:r>
      <w:r>
        <w:rPr>
          <w:rFonts w:ascii="Arial" w:cs="Arial" w:eastAsia="Arial" w:hAnsi="Arial"/>
          <w:sz w:val="13"/>
          <w:szCs w:val="13"/>
          <w:u w:val="single" w:color="auto"/>
          <w:color w:val="auto"/>
        </w:rPr>
        <w:t>Judgment Currency</w:t>
      </w:r>
      <w:r>
        <w:rPr>
          <w:rFonts w:ascii="Arial" w:cs="Arial" w:eastAsia="Arial" w:hAnsi="Arial"/>
          <w:sz w:val="13"/>
          <w:szCs w:val="13"/>
          <w:color w:val="auto"/>
        </w:rPr>
        <w:t>. This is an international loan transaction in which the specification of Dollars or any Foreign Currency, as the case may be (the “</w:t>
      </w:r>
      <w:r>
        <w:rPr>
          <w:rFonts w:ascii="Arial" w:cs="Arial" w:eastAsia="Arial" w:hAnsi="Arial"/>
          <w:sz w:val="13"/>
          <w:szCs w:val="13"/>
          <w:u w:val="single" w:color="auto"/>
          <w:color w:val="auto"/>
        </w:rPr>
        <w:t>Specified Currency</w:t>
      </w:r>
      <w:r>
        <w:rPr>
          <w:rFonts w:ascii="Arial" w:cs="Arial" w:eastAsia="Arial" w:hAnsi="Arial"/>
          <w:sz w:val="13"/>
          <w:szCs w:val="13"/>
          <w:color w:val="auto"/>
        </w:rPr>
        <w:t>”), and payment in New York City or the country of the Specified Currency, as the case may be (the “</w:t>
      </w:r>
      <w:r>
        <w:rPr>
          <w:rFonts w:ascii="Arial" w:cs="Arial" w:eastAsia="Arial" w:hAnsi="Arial"/>
          <w:sz w:val="13"/>
          <w:szCs w:val="13"/>
          <w:u w:val="single" w:color="auto"/>
          <w:color w:val="auto"/>
        </w:rPr>
        <w:t>Specified Place</w:t>
      </w:r>
      <w:r>
        <w:rPr>
          <w:rFonts w:ascii="Arial" w:cs="Arial" w:eastAsia="Arial" w:hAnsi="Arial"/>
          <w:sz w:val="13"/>
          <w:szCs w:val="13"/>
          <w:color w:val="auto"/>
        </w:rPr>
        <w:t>”), is of the essence, and the Specified Currency shall be the currency of account in all events relating to Loans denominated in the Specified Currency. The payment obligations of the Borrower under this Agreement shall not be discharged or satisfied by an amount paid in another currency or in another place, whether pursuant to a judgment or otherwise, to the extent that the amount so paid on conversion to the Specified Currency and transfer to the Specified Place under normal banking procedures does not yield the amount of the Specified Currency at the Specified Place due hereunder. If for the purpose of obtaining judgment in any court it is necessary to convert a sum due hereunder in the Specified Currency into another currency (the “</w:t>
      </w:r>
      <w:r>
        <w:rPr>
          <w:rFonts w:ascii="Arial" w:cs="Arial" w:eastAsia="Arial" w:hAnsi="Arial"/>
          <w:sz w:val="13"/>
          <w:szCs w:val="13"/>
          <w:u w:val="single" w:color="auto"/>
          <w:color w:val="auto"/>
        </w:rPr>
        <w:t>Second Currency</w:t>
      </w:r>
      <w:r>
        <w:rPr>
          <w:rFonts w:ascii="Arial" w:cs="Arial" w:eastAsia="Arial" w:hAnsi="Arial"/>
          <w:sz w:val="13"/>
          <w:szCs w:val="13"/>
          <w:color w:val="auto"/>
        </w:rPr>
        <w:t>”), the rate of exchange that shall be applied shall be the rate at which in accordance with normal banking procedures the Administrative Agent could purchase the Specified Currency with the Second Currency on the Business Day next preceding the day on which such judgment is rendered. The obligation of the Borrower in respect of any such sum due from it to the Administrative Agent or any Lender hereunder or under any other Loan Document (in this Section called an “</w:t>
      </w:r>
      <w:r>
        <w:rPr>
          <w:rFonts w:ascii="Arial" w:cs="Arial" w:eastAsia="Arial" w:hAnsi="Arial"/>
          <w:sz w:val="13"/>
          <w:szCs w:val="13"/>
          <w:u w:val="single" w:color="auto"/>
          <w:color w:val="auto"/>
        </w:rPr>
        <w:t>Entitled Person</w:t>
      </w:r>
      <w:r>
        <w:rPr>
          <w:rFonts w:ascii="Arial" w:cs="Arial" w:eastAsia="Arial" w:hAnsi="Arial"/>
          <w:sz w:val="13"/>
          <w:szCs w:val="13"/>
          <w:color w:val="auto"/>
        </w:rPr>
        <w:t>”) shall, notwithstanding the rate of exchange actually applied in rendering such judgment be discharged only to the extent that on the Business Day following receipt by such Entitled Person of any sum adjudged to be due hereunder in the Second Currency such Entitled Person may in accordance with normal banking procedures purchase and transfer to the Specified Place the Specified Currency with the amount of the Second Currency so adjudged to be due; and the Borrower hereby, as a separate obligation and notwithstanding any such judgment, agrees to indemnify such Entitled Person against, and to pay such Entitled Person on demand, in the Specified Currency, the amount (if any) by which the sum originally due to such Entitled Person in the Specified Currency hereunder exceeds the amount of the Specified Currency so purchased and transferred.</w:t>
      </w:r>
    </w:p>
    <w:p>
      <w:pPr>
        <w:spacing w:after="0" w:line="187" w:lineRule="exact"/>
        <w:rPr>
          <w:sz w:val="20"/>
          <w:szCs w:val="20"/>
          <w:color w:val="auto"/>
        </w:rPr>
      </w:pPr>
    </w:p>
    <w:p>
      <w:pPr>
        <w:jc w:val="both"/>
        <w:ind w:right="40" w:firstLine="1727"/>
        <w:spacing w:after="0" w:line="253" w:lineRule="auto"/>
        <w:rPr>
          <w:sz w:val="20"/>
          <w:szCs w:val="20"/>
          <w:color w:val="auto"/>
        </w:rPr>
      </w:pPr>
      <w:r>
        <w:rPr>
          <w:rFonts w:ascii="Arial" w:cs="Arial" w:eastAsia="Arial" w:hAnsi="Arial"/>
          <w:sz w:val="14"/>
          <w:szCs w:val="14"/>
          <w:color w:val="auto"/>
        </w:rPr>
        <w:t xml:space="preserve">SECTION 9.12. </w:t>
      </w:r>
      <w:r>
        <w:rPr>
          <w:rFonts w:ascii="Arial" w:cs="Arial" w:eastAsia="Arial" w:hAnsi="Arial"/>
          <w:sz w:val="14"/>
          <w:szCs w:val="14"/>
          <w:u w:val="single" w:color="auto"/>
          <w:color w:val="auto"/>
        </w:rPr>
        <w:t>Headings</w:t>
      </w:r>
      <w:r>
        <w:rPr>
          <w:rFonts w:ascii="Arial" w:cs="Arial" w:eastAsia="Arial" w:hAnsi="Arial"/>
          <w:sz w:val="14"/>
          <w:szCs w:val="14"/>
          <w:color w:val="auto"/>
        </w:rPr>
        <w:t>. Article and Section headings and the Table of Contents used herein are for convenience of reference only, are not part of this Agreement and shall not affect the construction of, or be taken into consideration in interpreting, this Agreement.</w:t>
      </w:r>
    </w:p>
    <w:p>
      <w:pPr>
        <w:spacing w:after="0" w:line="200" w:lineRule="exact"/>
        <w:rPr>
          <w:sz w:val="20"/>
          <w:szCs w:val="20"/>
          <w:color w:val="auto"/>
        </w:rPr>
      </w:pPr>
    </w:p>
    <w:p>
      <w:pPr>
        <w:spacing w:after="0" w:line="39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7580" w:type="dxa"/>
            <w:vAlign w:val="bottom"/>
          </w:tcPr>
          <w:p>
            <w:pPr>
              <w:jc w:val="right"/>
              <w:ind w:right="1808"/>
              <w:spacing w:after="0"/>
              <w:rPr>
                <w:sz w:val="20"/>
                <w:szCs w:val="20"/>
                <w:color w:val="auto"/>
              </w:rPr>
            </w:pPr>
            <w:r>
              <w:rPr>
                <w:rFonts w:ascii="Arial" w:cs="Arial" w:eastAsia="Arial" w:hAnsi="Arial"/>
                <w:sz w:val="14"/>
                <w:szCs w:val="14"/>
                <w:color w:val="auto"/>
              </w:rPr>
              <w:t>66</w:t>
            </w:r>
          </w:p>
        </w:tc>
        <w:tc>
          <w:tcPr>
            <w:tcW w:w="3680" w:type="dxa"/>
            <w:vAlign w:val="bottom"/>
          </w:tcPr>
          <w:p>
            <w:pPr>
              <w:jc w:val="right"/>
              <w:spacing w:after="0"/>
              <w:rPr>
                <w:sz w:val="20"/>
                <w:szCs w:val="20"/>
                <w:color w:val="auto"/>
              </w:rPr>
            </w:pPr>
            <w:r>
              <w:rPr>
                <w:rFonts w:ascii="Arial" w:cs="Arial" w:eastAsia="Arial" w:hAnsi="Arial"/>
                <w:sz w:val="14"/>
                <w:szCs w:val="14"/>
                <w:i w:val="1"/>
                <w:iCs w:val="1"/>
                <w:color w:val="auto"/>
              </w:rPr>
              <w:t>Second Amended and Restated</w:t>
            </w:r>
          </w:p>
        </w:tc>
      </w:tr>
      <w:tr>
        <w:trPr>
          <w:trHeight w:val="182"/>
        </w:trPr>
        <w:tc>
          <w:tcPr>
            <w:tcW w:w="7580" w:type="dxa"/>
            <w:vAlign w:val="bottom"/>
          </w:tcPr>
          <w:p>
            <w:pPr>
              <w:spacing w:after="0"/>
              <w:rPr>
                <w:sz w:val="15"/>
                <w:szCs w:val="15"/>
                <w:color w:val="auto"/>
              </w:rPr>
            </w:pPr>
          </w:p>
        </w:tc>
        <w:tc>
          <w:tcPr>
            <w:tcW w:w="3680" w:type="dxa"/>
            <w:vAlign w:val="bottom"/>
          </w:tcPr>
          <w:p>
            <w:pPr>
              <w:jc w:val="right"/>
              <w:spacing w:after="0"/>
              <w:rPr>
                <w:sz w:val="20"/>
                <w:szCs w:val="20"/>
                <w:color w:val="auto"/>
              </w:rPr>
            </w:pPr>
            <w:r>
              <w:rPr>
                <w:rFonts w:ascii="Arial" w:cs="Arial" w:eastAsia="Arial" w:hAnsi="Arial"/>
                <w:sz w:val="14"/>
                <w:szCs w:val="14"/>
                <w:i w:val="1"/>
                <w:iCs w:val="1"/>
                <w:color w:val="auto"/>
              </w:rPr>
              <w:t>Revolving Credit Agreement</w:t>
            </w:r>
          </w:p>
        </w:tc>
      </w:tr>
      <w:tr>
        <w:trPr>
          <w:trHeight w:val="316"/>
        </w:trPr>
        <w:tc>
          <w:tcPr>
            <w:tcW w:w="7580" w:type="dxa"/>
            <w:vAlign w:val="bottom"/>
            <w:tcBorders>
              <w:bottom w:val="single" w:sz="8" w:color="9A9A9A"/>
            </w:tcBorders>
          </w:tcPr>
          <w:p>
            <w:pPr>
              <w:spacing w:after="0"/>
              <w:rPr>
                <w:sz w:val="24"/>
                <w:szCs w:val="24"/>
                <w:color w:val="auto"/>
              </w:rPr>
            </w:pPr>
          </w:p>
        </w:tc>
        <w:tc>
          <w:tcPr>
            <w:tcW w:w="368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7145655</wp:posOffset>
            </wp:positionH>
            <wp:positionV relativeFrom="paragraph">
              <wp:posOffset>-8255</wp:posOffset>
            </wp:positionV>
            <wp:extent cx="8255" cy="8890"/>
            <wp:wrapNone/>
            <wp:docPr id="237" name="Picture 2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7"/>
                    <pic:cNvPicPr>
                      <a:picLocks noChangeAspect="1" noChangeArrowheads="1"/>
                    </pic:cNvPicPr>
                  </pic:nvPicPr>
                  <pic:blipFill>
                    <a:blip r:embed="rId244">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-16510</wp:posOffset>
            </wp:positionV>
            <wp:extent cx="8890" cy="17145"/>
            <wp:wrapNone/>
            <wp:docPr id="238" name="Picture 2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8"/>
                    <pic:cNvPicPr>
                      <a:picLocks noChangeAspect="1" noChangeArrowheads="1"/>
                    </pic:cNvPicPr>
                  </pic:nvPicPr>
                  <pic:blipFill>
                    <a:blip r:embed="rId245">
                      <a:extLst>
                        <a:ext uri="{28A0092B-C50C-407E-A947-70E740481C1C}"/>
                      </a:extLst>
                    </a:blip>
                    <a:srcRect/>
                    <a:stretch>
                      <a:fillRect/>
                    </a:stretch>
                  </pic:blipFill>
                  <pic:spPr bwMode="auto">
                    <a:xfrm>
                      <a:off x="0" y="0"/>
                      <a:ext cx="8890" cy="17145"/>
                    </a:xfrm>
                    <a:prstGeom prst="rect">
                      <a:avLst/>
                    </a:prstGeom>
                    <a:noFill/>
                  </pic:spPr>
                </pic:pic>
              </a:graphicData>
            </a:graphic>
          </wp:anchor>
        </w:drawing>
      </w:r>
    </w:p>
    <w:p>
      <w:pPr>
        <w:sectPr>
          <w:pgSz w:w="11900" w:h="16838" w:orient="portrait"/>
          <w:cols w:equalWidth="0" w:num="1">
            <w:col w:w="11260"/>
          </w:cols>
          <w:pgMar w:left="320" w:top="337" w:right="319" w:bottom="1440" w:gutter="0" w:footer="0" w:header="0"/>
        </w:sectPr>
      </w:pPr>
    </w:p>
    <w:bookmarkStart w:id="129" w:name="page130"/>
    <w:bookmarkEnd w:id="129"/>
    <w:p>
      <w:pPr>
        <w:ind w:left="1740"/>
        <w:spacing w:after="0"/>
        <w:rPr>
          <w:sz w:val="20"/>
          <w:szCs w:val="20"/>
          <w:color w:val="auto"/>
        </w:rPr>
      </w:pPr>
      <w:r>
        <w:rPr>
          <w:rFonts w:ascii="Arial" w:cs="Arial" w:eastAsia="Arial" w:hAnsi="Arial"/>
          <w:sz w:val="14"/>
          <w:szCs w:val="14"/>
          <w:color w:val="auto"/>
        </w:rPr>
        <w:t xml:space="preserve">SECTION 9.13. </w:t>
      </w:r>
      <w:r>
        <w:rPr>
          <w:rFonts w:ascii="Arial" w:cs="Arial" w:eastAsia="Arial" w:hAnsi="Arial"/>
          <w:sz w:val="14"/>
          <w:szCs w:val="14"/>
          <w:u w:val="single" w:color="auto"/>
          <w:color w:val="auto"/>
        </w:rPr>
        <w:t>Treatment of Certain Information; No Fiduciary Duty; Confidentiality</w:t>
      </w:r>
      <w:r>
        <w:rPr>
          <w:rFonts w:ascii="Arial" w:cs="Arial" w:eastAsia="Arial" w:hAnsi="Arial"/>
          <w:sz w:val="14"/>
          <w:szCs w:val="14"/>
          <w:color w:val="auto"/>
        </w:rPr>
        <w:t>.</w:t>
      </w:r>
    </w:p>
    <w:p>
      <w:pPr>
        <w:spacing w:after="0" w:line="204" w:lineRule="exact"/>
        <w:rPr>
          <w:sz w:val="20"/>
          <w:szCs w:val="20"/>
          <w:color w:val="auto"/>
        </w:rPr>
      </w:pPr>
    </w:p>
    <w:p>
      <w:pPr>
        <w:jc w:val="both"/>
        <w:ind w:right="20" w:firstLine="1735"/>
        <w:spacing w:after="0" w:line="241" w:lineRule="auto"/>
        <w:tabs>
          <w:tab w:leader="none" w:pos="2535" w:val="left"/>
        </w:tabs>
        <w:numPr>
          <w:ilvl w:val="0"/>
          <w:numId w:val="171"/>
        </w:numPr>
        <w:rPr>
          <w:rFonts w:ascii="Arial" w:cs="Arial" w:eastAsia="Arial" w:hAnsi="Arial"/>
          <w:sz w:val="13"/>
          <w:szCs w:val="13"/>
          <w:color w:val="auto"/>
        </w:rPr>
      </w:pPr>
      <w:r>
        <w:rPr>
          <w:rFonts w:ascii="Arial" w:cs="Arial" w:eastAsia="Arial" w:hAnsi="Arial"/>
          <w:sz w:val="13"/>
          <w:szCs w:val="13"/>
          <w:u w:val="single" w:color="auto"/>
          <w:color w:val="auto"/>
        </w:rPr>
        <w:t>Treatment of Certain Information</w:t>
      </w:r>
      <w:r>
        <w:rPr>
          <w:rFonts w:ascii="Arial" w:cs="Arial" w:eastAsia="Arial" w:hAnsi="Arial"/>
          <w:sz w:val="13"/>
          <w:szCs w:val="13"/>
          <w:color w:val="auto"/>
        </w:rPr>
        <w:t xml:space="preserve">. The Borrower acknowledges that from time to time financial advisory, investment banking and other services may be offered or provided to the Borrower or one or more of its Subsidiaries (in connection with this Agreement or otherwise) by any Lender or by one or more subsidiaries or affiliates of such Lender and the Borrower hereby authorizes each Lender to share any information delivered to such Lender by the Borrower and its Subsidiaries pursuant to this Agreement, or in connection with the decision of such Lender to enter into this Agreement, to any such subsidiary or affiliate, it being understood that any such subsidiary or affiliate receiving such information shall be bound by the provisions of </w:t>
      </w:r>
      <w:r>
        <w:rPr>
          <w:rFonts w:ascii="Arial" w:cs="Arial" w:eastAsia="Arial" w:hAnsi="Arial"/>
          <w:sz w:val="13"/>
          <w:szCs w:val="13"/>
          <w:u w:val="single" w:color="auto"/>
          <w:color w:val="auto"/>
        </w:rPr>
        <w:t>paragraph (b)</w:t>
      </w:r>
      <w:r>
        <w:rPr>
          <w:rFonts w:ascii="Arial" w:cs="Arial" w:eastAsia="Arial" w:hAnsi="Arial"/>
          <w:sz w:val="13"/>
          <w:szCs w:val="13"/>
          <w:color w:val="auto"/>
        </w:rPr>
        <w:t xml:space="preserve"> of this Section as if it were a Lender hereunder. Such authorization shall survive the repayment of the Loans, the expiration or termination of the Letters of Credit and the Commitments or the termination of this Agreement or any provision hereof. Each Lender shall use all information delivered to such Lender by the Borrower and its Subsidiaries pursuant to this Agreement, or in connection with the decision of such Lender to enter into this Agreement, in connection with providing services to the Borrower. The Administrative Agent, each Lender and their Affiliates (collectively, solely for purposes of this paragraph, the “Lenders”), may have economic interests that conflict with those of the Borrower or any of its Subsidiaries, their stockholders and/or their affiliates. The Borrower, on behalf of itself and each of its Subsidiaries, agrees that nothing in the Loan Documents or otherwise will be deemed to create an advisory, fiduciary or agency relationship or fiduciary or other implied duty between any Lender, on the one hand, and the Borrower or any of its Subsidiaries, its stockholders or its affiliates, on the other. The Borrower and each of its Subsidiaries each acknowledge and agree that (i) the transactions contemplated by the Loan Documents (including the exercise of rights and remedies hereunder and thereunder) are arm’s-length commercial transactions between the Lenders, on the one hand, and the Borrower and its Subsidiaries, on the other, and (ii) in connection therewith and with the process leading thereto, (x) no Lender has assumed an advisory or fiduciary responsibility in favor of the Borrower or any of its Subsidiaries, any of their stockholders or affiliates with respect to the transactions contemplated hereby (or the exercise of rights or remedies with respect thereto) or the process leading thereto (irrespective of whether any Lender has advised, is currently advising or will advise the Borrower or any of its Subsidiaries, their stockholders or their affiliates on other matters) or any other obligation to the Borrower or any of its Subsidiaries except the obligations expressly set forth in the Loan Documents and (y) each Lender is acting solely as principal and not as the agent or fiduciary of the Borrower or any of its Subsidiaries, their management, stockholders, creditors or any other Person. The Borrower and each of its Subsidiaries each acknowledge and agree that it has consulted its own legal and financial advisors to the extent it deemed appropriate and that it is responsible for making its own independent judgment with respect to such transactions and the process leading thereto. The Borrower and each of its Subsidiaries each agree that it will not claim that any Lender has rendered advisory services of any nature or respect, or owes a fiduciary or similar duty to the Borrower or any of its Subsidiaries, in connection with such transaction or the process leading thereto.</w:t>
      </w:r>
    </w:p>
    <w:p>
      <w:pPr>
        <w:spacing w:after="0" w:line="183" w:lineRule="exact"/>
        <w:rPr>
          <w:rFonts w:ascii="Arial" w:cs="Arial" w:eastAsia="Arial" w:hAnsi="Arial"/>
          <w:sz w:val="13"/>
          <w:szCs w:val="13"/>
          <w:color w:val="auto"/>
        </w:rPr>
      </w:pPr>
    </w:p>
    <w:p>
      <w:pPr>
        <w:jc w:val="both"/>
        <w:ind w:right="20" w:firstLine="1735"/>
        <w:spacing w:after="0" w:line="243" w:lineRule="auto"/>
        <w:tabs>
          <w:tab w:leader="none" w:pos="2543" w:val="left"/>
        </w:tabs>
        <w:numPr>
          <w:ilvl w:val="0"/>
          <w:numId w:val="171"/>
        </w:numPr>
        <w:rPr>
          <w:rFonts w:ascii="Arial" w:cs="Arial" w:eastAsia="Arial" w:hAnsi="Arial"/>
          <w:sz w:val="13"/>
          <w:szCs w:val="13"/>
          <w:color w:val="auto"/>
        </w:rPr>
      </w:pPr>
      <w:r>
        <w:rPr>
          <w:rFonts w:ascii="Arial" w:cs="Arial" w:eastAsia="Arial" w:hAnsi="Arial"/>
          <w:sz w:val="13"/>
          <w:szCs w:val="13"/>
          <w:u w:val="single" w:color="auto"/>
          <w:color w:val="auto"/>
        </w:rPr>
        <w:t>Confidentiality</w:t>
      </w:r>
      <w:r>
        <w:rPr>
          <w:rFonts w:ascii="Arial" w:cs="Arial" w:eastAsia="Arial" w:hAnsi="Arial"/>
          <w:sz w:val="13"/>
          <w:szCs w:val="13"/>
          <w:color w:val="auto"/>
        </w:rPr>
        <w:t>. Each of the Administrative Agent, the Lenders, the Swingline Lender and the Issuing Bank agrees to maintain the confidentiality of the Information (as defined below), except that Information may be disclosed (i) to its Affiliates and to its and its Affiliates’ respective partners, directors, officers, employees, agents, advisors and other representatives (it being understood that the Persons to whom such disclosure is made will be informed of the confidential nature of such Information and instructed to keep such Information confidential), (ii) to the extent requested by any regulatory authority purporting to have jurisdiction over it (including any self-regulatory authority), (iii) to the extent required by applicable laws or regulations or by any subpoena or similar legal process, (iv) to any other party hereto, (v) in connection with the exercise of any remedies hereunder or under any other Loan Document or any action or proceeding relating to this Agreement or any other Loan Document or the enforcement of rights hereunder or thereunder, (vi) other than to any Person listed in the Prohibited Assignees and Participants Side Letter, subject to an agreement containing provisions substantially the same as those of this Section, to (x) any assignee of or Participant in, or any prospective assignee of or Participant in, any of its rights or obligations under this Agreement or (y) any actual or prospective counterparty (or its advisors) to any swap or derivative transaction relating to the Borrower and its obligations, (vii) to any rating agencies and market data collectors on a confidential basis, (viii) with the consent of the Borrower or (ix) to the extent such Information (x) becomes publicly available other than as a result of a breach of this Section or (y) becomes available to the Administrative Agent, any Lender, the Issuing Bank or any of their respective Affiliates on a nonconfidential basis from a source other than the Borrower.</w:t>
      </w:r>
    </w:p>
    <w:p>
      <w:pPr>
        <w:spacing w:after="0" w:line="185" w:lineRule="exact"/>
        <w:rPr>
          <w:sz w:val="20"/>
          <w:szCs w:val="20"/>
          <w:color w:val="auto"/>
        </w:rPr>
      </w:pPr>
    </w:p>
    <w:p>
      <w:pPr>
        <w:jc w:val="both"/>
        <w:ind w:right="20" w:firstLine="1727"/>
        <w:spacing w:after="0" w:line="251" w:lineRule="auto"/>
        <w:rPr>
          <w:sz w:val="20"/>
          <w:szCs w:val="20"/>
          <w:color w:val="auto"/>
        </w:rPr>
      </w:pPr>
      <w:r>
        <w:rPr>
          <w:rFonts w:ascii="Arial" w:cs="Arial" w:eastAsia="Arial" w:hAnsi="Arial"/>
          <w:sz w:val="13"/>
          <w:szCs w:val="13"/>
          <w:color w:val="auto"/>
        </w:rPr>
        <w:t>For purposes of this Section, “</w:t>
      </w:r>
      <w:r>
        <w:rPr>
          <w:rFonts w:ascii="Arial" w:cs="Arial" w:eastAsia="Arial" w:hAnsi="Arial"/>
          <w:sz w:val="13"/>
          <w:szCs w:val="13"/>
          <w:u w:val="single" w:color="auto"/>
          <w:color w:val="auto"/>
        </w:rPr>
        <w:t>information</w:t>
      </w:r>
      <w:r>
        <w:rPr>
          <w:rFonts w:ascii="Arial" w:cs="Arial" w:eastAsia="Arial" w:hAnsi="Arial"/>
          <w:sz w:val="13"/>
          <w:szCs w:val="13"/>
          <w:color w:val="auto"/>
        </w:rPr>
        <w:t xml:space="preserve">” means all information received from the Borrower or any of its Subsidiaries relating to the Borrower or any of its Subsidiaries or any of their respective businesses, other than any such information that is available to the Administrative Agent any Lender or the Issuing Bank on a nonconfidential basis prior to disclosure by the Borrower or any of its Subsidiaries; </w:t>
      </w:r>
      <w:r>
        <w:rPr>
          <w:rFonts w:ascii="Arial" w:cs="Arial" w:eastAsia="Arial" w:hAnsi="Arial"/>
          <w:sz w:val="13"/>
          <w:szCs w:val="13"/>
          <w:u w:val="single" w:color="auto"/>
          <w:color w:val="auto"/>
        </w:rPr>
        <w:t>provided</w:t>
      </w:r>
      <w:r>
        <w:rPr>
          <w:rFonts w:ascii="Arial" w:cs="Arial" w:eastAsia="Arial" w:hAnsi="Arial"/>
          <w:sz w:val="13"/>
          <w:szCs w:val="13"/>
          <w:color w:val="auto"/>
        </w:rPr>
        <w:t xml:space="preserve"> that, in the case of information received from the Borrower or any of its Subsidiaries after the date hereof; such information is clearly identified at the time of delivery as confidential. Any Person required to maintain the confidentiality of information as provided in this Section shall be considered to have complied with its obligation to do so if such Person has exercised the same degree of care to maintain the confidentiality of such Information as such Person would accord to its own confidential information.</w:t>
      </w:r>
    </w:p>
    <w:p>
      <w:pPr>
        <w:spacing w:after="0" w:line="177" w:lineRule="exact"/>
        <w:rPr>
          <w:sz w:val="20"/>
          <w:szCs w:val="20"/>
          <w:color w:val="auto"/>
        </w:rPr>
      </w:pPr>
    </w:p>
    <w:p>
      <w:pPr>
        <w:jc w:val="both"/>
        <w:ind w:right="20" w:firstLine="1727"/>
        <w:spacing w:after="0" w:line="160" w:lineRule="exact"/>
        <w:rPr>
          <w:sz w:val="20"/>
          <w:szCs w:val="20"/>
          <w:color w:val="auto"/>
        </w:rPr>
      </w:pPr>
      <w:r>
        <w:rPr>
          <w:rFonts w:ascii="Arial" w:cs="Arial" w:eastAsia="Arial" w:hAnsi="Arial"/>
          <w:sz w:val="13"/>
          <w:szCs w:val="13"/>
          <w:color w:val="auto"/>
        </w:rPr>
        <w:t xml:space="preserve">SECTION 9.14. </w:t>
      </w:r>
      <w:r>
        <w:rPr>
          <w:rFonts w:ascii="Arial" w:cs="Arial" w:eastAsia="Arial" w:hAnsi="Arial"/>
          <w:sz w:val="13"/>
          <w:szCs w:val="13"/>
          <w:u w:val="single" w:color="auto"/>
          <w:color w:val="auto"/>
        </w:rPr>
        <w:t>USA PATRIOT Act</w:t>
      </w:r>
      <w:r>
        <w:rPr>
          <w:rFonts w:ascii="Arial" w:cs="Arial" w:eastAsia="Arial" w:hAnsi="Arial"/>
          <w:sz w:val="13"/>
          <w:szCs w:val="13"/>
          <w:color w:val="auto"/>
        </w:rPr>
        <w:t>. Each Lender hereby notifies the Borrower that pursuant to the requirements of the USA PATRIOT Act (Title III of Pub. L. 107</w:t>
      </w:r>
      <w:r>
        <w:rPr>
          <w:rFonts w:ascii="MS PGothic" w:cs="MS PGothic" w:eastAsia="MS PGothic" w:hAnsi="MS PGothic"/>
          <w:sz w:val="13"/>
          <w:szCs w:val="13"/>
          <w:color w:val="auto"/>
        </w:rPr>
        <w:t>‑</w:t>
      </w:r>
      <w:r>
        <w:rPr>
          <w:rFonts w:ascii="Arial" w:cs="Arial" w:eastAsia="Arial" w:hAnsi="Arial"/>
          <w:sz w:val="13"/>
          <w:szCs w:val="13"/>
          <w:color w:val="auto"/>
        </w:rPr>
        <w:t>56 (signed into law October 26, 2001)), it is required to obtain, verify and record information that identifies the Borrower and each other Obligor , which information includes the name and address of the Borrower and each other Obligor and other information that will allow such Lender to identify the Borrower and each other Obligor in accordance with said Act.</w:t>
      </w:r>
    </w:p>
    <w:p>
      <w:pPr>
        <w:spacing w:after="0" w:line="183" w:lineRule="exact"/>
        <w:rPr>
          <w:sz w:val="20"/>
          <w:szCs w:val="20"/>
          <w:color w:val="auto"/>
        </w:rPr>
      </w:pPr>
    </w:p>
    <w:p>
      <w:pPr>
        <w:jc w:val="both"/>
        <w:ind w:right="20" w:firstLine="1727"/>
        <w:spacing w:after="0" w:line="248" w:lineRule="auto"/>
        <w:rPr>
          <w:sz w:val="20"/>
          <w:szCs w:val="20"/>
          <w:color w:val="auto"/>
        </w:rPr>
      </w:pPr>
      <w:r>
        <w:rPr>
          <w:rFonts w:ascii="Arial" w:cs="Arial" w:eastAsia="Arial" w:hAnsi="Arial"/>
          <w:sz w:val="13"/>
          <w:szCs w:val="13"/>
          <w:color w:val="auto"/>
        </w:rPr>
        <w:t xml:space="preserve">SECTION 9.15. </w:t>
      </w:r>
      <w:r>
        <w:rPr>
          <w:rFonts w:ascii="Arial" w:cs="Arial" w:eastAsia="Arial" w:hAnsi="Arial"/>
          <w:sz w:val="13"/>
          <w:szCs w:val="13"/>
          <w:u w:val="single" w:color="auto"/>
          <w:color w:val="auto"/>
        </w:rPr>
        <w:t>Effect of Amendment and Restatement of the Existing Agreement</w:t>
      </w:r>
      <w:r>
        <w:rPr>
          <w:rFonts w:ascii="Arial" w:cs="Arial" w:eastAsia="Arial" w:hAnsi="Arial"/>
          <w:sz w:val="13"/>
          <w:szCs w:val="13"/>
          <w:color w:val="auto"/>
        </w:rPr>
        <w:t>. On the Effective Date, the Existing Credit Agreement shall be amended and restated in its entirety. The parties hereto acknowledge and agree that (a) this Agreement and the other Loan Documents, whether executed and delivered in connection herewith or otherwise, do not constitute a novation or termination of the obligations for principal, interest or fees of the Borrower under the Existing Agreement as in effect immediately prior to the Effective Date and which remain outstanding; and (b) except for any of the Borrower’s obligations under the Existing Credit Agreement which are expressly contemplated to be repaid on the Effective Date and to the extent are in fact so repaid, the obligations of the Borrower under the Existing Credit Agreement (as amended and restated hereby and which are on and after the date hereof subject to the terms herein) are in all respects continuing, and shall continue to be secured as provided in the Security Documents.</w:t>
      </w:r>
    </w:p>
    <w:p>
      <w:pPr>
        <w:spacing w:after="0" w:line="200" w:lineRule="exact"/>
        <w:rPr>
          <w:sz w:val="20"/>
          <w:szCs w:val="20"/>
          <w:color w:val="auto"/>
        </w:rPr>
      </w:pPr>
    </w:p>
    <w:p>
      <w:pPr>
        <w:spacing w:after="0" w:line="40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7580" w:type="dxa"/>
            <w:vAlign w:val="bottom"/>
          </w:tcPr>
          <w:p>
            <w:pPr>
              <w:jc w:val="right"/>
              <w:ind w:right="1808"/>
              <w:spacing w:after="0"/>
              <w:rPr>
                <w:sz w:val="20"/>
                <w:szCs w:val="20"/>
                <w:color w:val="auto"/>
              </w:rPr>
            </w:pPr>
            <w:r>
              <w:rPr>
                <w:rFonts w:ascii="Arial" w:cs="Arial" w:eastAsia="Arial" w:hAnsi="Arial"/>
                <w:sz w:val="14"/>
                <w:szCs w:val="14"/>
                <w:color w:val="auto"/>
              </w:rPr>
              <w:t>67</w:t>
            </w:r>
          </w:p>
        </w:tc>
        <w:tc>
          <w:tcPr>
            <w:tcW w:w="3680" w:type="dxa"/>
            <w:vAlign w:val="bottom"/>
          </w:tcPr>
          <w:p>
            <w:pPr>
              <w:jc w:val="right"/>
              <w:spacing w:after="0"/>
              <w:rPr>
                <w:sz w:val="20"/>
                <w:szCs w:val="20"/>
                <w:color w:val="auto"/>
              </w:rPr>
            </w:pPr>
            <w:r>
              <w:rPr>
                <w:rFonts w:ascii="Arial" w:cs="Arial" w:eastAsia="Arial" w:hAnsi="Arial"/>
                <w:sz w:val="14"/>
                <w:szCs w:val="14"/>
                <w:i w:val="1"/>
                <w:iCs w:val="1"/>
                <w:color w:val="auto"/>
              </w:rPr>
              <w:t>Second Amended and Restated</w:t>
            </w:r>
          </w:p>
        </w:tc>
      </w:tr>
      <w:tr>
        <w:trPr>
          <w:trHeight w:val="182"/>
        </w:trPr>
        <w:tc>
          <w:tcPr>
            <w:tcW w:w="7580" w:type="dxa"/>
            <w:vAlign w:val="bottom"/>
          </w:tcPr>
          <w:p>
            <w:pPr>
              <w:spacing w:after="0"/>
              <w:rPr>
                <w:sz w:val="15"/>
                <w:szCs w:val="15"/>
                <w:color w:val="auto"/>
              </w:rPr>
            </w:pPr>
          </w:p>
        </w:tc>
        <w:tc>
          <w:tcPr>
            <w:tcW w:w="3680" w:type="dxa"/>
            <w:vAlign w:val="bottom"/>
          </w:tcPr>
          <w:p>
            <w:pPr>
              <w:jc w:val="right"/>
              <w:spacing w:after="0"/>
              <w:rPr>
                <w:sz w:val="20"/>
                <w:szCs w:val="20"/>
                <w:color w:val="auto"/>
              </w:rPr>
            </w:pPr>
            <w:r>
              <w:rPr>
                <w:rFonts w:ascii="Arial" w:cs="Arial" w:eastAsia="Arial" w:hAnsi="Arial"/>
                <w:sz w:val="14"/>
                <w:szCs w:val="14"/>
                <w:i w:val="1"/>
                <w:iCs w:val="1"/>
                <w:color w:val="auto"/>
              </w:rPr>
              <w:t>Revolving Credit Agreement</w:t>
            </w:r>
          </w:p>
        </w:tc>
      </w:tr>
      <w:tr>
        <w:trPr>
          <w:trHeight w:val="316"/>
        </w:trPr>
        <w:tc>
          <w:tcPr>
            <w:tcW w:w="7580" w:type="dxa"/>
            <w:vAlign w:val="bottom"/>
            <w:tcBorders>
              <w:bottom w:val="single" w:sz="8" w:color="9A9A9A"/>
            </w:tcBorders>
          </w:tcPr>
          <w:p>
            <w:pPr>
              <w:spacing w:after="0"/>
              <w:rPr>
                <w:sz w:val="24"/>
                <w:szCs w:val="24"/>
                <w:color w:val="auto"/>
              </w:rPr>
            </w:pPr>
          </w:p>
        </w:tc>
        <w:tc>
          <w:tcPr>
            <w:tcW w:w="368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7145655</wp:posOffset>
            </wp:positionH>
            <wp:positionV relativeFrom="paragraph">
              <wp:posOffset>-8255</wp:posOffset>
            </wp:positionV>
            <wp:extent cx="8255" cy="8890"/>
            <wp:wrapNone/>
            <wp:docPr id="239" name="Picture 2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9"/>
                    <pic:cNvPicPr>
                      <a:picLocks noChangeAspect="1" noChangeArrowheads="1"/>
                    </pic:cNvPicPr>
                  </pic:nvPicPr>
                  <pic:blipFill>
                    <a:blip r:embed="rId246">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-16510</wp:posOffset>
            </wp:positionV>
            <wp:extent cx="8890" cy="17145"/>
            <wp:wrapNone/>
            <wp:docPr id="240" name="Picture 2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0"/>
                    <pic:cNvPicPr>
                      <a:picLocks noChangeAspect="1" noChangeArrowheads="1"/>
                    </pic:cNvPicPr>
                  </pic:nvPicPr>
                  <pic:blipFill>
                    <a:blip r:embed="rId247">
                      <a:extLst>
                        <a:ext uri="{28A0092B-C50C-407E-A947-70E740481C1C}"/>
                      </a:extLst>
                    </a:blip>
                    <a:srcRect/>
                    <a:stretch>
                      <a:fillRect/>
                    </a:stretch>
                  </pic:blipFill>
                  <pic:spPr bwMode="auto">
                    <a:xfrm>
                      <a:off x="0" y="0"/>
                      <a:ext cx="8890" cy="17145"/>
                    </a:xfrm>
                    <a:prstGeom prst="rect">
                      <a:avLst/>
                    </a:prstGeom>
                    <a:noFill/>
                  </pic:spPr>
                </pic:pic>
              </a:graphicData>
            </a:graphic>
          </wp:anchor>
        </w:drawing>
      </w:r>
    </w:p>
    <w:p>
      <w:pPr>
        <w:sectPr>
          <w:pgSz w:w="11900" w:h="16838" w:orient="portrait"/>
          <w:cols w:equalWidth="0" w:num="1">
            <w:col w:w="11260"/>
          </w:cols>
          <w:pgMar w:left="320" w:top="337" w:right="319" w:bottom="1440" w:gutter="0" w:footer="0" w:header="0"/>
        </w:sectPr>
      </w:pPr>
    </w:p>
    <w:bookmarkStart w:id="130" w:name="page131"/>
    <w:bookmarkEnd w:id="130"/>
    <w:p>
      <w:pPr>
        <w:jc w:val="both"/>
        <w:ind w:right="20" w:firstLine="1727"/>
        <w:spacing w:after="0" w:line="233" w:lineRule="auto"/>
        <w:rPr>
          <w:sz w:val="20"/>
          <w:szCs w:val="20"/>
          <w:color w:val="auto"/>
        </w:rPr>
      </w:pPr>
      <w:r>
        <w:rPr>
          <w:rFonts w:ascii="Arial" w:cs="Arial" w:eastAsia="Arial" w:hAnsi="Arial"/>
          <w:sz w:val="14"/>
          <w:szCs w:val="14"/>
          <w:color w:val="auto"/>
        </w:rPr>
        <w:t xml:space="preserve">SECTION 9.16. </w:t>
      </w:r>
      <w:r>
        <w:rPr>
          <w:rFonts w:ascii="Arial" w:cs="Arial" w:eastAsia="Arial" w:hAnsi="Arial"/>
          <w:sz w:val="14"/>
          <w:szCs w:val="14"/>
          <w:u w:val="single" w:color="auto"/>
          <w:color w:val="auto"/>
        </w:rPr>
        <w:t>Acknowledgement and Consent to Bail-In of EEA Financial Institutions</w:t>
      </w:r>
      <w:r>
        <w:rPr>
          <w:rFonts w:ascii="Arial" w:cs="Arial" w:eastAsia="Arial" w:hAnsi="Arial"/>
          <w:sz w:val="14"/>
          <w:szCs w:val="14"/>
          <w:color w:val="auto"/>
        </w:rPr>
        <w:t>. Notwithstanding anything to the contrary in any Loan Document or in any other agreement, arrangement or understanding among any such parties, each party hereto acknowledges that any liability of any EEA Financial Institution arising under any Loan Document, to the extent such liability is unsecured, may be subject to the write-down and conversion powers of an EEA Resolution Authority and agrees and consents to, and acknowledges and agrees to be bound by:</w:t>
      </w:r>
    </w:p>
    <w:p>
      <w:pPr>
        <w:spacing w:after="0" w:line="185" w:lineRule="exact"/>
        <w:rPr>
          <w:sz w:val="20"/>
          <w:szCs w:val="20"/>
          <w:color w:val="auto"/>
        </w:rPr>
      </w:pPr>
    </w:p>
    <w:p>
      <w:pPr>
        <w:ind w:right="20" w:firstLine="1735"/>
        <w:spacing w:after="0" w:line="253" w:lineRule="auto"/>
        <w:tabs>
          <w:tab w:leader="none" w:pos="2535" w:val="left"/>
        </w:tabs>
        <w:numPr>
          <w:ilvl w:val="0"/>
          <w:numId w:val="172"/>
        </w:numPr>
        <w:rPr>
          <w:rFonts w:ascii="Arial" w:cs="Arial" w:eastAsia="Arial" w:hAnsi="Arial"/>
          <w:sz w:val="14"/>
          <w:szCs w:val="14"/>
          <w:color w:val="auto"/>
        </w:rPr>
      </w:pPr>
      <w:r>
        <w:rPr>
          <w:rFonts w:ascii="Arial" w:cs="Arial" w:eastAsia="Arial" w:hAnsi="Arial"/>
          <w:sz w:val="14"/>
          <w:szCs w:val="14"/>
          <w:color w:val="auto"/>
        </w:rPr>
        <w:t>the application of any Write-Down and Conversion Powers by an EEA Resolution Authority to any such liabilities arising hereunder which may be payable to it by any party hereto that is an EEA Financial Institution; and</w:t>
      </w:r>
    </w:p>
    <w:p>
      <w:pPr>
        <w:spacing w:after="0" w:line="173" w:lineRule="exact"/>
        <w:rPr>
          <w:rFonts w:ascii="Arial" w:cs="Arial" w:eastAsia="Arial" w:hAnsi="Arial"/>
          <w:sz w:val="14"/>
          <w:szCs w:val="14"/>
          <w:color w:val="auto"/>
        </w:rPr>
      </w:pPr>
    </w:p>
    <w:p>
      <w:pPr>
        <w:ind w:left="2560" w:hanging="825"/>
        <w:spacing w:after="0"/>
        <w:tabs>
          <w:tab w:leader="none" w:pos="2560" w:val="left"/>
        </w:tabs>
        <w:numPr>
          <w:ilvl w:val="0"/>
          <w:numId w:val="172"/>
        </w:numPr>
        <w:rPr>
          <w:rFonts w:ascii="Arial" w:cs="Arial" w:eastAsia="Arial" w:hAnsi="Arial"/>
          <w:sz w:val="14"/>
          <w:szCs w:val="14"/>
          <w:color w:val="auto"/>
        </w:rPr>
      </w:pPr>
      <w:r>
        <w:rPr>
          <w:rFonts w:ascii="Arial" w:cs="Arial" w:eastAsia="Arial" w:hAnsi="Arial"/>
          <w:sz w:val="14"/>
          <w:szCs w:val="14"/>
          <w:color w:val="auto"/>
        </w:rPr>
        <w:t>the effects of any Bail-In Action on any such liability, including, if applicable:</w:t>
      </w:r>
    </w:p>
    <w:p>
      <w:pPr>
        <w:spacing w:after="0" w:line="203" w:lineRule="exact"/>
        <w:rPr>
          <w:rFonts w:ascii="Arial" w:cs="Arial" w:eastAsia="Arial" w:hAnsi="Arial"/>
          <w:sz w:val="14"/>
          <w:szCs w:val="14"/>
          <w:color w:val="auto"/>
        </w:rPr>
      </w:pPr>
    </w:p>
    <w:p>
      <w:pPr>
        <w:ind w:left="3240" w:hanging="774"/>
        <w:spacing w:after="0"/>
        <w:tabs>
          <w:tab w:leader="none" w:pos="3240" w:val="left"/>
        </w:tabs>
        <w:numPr>
          <w:ilvl w:val="1"/>
          <w:numId w:val="172"/>
        </w:numPr>
        <w:rPr>
          <w:rFonts w:ascii="Arial" w:cs="Arial" w:eastAsia="Arial" w:hAnsi="Arial"/>
          <w:sz w:val="14"/>
          <w:szCs w:val="14"/>
          <w:color w:val="auto"/>
        </w:rPr>
      </w:pPr>
      <w:r>
        <w:rPr>
          <w:rFonts w:ascii="Arial" w:cs="Arial" w:eastAsia="Arial" w:hAnsi="Arial"/>
          <w:sz w:val="14"/>
          <w:szCs w:val="14"/>
          <w:color w:val="auto"/>
        </w:rPr>
        <w:t>a reduction in full or in part or cancellation of any such liability;</w:t>
      </w:r>
    </w:p>
    <w:p>
      <w:pPr>
        <w:spacing w:after="0" w:line="203" w:lineRule="exact"/>
        <w:rPr>
          <w:rFonts w:ascii="Arial" w:cs="Arial" w:eastAsia="Arial" w:hAnsi="Arial"/>
          <w:sz w:val="14"/>
          <w:szCs w:val="14"/>
          <w:color w:val="auto"/>
        </w:rPr>
      </w:pPr>
    </w:p>
    <w:p>
      <w:pPr>
        <w:jc w:val="both"/>
        <w:ind w:left="1740" w:right="20" w:firstLine="726"/>
        <w:spacing w:after="0" w:line="238" w:lineRule="auto"/>
        <w:tabs>
          <w:tab w:leader="none" w:pos="3295" w:val="left"/>
        </w:tabs>
        <w:numPr>
          <w:ilvl w:val="1"/>
          <w:numId w:val="172"/>
        </w:numPr>
        <w:rPr>
          <w:rFonts w:ascii="Arial" w:cs="Arial" w:eastAsia="Arial" w:hAnsi="Arial"/>
          <w:sz w:val="14"/>
          <w:szCs w:val="14"/>
          <w:color w:val="auto"/>
        </w:rPr>
      </w:pPr>
      <w:r>
        <w:rPr>
          <w:rFonts w:ascii="Arial" w:cs="Arial" w:eastAsia="Arial" w:hAnsi="Arial"/>
          <w:sz w:val="14"/>
          <w:szCs w:val="14"/>
          <w:color w:val="auto"/>
        </w:rPr>
        <w:t>a conversion of all, or a portion of, such liability into shares or other instruments of ownership in such EEA Financial Institution, its parent undertaking, or a bridge institution that may be issued to it or otherwise conferred on it, and that such shares or other instruments of ownership will be accepted by it in lieu of any rights with respect to any such liability under this Agreement or any other Loan Document; or</w:t>
      </w:r>
    </w:p>
    <w:p>
      <w:pPr>
        <w:spacing w:after="0" w:line="182" w:lineRule="exact"/>
        <w:rPr>
          <w:rFonts w:ascii="Arial" w:cs="Arial" w:eastAsia="Arial" w:hAnsi="Arial"/>
          <w:sz w:val="14"/>
          <w:szCs w:val="14"/>
          <w:color w:val="auto"/>
        </w:rPr>
      </w:pPr>
    </w:p>
    <w:p>
      <w:pPr>
        <w:ind w:left="3320" w:hanging="854"/>
        <w:spacing w:after="0"/>
        <w:tabs>
          <w:tab w:leader="none" w:pos="3320" w:val="left"/>
        </w:tabs>
        <w:numPr>
          <w:ilvl w:val="1"/>
          <w:numId w:val="172"/>
        </w:numPr>
        <w:rPr>
          <w:rFonts w:ascii="Arial" w:cs="Arial" w:eastAsia="Arial" w:hAnsi="Arial"/>
          <w:sz w:val="14"/>
          <w:szCs w:val="14"/>
          <w:color w:val="auto"/>
        </w:rPr>
      </w:pPr>
      <w:r>
        <w:rPr>
          <w:rFonts w:ascii="Arial" w:cs="Arial" w:eastAsia="Arial" w:hAnsi="Arial"/>
          <w:sz w:val="14"/>
          <w:szCs w:val="14"/>
          <w:color w:val="auto"/>
        </w:rPr>
        <w:t>the variation of the terms of such liability in connection with the exercise of the write-down and conversion powers of any EEA</w:t>
      </w:r>
    </w:p>
    <w:p>
      <w:pPr>
        <w:ind w:left="1740"/>
        <w:spacing w:after="0"/>
        <w:rPr>
          <w:rFonts w:ascii="Arial" w:cs="Arial" w:eastAsia="Arial" w:hAnsi="Arial"/>
          <w:sz w:val="14"/>
          <w:szCs w:val="14"/>
          <w:color w:val="auto"/>
        </w:rPr>
      </w:pPr>
      <w:r>
        <w:rPr>
          <w:rFonts w:ascii="Arial" w:cs="Arial" w:eastAsia="Arial" w:hAnsi="Arial"/>
          <w:sz w:val="14"/>
          <w:szCs w:val="14"/>
          <w:color w:val="auto"/>
        </w:rPr>
        <w:t>Resolution Authority.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7580" w:type="dxa"/>
            <w:vAlign w:val="bottom"/>
          </w:tcPr>
          <w:p>
            <w:pPr>
              <w:jc w:val="right"/>
              <w:ind w:right="1808"/>
              <w:spacing w:after="0"/>
              <w:rPr>
                <w:sz w:val="20"/>
                <w:szCs w:val="20"/>
                <w:color w:val="auto"/>
              </w:rPr>
            </w:pPr>
            <w:r>
              <w:rPr>
                <w:rFonts w:ascii="Arial" w:cs="Arial" w:eastAsia="Arial" w:hAnsi="Arial"/>
                <w:sz w:val="14"/>
                <w:szCs w:val="14"/>
                <w:color w:val="auto"/>
              </w:rPr>
              <w:t>68</w:t>
            </w:r>
          </w:p>
        </w:tc>
        <w:tc>
          <w:tcPr>
            <w:tcW w:w="3680" w:type="dxa"/>
            <w:vAlign w:val="bottom"/>
          </w:tcPr>
          <w:p>
            <w:pPr>
              <w:jc w:val="right"/>
              <w:spacing w:after="0"/>
              <w:rPr>
                <w:sz w:val="20"/>
                <w:szCs w:val="20"/>
                <w:color w:val="auto"/>
              </w:rPr>
            </w:pPr>
            <w:r>
              <w:rPr>
                <w:rFonts w:ascii="Arial" w:cs="Arial" w:eastAsia="Arial" w:hAnsi="Arial"/>
                <w:sz w:val="14"/>
                <w:szCs w:val="14"/>
                <w:i w:val="1"/>
                <w:iCs w:val="1"/>
                <w:color w:val="auto"/>
              </w:rPr>
              <w:t>Second Amended and Restated</w:t>
            </w:r>
          </w:p>
        </w:tc>
      </w:tr>
      <w:tr>
        <w:trPr>
          <w:trHeight w:val="182"/>
        </w:trPr>
        <w:tc>
          <w:tcPr>
            <w:tcW w:w="7580" w:type="dxa"/>
            <w:vAlign w:val="bottom"/>
          </w:tcPr>
          <w:p>
            <w:pPr>
              <w:spacing w:after="0"/>
              <w:rPr>
                <w:sz w:val="15"/>
                <w:szCs w:val="15"/>
                <w:color w:val="auto"/>
              </w:rPr>
            </w:pPr>
          </w:p>
        </w:tc>
        <w:tc>
          <w:tcPr>
            <w:tcW w:w="3680" w:type="dxa"/>
            <w:vAlign w:val="bottom"/>
          </w:tcPr>
          <w:p>
            <w:pPr>
              <w:jc w:val="right"/>
              <w:spacing w:after="0"/>
              <w:rPr>
                <w:sz w:val="20"/>
                <w:szCs w:val="20"/>
                <w:color w:val="auto"/>
              </w:rPr>
            </w:pPr>
            <w:r>
              <w:rPr>
                <w:rFonts w:ascii="Arial" w:cs="Arial" w:eastAsia="Arial" w:hAnsi="Arial"/>
                <w:sz w:val="14"/>
                <w:szCs w:val="14"/>
                <w:i w:val="1"/>
                <w:iCs w:val="1"/>
                <w:color w:val="auto"/>
              </w:rPr>
              <w:t>Revolving Credit Agreement</w:t>
            </w:r>
          </w:p>
        </w:tc>
      </w:tr>
      <w:tr>
        <w:trPr>
          <w:trHeight w:val="316"/>
        </w:trPr>
        <w:tc>
          <w:tcPr>
            <w:tcW w:w="7580" w:type="dxa"/>
            <w:vAlign w:val="bottom"/>
            <w:tcBorders>
              <w:bottom w:val="single" w:sz="8" w:color="9A9A9A"/>
            </w:tcBorders>
          </w:tcPr>
          <w:p>
            <w:pPr>
              <w:spacing w:after="0"/>
              <w:rPr>
                <w:sz w:val="24"/>
                <w:szCs w:val="24"/>
                <w:color w:val="auto"/>
              </w:rPr>
            </w:pPr>
          </w:p>
        </w:tc>
        <w:tc>
          <w:tcPr>
            <w:tcW w:w="368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7145655</wp:posOffset>
            </wp:positionH>
            <wp:positionV relativeFrom="paragraph">
              <wp:posOffset>-7620</wp:posOffset>
            </wp:positionV>
            <wp:extent cx="8255" cy="8255"/>
            <wp:wrapNone/>
            <wp:docPr id="241" name="Picture 2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1"/>
                    <pic:cNvPicPr>
                      <a:picLocks noChangeAspect="1" noChangeArrowheads="1"/>
                    </pic:cNvPicPr>
                  </pic:nvPicPr>
                  <pic:blipFill>
                    <a:blip r:embed="rId248">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-16510</wp:posOffset>
            </wp:positionV>
            <wp:extent cx="8890" cy="17145"/>
            <wp:wrapNone/>
            <wp:docPr id="242" name="Picture 2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2"/>
                    <pic:cNvPicPr>
                      <a:picLocks noChangeAspect="1" noChangeArrowheads="1"/>
                    </pic:cNvPicPr>
                  </pic:nvPicPr>
                  <pic:blipFill>
                    <a:blip r:embed="rId249">
                      <a:extLst>
                        <a:ext uri="{28A0092B-C50C-407E-A947-70E740481C1C}"/>
                      </a:extLst>
                    </a:blip>
                    <a:srcRect/>
                    <a:stretch>
                      <a:fillRect/>
                    </a:stretch>
                  </pic:blipFill>
                  <pic:spPr bwMode="auto">
                    <a:xfrm>
                      <a:off x="0" y="0"/>
                      <a:ext cx="8890" cy="17145"/>
                    </a:xfrm>
                    <a:prstGeom prst="rect">
                      <a:avLst/>
                    </a:prstGeom>
                    <a:noFill/>
                  </pic:spPr>
                </pic:pic>
              </a:graphicData>
            </a:graphic>
          </wp:anchor>
        </w:drawing>
      </w:r>
    </w:p>
    <w:p>
      <w:pPr>
        <w:sectPr>
          <w:pgSz w:w="11900" w:h="16838" w:orient="portrait"/>
          <w:cols w:equalWidth="0" w:num="1">
            <w:col w:w="11260"/>
          </w:cols>
          <w:pgMar w:left="320" w:top="337" w:right="319" w:bottom="1440" w:gutter="0" w:footer="0" w:header="0"/>
        </w:sectPr>
      </w:pPr>
    </w:p>
    <w:bookmarkStart w:id="131" w:name="page132"/>
    <w:bookmarkEnd w:id="131"/>
    <w:p>
      <w:pPr>
        <w:jc w:val="center"/>
        <w:ind w:right="-1100"/>
        <w:spacing w:after="0"/>
        <w:rPr>
          <w:sz w:val="20"/>
          <w:szCs w:val="20"/>
          <w:color w:val="auto"/>
        </w:rPr>
      </w:pPr>
      <w:r>
        <w:rPr>
          <w:rFonts w:ascii="Arial" w:cs="Arial" w:eastAsia="Arial" w:hAnsi="Arial"/>
          <w:sz w:val="14"/>
          <w:szCs w:val="14"/>
          <w:b w:val="1"/>
          <w:bCs w:val="1"/>
          <w:u w:val="single" w:color="auto"/>
          <w:color w:val="auto"/>
        </w:rPr>
        <w:t>Schedule 1.01(a)</w:t>
      </w:r>
    </w:p>
    <w:p>
      <w:pPr>
        <w:spacing w:after="0" w:line="204" w:lineRule="exact"/>
        <w:rPr>
          <w:sz w:val="20"/>
          <w:szCs w:val="20"/>
          <w:color w:val="auto"/>
        </w:rPr>
      </w:pPr>
    </w:p>
    <w:p>
      <w:pPr>
        <w:jc w:val="right"/>
        <w:ind w:right="2999"/>
        <w:spacing w:after="0"/>
        <w:rPr>
          <w:sz w:val="20"/>
          <w:szCs w:val="20"/>
          <w:color w:val="auto"/>
        </w:rPr>
      </w:pPr>
      <w:r>
        <w:rPr>
          <w:rFonts w:ascii="Arial" w:cs="Arial" w:eastAsia="Arial" w:hAnsi="Arial"/>
          <w:sz w:val="14"/>
          <w:szCs w:val="14"/>
          <w:b w:val="1"/>
          <w:bCs w:val="1"/>
          <w:u w:val="single" w:color="auto"/>
          <w:color w:val="auto"/>
        </w:rPr>
        <w:t>Approved Dealers and Approved Pricing Services</w:t>
      </w:r>
    </w:p>
    <w:p>
      <w:pPr>
        <w:spacing w:after="0" w:line="4" w:lineRule="exact"/>
        <w:rPr>
          <w:sz w:val="20"/>
          <w:szCs w:val="20"/>
          <w:color w:val="auto"/>
        </w:rPr>
      </w:pPr>
    </w:p>
    <w:p>
      <w:pPr>
        <w:spacing w:after="0"/>
        <w:rPr>
          <w:sz w:val="20"/>
          <w:szCs w:val="20"/>
          <w:color w:val="auto"/>
        </w:rPr>
      </w:pPr>
      <w:r>
        <w:rPr>
          <w:rFonts w:ascii="Arial" w:cs="Arial" w:eastAsia="Arial" w:hAnsi="Arial"/>
          <w:sz w:val="14"/>
          <w:szCs w:val="14"/>
          <w:color w:val="auto"/>
        </w:rPr>
        <w:t>Approved Dealers:</w:t>
      </w:r>
    </w:p>
    <w:p>
      <w:pPr>
        <w:spacing w:after="0" w:line="191" w:lineRule="exact"/>
        <w:rPr>
          <w:sz w:val="20"/>
          <w:szCs w:val="20"/>
          <w:color w:val="auto"/>
        </w:rPr>
      </w:pPr>
    </w:p>
    <w:p>
      <w:pPr>
        <w:spacing w:after="0"/>
        <w:rPr>
          <w:sz w:val="20"/>
          <w:szCs w:val="20"/>
          <w:color w:val="auto"/>
        </w:rPr>
      </w:pPr>
      <w:r>
        <w:rPr>
          <w:rFonts w:ascii="Arial" w:cs="Arial" w:eastAsia="Arial" w:hAnsi="Arial"/>
          <w:sz w:val="14"/>
          <w:szCs w:val="14"/>
          <w:color w:val="auto"/>
        </w:rPr>
        <w:t>ABN</w:t>
      </w:r>
    </w:p>
    <w:p>
      <w:pPr>
        <w:spacing w:after="0" w:line="221" w:lineRule="auto"/>
        <w:rPr>
          <w:sz w:val="20"/>
          <w:szCs w:val="20"/>
          <w:color w:val="auto"/>
        </w:rPr>
      </w:pPr>
      <w:r>
        <w:rPr>
          <w:rFonts w:ascii="Arial" w:cs="Arial" w:eastAsia="Arial" w:hAnsi="Arial"/>
          <w:sz w:val="14"/>
          <w:szCs w:val="14"/>
          <w:color w:val="auto"/>
        </w:rPr>
        <w:t>Banc of America</w:t>
      </w:r>
    </w:p>
    <w:p>
      <w:pPr>
        <w:spacing w:after="0" w:line="221" w:lineRule="auto"/>
        <w:rPr>
          <w:sz w:val="20"/>
          <w:szCs w:val="20"/>
          <w:color w:val="auto"/>
        </w:rPr>
      </w:pPr>
      <w:r>
        <w:rPr>
          <w:rFonts w:ascii="Arial" w:cs="Arial" w:eastAsia="Arial" w:hAnsi="Arial"/>
          <w:sz w:val="14"/>
          <w:szCs w:val="14"/>
          <w:color w:val="auto"/>
        </w:rPr>
        <w:t>Bank of Montreal</w:t>
      </w:r>
    </w:p>
    <w:p>
      <w:pPr>
        <w:spacing w:after="0" w:line="222" w:lineRule="auto"/>
        <w:rPr>
          <w:sz w:val="20"/>
          <w:szCs w:val="20"/>
          <w:color w:val="auto"/>
        </w:rPr>
      </w:pPr>
      <w:r>
        <w:rPr>
          <w:rFonts w:ascii="Arial" w:cs="Arial" w:eastAsia="Arial" w:hAnsi="Arial"/>
          <w:sz w:val="14"/>
          <w:szCs w:val="14"/>
          <w:color w:val="auto"/>
        </w:rPr>
        <w:t>Barclays</w:t>
      </w:r>
    </w:p>
    <w:p>
      <w:pPr>
        <w:spacing w:after="0" w:line="221" w:lineRule="auto"/>
        <w:rPr>
          <w:sz w:val="20"/>
          <w:szCs w:val="20"/>
          <w:color w:val="auto"/>
        </w:rPr>
      </w:pPr>
      <w:r>
        <w:rPr>
          <w:rFonts w:ascii="Arial" w:cs="Arial" w:eastAsia="Arial" w:hAnsi="Arial"/>
          <w:sz w:val="14"/>
          <w:szCs w:val="14"/>
          <w:color w:val="auto"/>
        </w:rPr>
        <w:t>BB&amp;T</w:t>
      </w:r>
    </w:p>
    <w:p>
      <w:pPr>
        <w:spacing w:after="0" w:line="221" w:lineRule="auto"/>
        <w:rPr>
          <w:sz w:val="20"/>
          <w:szCs w:val="20"/>
          <w:color w:val="auto"/>
        </w:rPr>
      </w:pPr>
      <w:r>
        <w:rPr>
          <w:rFonts w:ascii="Arial" w:cs="Arial" w:eastAsia="Arial" w:hAnsi="Arial"/>
          <w:sz w:val="14"/>
          <w:szCs w:val="14"/>
          <w:color w:val="auto"/>
        </w:rPr>
        <w:t>Bedrock Securities, LLC</w:t>
      </w:r>
    </w:p>
    <w:p>
      <w:pPr>
        <w:spacing w:after="0" w:line="222" w:lineRule="auto"/>
        <w:rPr>
          <w:sz w:val="20"/>
          <w:szCs w:val="20"/>
          <w:color w:val="auto"/>
        </w:rPr>
      </w:pPr>
      <w:r>
        <w:rPr>
          <w:rFonts w:ascii="Arial" w:cs="Arial" w:eastAsia="Arial" w:hAnsi="Arial"/>
          <w:sz w:val="14"/>
          <w:szCs w:val="14"/>
          <w:color w:val="auto"/>
        </w:rPr>
        <w:t>Cantor Fitzgerald &amp; Co.</w:t>
      </w:r>
    </w:p>
    <w:p>
      <w:pPr>
        <w:spacing w:after="0" w:line="221" w:lineRule="auto"/>
        <w:rPr>
          <w:sz w:val="20"/>
          <w:szCs w:val="20"/>
          <w:color w:val="auto"/>
        </w:rPr>
      </w:pPr>
      <w:r>
        <w:rPr>
          <w:rFonts w:ascii="Arial" w:cs="Arial" w:eastAsia="Arial" w:hAnsi="Arial"/>
          <w:sz w:val="14"/>
          <w:szCs w:val="14"/>
          <w:color w:val="auto"/>
        </w:rPr>
        <w:t>Capital Source</w:t>
      </w:r>
    </w:p>
    <w:p>
      <w:pPr>
        <w:spacing w:after="0" w:line="222" w:lineRule="auto"/>
        <w:rPr>
          <w:sz w:val="20"/>
          <w:szCs w:val="20"/>
          <w:color w:val="auto"/>
        </w:rPr>
      </w:pPr>
      <w:r>
        <w:rPr>
          <w:rFonts w:ascii="Arial" w:cs="Arial" w:eastAsia="Arial" w:hAnsi="Arial"/>
          <w:sz w:val="14"/>
          <w:szCs w:val="14"/>
          <w:color w:val="auto"/>
        </w:rPr>
        <w:t>Caylon/CL</w:t>
      </w:r>
    </w:p>
    <w:p>
      <w:pPr>
        <w:spacing w:after="0" w:line="221" w:lineRule="auto"/>
        <w:rPr>
          <w:sz w:val="20"/>
          <w:szCs w:val="20"/>
          <w:color w:val="auto"/>
        </w:rPr>
      </w:pPr>
      <w:r>
        <w:rPr>
          <w:rFonts w:ascii="Arial" w:cs="Arial" w:eastAsia="Arial" w:hAnsi="Arial"/>
          <w:sz w:val="14"/>
          <w:szCs w:val="14"/>
          <w:color w:val="auto"/>
        </w:rPr>
        <w:t>Chapdelaine &amp; Co.</w:t>
      </w:r>
    </w:p>
    <w:p>
      <w:pPr>
        <w:spacing w:after="0" w:line="221" w:lineRule="auto"/>
        <w:rPr>
          <w:sz w:val="20"/>
          <w:szCs w:val="20"/>
          <w:color w:val="auto"/>
        </w:rPr>
      </w:pPr>
      <w:r>
        <w:rPr>
          <w:rFonts w:ascii="Arial" w:cs="Arial" w:eastAsia="Arial" w:hAnsi="Arial"/>
          <w:sz w:val="14"/>
          <w:szCs w:val="14"/>
          <w:color w:val="auto"/>
        </w:rPr>
        <w:t>Churchill Financial</w:t>
      </w:r>
    </w:p>
    <w:p>
      <w:pPr>
        <w:spacing w:after="0" w:line="222" w:lineRule="auto"/>
        <w:rPr>
          <w:sz w:val="20"/>
          <w:szCs w:val="20"/>
          <w:color w:val="auto"/>
        </w:rPr>
      </w:pPr>
      <w:r>
        <w:rPr>
          <w:rFonts w:ascii="Arial" w:cs="Arial" w:eastAsia="Arial" w:hAnsi="Arial"/>
          <w:sz w:val="14"/>
          <w:szCs w:val="14"/>
          <w:color w:val="auto"/>
        </w:rPr>
        <w:t>CIBC</w:t>
      </w:r>
    </w:p>
    <w:p>
      <w:pPr>
        <w:spacing w:after="0" w:line="221" w:lineRule="auto"/>
        <w:rPr>
          <w:sz w:val="20"/>
          <w:szCs w:val="20"/>
          <w:color w:val="auto"/>
        </w:rPr>
      </w:pPr>
      <w:r>
        <w:rPr>
          <w:rFonts w:ascii="Arial" w:cs="Arial" w:eastAsia="Arial" w:hAnsi="Arial"/>
          <w:sz w:val="14"/>
          <w:szCs w:val="14"/>
          <w:color w:val="auto"/>
        </w:rPr>
        <w:t>Citigroup</w:t>
      </w:r>
    </w:p>
    <w:p>
      <w:pPr>
        <w:spacing w:after="0" w:line="221" w:lineRule="auto"/>
        <w:rPr>
          <w:sz w:val="20"/>
          <w:szCs w:val="20"/>
          <w:color w:val="auto"/>
        </w:rPr>
      </w:pPr>
      <w:r>
        <w:rPr>
          <w:rFonts w:ascii="Arial" w:cs="Arial" w:eastAsia="Arial" w:hAnsi="Arial"/>
          <w:sz w:val="14"/>
          <w:szCs w:val="14"/>
          <w:color w:val="auto"/>
        </w:rPr>
        <w:t>CommerzBank</w:t>
      </w:r>
    </w:p>
    <w:p>
      <w:pPr>
        <w:spacing w:after="0" w:line="222" w:lineRule="auto"/>
        <w:rPr>
          <w:sz w:val="20"/>
          <w:szCs w:val="20"/>
          <w:color w:val="auto"/>
        </w:rPr>
      </w:pPr>
      <w:r>
        <w:rPr>
          <w:rFonts w:ascii="Arial" w:cs="Arial" w:eastAsia="Arial" w:hAnsi="Arial"/>
          <w:sz w:val="14"/>
          <w:szCs w:val="14"/>
          <w:color w:val="auto"/>
        </w:rPr>
        <w:t>Credit Suisse/CSFB</w:t>
      </w:r>
    </w:p>
    <w:p>
      <w:pPr>
        <w:spacing w:after="0" w:line="221" w:lineRule="auto"/>
        <w:rPr>
          <w:sz w:val="20"/>
          <w:szCs w:val="20"/>
          <w:color w:val="auto"/>
        </w:rPr>
      </w:pPr>
      <w:r>
        <w:rPr>
          <w:rFonts w:ascii="Arial" w:cs="Arial" w:eastAsia="Arial" w:hAnsi="Arial"/>
          <w:sz w:val="14"/>
          <w:szCs w:val="14"/>
          <w:color w:val="auto"/>
        </w:rPr>
        <w:t>Deutsche Bank</w:t>
      </w:r>
    </w:p>
    <w:p>
      <w:pPr>
        <w:spacing w:after="0" w:line="221" w:lineRule="auto"/>
        <w:rPr>
          <w:sz w:val="20"/>
          <w:szCs w:val="20"/>
          <w:color w:val="auto"/>
        </w:rPr>
      </w:pPr>
      <w:r>
        <w:rPr>
          <w:rFonts w:ascii="Arial" w:cs="Arial" w:eastAsia="Arial" w:hAnsi="Arial"/>
          <w:sz w:val="14"/>
          <w:szCs w:val="14"/>
          <w:color w:val="auto"/>
        </w:rPr>
        <w:t>Dresdner</w:t>
      </w:r>
    </w:p>
    <w:p>
      <w:pPr>
        <w:spacing w:after="0" w:line="222" w:lineRule="auto"/>
        <w:rPr>
          <w:sz w:val="20"/>
          <w:szCs w:val="20"/>
          <w:color w:val="auto"/>
        </w:rPr>
      </w:pPr>
      <w:r>
        <w:rPr>
          <w:rFonts w:ascii="Arial" w:cs="Arial" w:eastAsia="Arial" w:hAnsi="Arial"/>
          <w:sz w:val="14"/>
          <w:szCs w:val="14"/>
          <w:color w:val="auto"/>
        </w:rPr>
        <w:t>Fortis</w:t>
      </w:r>
    </w:p>
    <w:p>
      <w:pPr>
        <w:spacing w:after="0" w:line="221" w:lineRule="auto"/>
        <w:rPr>
          <w:sz w:val="20"/>
          <w:szCs w:val="20"/>
          <w:color w:val="auto"/>
        </w:rPr>
      </w:pPr>
      <w:r>
        <w:rPr>
          <w:rFonts w:ascii="Arial" w:cs="Arial" w:eastAsia="Arial" w:hAnsi="Arial"/>
          <w:sz w:val="14"/>
          <w:szCs w:val="14"/>
          <w:color w:val="auto"/>
        </w:rPr>
        <w:t>Friedman Billings Ramsey</w:t>
      </w:r>
    </w:p>
    <w:p>
      <w:pPr>
        <w:spacing w:after="0" w:line="222" w:lineRule="auto"/>
        <w:rPr>
          <w:sz w:val="20"/>
          <w:szCs w:val="20"/>
          <w:color w:val="auto"/>
        </w:rPr>
      </w:pPr>
      <w:r>
        <w:rPr>
          <w:rFonts w:ascii="Arial" w:cs="Arial" w:eastAsia="Arial" w:hAnsi="Arial"/>
          <w:sz w:val="14"/>
          <w:szCs w:val="14"/>
          <w:color w:val="auto"/>
        </w:rPr>
        <w:t>GE</w:t>
      </w:r>
    </w:p>
    <w:p>
      <w:pPr>
        <w:spacing w:after="0" w:line="221" w:lineRule="auto"/>
        <w:rPr>
          <w:sz w:val="20"/>
          <w:szCs w:val="20"/>
          <w:color w:val="auto"/>
        </w:rPr>
      </w:pPr>
      <w:r>
        <w:rPr>
          <w:rFonts w:ascii="Arial" w:cs="Arial" w:eastAsia="Arial" w:hAnsi="Arial"/>
          <w:sz w:val="14"/>
          <w:szCs w:val="14"/>
          <w:color w:val="auto"/>
        </w:rPr>
        <w:t>Gleacher &amp; Company</w:t>
      </w:r>
    </w:p>
    <w:p>
      <w:pPr>
        <w:spacing w:after="0" w:line="221" w:lineRule="auto"/>
        <w:rPr>
          <w:sz w:val="20"/>
          <w:szCs w:val="20"/>
          <w:color w:val="auto"/>
        </w:rPr>
      </w:pPr>
      <w:r>
        <w:rPr>
          <w:rFonts w:ascii="Arial" w:cs="Arial" w:eastAsia="Arial" w:hAnsi="Arial"/>
          <w:sz w:val="14"/>
          <w:szCs w:val="14"/>
          <w:color w:val="auto"/>
        </w:rPr>
        <w:t>Global Hunter Securities</w:t>
      </w:r>
    </w:p>
    <w:p>
      <w:pPr>
        <w:spacing w:after="0" w:line="222" w:lineRule="auto"/>
        <w:rPr>
          <w:sz w:val="20"/>
          <w:szCs w:val="20"/>
          <w:color w:val="auto"/>
        </w:rPr>
      </w:pPr>
      <w:r>
        <w:rPr>
          <w:rFonts w:ascii="Arial" w:cs="Arial" w:eastAsia="Arial" w:hAnsi="Arial"/>
          <w:sz w:val="14"/>
          <w:szCs w:val="14"/>
          <w:color w:val="auto"/>
        </w:rPr>
        <w:t>Goldman Sachs</w:t>
      </w:r>
    </w:p>
    <w:p>
      <w:pPr>
        <w:spacing w:after="0" w:line="221" w:lineRule="auto"/>
        <w:rPr>
          <w:sz w:val="20"/>
          <w:szCs w:val="20"/>
          <w:color w:val="auto"/>
        </w:rPr>
      </w:pPr>
      <w:r>
        <w:rPr>
          <w:rFonts w:ascii="Arial" w:cs="Arial" w:eastAsia="Arial" w:hAnsi="Arial"/>
          <w:sz w:val="14"/>
          <w:szCs w:val="14"/>
          <w:color w:val="auto"/>
        </w:rPr>
        <w:t>HSBC</w:t>
      </w:r>
    </w:p>
    <w:p>
      <w:pPr>
        <w:spacing w:after="0" w:line="221" w:lineRule="auto"/>
        <w:rPr>
          <w:sz w:val="20"/>
          <w:szCs w:val="20"/>
          <w:color w:val="auto"/>
        </w:rPr>
      </w:pPr>
      <w:r>
        <w:rPr>
          <w:rFonts w:ascii="Arial" w:cs="Arial" w:eastAsia="Arial" w:hAnsi="Arial"/>
          <w:sz w:val="14"/>
          <w:szCs w:val="14"/>
          <w:color w:val="auto"/>
        </w:rPr>
        <w:t>Imperial Capital</w:t>
      </w:r>
    </w:p>
    <w:p>
      <w:pPr>
        <w:spacing w:after="0" w:line="222" w:lineRule="auto"/>
        <w:rPr>
          <w:sz w:val="20"/>
          <w:szCs w:val="20"/>
          <w:color w:val="auto"/>
        </w:rPr>
      </w:pPr>
      <w:r>
        <w:rPr>
          <w:rFonts w:ascii="Arial" w:cs="Arial" w:eastAsia="Arial" w:hAnsi="Arial"/>
          <w:sz w:val="14"/>
          <w:szCs w:val="14"/>
          <w:color w:val="auto"/>
        </w:rPr>
        <w:t>ING</w:t>
      </w:r>
    </w:p>
    <w:p>
      <w:pPr>
        <w:spacing w:after="0" w:line="221" w:lineRule="auto"/>
        <w:rPr>
          <w:sz w:val="20"/>
          <w:szCs w:val="20"/>
          <w:color w:val="auto"/>
        </w:rPr>
      </w:pPr>
      <w:r>
        <w:rPr>
          <w:rFonts w:ascii="Arial" w:cs="Arial" w:eastAsia="Arial" w:hAnsi="Arial"/>
          <w:sz w:val="14"/>
          <w:szCs w:val="14"/>
          <w:color w:val="auto"/>
        </w:rPr>
        <w:t>Jefferies &amp; Company</w:t>
      </w:r>
    </w:p>
    <w:p>
      <w:pPr>
        <w:spacing w:after="0" w:line="222" w:lineRule="auto"/>
        <w:rPr>
          <w:sz w:val="20"/>
          <w:szCs w:val="20"/>
          <w:color w:val="auto"/>
        </w:rPr>
      </w:pPr>
      <w:r>
        <w:rPr>
          <w:rFonts w:ascii="Arial" w:cs="Arial" w:eastAsia="Arial" w:hAnsi="Arial"/>
          <w:sz w:val="14"/>
          <w:szCs w:val="14"/>
          <w:color w:val="auto"/>
        </w:rPr>
        <w:t>JP Morgan</w:t>
      </w:r>
    </w:p>
    <w:p>
      <w:pPr>
        <w:spacing w:after="0" w:line="221" w:lineRule="auto"/>
        <w:rPr>
          <w:sz w:val="20"/>
          <w:szCs w:val="20"/>
          <w:color w:val="auto"/>
        </w:rPr>
      </w:pPr>
      <w:r>
        <w:rPr>
          <w:rFonts w:ascii="Arial" w:cs="Arial" w:eastAsia="Arial" w:hAnsi="Arial"/>
          <w:sz w:val="14"/>
          <w:szCs w:val="14"/>
          <w:color w:val="auto"/>
        </w:rPr>
        <w:t>Keefe, Bruyette &amp; Woods</w:t>
      </w:r>
    </w:p>
    <w:p>
      <w:pPr>
        <w:spacing w:after="0" w:line="221" w:lineRule="auto"/>
        <w:rPr>
          <w:sz w:val="20"/>
          <w:szCs w:val="20"/>
          <w:color w:val="auto"/>
        </w:rPr>
      </w:pPr>
      <w:r>
        <w:rPr>
          <w:rFonts w:ascii="Arial" w:cs="Arial" w:eastAsia="Arial" w:hAnsi="Arial"/>
          <w:sz w:val="14"/>
          <w:szCs w:val="14"/>
          <w:color w:val="auto"/>
        </w:rPr>
        <w:t>Knight Libertas LLC</w:t>
      </w:r>
    </w:p>
    <w:p>
      <w:pPr>
        <w:spacing w:after="0" w:line="222" w:lineRule="auto"/>
        <w:rPr>
          <w:sz w:val="20"/>
          <w:szCs w:val="20"/>
          <w:color w:val="auto"/>
        </w:rPr>
      </w:pPr>
      <w:r>
        <w:rPr>
          <w:rFonts w:ascii="Arial" w:cs="Arial" w:eastAsia="Arial" w:hAnsi="Arial"/>
          <w:sz w:val="14"/>
          <w:szCs w:val="14"/>
          <w:color w:val="auto"/>
        </w:rPr>
        <w:t>Lloyds</w:t>
      </w:r>
    </w:p>
    <w:p>
      <w:pPr>
        <w:spacing w:after="0" w:line="221" w:lineRule="auto"/>
        <w:rPr>
          <w:sz w:val="20"/>
          <w:szCs w:val="20"/>
          <w:color w:val="auto"/>
        </w:rPr>
      </w:pPr>
      <w:r>
        <w:rPr>
          <w:rFonts w:ascii="Arial" w:cs="Arial" w:eastAsia="Arial" w:hAnsi="Arial"/>
          <w:sz w:val="14"/>
          <w:szCs w:val="14"/>
          <w:color w:val="auto"/>
        </w:rPr>
        <w:t>Madison Capital</w:t>
      </w:r>
    </w:p>
    <w:p>
      <w:pPr>
        <w:spacing w:after="0" w:line="221" w:lineRule="auto"/>
        <w:rPr>
          <w:sz w:val="20"/>
          <w:szCs w:val="20"/>
          <w:color w:val="auto"/>
        </w:rPr>
      </w:pPr>
      <w:r>
        <w:rPr>
          <w:rFonts w:ascii="Arial" w:cs="Arial" w:eastAsia="Arial" w:hAnsi="Arial"/>
          <w:sz w:val="14"/>
          <w:szCs w:val="14"/>
          <w:color w:val="auto"/>
        </w:rPr>
        <w:t>Merrill Lynch</w:t>
      </w:r>
    </w:p>
    <w:p>
      <w:pPr>
        <w:spacing w:after="0" w:line="222" w:lineRule="auto"/>
        <w:rPr>
          <w:sz w:val="20"/>
          <w:szCs w:val="20"/>
          <w:color w:val="auto"/>
        </w:rPr>
      </w:pPr>
      <w:r>
        <w:rPr>
          <w:rFonts w:ascii="Arial" w:cs="Arial" w:eastAsia="Arial" w:hAnsi="Arial"/>
          <w:sz w:val="14"/>
          <w:szCs w:val="14"/>
          <w:color w:val="auto"/>
        </w:rPr>
        <w:t>Miller Tabak</w:t>
      </w:r>
    </w:p>
    <w:p>
      <w:pPr>
        <w:spacing w:after="0" w:line="221" w:lineRule="auto"/>
        <w:rPr>
          <w:sz w:val="20"/>
          <w:szCs w:val="20"/>
          <w:color w:val="auto"/>
        </w:rPr>
      </w:pPr>
      <w:r>
        <w:rPr>
          <w:rFonts w:ascii="Arial" w:cs="Arial" w:eastAsia="Arial" w:hAnsi="Arial"/>
          <w:sz w:val="14"/>
          <w:szCs w:val="14"/>
          <w:color w:val="auto"/>
        </w:rPr>
        <w:t>Morgan Stanley</w:t>
      </w:r>
    </w:p>
    <w:p>
      <w:pPr>
        <w:spacing w:after="0" w:line="222" w:lineRule="auto"/>
        <w:rPr>
          <w:sz w:val="20"/>
          <w:szCs w:val="20"/>
          <w:color w:val="auto"/>
        </w:rPr>
      </w:pPr>
      <w:r>
        <w:rPr>
          <w:rFonts w:ascii="Arial" w:cs="Arial" w:eastAsia="Arial" w:hAnsi="Arial"/>
          <w:sz w:val="14"/>
          <w:szCs w:val="14"/>
          <w:color w:val="auto"/>
        </w:rPr>
        <w:t>New Star</w:t>
      </w:r>
    </w:p>
    <w:p>
      <w:pPr>
        <w:spacing w:after="0" w:line="221" w:lineRule="auto"/>
        <w:rPr>
          <w:sz w:val="20"/>
          <w:szCs w:val="20"/>
          <w:color w:val="auto"/>
        </w:rPr>
      </w:pPr>
      <w:r>
        <w:rPr>
          <w:rFonts w:ascii="Arial" w:cs="Arial" w:eastAsia="Arial" w:hAnsi="Arial"/>
          <w:sz w:val="14"/>
          <w:szCs w:val="14"/>
          <w:color w:val="auto"/>
        </w:rPr>
        <w:t>Oppenheimer</w:t>
      </w:r>
    </w:p>
    <w:p>
      <w:pPr>
        <w:spacing w:after="0" w:line="221" w:lineRule="auto"/>
        <w:rPr>
          <w:sz w:val="20"/>
          <w:szCs w:val="20"/>
          <w:color w:val="auto"/>
        </w:rPr>
      </w:pPr>
      <w:r>
        <w:rPr>
          <w:rFonts w:ascii="Arial" w:cs="Arial" w:eastAsia="Arial" w:hAnsi="Arial"/>
          <w:sz w:val="14"/>
          <w:szCs w:val="14"/>
          <w:color w:val="auto"/>
        </w:rPr>
        <w:t>Robert W. Baird &amp; Co.</w:t>
      </w:r>
    </w:p>
    <w:p>
      <w:pPr>
        <w:spacing w:after="0" w:line="222" w:lineRule="auto"/>
        <w:rPr>
          <w:sz w:val="20"/>
          <w:szCs w:val="20"/>
          <w:color w:val="auto"/>
        </w:rPr>
      </w:pPr>
      <w:r>
        <w:rPr>
          <w:rFonts w:ascii="Arial" w:cs="Arial" w:eastAsia="Arial" w:hAnsi="Arial"/>
          <w:sz w:val="14"/>
          <w:szCs w:val="14"/>
          <w:color w:val="auto"/>
        </w:rPr>
        <w:t>Royal Bank of Canada</w:t>
      </w:r>
    </w:p>
    <w:p>
      <w:pPr>
        <w:spacing w:after="0" w:line="221" w:lineRule="auto"/>
        <w:rPr>
          <w:sz w:val="20"/>
          <w:szCs w:val="20"/>
          <w:color w:val="auto"/>
        </w:rPr>
      </w:pPr>
      <w:r>
        <w:rPr>
          <w:rFonts w:ascii="Arial" w:cs="Arial" w:eastAsia="Arial" w:hAnsi="Arial"/>
          <w:sz w:val="14"/>
          <w:szCs w:val="14"/>
          <w:color w:val="auto"/>
        </w:rPr>
        <w:t>Royal Bank of Scotland</w:t>
      </w:r>
    </w:p>
    <w:p>
      <w:pPr>
        <w:spacing w:after="0" w:line="221" w:lineRule="auto"/>
        <w:rPr>
          <w:sz w:val="20"/>
          <w:szCs w:val="20"/>
          <w:color w:val="auto"/>
        </w:rPr>
      </w:pPr>
      <w:r>
        <w:rPr>
          <w:rFonts w:ascii="Arial" w:cs="Arial" w:eastAsia="Arial" w:hAnsi="Arial"/>
          <w:sz w:val="14"/>
          <w:szCs w:val="14"/>
          <w:color w:val="auto"/>
        </w:rPr>
        <w:t>RW Pressprich</w:t>
      </w:r>
    </w:p>
    <w:p>
      <w:pPr>
        <w:spacing w:after="0" w:line="222" w:lineRule="auto"/>
        <w:rPr>
          <w:sz w:val="20"/>
          <w:szCs w:val="20"/>
          <w:color w:val="auto"/>
        </w:rPr>
      </w:pPr>
      <w:r>
        <w:rPr>
          <w:rFonts w:ascii="Arial" w:cs="Arial" w:eastAsia="Arial" w:hAnsi="Arial"/>
          <w:sz w:val="14"/>
          <w:szCs w:val="14"/>
          <w:color w:val="auto"/>
        </w:rPr>
        <w:t>Scotia</w:t>
      </w:r>
    </w:p>
    <w:p>
      <w:pPr>
        <w:spacing w:after="0" w:line="221" w:lineRule="auto"/>
        <w:rPr>
          <w:sz w:val="20"/>
          <w:szCs w:val="20"/>
          <w:color w:val="auto"/>
        </w:rPr>
      </w:pPr>
      <w:r>
        <w:rPr>
          <w:rFonts w:ascii="Arial" w:cs="Arial" w:eastAsia="Arial" w:hAnsi="Arial"/>
          <w:sz w:val="14"/>
          <w:szCs w:val="14"/>
          <w:color w:val="auto"/>
        </w:rPr>
        <w:t>SunTrust Robinson Humphrey</w:t>
      </w:r>
    </w:p>
    <w:p>
      <w:pPr>
        <w:spacing w:after="0" w:line="222" w:lineRule="auto"/>
        <w:rPr>
          <w:sz w:val="20"/>
          <w:szCs w:val="20"/>
          <w:color w:val="auto"/>
        </w:rPr>
      </w:pPr>
      <w:r>
        <w:rPr>
          <w:rFonts w:ascii="Arial" w:cs="Arial" w:eastAsia="Arial" w:hAnsi="Arial"/>
          <w:sz w:val="14"/>
          <w:szCs w:val="14"/>
          <w:color w:val="auto"/>
        </w:rPr>
        <w:t>The Bank of New York</w:t>
      </w:r>
    </w:p>
    <w:p>
      <w:pPr>
        <w:spacing w:after="0" w:line="221" w:lineRule="auto"/>
        <w:rPr>
          <w:sz w:val="20"/>
          <w:szCs w:val="20"/>
          <w:color w:val="auto"/>
        </w:rPr>
      </w:pPr>
      <w:r>
        <w:rPr>
          <w:rFonts w:ascii="Arial" w:cs="Arial" w:eastAsia="Arial" w:hAnsi="Arial"/>
          <w:sz w:val="14"/>
          <w:szCs w:val="14"/>
          <w:color w:val="auto"/>
        </w:rPr>
        <w:t>Toronto Dominion</w:t>
      </w:r>
    </w:p>
    <w:p>
      <w:pPr>
        <w:spacing w:after="0" w:line="221" w:lineRule="auto"/>
        <w:rPr>
          <w:sz w:val="20"/>
          <w:szCs w:val="20"/>
          <w:color w:val="auto"/>
        </w:rPr>
      </w:pPr>
      <w:r>
        <w:rPr>
          <w:rFonts w:ascii="Arial" w:cs="Arial" w:eastAsia="Arial" w:hAnsi="Arial"/>
          <w:sz w:val="14"/>
          <w:szCs w:val="14"/>
          <w:color w:val="auto"/>
        </w:rPr>
        <w:t>UBS</w:t>
      </w:r>
    </w:p>
    <w:p>
      <w:pPr>
        <w:spacing w:after="0" w:line="222" w:lineRule="auto"/>
        <w:rPr>
          <w:sz w:val="20"/>
          <w:szCs w:val="20"/>
          <w:color w:val="auto"/>
        </w:rPr>
      </w:pPr>
      <w:r>
        <w:rPr>
          <w:rFonts w:ascii="Arial" w:cs="Arial" w:eastAsia="Arial" w:hAnsi="Arial"/>
          <w:sz w:val="14"/>
          <w:szCs w:val="14"/>
          <w:color w:val="auto"/>
        </w:rPr>
        <w:t>Unicredit/ HVB</w:t>
      </w:r>
    </w:p>
    <w:p>
      <w:pPr>
        <w:spacing w:after="0" w:line="221" w:lineRule="auto"/>
        <w:rPr>
          <w:sz w:val="20"/>
          <w:szCs w:val="20"/>
          <w:color w:val="auto"/>
        </w:rPr>
      </w:pPr>
      <w:r>
        <w:rPr>
          <w:rFonts w:ascii="Arial" w:cs="Arial" w:eastAsia="Arial" w:hAnsi="Arial"/>
          <w:sz w:val="14"/>
          <w:szCs w:val="14"/>
          <w:color w:val="auto"/>
        </w:rPr>
        <w:t>VinsonForbes Capital LLC</w:t>
      </w:r>
    </w:p>
    <w:p>
      <w:pPr>
        <w:spacing w:after="0" w:line="221" w:lineRule="auto"/>
        <w:rPr>
          <w:sz w:val="20"/>
          <w:szCs w:val="20"/>
          <w:color w:val="auto"/>
        </w:rPr>
      </w:pPr>
      <w:r>
        <w:rPr>
          <w:rFonts w:ascii="Arial" w:cs="Arial" w:eastAsia="Arial" w:hAnsi="Arial"/>
          <w:sz w:val="14"/>
          <w:szCs w:val="14"/>
          <w:color w:val="auto"/>
        </w:rPr>
        <w:t>Wachovia</w:t>
      </w:r>
    </w:p>
    <w:p>
      <w:pPr>
        <w:spacing w:after="0" w:line="222" w:lineRule="auto"/>
        <w:rPr>
          <w:sz w:val="20"/>
          <w:szCs w:val="20"/>
          <w:color w:val="auto"/>
        </w:rPr>
      </w:pPr>
      <w:r>
        <w:rPr>
          <w:rFonts w:ascii="Arial" w:cs="Arial" w:eastAsia="Arial" w:hAnsi="Arial"/>
          <w:sz w:val="14"/>
          <w:szCs w:val="14"/>
          <w:color w:val="auto"/>
        </w:rPr>
        <w:t>Wells Fargo</w:t>
      </w:r>
    </w:p>
    <w:p>
      <w:pPr>
        <w:spacing w:after="0" w:line="221" w:lineRule="auto"/>
        <w:rPr>
          <w:sz w:val="20"/>
          <w:szCs w:val="20"/>
          <w:color w:val="auto"/>
        </w:rPr>
      </w:pPr>
      <w:r>
        <w:rPr>
          <w:rFonts w:ascii="Arial" w:cs="Arial" w:eastAsia="Arial" w:hAnsi="Arial"/>
          <w:sz w:val="14"/>
          <w:szCs w:val="14"/>
          <w:color w:val="auto"/>
        </w:rPr>
        <w:t>WestLB</w:t>
      </w:r>
    </w:p>
    <w:p>
      <w:pPr>
        <w:spacing w:after="0" w:line="1" w:lineRule="exact"/>
        <w:rPr>
          <w:sz w:val="20"/>
          <w:szCs w:val="20"/>
          <w:color w:val="auto"/>
        </w:rPr>
      </w:pPr>
    </w:p>
    <w:p>
      <w:pPr>
        <w:spacing w:after="0"/>
        <w:rPr>
          <w:sz w:val="20"/>
          <w:szCs w:val="20"/>
          <w:color w:val="auto"/>
        </w:rPr>
      </w:pPr>
      <w:r>
        <w:rPr>
          <w:rFonts w:ascii="Arial" w:cs="Arial" w:eastAsia="Arial" w:hAnsi="Arial"/>
          <w:sz w:val="14"/>
          <w:szCs w:val="14"/>
          <w:color w:val="auto"/>
        </w:rPr>
        <w:t>Approved Pricing Services:</w:t>
      </w:r>
    </w:p>
    <w:p>
      <w:pPr>
        <w:spacing w:after="0" w:line="191" w:lineRule="exact"/>
        <w:rPr>
          <w:sz w:val="20"/>
          <w:szCs w:val="20"/>
          <w:color w:val="auto"/>
        </w:rPr>
      </w:pPr>
    </w:p>
    <w:p>
      <w:pPr>
        <w:ind w:left="300" w:hanging="292"/>
        <w:spacing w:after="0"/>
        <w:tabs>
          <w:tab w:leader="none" w:pos="300" w:val="left"/>
        </w:tabs>
        <w:numPr>
          <w:ilvl w:val="0"/>
          <w:numId w:val="173"/>
        </w:numPr>
        <w:rPr>
          <w:rFonts w:ascii="Arial" w:cs="Arial" w:eastAsia="Arial" w:hAnsi="Arial"/>
          <w:sz w:val="14"/>
          <w:szCs w:val="14"/>
          <w:color w:val="auto"/>
        </w:rPr>
      </w:pPr>
      <w:r>
        <w:rPr>
          <w:rFonts w:ascii="Arial" w:cs="Arial" w:eastAsia="Arial" w:hAnsi="Arial"/>
          <w:sz w:val="14"/>
          <w:szCs w:val="14"/>
          <w:color w:val="auto"/>
        </w:rPr>
        <w:t>Bloomberg</w:t>
      </w:r>
    </w:p>
    <w:p>
      <w:pPr>
        <w:spacing w:after="0" w:line="221" w:lineRule="auto"/>
        <w:rPr>
          <w:sz w:val="20"/>
          <w:szCs w:val="20"/>
          <w:color w:val="auto"/>
        </w:rPr>
      </w:pPr>
      <w:r>
        <w:rPr>
          <w:rFonts w:ascii="Arial" w:cs="Arial" w:eastAsia="Arial" w:hAnsi="Arial"/>
          <w:sz w:val="14"/>
          <w:szCs w:val="14"/>
          <w:color w:val="auto"/>
        </w:rPr>
        <w:t>FT Interactive Data Corporation</w:t>
      </w:r>
    </w:p>
    <w:p>
      <w:pPr>
        <w:spacing w:after="0" w:line="221" w:lineRule="auto"/>
        <w:rPr>
          <w:sz w:val="20"/>
          <w:szCs w:val="20"/>
          <w:color w:val="auto"/>
        </w:rPr>
      </w:pPr>
      <w:r>
        <w:rPr>
          <w:rFonts w:ascii="Arial" w:cs="Arial" w:eastAsia="Arial" w:hAnsi="Arial"/>
          <w:sz w:val="14"/>
          <w:szCs w:val="14"/>
          <w:color w:val="auto"/>
        </w:rPr>
        <w:t>Lincoln Partners Advisors LLC</w:t>
      </w:r>
    </w:p>
    <w:p>
      <w:pPr>
        <w:spacing w:after="0" w:line="222" w:lineRule="auto"/>
        <w:rPr>
          <w:sz w:val="20"/>
          <w:szCs w:val="20"/>
          <w:color w:val="auto"/>
        </w:rPr>
      </w:pPr>
      <w:r>
        <w:rPr>
          <w:rFonts w:ascii="Arial" w:cs="Arial" w:eastAsia="Arial" w:hAnsi="Arial"/>
          <w:sz w:val="14"/>
          <w:szCs w:val="14"/>
          <w:color w:val="auto"/>
        </w:rPr>
        <w:t>Loan Pricing Corporation</w:t>
      </w:r>
    </w:p>
    <w:p>
      <w:pPr>
        <w:spacing w:after="0" w:line="221" w:lineRule="auto"/>
        <w:rPr>
          <w:sz w:val="20"/>
          <w:szCs w:val="20"/>
          <w:color w:val="auto"/>
        </w:rPr>
      </w:pPr>
      <w:r>
        <w:rPr>
          <w:rFonts w:ascii="Arial" w:cs="Arial" w:eastAsia="Arial" w:hAnsi="Arial"/>
          <w:sz w:val="14"/>
          <w:szCs w:val="14"/>
          <w:color w:val="auto"/>
        </w:rPr>
        <w:t>Markit Partners</w:t>
      </w:r>
    </w:p>
    <w:p>
      <w:pPr>
        <w:spacing w:after="0" w:line="221" w:lineRule="auto"/>
        <w:rPr>
          <w:sz w:val="20"/>
          <w:szCs w:val="20"/>
          <w:color w:val="auto"/>
        </w:rPr>
      </w:pPr>
      <w:r>
        <w:rPr>
          <w:rFonts w:ascii="Arial" w:cs="Arial" w:eastAsia="Arial" w:hAnsi="Arial"/>
          <w:sz w:val="14"/>
          <w:szCs w:val="14"/>
          <w:color w:val="auto"/>
        </w:rPr>
        <w:t>Valuation Research Corporation</w:t>
      </w:r>
    </w:p>
    <w:p>
      <w:pPr>
        <w:spacing w:after="0" w:line="1" w:lineRule="exact"/>
        <w:rPr>
          <w:sz w:val="20"/>
          <w:szCs w:val="20"/>
          <w:color w:val="auto"/>
        </w:rPr>
      </w:pPr>
    </w:p>
    <w:p>
      <w:pPr>
        <w:spacing w:after="0"/>
        <w:rPr>
          <w:sz w:val="20"/>
          <w:szCs w:val="20"/>
          <w:color w:val="auto"/>
        </w:rPr>
      </w:pPr>
      <w:r>
        <w:rPr>
          <w:rFonts w:ascii="Arial" w:cs="Arial" w:eastAsia="Arial" w:hAnsi="Arial"/>
          <w:sz w:val="14"/>
          <w:szCs w:val="14"/>
          <w:color w:val="auto"/>
        </w:rPr>
        <w:t>Murray Devine Valuation Advisers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527685</wp:posOffset>
            </wp:positionV>
            <wp:extent cx="7149465" cy="17145"/>
            <wp:wrapNone/>
            <wp:docPr id="243" name="Picture 2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3"/>
                    <pic:cNvPicPr>
                      <a:picLocks noChangeAspect="1" noChangeArrowheads="1"/>
                    </pic:cNvPicPr>
                  </pic:nvPicPr>
                  <pic:blipFill>
                    <a:blip r:embed="rId250">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0139"/>
          </w:cols>
          <w:pgMar w:left="320" w:top="333" w:right="1440" w:bottom="1440" w:gutter="0" w:footer="0" w:header="0"/>
        </w:sectPr>
      </w:pPr>
    </w:p>
    <w:bookmarkStart w:id="132" w:name="page133"/>
    <w:bookmarkEnd w:id="132"/>
    <w:p>
      <w:pPr>
        <w:jc w:val="center"/>
        <w:ind w:right="20"/>
        <w:spacing w:after="0"/>
        <w:rPr>
          <w:sz w:val="20"/>
          <w:szCs w:val="20"/>
          <w:color w:val="auto"/>
        </w:rPr>
      </w:pPr>
      <w:r>
        <w:rPr>
          <w:rFonts w:ascii="Arial" w:cs="Arial" w:eastAsia="Arial" w:hAnsi="Arial"/>
          <w:sz w:val="14"/>
          <w:szCs w:val="14"/>
          <w:b w:val="1"/>
          <w:bCs w:val="1"/>
          <w:u w:val="single" w:color="auto"/>
          <w:color w:val="auto"/>
        </w:rPr>
        <w:t>Schedule 1.01(b)</w:t>
      </w:r>
    </w:p>
    <w:p>
      <w:pPr>
        <w:spacing w:after="0" w:line="200" w:lineRule="exact"/>
        <w:rPr>
          <w:sz w:val="20"/>
          <w:szCs w:val="20"/>
          <w:color w:val="auto"/>
        </w:rPr>
      </w:pPr>
    </w:p>
    <w:p>
      <w:pPr>
        <w:jc w:val="center"/>
        <w:ind w:right="20"/>
        <w:spacing w:after="0"/>
        <w:rPr>
          <w:sz w:val="20"/>
          <w:szCs w:val="20"/>
          <w:color w:val="auto"/>
        </w:rPr>
      </w:pPr>
      <w:r>
        <w:rPr>
          <w:rFonts w:ascii="Arial" w:cs="Arial" w:eastAsia="Arial" w:hAnsi="Arial"/>
          <w:sz w:val="14"/>
          <w:szCs w:val="14"/>
          <w:b w:val="1"/>
          <w:bCs w:val="1"/>
          <w:color w:val="auto"/>
        </w:rPr>
        <w:t>Commitments</w:t>
      </w:r>
    </w:p>
    <w:tbl>
      <w:tblPr>
        <w:tblLayout w:type="fixed"/>
        <w:tblInd w:w="10" w:type="dxa"/>
        <w:tblCellMar>
          <w:top w:w="0" w:type="dxa"/>
          <w:left w:w="0" w:type="dxa"/>
          <w:bottom w:w="0" w:type="dxa"/>
          <w:right w:w="0" w:type="dxa"/>
        </w:tblCellMar>
      </w:tblPr>
      <w:tr>
        <w:trPr>
          <w:trHeight w:val="416"/>
        </w:trPr>
        <w:tc>
          <w:tcPr>
            <w:tcW w:w="2260" w:type="dxa"/>
            <w:vAlign w:val="bottom"/>
            <w:tcBorders>
              <w:top w:val="single" w:sz="8" w:color="auto"/>
              <w:left w:val="single" w:sz="8" w:color="auto"/>
              <w:right w:val="single" w:sz="8" w:color="auto"/>
            </w:tcBorders>
            <w:shd w:val="clear" w:color="auto" w:fill="BFBFBF"/>
          </w:tcPr>
          <w:p>
            <w:pPr>
              <w:spacing w:after="0"/>
              <w:rPr>
                <w:sz w:val="24"/>
                <w:szCs w:val="24"/>
                <w:color w:val="auto"/>
              </w:rPr>
            </w:pPr>
          </w:p>
        </w:tc>
        <w:tc>
          <w:tcPr>
            <w:tcW w:w="1660" w:type="dxa"/>
            <w:vAlign w:val="bottom"/>
            <w:tcBorders>
              <w:top w:val="single" w:sz="8" w:color="auto"/>
              <w:right w:val="single" w:sz="8" w:color="auto"/>
            </w:tcBorders>
            <w:vMerge w:val="restart"/>
            <w:shd w:val="clear" w:color="auto" w:fill="BFBFBF"/>
          </w:tcPr>
          <w:p>
            <w:pPr>
              <w:jc w:val="right"/>
              <w:ind w:right="568"/>
              <w:spacing w:after="0"/>
              <w:rPr>
                <w:sz w:val="20"/>
                <w:szCs w:val="20"/>
                <w:color w:val="auto"/>
              </w:rPr>
            </w:pPr>
            <w:r>
              <w:rPr>
                <w:rFonts w:ascii="Arial" w:cs="Arial" w:eastAsia="Arial" w:hAnsi="Arial"/>
                <w:sz w:val="14"/>
                <w:szCs w:val="14"/>
                <w:b w:val="1"/>
                <w:bCs w:val="1"/>
                <w:color w:val="auto"/>
              </w:rPr>
              <w:t>Dollar</w:t>
            </w:r>
          </w:p>
        </w:tc>
        <w:tc>
          <w:tcPr>
            <w:tcW w:w="1320" w:type="dxa"/>
            <w:vAlign w:val="bottom"/>
            <w:tcBorders>
              <w:top w:val="single" w:sz="8" w:color="auto"/>
              <w:right w:val="single" w:sz="8" w:color="auto"/>
            </w:tcBorders>
            <w:shd w:val="clear" w:color="auto" w:fill="BFBFBF"/>
          </w:tcPr>
          <w:p>
            <w:pPr>
              <w:jc w:val="center"/>
              <w:spacing w:after="0"/>
              <w:rPr>
                <w:sz w:val="20"/>
                <w:szCs w:val="20"/>
                <w:color w:val="auto"/>
              </w:rPr>
            </w:pPr>
            <w:r>
              <w:rPr>
                <w:rFonts w:ascii="Arial" w:cs="Arial" w:eastAsia="Arial" w:hAnsi="Arial"/>
                <w:sz w:val="14"/>
                <w:szCs w:val="14"/>
                <w:b w:val="1"/>
                <w:bCs w:val="1"/>
                <w:color w:val="auto"/>
                <w:w w:val="93"/>
              </w:rPr>
              <w:t>Applicable</w:t>
            </w:r>
          </w:p>
        </w:tc>
        <w:tc>
          <w:tcPr>
            <w:tcW w:w="1660" w:type="dxa"/>
            <w:vAlign w:val="bottom"/>
            <w:tcBorders>
              <w:top w:val="single" w:sz="8" w:color="auto"/>
              <w:right w:val="single" w:sz="8" w:color="auto"/>
            </w:tcBorders>
            <w:vMerge w:val="restart"/>
            <w:shd w:val="clear" w:color="auto" w:fill="BFBFBF"/>
          </w:tcPr>
          <w:p>
            <w:pPr>
              <w:jc w:val="right"/>
              <w:ind w:right="328"/>
              <w:spacing w:after="0"/>
              <w:rPr>
                <w:sz w:val="20"/>
                <w:szCs w:val="20"/>
                <w:color w:val="auto"/>
              </w:rPr>
            </w:pPr>
            <w:r>
              <w:rPr>
                <w:rFonts w:ascii="Arial" w:cs="Arial" w:eastAsia="Arial" w:hAnsi="Arial"/>
                <w:sz w:val="14"/>
                <w:szCs w:val="14"/>
                <w:b w:val="1"/>
                <w:bCs w:val="1"/>
                <w:color w:val="auto"/>
              </w:rPr>
              <w:t>Multicurrency</w:t>
            </w:r>
          </w:p>
        </w:tc>
        <w:tc>
          <w:tcPr>
            <w:tcW w:w="1340" w:type="dxa"/>
            <w:vAlign w:val="bottom"/>
            <w:tcBorders>
              <w:top w:val="single" w:sz="8" w:color="auto"/>
              <w:right w:val="single" w:sz="8" w:color="auto"/>
            </w:tcBorders>
            <w:shd w:val="clear" w:color="auto" w:fill="BFBFBF"/>
          </w:tcPr>
          <w:p>
            <w:pPr>
              <w:jc w:val="center"/>
              <w:spacing w:after="0"/>
              <w:rPr>
                <w:sz w:val="20"/>
                <w:szCs w:val="20"/>
                <w:color w:val="auto"/>
              </w:rPr>
            </w:pPr>
            <w:r>
              <w:rPr>
                <w:rFonts w:ascii="Arial" w:cs="Arial" w:eastAsia="Arial" w:hAnsi="Arial"/>
                <w:sz w:val="14"/>
                <w:szCs w:val="14"/>
                <w:b w:val="1"/>
                <w:bCs w:val="1"/>
                <w:color w:val="auto"/>
                <w:w w:val="93"/>
              </w:rPr>
              <w:t>Applicable</w:t>
            </w:r>
          </w:p>
        </w:tc>
        <w:tc>
          <w:tcPr>
            <w:tcW w:w="1660" w:type="dxa"/>
            <w:vAlign w:val="bottom"/>
            <w:tcBorders>
              <w:top w:val="single" w:sz="8" w:color="auto"/>
              <w:right w:val="single" w:sz="8" w:color="auto"/>
            </w:tcBorders>
            <w:vMerge w:val="restart"/>
            <w:shd w:val="clear" w:color="auto" w:fill="BFBFBF"/>
          </w:tcPr>
          <w:p>
            <w:pPr>
              <w:jc w:val="right"/>
              <w:ind w:right="448"/>
              <w:spacing w:after="0"/>
              <w:rPr>
                <w:sz w:val="20"/>
                <w:szCs w:val="20"/>
                <w:color w:val="auto"/>
              </w:rPr>
            </w:pPr>
            <w:r>
              <w:rPr>
                <w:rFonts w:ascii="Arial" w:cs="Arial" w:eastAsia="Arial" w:hAnsi="Arial"/>
                <w:sz w:val="14"/>
                <w:szCs w:val="14"/>
                <w:b w:val="1"/>
                <w:bCs w:val="1"/>
                <w:color w:val="auto"/>
              </w:rPr>
              <w:t>Aggregate</w:t>
            </w:r>
          </w:p>
        </w:tc>
        <w:tc>
          <w:tcPr>
            <w:tcW w:w="1340" w:type="dxa"/>
            <w:vAlign w:val="bottom"/>
            <w:tcBorders>
              <w:top w:val="single" w:sz="8" w:color="auto"/>
              <w:right w:val="single" w:sz="8" w:color="auto"/>
            </w:tcBorders>
            <w:shd w:val="clear" w:color="auto" w:fill="BFBFBF"/>
          </w:tcPr>
          <w:p>
            <w:pPr>
              <w:jc w:val="center"/>
              <w:spacing w:after="0"/>
              <w:rPr>
                <w:sz w:val="20"/>
                <w:szCs w:val="20"/>
                <w:color w:val="auto"/>
              </w:rPr>
            </w:pPr>
            <w:r>
              <w:rPr>
                <w:rFonts w:ascii="Arial" w:cs="Arial" w:eastAsia="Arial" w:hAnsi="Arial"/>
                <w:sz w:val="14"/>
                <w:szCs w:val="14"/>
                <w:b w:val="1"/>
                <w:bCs w:val="1"/>
                <w:color w:val="auto"/>
                <w:w w:val="89"/>
              </w:rPr>
              <w:t>Aggregate</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49"/>
        </w:trPr>
        <w:tc>
          <w:tcPr>
            <w:tcW w:w="2260" w:type="dxa"/>
            <w:vAlign w:val="bottom"/>
            <w:tcBorders>
              <w:left w:val="single" w:sz="8" w:color="auto"/>
              <w:right w:val="single" w:sz="8" w:color="auto"/>
            </w:tcBorders>
            <w:vMerge w:val="restart"/>
            <w:shd w:val="clear" w:color="auto" w:fill="BFBFBF"/>
          </w:tcPr>
          <w:p>
            <w:pPr>
              <w:ind w:left="20"/>
              <w:spacing w:after="0"/>
              <w:rPr>
                <w:sz w:val="20"/>
                <w:szCs w:val="20"/>
                <w:color w:val="auto"/>
              </w:rPr>
            </w:pPr>
            <w:r>
              <w:rPr>
                <w:rFonts w:ascii="Arial" w:cs="Arial" w:eastAsia="Arial" w:hAnsi="Arial"/>
                <w:sz w:val="14"/>
                <w:szCs w:val="14"/>
                <w:b w:val="1"/>
                <w:bCs w:val="1"/>
                <w:color w:val="auto"/>
              </w:rPr>
              <w:t>Lender</w:t>
            </w:r>
          </w:p>
        </w:tc>
        <w:tc>
          <w:tcPr>
            <w:tcW w:w="1660" w:type="dxa"/>
            <w:vAlign w:val="bottom"/>
            <w:tcBorders>
              <w:right w:val="single" w:sz="8" w:color="auto"/>
            </w:tcBorders>
            <w:vMerge w:val="continue"/>
            <w:shd w:val="clear" w:color="auto" w:fill="BFBFBF"/>
          </w:tcPr>
          <w:p>
            <w:pPr>
              <w:spacing w:after="0"/>
              <w:rPr>
                <w:sz w:val="12"/>
                <w:szCs w:val="12"/>
                <w:color w:val="auto"/>
              </w:rPr>
            </w:pPr>
          </w:p>
        </w:tc>
        <w:tc>
          <w:tcPr>
            <w:tcW w:w="1320" w:type="dxa"/>
            <w:vAlign w:val="bottom"/>
            <w:tcBorders>
              <w:right w:val="single" w:sz="8" w:color="auto"/>
            </w:tcBorders>
            <w:shd w:val="clear" w:color="auto" w:fill="BFBFBF"/>
          </w:tcPr>
          <w:p>
            <w:pPr>
              <w:jc w:val="center"/>
              <w:spacing w:after="0" w:line="149" w:lineRule="exact"/>
              <w:rPr>
                <w:sz w:val="20"/>
                <w:szCs w:val="20"/>
                <w:color w:val="auto"/>
              </w:rPr>
            </w:pPr>
            <w:r>
              <w:rPr>
                <w:rFonts w:ascii="Arial" w:cs="Arial" w:eastAsia="Arial" w:hAnsi="Arial"/>
                <w:sz w:val="14"/>
                <w:szCs w:val="14"/>
                <w:b w:val="1"/>
                <w:bCs w:val="1"/>
                <w:color w:val="auto"/>
              </w:rPr>
              <w:t>Dollar</w:t>
            </w:r>
          </w:p>
        </w:tc>
        <w:tc>
          <w:tcPr>
            <w:tcW w:w="1660" w:type="dxa"/>
            <w:vAlign w:val="bottom"/>
            <w:tcBorders>
              <w:right w:val="single" w:sz="8" w:color="auto"/>
            </w:tcBorders>
            <w:vMerge w:val="continue"/>
            <w:shd w:val="clear" w:color="auto" w:fill="BFBFBF"/>
          </w:tcPr>
          <w:p>
            <w:pPr>
              <w:spacing w:after="0"/>
              <w:rPr>
                <w:sz w:val="12"/>
                <w:szCs w:val="12"/>
                <w:color w:val="auto"/>
              </w:rPr>
            </w:pPr>
          </w:p>
        </w:tc>
        <w:tc>
          <w:tcPr>
            <w:tcW w:w="1340" w:type="dxa"/>
            <w:vAlign w:val="bottom"/>
            <w:tcBorders>
              <w:right w:val="single" w:sz="8" w:color="auto"/>
            </w:tcBorders>
            <w:shd w:val="clear" w:color="auto" w:fill="BFBFBF"/>
          </w:tcPr>
          <w:p>
            <w:pPr>
              <w:jc w:val="center"/>
              <w:spacing w:after="0" w:line="149" w:lineRule="exact"/>
              <w:rPr>
                <w:sz w:val="20"/>
                <w:szCs w:val="20"/>
                <w:color w:val="auto"/>
              </w:rPr>
            </w:pPr>
            <w:r>
              <w:rPr>
                <w:rFonts w:ascii="Arial" w:cs="Arial" w:eastAsia="Arial" w:hAnsi="Arial"/>
                <w:sz w:val="14"/>
                <w:szCs w:val="14"/>
                <w:b w:val="1"/>
                <w:bCs w:val="1"/>
                <w:color w:val="auto"/>
                <w:w w:val="97"/>
              </w:rPr>
              <w:t>Multicurrency</w:t>
            </w:r>
          </w:p>
        </w:tc>
        <w:tc>
          <w:tcPr>
            <w:tcW w:w="1660" w:type="dxa"/>
            <w:vAlign w:val="bottom"/>
            <w:tcBorders>
              <w:right w:val="single" w:sz="8" w:color="auto"/>
            </w:tcBorders>
            <w:vMerge w:val="continue"/>
            <w:shd w:val="clear" w:color="auto" w:fill="BFBFBF"/>
          </w:tcPr>
          <w:p>
            <w:pPr>
              <w:spacing w:after="0"/>
              <w:rPr>
                <w:sz w:val="12"/>
                <w:szCs w:val="12"/>
                <w:color w:val="auto"/>
              </w:rPr>
            </w:pPr>
          </w:p>
        </w:tc>
        <w:tc>
          <w:tcPr>
            <w:tcW w:w="1340" w:type="dxa"/>
            <w:vAlign w:val="bottom"/>
            <w:tcBorders>
              <w:right w:val="single" w:sz="8" w:color="auto"/>
            </w:tcBorders>
            <w:shd w:val="clear" w:color="auto" w:fill="BFBFBF"/>
          </w:tcPr>
          <w:p>
            <w:pPr>
              <w:jc w:val="center"/>
              <w:spacing w:after="0" w:line="149" w:lineRule="exact"/>
              <w:rPr>
                <w:sz w:val="20"/>
                <w:szCs w:val="20"/>
                <w:color w:val="auto"/>
              </w:rPr>
            </w:pPr>
            <w:r>
              <w:rPr>
                <w:rFonts w:ascii="Arial" w:cs="Arial" w:eastAsia="Arial" w:hAnsi="Arial"/>
                <w:sz w:val="14"/>
                <w:szCs w:val="14"/>
                <w:b w:val="1"/>
                <w:bCs w:val="1"/>
                <w:color w:val="auto"/>
                <w:w w:val="95"/>
              </w:rPr>
              <w:t>Commitment</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2"/>
        </w:trPr>
        <w:tc>
          <w:tcPr>
            <w:tcW w:w="2260" w:type="dxa"/>
            <w:vAlign w:val="bottom"/>
            <w:tcBorders>
              <w:left w:val="single" w:sz="8" w:color="auto"/>
              <w:bottom w:val="single" w:sz="8" w:color="BFBFBF"/>
              <w:right w:val="single" w:sz="8" w:color="auto"/>
            </w:tcBorders>
            <w:vMerge w:val="continue"/>
            <w:shd w:val="clear" w:color="auto" w:fill="BFBFBF"/>
          </w:tcPr>
          <w:p>
            <w:pPr>
              <w:spacing w:after="0"/>
              <w:rPr>
                <w:sz w:val="18"/>
                <w:szCs w:val="18"/>
                <w:color w:val="auto"/>
              </w:rPr>
            </w:pPr>
          </w:p>
        </w:tc>
        <w:tc>
          <w:tcPr>
            <w:tcW w:w="1660" w:type="dxa"/>
            <w:vAlign w:val="bottom"/>
            <w:tcBorders>
              <w:bottom w:val="single" w:sz="8" w:color="BFBFBF"/>
              <w:right w:val="single" w:sz="8" w:color="auto"/>
            </w:tcBorders>
            <w:shd w:val="clear" w:color="auto" w:fill="BFBFBF"/>
          </w:tcPr>
          <w:p>
            <w:pPr>
              <w:jc w:val="right"/>
              <w:ind w:right="368"/>
              <w:spacing w:after="0"/>
              <w:rPr>
                <w:sz w:val="20"/>
                <w:szCs w:val="20"/>
                <w:color w:val="auto"/>
              </w:rPr>
            </w:pPr>
            <w:r>
              <w:rPr>
                <w:rFonts w:ascii="Arial" w:cs="Arial" w:eastAsia="Arial" w:hAnsi="Arial"/>
                <w:sz w:val="14"/>
                <w:szCs w:val="14"/>
                <w:b w:val="1"/>
                <w:bCs w:val="1"/>
                <w:color w:val="auto"/>
              </w:rPr>
              <w:t>Commitment</w:t>
            </w:r>
          </w:p>
        </w:tc>
        <w:tc>
          <w:tcPr>
            <w:tcW w:w="1320" w:type="dxa"/>
            <w:vAlign w:val="bottom"/>
            <w:tcBorders>
              <w:bottom w:val="single" w:sz="8" w:color="BFBFBF"/>
              <w:right w:val="single" w:sz="8" w:color="auto"/>
            </w:tcBorders>
            <w:shd w:val="clear" w:color="auto" w:fill="BFBFBF"/>
          </w:tcPr>
          <w:p>
            <w:pPr>
              <w:jc w:val="center"/>
              <w:spacing w:after="0"/>
              <w:rPr>
                <w:sz w:val="20"/>
                <w:szCs w:val="20"/>
                <w:color w:val="auto"/>
              </w:rPr>
            </w:pPr>
            <w:r>
              <w:rPr>
                <w:rFonts w:ascii="Arial" w:cs="Arial" w:eastAsia="Arial" w:hAnsi="Arial"/>
                <w:sz w:val="14"/>
                <w:szCs w:val="14"/>
                <w:b w:val="1"/>
                <w:bCs w:val="1"/>
                <w:color w:val="auto"/>
                <w:w w:val="90"/>
              </w:rPr>
              <w:t>Percentage</w:t>
            </w:r>
          </w:p>
        </w:tc>
        <w:tc>
          <w:tcPr>
            <w:tcW w:w="1660" w:type="dxa"/>
            <w:vAlign w:val="bottom"/>
            <w:tcBorders>
              <w:bottom w:val="single" w:sz="8" w:color="BFBFBF"/>
              <w:right w:val="single" w:sz="8" w:color="auto"/>
            </w:tcBorders>
            <w:shd w:val="clear" w:color="auto" w:fill="BFBFBF"/>
          </w:tcPr>
          <w:p>
            <w:pPr>
              <w:jc w:val="right"/>
              <w:ind w:right="368"/>
              <w:spacing w:after="0"/>
              <w:rPr>
                <w:sz w:val="20"/>
                <w:szCs w:val="20"/>
                <w:color w:val="auto"/>
              </w:rPr>
            </w:pPr>
            <w:r>
              <w:rPr>
                <w:rFonts w:ascii="Arial" w:cs="Arial" w:eastAsia="Arial" w:hAnsi="Arial"/>
                <w:sz w:val="14"/>
                <w:szCs w:val="14"/>
                <w:b w:val="1"/>
                <w:bCs w:val="1"/>
                <w:color w:val="auto"/>
              </w:rPr>
              <w:t>Commitment</w:t>
            </w:r>
          </w:p>
        </w:tc>
        <w:tc>
          <w:tcPr>
            <w:tcW w:w="1340" w:type="dxa"/>
            <w:vAlign w:val="bottom"/>
            <w:tcBorders>
              <w:bottom w:val="single" w:sz="8" w:color="BFBFBF"/>
              <w:right w:val="single" w:sz="8" w:color="auto"/>
            </w:tcBorders>
            <w:shd w:val="clear" w:color="auto" w:fill="BFBFBF"/>
          </w:tcPr>
          <w:p>
            <w:pPr>
              <w:jc w:val="center"/>
              <w:spacing w:after="0"/>
              <w:rPr>
                <w:sz w:val="20"/>
                <w:szCs w:val="20"/>
                <w:color w:val="auto"/>
              </w:rPr>
            </w:pPr>
            <w:r>
              <w:rPr>
                <w:rFonts w:ascii="Arial" w:cs="Arial" w:eastAsia="Arial" w:hAnsi="Arial"/>
                <w:sz w:val="14"/>
                <w:szCs w:val="14"/>
                <w:b w:val="1"/>
                <w:bCs w:val="1"/>
                <w:color w:val="auto"/>
                <w:w w:val="90"/>
              </w:rPr>
              <w:t>Percentage</w:t>
            </w:r>
          </w:p>
        </w:tc>
        <w:tc>
          <w:tcPr>
            <w:tcW w:w="1660" w:type="dxa"/>
            <w:vAlign w:val="bottom"/>
            <w:tcBorders>
              <w:bottom w:val="single" w:sz="8" w:color="BFBFBF"/>
              <w:right w:val="single" w:sz="8" w:color="auto"/>
            </w:tcBorders>
            <w:shd w:val="clear" w:color="auto" w:fill="BFBFBF"/>
          </w:tcPr>
          <w:p>
            <w:pPr>
              <w:jc w:val="right"/>
              <w:ind w:right="368"/>
              <w:spacing w:after="0"/>
              <w:rPr>
                <w:sz w:val="20"/>
                <w:szCs w:val="20"/>
                <w:color w:val="auto"/>
              </w:rPr>
            </w:pPr>
            <w:r>
              <w:rPr>
                <w:rFonts w:ascii="Arial" w:cs="Arial" w:eastAsia="Arial" w:hAnsi="Arial"/>
                <w:sz w:val="14"/>
                <w:szCs w:val="14"/>
                <w:b w:val="1"/>
                <w:bCs w:val="1"/>
                <w:color w:val="auto"/>
              </w:rPr>
              <w:t>Commitment</w:t>
            </w:r>
          </w:p>
        </w:tc>
        <w:tc>
          <w:tcPr>
            <w:tcW w:w="1340" w:type="dxa"/>
            <w:vAlign w:val="bottom"/>
            <w:tcBorders>
              <w:bottom w:val="single" w:sz="8" w:color="BFBFBF"/>
              <w:right w:val="single" w:sz="8" w:color="auto"/>
            </w:tcBorders>
            <w:shd w:val="clear" w:color="auto" w:fill="BFBFBF"/>
          </w:tcPr>
          <w:p>
            <w:pPr>
              <w:jc w:val="center"/>
              <w:spacing w:after="0"/>
              <w:rPr>
                <w:sz w:val="20"/>
                <w:szCs w:val="20"/>
                <w:color w:val="auto"/>
              </w:rPr>
            </w:pPr>
            <w:r>
              <w:rPr>
                <w:rFonts w:ascii="Arial" w:cs="Arial" w:eastAsia="Arial" w:hAnsi="Arial"/>
                <w:sz w:val="14"/>
                <w:szCs w:val="14"/>
                <w:b w:val="1"/>
                <w:bCs w:val="1"/>
                <w:color w:val="auto"/>
                <w:w w:val="90"/>
              </w:rPr>
              <w:t>Percentage</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50"/>
        </w:trPr>
        <w:tc>
          <w:tcPr>
            <w:tcW w:w="2260" w:type="dxa"/>
            <w:vAlign w:val="bottom"/>
            <w:tcBorders>
              <w:top w:val="single" w:sz="8" w:color="auto"/>
              <w:left w:val="single" w:sz="8" w:color="auto"/>
              <w:bottom w:val="single" w:sz="8" w:color="auto"/>
              <w:right w:val="single" w:sz="8" w:color="auto"/>
            </w:tcBorders>
          </w:tcPr>
          <w:p>
            <w:pPr>
              <w:ind w:left="80"/>
              <w:spacing w:after="0"/>
              <w:rPr>
                <w:sz w:val="20"/>
                <w:szCs w:val="20"/>
                <w:color w:val="auto"/>
              </w:rPr>
            </w:pPr>
            <w:r>
              <w:rPr>
                <w:rFonts w:ascii="Arial" w:cs="Arial" w:eastAsia="Arial" w:hAnsi="Arial"/>
                <w:sz w:val="14"/>
                <w:szCs w:val="14"/>
                <w:color w:val="auto"/>
              </w:rPr>
              <w:t>SunTrust Bank</w:t>
            </w:r>
          </w:p>
        </w:tc>
        <w:tc>
          <w:tcPr>
            <w:tcW w:w="1660" w:type="dxa"/>
            <w:vAlign w:val="bottom"/>
            <w:tcBorders>
              <w:top w:val="single" w:sz="8" w:color="auto"/>
              <w:bottom w:val="single" w:sz="8" w:color="auto"/>
              <w:right w:val="single" w:sz="8" w:color="auto"/>
            </w:tcBorders>
          </w:tcPr>
          <w:p>
            <w:pPr>
              <w:spacing w:after="0"/>
              <w:rPr>
                <w:sz w:val="21"/>
                <w:szCs w:val="21"/>
                <w:color w:val="auto"/>
              </w:rPr>
            </w:pPr>
          </w:p>
        </w:tc>
        <w:tc>
          <w:tcPr>
            <w:tcW w:w="1320" w:type="dxa"/>
            <w:vAlign w:val="bottom"/>
            <w:tcBorders>
              <w:top w:val="single" w:sz="8" w:color="auto"/>
              <w:bottom w:val="single" w:sz="8" w:color="auto"/>
              <w:right w:val="single" w:sz="8" w:color="auto"/>
            </w:tcBorders>
          </w:tcPr>
          <w:p>
            <w:pPr>
              <w:jc w:val="right"/>
              <w:spacing w:after="0"/>
              <w:rPr>
                <w:sz w:val="20"/>
                <w:szCs w:val="20"/>
                <w:color w:val="auto"/>
              </w:rPr>
            </w:pPr>
            <w:r>
              <w:rPr>
                <w:rFonts w:ascii="Arial" w:cs="Arial" w:eastAsia="Arial" w:hAnsi="Arial"/>
                <w:sz w:val="14"/>
                <w:szCs w:val="14"/>
                <w:color w:val="auto"/>
              </w:rPr>
              <w:t>0.00%</w:t>
            </w:r>
          </w:p>
        </w:tc>
        <w:tc>
          <w:tcPr>
            <w:tcW w:w="1660" w:type="dxa"/>
            <w:vAlign w:val="bottom"/>
            <w:tcBorders>
              <w:top w:val="single" w:sz="8" w:color="auto"/>
              <w:bottom w:val="single" w:sz="8" w:color="auto"/>
              <w:right w:val="single" w:sz="8" w:color="auto"/>
            </w:tcBorders>
          </w:tcPr>
          <w:p>
            <w:pPr>
              <w:jc w:val="right"/>
              <w:spacing w:after="0"/>
              <w:rPr>
                <w:sz w:val="20"/>
                <w:szCs w:val="20"/>
                <w:color w:val="auto"/>
              </w:rPr>
            </w:pPr>
            <w:r>
              <w:rPr>
                <w:rFonts w:ascii="Arial" w:cs="Arial" w:eastAsia="Arial" w:hAnsi="Arial"/>
                <w:sz w:val="14"/>
                <w:szCs w:val="14"/>
                <w:color w:val="auto"/>
              </w:rPr>
              <w:t>$100,000,000.0</w:t>
            </w:r>
          </w:p>
        </w:tc>
        <w:tc>
          <w:tcPr>
            <w:tcW w:w="1340" w:type="dxa"/>
            <w:vAlign w:val="bottom"/>
            <w:tcBorders>
              <w:top w:val="single" w:sz="8" w:color="auto"/>
              <w:bottom w:val="single" w:sz="8" w:color="auto"/>
              <w:right w:val="single" w:sz="8" w:color="auto"/>
            </w:tcBorders>
          </w:tcPr>
          <w:p>
            <w:pPr>
              <w:jc w:val="right"/>
              <w:spacing w:after="0"/>
              <w:rPr>
                <w:sz w:val="20"/>
                <w:szCs w:val="20"/>
                <w:color w:val="auto"/>
              </w:rPr>
            </w:pPr>
            <w:r>
              <w:rPr>
                <w:rFonts w:ascii="Arial" w:cs="Arial" w:eastAsia="Arial" w:hAnsi="Arial"/>
                <w:sz w:val="14"/>
                <w:szCs w:val="14"/>
                <w:color w:val="auto"/>
              </w:rPr>
              <w:t>30.30%</w:t>
            </w:r>
          </w:p>
        </w:tc>
        <w:tc>
          <w:tcPr>
            <w:tcW w:w="1660" w:type="dxa"/>
            <w:vAlign w:val="bottom"/>
            <w:tcBorders>
              <w:top w:val="single" w:sz="8" w:color="auto"/>
              <w:bottom w:val="single" w:sz="8" w:color="auto"/>
              <w:right w:val="single" w:sz="8" w:color="auto"/>
            </w:tcBorders>
          </w:tcPr>
          <w:p>
            <w:pPr>
              <w:jc w:val="right"/>
              <w:spacing w:after="0"/>
              <w:rPr>
                <w:sz w:val="20"/>
                <w:szCs w:val="20"/>
                <w:color w:val="auto"/>
              </w:rPr>
            </w:pPr>
            <w:r>
              <w:rPr>
                <w:rFonts w:ascii="Arial" w:cs="Arial" w:eastAsia="Arial" w:hAnsi="Arial"/>
                <w:sz w:val="14"/>
                <w:szCs w:val="14"/>
                <w:color w:val="auto"/>
              </w:rPr>
              <w:t>$100,000,000.00</w:t>
            </w:r>
          </w:p>
        </w:tc>
        <w:tc>
          <w:tcPr>
            <w:tcW w:w="1340" w:type="dxa"/>
            <w:vAlign w:val="bottom"/>
            <w:tcBorders>
              <w:top w:val="single" w:sz="8" w:color="auto"/>
              <w:bottom w:val="single" w:sz="8" w:color="auto"/>
              <w:right w:val="single" w:sz="8" w:color="auto"/>
            </w:tcBorders>
          </w:tcPr>
          <w:p>
            <w:pPr>
              <w:jc w:val="right"/>
              <w:spacing w:after="0"/>
              <w:rPr>
                <w:sz w:val="20"/>
                <w:szCs w:val="20"/>
                <w:color w:val="auto"/>
              </w:rPr>
            </w:pPr>
            <w:r>
              <w:rPr>
                <w:rFonts w:ascii="Arial" w:cs="Arial" w:eastAsia="Arial" w:hAnsi="Arial"/>
                <w:sz w:val="14"/>
                <w:szCs w:val="14"/>
                <w:color w:val="auto"/>
              </w:rPr>
              <w:t>22.47%</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50"/>
        </w:trPr>
        <w:tc>
          <w:tcPr>
            <w:tcW w:w="2260" w:type="dxa"/>
            <w:vAlign w:val="bottom"/>
            <w:tcBorders>
              <w:left w:val="single" w:sz="8" w:color="auto"/>
              <w:bottom w:val="single" w:sz="8" w:color="auto"/>
              <w:right w:val="single" w:sz="8" w:color="auto"/>
            </w:tcBorders>
          </w:tcPr>
          <w:p>
            <w:pPr>
              <w:ind w:left="80"/>
              <w:spacing w:after="0"/>
              <w:rPr>
                <w:sz w:val="20"/>
                <w:szCs w:val="20"/>
                <w:color w:val="auto"/>
              </w:rPr>
            </w:pPr>
            <w:r>
              <w:rPr>
                <w:rFonts w:ascii="Arial" w:cs="Arial" w:eastAsia="Arial" w:hAnsi="Arial"/>
                <w:sz w:val="14"/>
                <w:szCs w:val="14"/>
                <w:color w:val="auto"/>
              </w:rPr>
              <w:t>JPMorgan Chase Bank, N.A.</w:t>
            </w:r>
          </w:p>
        </w:tc>
        <w:tc>
          <w:tcPr>
            <w:tcW w:w="1660" w:type="dxa"/>
            <w:vAlign w:val="bottom"/>
            <w:tcBorders>
              <w:bottom w:val="single" w:sz="8" w:color="auto"/>
              <w:right w:val="single" w:sz="8" w:color="auto"/>
            </w:tcBorders>
          </w:tcPr>
          <w:p>
            <w:pPr>
              <w:spacing w:after="0"/>
              <w:rPr>
                <w:sz w:val="21"/>
                <w:szCs w:val="21"/>
                <w:color w:val="auto"/>
              </w:rPr>
            </w:pPr>
          </w:p>
        </w:tc>
        <w:tc>
          <w:tcPr>
            <w:tcW w:w="1320" w:type="dxa"/>
            <w:vAlign w:val="bottom"/>
            <w:tcBorders>
              <w:bottom w:val="single" w:sz="8" w:color="auto"/>
              <w:right w:val="single" w:sz="8" w:color="auto"/>
            </w:tcBorders>
          </w:tcPr>
          <w:p>
            <w:pPr>
              <w:jc w:val="right"/>
              <w:spacing w:after="0"/>
              <w:rPr>
                <w:sz w:val="20"/>
                <w:szCs w:val="20"/>
                <w:color w:val="auto"/>
              </w:rPr>
            </w:pPr>
            <w:r>
              <w:rPr>
                <w:rFonts w:ascii="Arial" w:cs="Arial" w:eastAsia="Arial" w:hAnsi="Arial"/>
                <w:sz w:val="14"/>
                <w:szCs w:val="14"/>
                <w:color w:val="auto"/>
              </w:rPr>
              <w:t>0.00%</w:t>
            </w:r>
          </w:p>
        </w:tc>
        <w:tc>
          <w:tcPr>
            <w:tcW w:w="1660" w:type="dxa"/>
            <w:vAlign w:val="bottom"/>
            <w:tcBorders>
              <w:bottom w:val="single" w:sz="8" w:color="auto"/>
              <w:right w:val="single" w:sz="8" w:color="auto"/>
            </w:tcBorders>
          </w:tcPr>
          <w:p>
            <w:pPr>
              <w:jc w:val="right"/>
              <w:spacing w:after="0"/>
              <w:rPr>
                <w:sz w:val="20"/>
                <w:szCs w:val="20"/>
                <w:color w:val="auto"/>
              </w:rPr>
            </w:pPr>
            <w:r>
              <w:rPr>
                <w:rFonts w:ascii="Arial" w:cs="Arial" w:eastAsia="Arial" w:hAnsi="Arial"/>
                <w:sz w:val="14"/>
                <w:szCs w:val="14"/>
                <w:color w:val="auto"/>
              </w:rPr>
              <w:t>$75,000,000.00</w:t>
            </w:r>
          </w:p>
        </w:tc>
        <w:tc>
          <w:tcPr>
            <w:tcW w:w="1340" w:type="dxa"/>
            <w:vAlign w:val="bottom"/>
            <w:tcBorders>
              <w:bottom w:val="single" w:sz="8" w:color="auto"/>
              <w:right w:val="single" w:sz="8" w:color="auto"/>
            </w:tcBorders>
          </w:tcPr>
          <w:p>
            <w:pPr>
              <w:jc w:val="right"/>
              <w:spacing w:after="0"/>
              <w:rPr>
                <w:sz w:val="20"/>
                <w:szCs w:val="20"/>
                <w:color w:val="auto"/>
              </w:rPr>
            </w:pPr>
            <w:r>
              <w:rPr>
                <w:rFonts w:ascii="Arial" w:cs="Arial" w:eastAsia="Arial" w:hAnsi="Arial"/>
                <w:sz w:val="14"/>
                <w:szCs w:val="14"/>
                <w:color w:val="auto"/>
              </w:rPr>
              <w:t>22.73%</w:t>
            </w:r>
          </w:p>
        </w:tc>
        <w:tc>
          <w:tcPr>
            <w:tcW w:w="1660" w:type="dxa"/>
            <w:vAlign w:val="bottom"/>
            <w:tcBorders>
              <w:bottom w:val="single" w:sz="8" w:color="auto"/>
              <w:right w:val="single" w:sz="8" w:color="auto"/>
            </w:tcBorders>
          </w:tcPr>
          <w:p>
            <w:pPr>
              <w:jc w:val="right"/>
              <w:spacing w:after="0"/>
              <w:rPr>
                <w:sz w:val="20"/>
                <w:szCs w:val="20"/>
                <w:color w:val="auto"/>
              </w:rPr>
            </w:pPr>
            <w:r>
              <w:rPr>
                <w:rFonts w:ascii="Arial" w:cs="Arial" w:eastAsia="Arial" w:hAnsi="Arial"/>
                <w:sz w:val="14"/>
                <w:szCs w:val="14"/>
                <w:color w:val="auto"/>
              </w:rPr>
              <w:t>$75,000,000.00</w:t>
            </w:r>
          </w:p>
        </w:tc>
        <w:tc>
          <w:tcPr>
            <w:tcW w:w="1340" w:type="dxa"/>
            <w:vAlign w:val="bottom"/>
            <w:tcBorders>
              <w:bottom w:val="single" w:sz="8" w:color="auto"/>
              <w:right w:val="single" w:sz="8" w:color="auto"/>
            </w:tcBorders>
          </w:tcPr>
          <w:p>
            <w:pPr>
              <w:jc w:val="right"/>
              <w:spacing w:after="0"/>
              <w:rPr>
                <w:sz w:val="20"/>
                <w:szCs w:val="20"/>
                <w:color w:val="auto"/>
              </w:rPr>
            </w:pPr>
            <w:r>
              <w:rPr>
                <w:rFonts w:ascii="Arial" w:cs="Arial" w:eastAsia="Arial" w:hAnsi="Arial"/>
                <w:sz w:val="14"/>
                <w:szCs w:val="14"/>
                <w:color w:val="auto"/>
              </w:rPr>
              <w:t>16.85%</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50"/>
        </w:trPr>
        <w:tc>
          <w:tcPr>
            <w:tcW w:w="2260" w:type="dxa"/>
            <w:vAlign w:val="bottom"/>
            <w:tcBorders>
              <w:left w:val="single" w:sz="8" w:color="auto"/>
              <w:bottom w:val="single" w:sz="8" w:color="auto"/>
              <w:right w:val="single" w:sz="8" w:color="auto"/>
            </w:tcBorders>
          </w:tcPr>
          <w:p>
            <w:pPr>
              <w:ind w:left="80"/>
              <w:spacing w:after="0"/>
              <w:rPr>
                <w:sz w:val="20"/>
                <w:szCs w:val="20"/>
                <w:color w:val="auto"/>
              </w:rPr>
            </w:pPr>
            <w:r>
              <w:rPr>
                <w:rFonts w:ascii="Arial" w:cs="Arial" w:eastAsia="Arial" w:hAnsi="Arial"/>
                <w:sz w:val="14"/>
                <w:szCs w:val="14"/>
                <w:color w:val="auto"/>
              </w:rPr>
              <w:t>Morgan Stanley Bank, N.A.</w:t>
            </w:r>
          </w:p>
        </w:tc>
        <w:tc>
          <w:tcPr>
            <w:tcW w:w="1660" w:type="dxa"/>
            <w:vAlign w:val="bottom"/>
            <w:tcBorders>
              <w:bottom w:val="single" w:sz="8" w:color="auto"/>
              <w:right w:val="single" w:sz="8" w:color="auto"/>
            </w:tcBorders>
          </w:tcPr>
          <w:p>
            <w:pPr>
              <w:jc w:val="right"/>
              <w:spacing w:after="0"/>
              <w:rPr>
                <w:sz w:val="20"/>
                <w:szCs w:val="20"/>
                <w:color w:val="auto"/>
              </w:rPr>
            </w:pPr>
            <w:r>
              <w:rPr>
                <w:rFonts w:ascii="Arial" w:cs="Arial" w:eastAsia="Arial" w:hAnsi="Arial"/>
                <w:sz w:val="14"/>
                <w:szCs w:val="14"/>
                <w:color w:val="auto"/>
              </w:rPr>
              <w:t>$60,000,000.00</w:t>
            </w:r>
          </w:p>
        </w:tc>
        <w:tc>
          <w:tcPr>
            <w:tcW w:w="1320" w:type="dxa"/>
            <w:vAlign w:val="bottom"/>
            <w:tcBorders>
              <w:bottom w:val="single" w:sz="8" w:color="auto"/>
              <w:right w:val="single" w:sz="8" w:color="auto"/>
            </w:tcBorders>
          </w:tcPr>
          <w:p>
            <w:pPr>
              <w:jc w:val="right"/>
              <w:spacing w:after="0"/>
              <w:rPr>
                <w:sz w:val="20"/>
                <w:szCs w:val="20"/>
                <w:color w:val="auto"/>
              </w:rPr>
            </w:pPr>
            <w:r>
              <w:rPr>
                <w:rFonts w:ascii="Arial" w:cs="Arial" w:eastAsia="Arial" w:hAnsi="Arial"/>
                <w:sz w:val="14"/>
                <w:szCs w:val="14"/>
                <w:color w:val="auto"/>
              </w:rPr>
              <w:t>52.17%</w:t>
            </w:r>
          </w:p>
        </w:tc>
        <w:tc>
          <w:tcPr>
            <w:tcW w:w="1660" w:type="dxa"/>
            <w:vAlign w:val="bottom"/>
            <w:tcBorders>
              <w:bottom w:val="single" w:sz="8" w:color="auto"/>
              <w:right w:val="single" w:sz="8" w:color="auto"/>
            </w:tcBorders>
          </w:tcPr>
          <w:p>
            <w:pPr>
              <w:spacing w:after="0"/>
              <w:rPr>
                <w:sz w:val="21"/>
                <w:szCs w:val="21"/>
                <w:color w:val="auto"/>
              </w:rPr>
            </w:pPr>
          </w:p>
        </w:tc>
        <w:tc>
          <w:tcPr>
            <w:tcW w:w="1340" w:type="dxa"/>
            <w:vAlign w:val="bottom"/>
            <w:tcBorders>
              <w:bottom w:val="single" w:sz="8" w:color="auto"/>
              <w:right w:val="single" w:sz="8" w:color="auto"/>
            </w:tcBorders>
          </w:tcPr>
          <w:p>
            <w:pPr>
              <w:jc w:val="right"/>
              <w:spacing w:after="0"/>
              <w:rPr>
                <w:sz w:val="20"/>
                <w:szCs w:val="20"/>
                <w:color w:val="auto"/>
              </w:rPr>
            </w:pPr>
            <w:r>
              <w:rPr>
                <w:rFonts w:ascii="Arial" w:cs="Arial" w:eastAsia="Arial" w:hAnsi="Arial"/>
                <w:sz w:val="14"/>
                <w:szCs w:val="14"/>
                <w:color w:val="auto"/>
              </w:rPr>
              <w:t>0.00%</w:t>
            </w:r>
          </w:p>
        </w:tc>
        <w:tc>
          <w:tcPr>
            <w:tcW w:w="1660" w:type="dxa"/>
            <w:vAlign w:val="bottom"/>
            <w:tcBorders>
              <w:bottom w:val="single" w:sz="8" w:color="auto"/>
              <w:right w:val="single" w:sz="8" w:color="auto"/>
            </w:tcBorders>
          </w:tcPr>
          <w:p>
            <w:pPr>
              <w:jc w:val="right"/>
              <w:spacing w:after="0"/>
              <w:rPr>
                <w:sz w:val="20"/>
                <w:szCs w:val="20"/>
                <w:color w:val="auto"/>
              </w:rPr>
            </w:pPr>
            <w:r>
              <w:rPr>
                <w:rFonts w:ascii="Arial" w:cs="Arial" w:eastAsia="Arial" w:hAnsi="Arial"/>
                <w:sz w:val="14"/>
                <w:szCs w:val="14"/>
                <w:color w:val="auto"/>
              </w:rPr>
              <w:t>$60,000,000.00</w:t>
            </w:r>
          </w:p>
        </w:tc>
        <w:tc>
          <w:tcPr>
            <w:tcW w:w="1340" w:type="dxa"/>
            <w:vAlign w:val="bottom"/>
            <w:tcBorders>
              <w:bottom w:val="single" w:sz="8" w:color="auto"/>
              <w:right w:val="single" w:sz="8" w:color="auto"/>
            </w:tcBorders>
          </w:tcPr>
          <w:p>
            <w:pPr>
              <w:jc w:val="right"/>
              <w:spacing w:after="0"/>
              <w:rPr>
                <w:sz w:val="20"/>
                <w:szCs w:val="20"/>
                <w:color w:val="auto"/>
              </w:rPr>
            </w:pPr>
            <w:r>
              <w:rPr>
                <w:rFonts w:ascii="Arial" w:cs="Arial" w:eastAsia="Arial" w:hAnsi="Arial"/>
                <w:sz w:val="14"/>
                <w:szCs w:val="14"/>
                <w:color w:val="auto"/>
              </w:rPr>
              <w:t>13.48%</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50"/>
        </w:trPr>
        <w:tc>
          <w:tcPr>
            <w:tcW w:w="2260" w:type="dxa"/>
            <w:vAlign w:val="bottom"/>
            <w:tcBorders>
              <w:left w:val="single" w:sz="8" w:color="auto"/>
              <w:bottom w:val="single" w:sz="8" w:color="auto"/>
              <w:right w:val="single" w:sz="8" w:color="auto"/>
            </w:tcBorders>
          </w:tcPr>
          <w:p>
            <w:pPr>
              <w:ind w:left="80"/>
              <w:spacing w:after="0"/>
              <w:rPr>
                <w:sz w:val="20"/>
                <w:szCs w:val="20"/>
                <w:color w:val="auto"/>
              </w:rPr>
            </w:pPr>
            <w:r>
              <w:rPr>
                <w:rFonts w:ascii="Arial" w:cs="Arial" w:eastAsia="Arial" w:hAnsi="Arial"/>
                <w:sz w:val="14"/>
                <w:szCs w:val="14"/>
                <w:color w:val="auto"/>
              </w:rPr>
              <w:t>ING Capital LLC</w:t>
            </w:r>
          </w:p>
        </w:tc>
        <w:tc>
          <w:tcPr>
            <w:tcW w:w="1660" w:type="dxa"/>
            <w:vAlign w:val="bottom"/>
            <w:tcBorders>
              <w:bottom w:val="single" w:sz="8" w:color="auto"/>
              <w:right w:val="single" w:sz="8" w:color="auto"/>
            </w:tcBorders>
          </w:tcPr>
          <w:p>
            <w:pPr>
              <w:spacing w:after="0"/>
              <w:rPr>
                <w:sz w:val="21"/>
                <w:szCs w:val="21"/>
                <w:color w:val="auto"/>
              </w:rPr>
            </w:pPr>
          </w:p>
        </w:tc>
        <w:tc>
          <w:tcPr>
            <w:tcW w:w="1320" w:type="dxa"/>
            <w:vAlign w:val="bottom"/>
            <w:tcBorders>
              <w:bottom w:val="single" w:sz="8" w:color="auto"/>
              <w:right w:val="single" w:sz="8" w:color="auto"/>
            </w:tcBorders>
          </w:tcPr>
          <w:p>
            <w:pPr>
              <w:jc w:val="right"/>
              <w:spacing w:after="0"/>
              <w:rPr>
                <w:sz w:val="20"/>
                <w:szCs w:val="20"/>
                <w:color w:val="auto"/>
              </w:rPr>
            </w:pPr>
            <w:r>
              <w:rPr>
                <w:rFonts w:ascii="Arial" w:cs="Arial" w:eastAsia="Arial" w:hAnsi="Arial"/>
                <w:sz w:val="14"/>
                <w:szCs w:val="14"/>
                <w:color w:val="auto"/>
              </w:rPr>
              <w:t>0.00%</w:t>
            </w:r>
          </w:p>
        </w:tc>
        <w:tc>
          <w:tcPr>
            <w:tcW w:w="1660" w:type="dxa"/>
            <w:vAlign w:val="bottom"/>
            <w:tcBorders>
              <w:bottom w:val="single" w:sz="8" w:color="auto"/>
              <w:right w:val="single" w:sz="8" w:color="auto"/>
            </w:tcBorders>
          </w:tcPr>
          <w:p>
            <w:pPr>
              <w:jc w:val="right"/>
              <w:spacing w:after="0"/>
              <w:rPr>
                <w:sz w:val="20"/>
                <w:szCs w:val="20"/>
                <w:color w:val="auto"/>
              </w:rPr>
            </w:pPr>
            <w:r>
              <w:rPr>
                <w:rFonts w:ascii="Arial" w:cs="Arial" w:eastAsia="Arial" w:hAnsi="Arial"/>
                <w:sz w:val="14"/>
                <w:szCs w:val="14"/>
                <w:color w:val="auto"/>
              </w:rPr>
              <w:t>$50,000,000.00</w:t>
            </w:r>
          </w:p>
        </w:tc>
        <w:tc>
          <w:tcPr>
            <w:tcW w:w="1340" w:type="dxa"/>
            <w:vAlign w:val="bottom"/>
            <w:tcBorders>
              <w:bottom w:val="single" w:sz="8" w:color="auto"/>
              <w:right w:val="single" w:sz="8" w:color="auto"/>
            </w:tcBorders>
          </w:tcPr>
          <w:p>
            <w:pPr>
              <w:jc w:val="right"/>
              <w:spacing w:after="0"/>
              <w:rPr>
                <w:sz w:val="20"/>
                <w:szCs w:val="20"/>
                <w:color w:val="auto"/>
              </w:rPr>
            </w:pPr>
            <w:r>
              <w:rPr>
                <w:rFonts w:ascii="Arial" w:cs="Arial" w:eastAsia="Arial" w:hAnsi="Arial"/>
                <w:sz w:val="14"/>
                <w:szCs w:val="14"/>
                <w:color w:val="auto"/>
              </w:rPr>
              <w:t>15.15%</w:t>
            </w:r>
          </w:p>
        </w:tc>
        <w:tc>
          <w:tcPr>
            <w:tcW w:w="1660" w:type="dxa"/>
            <w:vAlign w:val="bottom"/>
            <w:tcBorders>
              <w:bottom w:val="single" w:sz="8" w:color="auto"/>
              <w:right w:val="single" w:sz="8" w:color="auto"/>
            </w:tcBorders>
          </w:tcPr>
          <w:p>
            <w:pPr>
              <w:jc w:val="right"/>
              <w:spacing w:after="0"/>
              <w:rPr>
                <w:sz w:val="20"/>
                <w:szCs w:val="20"/>
                <w:color w:val="auto"/>
              </w:rPr>
            </w:pPr>
            <w:r>
              <w:rPr>
                <w:rFonts w:ascii="Arial" w:cs="Arial" w:eastAsia="Arial" w:hAnsi="Arial"/>
                <w:sz w:val="14"/>
                <w:szCs w:val="14"/>
                <w:color w:val="auto"/>
              </w:rPr>
              <w:t>$50,000,000.00</w:t>
            </w:r>
          </w:p>
        </w:tc>
        <w:tc>
          <w:tcPr>
            <w:tcW w:w="1340" w:type="dxa"/>
            <w:vAlign w:val="bottom"/>
            <w:tcBorders>
              <w:bottom w:val="single" w:sz="8" w:color="auto"/>
              <w:right w:val="single" w:sz="8" w:color="auto"/>
            </w:tcBorders>
          </w:tcPr>
          <w:p>
            <w:pPr>
              <w:jc w:val="right"/>
              <w:spacing w:after="0"/>
              <w:rPr>
                <w:sz w:val="20"/>
                <w:szCs w:val="20"/>
                <w:color w:val="auto"/>
              </w:rPr>
            </w:pPr>
            <w:r>
              <w:rPr>
                <w:rFonts w:ascii="Arial" w:cs="Arial" w:eastAsia="Arial" w:hAnsi="Arial"/>
                <w:sz w:val="14"/>
                <w:szCs w:val="14"/>
                <w:color w:val="auto"/>
              </w:rPr>
              <w:t>11.24%</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50"/>
        </w:trPr>
        <w:tc>
          <w:tcPr>
            <w:tcW w:w="2260" w:type="dxa"/>
            <w:vAlign w:val="bottom"/>
            <w:tcBorders>
              <w:left w:val="single" w:sz="8" w:color="auto"/>
              <w:bottom w:val="single" w:sz="8" w:color="auto"/>
              <w:right w:val="single" w:sz="8" w:color="auto"/>
            </w:tcBorders>
          </w:tcPr>
          <w:p>
            <w:pPr>
              <w:ind w:left="80"/>
              <w:spacing w:after="0"/>
              <w:rPr>
                <w:sz w:val="20"/>
                <w:szCs w:val="20"/>
                <w:color w:val="auto"/>
              </w:rPr>
            </w:pPr>
            <w:r>
              <w:rPr>
                <w:rFonts w:ascii="Arial" w:cs="Arial" w:eastAsia="Arial" w:hAnsi="Arial"/>
                <w:sz w:val="14"/>
                <w:szCs w:val="14"/>
                <w:color w:val="auto"/>
                <w:w w:val="90"/>
              </w:rPr>
              <w:t>State Street Bank and Trust Company</w:t>
            </w:r>
          </w:p>
        </w:tc>
        <w:tc>
          <w:tcPr>
            <w:tcW w:w="1660" w:type="dxa"/>
            <w:vAlign w:val="bottom"/>
            <w:tcBorders>
              <w:bottom w:val="single" w:sz="8" w:color="auto"/>
              <w:right w:val="single" w:sz="8" w:color="auto"/>
            </w:tcBorders>
          </w:tcPr>
          <w:p>
            <w:pPr>
              <w:spacing w:after="0"/>
              <w:rPr>
                <w:sz w:val="21"/>
                <w:szCs w:val="21"/>
                <w:color w:val="auto"/>
              </w:rPr>
            </w:pPr>
          </w:p>
        </w:tc>
        <w:tc>
          <w:tcPr>
            <w:tcW w:w="1320" w:type="dxa"/>
            <w:vAlign w:val="bottom"/>
            <w:tcBorders>
              <w:bottom w:val="single" w:sz="8" w:color="auto"/>
              <w:right w:val="single" w:sz="8" w:color="auto"/>
            </w:tcBorders>
          </w:tcPr>
          <w:p>
            <w:pPr>
              <w:jc w:val="right"/>
              <w:spacing w:after="0"/>
              <w:rPr>
                <w:sz w:val="20"/>
                <w:szCs w:val="20"/>
                <w:color w:val="auto"/>
              </w:rPr>
            </w:pPr>
            <w:r>
              <w:rPr>
                <w:rFonts w:ascii="Arial" w:cs="Arial" w:eastAsia="Arial" w:hAnsi="Arial"/>
                <w:sz w:val="14"/>
                <w:szCs w:val="14"/>
                <w:color w:val="auto"/>
              </w:rPr>
              <w:t>0.00%</w:t>
            </w:r>
          </w:p>
        </w:tc>
        <w:tc>
          <w:tcPr>
            <w:tcW w:w="1660" w:type="dxa"/>
            <w:vAlign w:val="bottom"/>
            <w:tcBorders>
              <w:bottom w:val="single" w:sz="8" w:color="auto"/>
              <w:right w:val="single" w:sz="8" w:color="auto"/>
            </w:tcBorders>
          </w:tcPr>
          <w:p>
            <w:pPr>
              <w:jc w:val="right"/>
              <w:spacing w:after="0"/>
              <w:rPr>
                <w:sz w:val="20"/>
                <w:szCs w:val="20"/>
                <w:color w:val="auto"/>
              </w:rPr>
            </w:pPr>
            <w:r>
              <w:rPr>
                <w:rFonts w:ascii="Arial" w:cs="Arial" w:eastAsia="Arial" w:hAnsi="Arial"/>
                <w:sz w:val="14"/>
                <w:szCs w:val="14"/>
                <w:color w:val="auto"/>
              </w:rPr>
              <w:t>$25,000,000.00</w:t>
            </w:r>
          </w:p>
        </w:tc>
        <w:tc>
          <w:tcPr>
            <w:tcW w:w="1340" w:type="dxa"/>
            <w:vAlign w:val="bottom"/>
            <w:tcBorders>
              <w:bottom w:val="single" w:sz="8" w:color="auto"/>
              <w:right w:val="single" w:sz="8" w:color="auto"/>
            </w:tcBorders>
          </w:tcPr>
          <w:p>
            <w:pPr>
              <w:jc w:val="right"/>
              <w:spacing w:after="0"/>
              <w:rPr>
                <w:sz w:val="20"/>
                <w:szCs w:val="20"/>
                <w:color w:val="auto"/>
              </w:rPr>
            </w:pPr>
            <w:r>
              <w:rPr>
                <w:rFonts w:ascii="Arial" w:cs="Arial" w:eastAsia="Arial" w:hAnsi="Arial"/>
                <w:sz w:val="14"/>
                <w:szCs w:val="14"/>
                <w:color w:val="auto"/>
              </w:rPr>
              <w:t>7.58%</w:t>
            </w:r>
          </w:p>
        </w:tc>
        <w:tc>
          <w:tcPr>
            <w:tcW w:w="1660" w:type="dxa"/>
            <w:vAlign w:val="bottom"/>
            <w:tcBorders>
              <w:bottom w:val="single" w:sz="8" w:color="auto"/>
              <w:right w:val="single" w:sz="8" w:color="auto"/>
            </w:tcBorders>
          </w:tcPr>
          <w:p>
            <w:pPr>
              <w:jc w:val="right"/>
              <w:spacing w:after="0"/>
              <w:rPr>
                <w:sz w:val="20"/>
                <w:szCs w:val="20"/>
                <w:color w:val="auto"/>
              </w:rPr>
            </w:pPr>
            <w:r>
              <w:rPr>
                <w:rFonts w:ascii="Arial" w:cs="Arial" w:eastAsia="Arial" w:hAnsi="Arial"/>
                <w:sz w:val="14"/>
                <w:szCs w:val="14"/>
                <w:color w:val="auto"/>
              </w:rPr>
              <w:t>$25,000,000.00</w:t>
            </w:r>
          </w:p>
        </w:tc>
        <w:tc>
          <w:tcPr>
            <w:tcW w:w="1340" w:type="dxa"/>
            <w:vAlign w:val="bottom"/>
            <w:tcBorders>
              <w:bottom w:val="single" w:sz="8" w:color="auto"/>
              <w:right w:val="single" w:sz="8" w:color="auto"/>
            </w:tcBorders>
          </w:tcPr>
          <w:p>
            <w:pPr>
              <w:jc w:val="right"/>
              <w:spacing w:after="0"/>
              <w:rPr>
                <w:sz w:val="20"/>
                <w:szCs w:val="20"/>
                <w:color w:val="auto"/>
              </w:rPr>
            </w:pPr>
            <w:r>
              <w:rPr>
                <w:rFonts w:ascii="Arial" w:cs="Arial" w:eastAsia="Arial" w:hAnsi="Arial"/>
                <w:sz w:val="14"/>
                <w:szCs w:val="14"/>
                <w:color w:val="auto"/>
              </w:rPr>
              <w:t>5.62%</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50"/>
        </w:trPr>
        <w:tc>
          <w:tcPr>
            <w:tcW w:w="2260" w:type="dxa"/>
            <w:vAlign w:val="bottom"/>
            <w:tcBorders>
              <w:left w:val="single" w:sz="8" w:color="auto"/>
              <w:bottom w:val="single" w:sz="8" w:color="auto"/>
              <w:right w:val="single" w:sz="8" w:color="auto"/>
            </w:tcBorders>
          </w:tcPr>
          <w:p>
            <w:pPr>
              <w:ind w:left="80"/>
              <w:spacing w:after="0"/>
              <w:rPr>
                <w:sz w:val="20"/>
                <w:szCs w:val="20"/>
                <w:color w:val="auto"/>
              </w:rPr>
            </w:pPr>
            <w:r>
              <w:rPr>
                <w:rFonts w:ascii="Arial" w:cs="Arial" w:eastAsia="Arial" w:hAnsi="Arial"/>
                <w:sz w:val="14"/>
                <w:szCs w:val="14"/>
                <w:color w:val="auto"/>
              </w:rPr>
              <w:t>Goldman Sachs Bank USA</w:t>
            </w:r>
          </w:p>
        </w:tc>
        <w:tc>
          <w:tcPr>
            <w:tcW w:w="1660" w:type="dxa"/>
            <w:vAlign w:val="bottom"/>
            <w:tcBorders>
              <w:bottom w:val="single" w:sz="8" w:color="auto"/>
              <w:right w:val="single" w:sz="8" w:color="auto"/>
            </w:tcBorders>
          </w:tcPr>
          <w:p>
            <w:pPr>
              <w:spacing w:after="0"/>
              <w:rPr>
                <w:sz w:val="21"/>
                <w:szCs w:val="21"/>
                <w:color w:val="auto"/>
              </w:rPr>
            </w:pPr>
          </w:p>
        </w:tc>
        <w:tc>
          <w:tcPr>
            <w:tcW w:w="1320" w:type="dxa"/>
            <w:vAlign w:val="bottom"/>
            <w:tcBorders>
              <w:bottom w:val="single" w:sz="8" w:color="auto"/>
              <w:right w:val="single" w:sz="8" w:color="auto"/>
            </w:tcBorders>
          </w:tcPr>
          <w:p>
            <w:pPr>
              <w:jc w:val="right"/>
              <w:spacing w:after="0"/>
              <w:rPr>
                <w:sz w:val="20"/>
                <w:szCs w:val="20"/>
                <w:color w:val="auto"/>
              </w:rPr>
            </w:pPr>
            <w:r>
              <w:rPr>
                <w:rFonts w:ascii="Arial" w:cs="Arial" w:eastAsia="Arial" w:hAnsi="Arial"/>
                <w:sz w:val="14"/>
                <w:szCs w:val="14"/>
                <w:color w:val="auto"/>
              </w:rPr>
              <w:t>0.00%</w:t>
            </w:r>
          </w:p>
        </w:tc>
        <w:tc>
          <w:tcPr>
            <w:tcW w:w="1660" w:type="dxa"/>
            <w:vAlign w:val="bottom"/>
            <w:tcBorders>
              <w:bottom w:val="single" w:sz="8" w:color="auto"/>
              <w:right w:val="single" w:sz="8" w:color="auto"/>
            </w:tcBorders>
          </w:tcPr>
          <w:p>
            <w:pPr>
              <w:jc w:val="right"/>
              <w:spacing w:after="0"/>
              <w:rPr>
                <w:sz w:val="20"/>
                <w:szCs w:val="20"/>
                <w:color w:val="auto"/>
              </w:rPr>
            </w:pPr>
            <w:r>
              <w:rPr>
                <w:rFonts w:ascii="Arial" w:cs="Arial" w:eastAsia="Arial" w:hAnsi="Arial"/>
                <w:sz w:val="14"/>
                <w:szCs w:val="14"/>
                <w:color w:val="auto"/>
              </w:rPr>
              <w:t>$25,000,000.00</w:t>
            </w:r>
          </w:p>
        </w:tc>
        <w:tc>
          <w:tcPr>
            <w:tcW w:w="1340" w:type="dxa"/>
            <w:vAlign w:val="bottom"/>
            <w:tcBorders>
              <w:bottom w:val="single" w:sz="8" w:color="auto"/>
              <w:right w:val="single" w:sz="8" w:color="auto"/>
            </w:tcBorders>
          </w:tcPr>
          <w:p>
            <w:pPr>
              <w:jc w:val="right"/>
              <w:spacing w:after="0"/>
              <w:rPr>
                <w:sz w:val="20"/>
                <w:szCs w:val="20"/>
                <w:color w:val="auto"/>
              </w:rPr>
            </w:pPr>
            <w:r>
              <w:rPr>
                <w:rFonts w:ascii="Arial" w:cs="Arial" w:eastAsia="Arial" w:hAnsi="Arial"/>
                <w:sz w:val="14"/>
                <w:szCs w:val="14"/>
                <w:color w:val="auto"/>
              </w:rPr>
              <w:t>7.58%</w:t>
            </w:r>
          </w:p>
        </w:tc>
        <w:tc>
          <w:tcPr>
            <w:tcW w:w="1660" w:type="dxa"/>
            <w:vAlign w:val="bottom"/>
            <w:tcBorders>
              <w:bottom w:val="single" w:sz="8" w:color="auto"/>
              <w:right w:val="single" w:sz="8" w:color="auto"/>
            </w:tcBorders>
          </w:tcPr>
          <w:p>
            <w:pPr>
              <w:jc w:val="right"/>
              <w:spacing w:after="0"/>
              <w:rPr>
                <w:sz w:val="20"/>
                <w:szCs w:val="20"/>
                <w:color w:val="auto"/>
              </w:rPr>
            </w:pPr>
            <w:r>
              <w:rPr>
                <w:rFonts w:ascii="Arial" w:cs="Arial" w:eastAsia="Arial" w:hAnsi="Arial"/>
                <w:sz w:val="14"/>
                <w:szCs w:val="14"/>
                <w:color w:val="auto"/>
              </w:rPr>
              <w:t>$25,000,000.00</w:t>
            </w:r>
          </w:p>
        </w:tc>
        <w:tc>
          <w:tcPr>
            <w:tcW w:w="1340" w:type="dxa"/>
            <w:vAlign w:val="bottom"/>
            <w:tcBorders>
              <w:bottom w:val="single" w:sz="8" w:color="auto"/>
              <w:right w:val="single" w:sz="8" w:color="auto"/>
            </w:tcBorders>
          </w:tcPr>
          <w:p>
            <w:pPr>
              <w:jc w:val="right"/>
              <w:spacing w:after="0"/>
              <w:rPr>
                <w:sz w:val="20"/>
                <w:szCs w:val="20"/>
                <w:color w:val="auto"/>
              </w:rPr>
            </w:pPr>
            <w:r>
              <w:rPr>
                <w:rFonts w:ascii="Arial" w:cs="Arial" w:eastAsia="Arial" w:hAnsi="Arial"/>
                <w:sz w:val="14"/>
                <w:szCs w:val="14"/>
                <w:color w:val="auto"/>
              </w:rPr>
              <w:t>5.62%</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50"/>
        </w:trPr>
        <w:tc>
          <w:tcPr>
            <w:tcW w:w="2260" w:type="dxa"/>
            <w:vAlign w:val="bottom"/>
            <w:tcBorders>
              <w:left w:val="single" w:sz="8" w:color="auto"/>
              <w:bottom w:val="single" w:sz="8" w:color="auto"/>
              <w:right w:val="single" w:sz="8" w:color="auto"/>
            </w:tcBorders>
          </w:tcPr>
          <w:p>
            <w:pPr>
              <w:ind w:left="80"/>
              <w:spacing w:after="0"/>
              <w:rPr>
                <w:sz w:val="20"/>
                <w:szCs w:val="20"/>
                <w:color w:val="auto"/>
              </w:rPr>
            </w:pPr>
            <w:r>
              <w:rPr>
                <w:rFonts w:ascii="Arial" w:cs="Arial" w:eastAsia="Arial" w:hAnsi="Arial"/>
                <w:sz w:val="14"/>
                <w:szCs w:val="14"/>
                <w:color w:val="auto"/>
              </w:rPr>
              <w:t>CIT Bank, N.A.</w:t>
            </w:r>
          </w:p>
        </w:tc>
        <w:tc>
          <w:tcPr>
            <w:tcW w:w="1660" w:type="dxa"/>
            <w:vAlign w:val="bottom"/>
            <w:tcBorders>
              <w:bottom w:val="single" w:sz="8" w:color="auto"/>
              <w:right w:val="single" w:sz="8" w:color="auto"/>
            </w:tcBorders>
          </w:tcPr>
          <w:p>
            <w:pPr>
              <w:jc w:val="right"/>
              <w:spacing w:after="0"/>
              <w:rPr>
                <w:sz w:val="20"/>
                <w:szCs w:val="20"/>
                <w:color w:val="auto"/>
              </w:rPr>
            </w:pPr>
            <w:r>
              <w:rPr>
                <w:rFonts w:ascii="Arial" w:cs="Arial" w:eastAsia="Arial" w:hAnsi="Arial"/>
                <w:sz w:val="14"/>
                <w:szCs w:val="14"/>
                <w:color w:val="auto"/>
              </w:rPr>
              <w:t>$20,000,000.00</w:t>
            </w:r>
          </w:p>
        </w:tc>
        <w:tc>
          <w:tcPr>
            <w:tcW w:w="1320" w:type="dxa"/>
            <w:vAlign w:val="bottom"/>
            <w:tcBorders>
              <w:bottom w:val="single" w:sz="8" w:color="auto"/>
              <w:right w:val="single" w:sz="8" w:color="auto"/>
            </w:tcBorders>
          </w:tcPr>
          <w:p>
            <w:pPr>
              <w:jc w:val="right"/>
              <w:spacing w:after="0"/>
              <w:rPr>
                <w:sz w:val="20"/>
                <w:szCs w:val="20"/>
                <w:color w:val="auto"/>
              </w:rPr>
            </w:pPr>
            <w:r>
              <w:rPr>
                <w:rFonts w:ascii="Arial" w:cs="Arial" w:eastAsia="Arial" w:hAnsi="Arial"/>
                <w:sz w:val="14"/>
                <w:szCs w:val="14"/>
                <w:color w:val="auto"/>
              </w:rPr>
              <w:t>17.39%</w:t>
            </w:r>
          </w:p>
        </w:tc>
        <w:tc>
          <w:tcPr>
            <w:tcW w:w="1660" w:type="dxa"/>
            <w:vAlign w:val="bottom"/>
            <w:tcBorders>
              <w:bottom w:val="single" w:sz="8" w:color="auto"/>
              <w:right w:val="single" w:sz="8" w:color="auto"/>
            </w:tcBorders>
          </w:tcPr>
          <w:p>
            <w:pPr>
              <w:spacing w:after="0"/>
              <w:rPr>
                <w:sz w:val="21"/>
                <w:szCs w:val="21"/>
                <w:color w:val="auto"/>
              </w:rPr>
            </w:pPr>
          </w:p>
        </w:tc>
        <w:tc>
          <w:tcPr>
            <w:tcW w:w="1340" w:type="dxa"/>
            <w:vAlign w:val="bottom"/>
            <w:tcBorders>
              <w:bottom w:val="single" w:sz="8" w:color="auto"/>
              <w:right w:val="single" w:sz="8" w:color="auto"/>
            </w:tcBorders>
          </w:tcPr>
          <w:p>
            <w:pPr>
              <w:jc w:val="right"/>
              <w:spacing w:after="0"/>
              <w:rPr>
                <w:sz w:val="20"/>
                <w:szCs w:val="20"/>
                <w:color w:val="auto"/>
              </w:rPr>
            </w:pPr>
            <w:r>
              <w:rPr>
                <w:rFonts w:ascii="Arial" w:cs="Arial" w:eastAsia="Arial" w:hAnsi="Arial"/>
                <w:sz w:val="14"/>
                <w:szCs w:val="14"/>
                <w:color w:val="auto"/>
              </w:rPr>
              <w:t>0.00%</w:t>
            </w:r>
          </w:p>
        </w:tc>
        <w:tc>
          <w:tcPr>
            <w:tcW w:w="1660" w:type="dxa"/>
            <w:vAlign w:val="bottom"/>
            <w:tcBorders>
              <w:bottom w:val="single" w:sz="8" w:color="auto"/>
              <w:right w:val="single" w:sz="8" w:color="auto"/>
            </w:tcBorders>
          </w:tcPr>
          <w:p>
            <w:pPr>
              <w:jc w:val="right"/>
              <w:spacing w:after="0"/>
              <w:rPr>
                <w:sz w:val="20"/>
                <w:szCs w:val="20"/>
                <w:color w:val="auto"/>
              </w:rPr>
            </w:pPr>
            <w:r>
              <w:rPr>
                <w:rFonts w:ascii="Arial" w:cs="Arial" w:eastAsia="Arial" w:hAnsi="Arial"/>
                <w:sz w:val="14"/>
                <w:szCs w:val="14"/>
                <w:color w:val="auto"/>
              </w:rPr>
              <w:t>$20,000,000.00</w:t>
            </w:r>
          </w:p>
        </w:tc>
        <w:tc>
          <w:tcPr>
            <w:tcW w:w="1340" w:type="dxa"/>
            <w:vAlign w:val="bottom"/>
            <w:tcBorders>
              <w:bottom w:val="single" w:sz="8" w:color="auto"/>
              <w:right w:val="single" w:sz="8" w:color="auto"/>
            </w:tcBorders>
          </w:tcPr>
          <w:p>
            <w:pPr>
              <w:jc w:val="right"/>
              <w:spacing w:after="0"/>
              <w:rPr>
                <w:sz w:val="20"/>
                <w:szCs w:val="20"/>
                <w:color w:val="auto"/>
              </w:rPr>
            </w:pPr>
            <w:r>
              <w:rPr>
                <w:rFonts w:ascii="Arial" w:cs="Arial" w:eastAsia="Arial" w:hAnsi="Arial"/>
                <w:sz w:val="14"/>
                <w:szCs w:val="14"/>
                <w:color w:val="auto"/>
              </w:rPr>
              <w:t>4.49%</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50"/>
        </w:trPr>
        <w:tc>
          <w:tcPr>
            <w:tcW w:w="2260" w:type="dxa"/>
            <w:vAlign w:val="bottom"/>
            <w:tcBorders>
              <w:left w:val="single" w:sz="8" w:color="auto"/>
              <w:bottom w:val="single" w:sz="8" w:color="auto"/>
              <w:right w:val="single" w:sz="8" w:color="auto"/>
            </w:tcBorders>
          </w:tcPr>
          <w:p>
            <w:pPr>
              <w:ind w:left="80"/>
              <w:spacing w:after="0"/>
              <w:rPr>
                <w:sz w:val="20"/>
                <w:szCs w:val="20"/>
                <w:color w:val="auto"/>
              </w:rPr>
            </w:pPr>
            <w:r>
              <w:rPr>
                <w:rFonts w:ascii="Arial" w:cs="Arial" w:eastAsia="Arial" w:hAnsi="Arial"/>
                <w:sz w:val="14"/>
                <w:szCs w:val="14"/>
                <w:color w:val="auto"/>
              </w:rPr>
              <w:t>City National Bank</w:t>
            </w:r>
          </w:p>
        </w:tc>
        <w:tc>
          <w:tcPr>
            <w:tcW w:w="1660" w:type="dxa"/>
            <w:vAlign w:val="bottom"/>
            <w:tcBorders>
              <w:bottom w:val="single" w:sz="8" w:color="auto"/>
              <w:right w:val="single" w:sz="8" w:color="auto"/>
            </w:tcBorders>
          </w:tcPr>
          <w:p>
            <w:pPr>
              <w:spacing w:after="0"/>
              <w:rPr>
                <w:sz w:val="21"/>
                <w:szCs w:val="21"/>
                <w:color w:val="auto"/>
              </w:rPr>
            </w:pPr>
          </w:p>
        </w:tc>
        <w:tc>
          <w:tcPr>
            <w:tcW w:w="1320" w:type="dxa"/>
            <w:vAlign w:val="bottom"/>
            <w:tcBorders>
              <w:bottom w:val="single" w:sz="8" w:color="auto"/>
              <w:right w:val="single" w:sz="8" w:color="auto"/>
            </w:tcBorders>
          </w:tcPr>
          <w:p>
            <w:pPr>
              <w:jc w:val="right"/>
              <w:spacing w:after="0"/>
              <w:rPr>
                <w:sz w:val="20"/>
                <w:szCs w:val="20"/>
                <w:color w:val="auto"/>
              </w:rPr>
            </w:pPr>
            <w:r>
              <w:rPr>
                <w:rFonts w:ascii="Arial" w:cs="Arial" w:eastAsia="Arial" w:hAnsi="Arial"/>
                <w:sz w:val="14"/>
                <w:szCs w:val="14"/>
                <w:color w:val="auto"/>
              </w:rPr>
              <w:t>0.00%</w:t>
            </w:r>
          </w:p>
        </w:tc>
        <w:tc>
          <w:tcPr>
            <w:tcW w:w="1660" w:type="dxa"/>
            <w:vAlign w:val="bottom"/>
            <w:tcBorders>
              <w:bottom w:val="single" w:sz="8" w:color="auto"/>
              <w:right w:val="single" w:sz="8" w:color="auto"/>
            </w:tcBorders>
          </w:tcPr>
          <w:p>
            <w:pPr>
              <w:jc w:val="right"/>
              <w:spacing w:after="0"/>
              <w:rPr>
                <w:sz w:val="20"/>
                <w:szCs w:val="20"/>
                <w:color w:val="auto"/>
              </w:rPr>
            </w:pPr>
            <w:r>
              <w:rPr>
                <w:rFonts w:ascii="Arial" w:cs="Arial" w:eastAsia="Arial" w:hAnsi="Arial"/>
                <w:sz w:val="14"/>
                <w:szCs w:val="14"/>
                <w:color w:val="auto"/>
              </w:rPr>
              <w:t>$20,000,000.00</w:t>
            </w:r>
          </w:p>
        </w:tc>
        <w:tc>
          <w:tcPr>
            <w:tcW w:w="1340" w:type="dxa"/>
            <w:vAlign w:val="bottom"/>
            <w:tcBorders>
              <w:bottom w:val="single" w:sz="8" w:color="auto"/>
              <w:right w:val="single" w:sz="8" w:color="auto"/>
            </w:tcBorders>
          </w:tcPr>
          <w:p>
            <w:pPr>
              <w:jc w:val="right"/>
              <w:spacing w:after="0"/>
              <w:rPr>
                <w:sz w:val="20"/>
                <w:szCs w:val="20"/>
                <w:color w:val="auto"/>
              </w:rPr>
            </w:pPr>
            <w:r>
              <w:rPr>
                <w:rFonts w:ascii="Arial" w:cs="Arial" w:eastAsia="Arial" w:hAnsi="Arial"/>
                <w:sz w:val="14"/>
                <w:szCs w:val="14"/>
                <w:color w:val="auto"/>
              </w:rPr>
              <w:t>6.06%</w:t>
            </w:r>
          </w:p>
        </w:tc>
        <w:tc>
          <w:tcPr>
            <w:tcW w:w="1660" w:type="dxa"/>
            <w:vAlign w:val="bottom"/>
            <w:tcBorders>
              <w:bottom w:val="single" w:sz="8" w:color="auto"/>
              <w:right w:val="single" w:sz="8" w:color="auto"/>
            </w:tcBorders>
          </w:tcPr>
          <w:p>
            <w:pPr>
              <w:jc w:val="right"/>
              <w:spacing w:after="0"/>
              <w:rPr>
                <w:sz w:val="20"/>
                <w:szCs w:val="20"/>
                <w:color w:val="auto"/>
              </w:rPr>
            </w:pPr>
            <w:r>
              <w:rPr>
                <w:rFonts w:ascii="Arial" w:cs="Arial" w:eastAsia="Arial" w:hAnsi="Arial"/>
                <w:sz w:val="14"/>
                <w:szCs w:val="14"/>
                <w:color w:val="auto"/>
              </w:rPr>
              <w:t>$20,000,000.00</w:t>
            </w:r>
          </w:p>
        </w:tc>
        <w:tc>
          <w:tcPr>
            <w:tcW w:w="1340" w:type="dxa"/>
            <w:vAlign w:val="bottom"/>
            <w:tcBorders>
              <w:bottom w:val="single" w:sz="8" w:color="auto"/>
              <w:right w:val="single" w:sz="8" w:color="auto"/>
            </w:tcBorders>
          </w:tcPr>
          <w:p>
            <w:pPr>
              <w:jc w:val="right"/>
              <w:spacing w:after="0"/>
              <w:rPr>
                <w:sz w:val="20"/>
                <w:szCs w:val="20"/>
                <w:color w:val="auto"/>
              </w:rPr>
            </w:pPr>
            <w:r>
              <w:rPr>
                <w:rFonts w:ascii="Arial" w:cs="Arial" w:eastAsia="Arial" w:hAnsi="Arial"/>
                <w:sz w:val="14"/>
                <w:szCs w:val="14"/>
                <w:color w:val="auto"/>
              </w:rPr>
              <w:t>4.49%</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50"/>
        </w:trPr>
        <w:tc>
          <w:tcPr>
            <w:tcW w:w="2260" w:type="dxa"/>
            <w:vAlign w:val="bottom"/>
            <w:tcBorders>
              <w:left w:val="single" w:sz="8" w:color="auto"/>
              <w:bottom w:val="single" w:sz="8" w:color="auto"/>
              <w:right w:val="single" w:sz="8" w:color="auto"/>
            </w:tcBorders>
          </w:tcPr>
          <w:p>
            <w:pPr>
              <w:ind w:left="80"/>
              <w:spacing w:after="0"/>
              <w:rPr>
                <w:sz w:val="20"/>
                <w:szCs w:val="20"/>
                <w:color w:val="auto"/>
              </w:rPr>
            </w:pPr>
            <w:r>
              <w:rPr>
                <w:rFonts w:ascii="Arial" w:cs="Arial" w:eastAsia="Arial" w:hAnsi="Arial"/>
                <w:sz w:val="14"/>
                <w:szCs w:val="14"/>
                <w:color w:val="auto"/>
              </w:rPr>
              <w:t>Royal Bank of Canada</w:t>
            </w:r>
          </w:p>
        </w:tc>
        <w:tc>
          <w:tcPr>
            <w:tcW w:w="1660" w:type="dxa"/>
            <w:vAlign w:val="bottom"/>
            <w:tcBorders>
              <w:bottom w:val="single" w:sz="8" w:color="auto"/>
              <w:right w:val="single" w:sz="8" w:color="auto"/>
            </w:tcBorders>
          </w:tcPr>
          <w:p>
            <w:pPr>
              <w:spacing w:after="0"/>
              <w:rPr>
                <w:sz w:val="21"/>
                <w:szCs w:val="21"/>
                <w:color w:val="auto"/>
              </w:rPr>
            </w:pPr>
          </w:p>
        </w:tc>
        <w:tc>
          <w:tcPr>
            <w:tcW w:w="1320" w:type="dxa"/>
            <w:vAlign w:val="bottom"/>
            <w:tcBorders>
              <w:bottom w:val="single" w:sz="8" w:color="auto"/>
              <w:right w:val="single" w:sz="8" w:color="auto"/>
            </w:tcBorders>
          </w:tcPr>
          <w:p>
            <w:pPr>
              <w:jc w:val="right"/>
              <w:spacing w:after="0"/>
              <w:rPr>
                <w:sz w:val="20"/>
                <w:szCs w:val="20"/>
                <w:color w:val="auto"/>
              </w:rPr>
            </w:pPr>
            <w:r>
              <w:rPr>
                <w:rFonts w:ascii="Arial" w:cs="Arial" w:eastAsia="Arial" w:hAnsi="Arial"/>
                <w:sz w:val="14"/>
                <w:szCs w:val="14"/>
                <w:color w:val="auto"/>
              </w:rPr>
              <w:t>0.00%</w:t>
            </w:r>
          </w:p>
        </w:tc>
        <w:tc>
          <w:tcPr>
            <w:tcW w:w="1660" w:type="dxa"/>
            <w:vAlign w:val="bottom"/>
            <w:tcBorders>
              <w:bottom w:val="single" w:sz="8" w:color="auto"/>
              <w:right w:val="single" w:sz="8" w:color="auto"/>
            </w:tcBorders>
          </w:tcPr>
          <w:p>
            <w:pPr>
              <w:jc w:val="right"/>
              <w:spacing w:after="0"/>
              <w:rPr>
                <w:sz w:val="20"/>
                <w:szCs w:val="20"/>
                <w:color w:val="auto"/>
              </w:rPr>
            </w:pPr>
            <w:r>
              <w:rPr>
                <w:rFonts w:ascii="Arial" w:cs="Arial" w:eastAsia="Arial" w:hAnsi="Arial"/>
                <w:sz w:val="14"/>
                <w:szCs w:val="14"/>
                <w:color w:val="auto"/>
              </w:rPr>
              <w:t>$20,000,000.00</w:t>
            </w:r>
          </w:p>
        </w:tc>
        <w:tc>
          <w:tcPr>
            <w:tcW w:w="1340" w:type="dxa"/>
            <w:vAlign w:val="bottom"/>
            <w:tcBorders>
              <w:bottom w:val="single" w:sz="8" w:color="auto"/>
              <w:right w:val="single" w:sz="8" w:color="auto"/>
            </w:tcBorders>
          </w:tcPr>
          <w:p>
            <w:pPr>
              <w:jc w:val="right"/>
              <w:spacing w:after="0"/>
              <w:rPr>
                <w:sz w:val="20"/>
                <w:szCs w:val="20"/>
                <w:color w:val="auto"/>
              </w:rPr>
            </w:pPr>
            <w:r>
              <w:rPr>
                <w:rFonts w:ascii="Arial" w:cs="Arial" w:eastAsia="Arial" w:hAnsi="Arial"/>
                <w:sz w:val="14"/>
                <w:szCs w:val="14"/>
                <w:color w:val="auto"/>
              </w:rPr>
              <w:t>6.06%</w:t>
            </w:r>
          </w:p>
        </w:tc>
        <w:tc>
          <w:tcPr>
            <w:tcW w:w="1660" w:type="dxa"/>
            <w:vAlign w:val="bottom"/>
            <w:tcBorders>
              <w:bottom w:val="single" w:sz="8" w:color="auto"/>
              <w:right w:val="single" w:sz="8" w:color="auto"/>
            </w:tcBorders>
          </w:tcPr>
          <w:p>
            <w:pPr>
              <w:jc w:val="right"/>
              <w:spacing w:after="0"/>
              <w:rPr>
                <w:sz w:val="20"/>
                <w:szCs w:val="20"/>
                <w:color w:val="auto"/>
              </w:rPr>
            </w:pPr>
            <w:r>
              <w:rPr>
                <w:rFonts w:ascii="Arial" w:cs="Arial" w:eastAsia="Arial" w:hAnsi="Arial"/>
                <w:sz w:val="14"/>
                <w:szCs w:val="14"/>
                <w:color w:val="auto"/>
              </w:rPr>
              <w:t>$20,000,000.00</w:t>
            </w:r>
          </w:p>
        </w:tc>
        <w:tc>
          <w:tcPr>
            <w:tcW w:w="1340" w:type="dxa"/>
            <w:vAlign w:val="bottom"/>
            <w:tcBorders>
              <w:bottom w:val="single" w:sz="8" w:color="auto"/>
              <w:right w:val="single" w:sz="8" w:color="auto"/>
            </w:tcBorders>
          </w:tcPr>
          <w:p>
            <w:pPr>
              <w:jc w:val="right"/>
              <w:spacing w:after="0"/>
              <w:rPr>
                <w:sz w:val="20"/>
                <w:szCs w:val="20"/>
                <w:color w:val="auto"/>
              </w:rPr>
            </w:pPr>
            <w:r>
              <w:rPr>
                <w:rFonts w:ascii="Arial" w:cs="Arial" w:eastAsia="Arial" w:hAnsi="Arial"/>
                <w:sz w:val="14"/>
                <w:szCs w:val="14"/>
                <w:color w:val="auto"/>
              </w:rPr>
              <w:t>4.49%</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50"/>
        </w:trPr>
        <w:tc>
          <w:tcPr>
            <w:tcW w:w="2260" w:type="dxa"/>
            <w:vAlign w:val="bottom"/>
            <w:tcBorders>
              <w:left w:val="single" w:sz="8" w:color="auto"/>
              <w:bottom w:val="single" w:sz="8" w:color="auto"/>
              <w:right w:val="single" w:sz="8" w:color="auto"/>
            </w:tcBorders>
          </w:tcPr>
          <w:p>
            <w:pPr>
              <w:ind w:left="80"/>
              <w:spacing w:after="0"/>
              <w:rPr>
                <w:sz w:val="20"/>
                <w:szCs w:val="20"/>
                <w:color w:val="auto"/>
              </w:rPr>
            </w:pPr>
            <w:r>
              <w:rPr>
                <w:rFonts w:ascii="Arial" w:cs="Arial" w:eastAsia="Arial" w:hAnsi="Arial"/>
                <w:sz w:val="14"/>
                <w:szCs w:val="14"/>
                <w:color w:val="auto"/>
              </w:rPr>
              <w:t>Stifel Bank &amp; Trust</w:t>
            </w:r>
          </w:p>
        </w:tc>
        <w:tc>
          <w:tcPr>
            <w:tcW w:w="1660" w:type="dxa"/>
            <w:vAlign w:val="bottom"/>
            <w:tcBorders>
              <w:bottom w:val="single" w:sz="8" w:color="auto"/>
              <w:right w:val="single" w:sz="8" w:color="auto"/>
            </w:tcBorders>
          </w:tcPr>
          <w:p>
            <w:pPr>
              <w:jc w:val="right"/>
              <w:spacing w:after="0"/>
              <w:rPr>
                <w:sz w:val="20"/>
                <w:szCs w:val="20"/>
                <w:color w:val="auto"/>
              </w:rPr>
            </w:pPr>
            <w:r>
              <w:rPr>
                <w:rFonts w:ascii="Arial" w:cs="Arial" w:eastAsia="Arial" w:hAnsi="Arial"/>
                <w:sz w:val="14"/>
                <w:szCs w:val="14"/>
                <w:color w:val="auto"/>
              </w:rPr>
              <w:t>$20,000,000.00</w:t>
            </w:r>
          </w:p>
        </w:tc>
        <w:tc>
          <w:tcPr>
            <w:tcW w:w="1320" w:type="dxa"/>
            <w:vAlign w:val="bottom"/>
            <w:tcBorders>
              <w:bottom w:val="single" w:sz="8" w:color="auto"/>
              <w:right w:val="single" w:sz="8" w:color="auto"/>
            </w:tcBorders>
          </w:tcPr>
          <w:p>
            <w:pPr>
              <w:jc w:val="right"/>
              <w:spacing w:after="0"/>
              <w:rPr>
                <w:sz w:val="20"/>
                <w:szCs w:val="20"/>
                <w:color w:val="auto"/>
              </w:rPr>
            </w:pPr>
            <w:r>
              <w:rPr>
                <w:rFonts w:ascii="Arial" w:cs="Arial" w:eastAsia="Arial" w:hAnsi="Arial"/>
                <w:sz w:val="14"/>
                <w:szCs w:val="14"/>
                <w:color w:val="auto"/>
              </w:rPr>
              <w:t>17.39%</w:t>
            </w:r>
          </w:p>
        </w:tc>
        <w:tc>
          <w:tcPr>
            <w:tcW w:w="1660" w:type="dxa"/>
            <w:vAlign w:val="bottom"/>
            <w:tcBorders>
              <w:bottom w:val="single" w:sz="8" w:color="auto"/>
              <w:right w:val="single" w:sz="8" w:color="auto"/>
            </w:tcBorders>
          </w:tcPr>
          <w:p>
            <w:pPr>
              <w:spacing w:after="0"/>
              <w:rPr>
                <w:sz w:val="21"/>
                <w:szCs w:val="21"/>
                <w:color w:val="auto"/>
              </w:rPr>
            </w:pPr>
          </w:p>
        </w:tc>
        <w:tc>
          <w:tcPr>
            <w:tcW w:w="1340" w:type="dxa"/>
            <w:vAlign w:val="bottom"/>
            <w:tcBorders>
              <w:bottom w:val="single" w:sz="8" w:color="auto"/>
              <w:right w:val="single" w:sz="8" w:color="auto"/>
            </w:tcBorders>
          </w:tcPr>
          <w:p>
            <w:pPr>
              <w:jc w:val="right"/>
              <w:spacing w:after="0"/>
              <w:rPr>
                <w:sz w:val="20"/>
                <w:szCs w:val="20"/>
                <w:color w:val="auto"/>
              </w:rPr>
            </w:pPr>
            <w:r>
              <w:rPr>
                <w:rFonts w:ascii="Arial" w:cs="Arial" w:eastAsia="Arial" w:hAnsi="Arial"/>
                <w:sz w:val="14"/>
                <w:szCs w:val="14"/>
                <w:color w:val="auto"/>
              </w:rPr>
              <w:t>0.00%</w:t>
            </w:r>
          </w:p>
        </w:tc>
        <w:tc>
          <w:tcPr>
            <w:tcW w:w="1660" w:type="dxa"/>
            <w:vAlign w:val="bottom"/>
            <w:tcBorders>
              <w:bottom w:val="single" w:sz="8" w:color="auto"/>
              <w:right w:val="single" w:sz="8" w:color="auto"/>
            </w:tcBorders>
          </w:tcPr>
          <w:p>
            <w:pPr>
              <w:jc w:val="right"/>
              <w:spacing w:after="0"/>
              <w:rPr>
                <w:sz w:val="20"/>
                <w:szCs w:val="20"/>
                <w:color w:val="auto"/>
              </w:rPr>
            </w:pPr>
            <w:r>
              <w:rPr>
                <w:rFonts w:ascii="Arial" w:cs="Arial" w:eastAsia="Arial" w:hAnsi="Arial"/>
                <w:sz w:val="14"/>
                <w:szCs w:val="14"/>
                <w:color w:val="auto"/>
              </w:rPr>
              <w:t>$20,000,000.00</w:t>
            </w:r>
          </w:p>
        </w:tc>
        <w:tc>
          <w:tcPr>
            <w:tcW w:w="1340" w:type="dxa"/>
            <w:vAlign w:val="bottom"/>
            <w:tcBorders>
              <w:bottom w:val="single" w:sz="8" w:color="auto"/>
              <w:right w:val="single" w:sz="8" w:color="auto"/>
            </w:tcBorders>
          </w:tcPr>
          <w:p>
            <w:pPr>
              <w:jc w:val="right"/>
              <w:spacing w:after="0"/>
              <w:rPr>
                <w:sz w:val="20"/>
                <w:szCs w:val="20"/>
                <w:color w:val="auto"/>
              </w:rPr>
            </w:pPr>
            <w:r>
              <w:rPr>
                <w:rFonts w:ascii="Arial" w:cs="Arial" w:eastAsia="Arial" w:hAnsi="Arial"/>
                <w:sz w:val="14"/>
                <w:szCs w:val="14"/>
                <w:color w:val="auto"/>
              </w:rPr>
              <w:t>4.49%</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50"/>
        </w:trPr>
        <w:tc>
          <w:tcPr>
            <w:tcW w:w="2260" w:type="dxa"/>
            <w:vAlign w:val="bottom"/>
            <w:tcBorders>
              <w:left w:val="single" w:sz="8" w:color="auto"/>
              <w:bottom w:val="single" w:sz="8" w:color="auto"/>
              <w:right w:val="single" w:sz="8" w:color="auto"/>
            </w:tcBorders>
          </w:tcPr>
          <w:p>
            <w:pPr>
              <w:ind w:left="80"/>
              <w:spacing w:after="0"/>
              <w:rPr>
                <w:sz w:val="20"/>
                <w:szCs w:val="20"/>
                <w:color w:val="auto"/>
              </w:rPr>
            </w:pPr>
            <w:r>
              <w:rPr>
                <w:rFonts w:ascii="Arial" w:cs="Arial" w:eastAsia="Arial" w:hAnsi="Arial"/>
                <w:sz w:val="14"/>
                <w:szCs w:val="14"/>
                <w:color w:val="auto"/>
              </w:rPr>
              <w:t>The Bank of New York Mellon</w:t>
            </w:r>
          </w:p>
        </w:tc>
        <w:tc>
          <w:tcPr>
            <w:tcW w:w="1660" w:type="dxa"/>
            <w:vAlign w:val="bottom"/>
            <w:tcBorders>
              <w:bottom w:val="single" w:sz="8" w:color="auto"/>
              <w:right w:val="single" w:sz="8" w:color="auto"/>
            </w:tcBorders>
          </w:tcPr>
          <w:p>
            <w:pPr>
              <w:spacing w:after="0"/>
              <w:rPr>
                <w:sz w:val="21"/>
                <w:szCs w:val="21"/>
                <w:color w:val="auto"/>
              </w:rPr>
            </w:pPr>
          </w:p>
        </w:tc>
        <w:tc>
          <w:tcPr>
            <w:tcW w:w="1320" w:type="dxa"/>
            <w:vAlign w:val="bottom"/>
            <w:tcBorders>
              <w:bottom w:val="single" w:sz="8" w:color="auto"/>
              <w:right w:val="single" w:sz="8" w:color="auto"/>
            </w:tcBorders>
          </w:tcPr>
          <w:p>
            <w:pPr>
              <w:jc w:val="right"/>
              <w:spacing w:after="0"/>
              <w:rPr>
                <w:sz w:val="20"/>
                <w:szCs w:val="20"/>
                <w:color w:val="auto"/>
              </w:rPr>
            </w:pPr>
            <w:r>
              <w:rPr>
                <w:rFonts w:ascii="Arial" w:cs="Arial" w:eastAsia="Arial" w:hAnsi="Arial"/>
                <w:sz w:val="14"/>
                <w:szCs w:val="14"/>
                <w:color w:val="auto"/>
              </w:rPr>
              <w:t>0.00%</w:t>
            </w:r>
          </w:p>
        </w:tc>
        <w:tc>
          <w:tcPr>
            <w:tcW w:w="1660" w:type="dxa"/>
            <w:vAlign w:val="bottom"/>
            <w:tcBorders>
              <w:bottom w:val="single" w:sz="8" w:color="auto"/>
              <w:right w:val="single" w:sz="8" w:color="auto"/>
            </w:tcBorders>
          </w:tcPr>
          <w:p>
            <w:pPr>
              <w:jc w:val="right"/>
              <w:spacing w:after="0"/>
              <w:rPr>
                <w:sz w:val="20"/>
                <w:szCs w:val="20"/>
                <w:color w:val="auto"/>
              </w:rPr>
            </w:pPr>
            <w:r>
              <w:rPr>
                <w:rFonts w:ascii="Arial" w:cs="Arial" w:eastAsia="Arial" w:hAnsi="Arial"/>
                <w:sz w:val="14"/>
                <w:szCs w:val="14"/>
                <w:color w:val="auto"/>
              </w:rPr>
              <w:t>$15,000,000.00</w:t>
            </w:r>
          </w:p>
        </w:tc>
        <w:tc>
          <w:tcPr>
            <w:tcW w:w="1340" w:type="dxa"/>
            <w:vAlign w:val="bottom"/>
            <w:tcBorders>
              <w:bottom w:val="single" w:sz="8" w:color="auto"/>
              <w:right w:val="single" w:sz="8" w:color="auto"/>
            </w:tcBorders>
          </w:tcPr>
          <w:p>
            <w:pPr>
              <w:jc w:val="right"/>
              <w:spacing w:after="0"/>
              <w:rPr>
                <w:sz w:val="20"/>
                <w:szCs w:val="20"/>
                <w:color w:val="auto"/>
              </w:rPr>
            </w:pPr>
            <w:r>
              <w:rPr>
                <w:rFonts w:ascii="Arial" w:cs="Arial" w:eastAsia="Arial" w:hAnsi="Arial"/>
                <w:sz w:val="14"/>
                <w:szCs w:val="14"/>
                <w:color w:val="auto"/>
              </w:rPr>
              <w:t>4.55%</w:t>
            </w:r>
          </w:p>
        </w:tc>
        <w:tc>
          <w:tcPr>
            <w:tcW w:w="1660" w:type="dxa"/>
            <w:vAlign w:val="bottom"/>
            <w:tcBorders>
              <w:bottom w:val="single" w:sz="8" w:color="auto"/>
              <w:right w:val="single" w:sz="8" w:color="auto"/>
            </w:tcBorders>
          </w:tcPr>
          <w:p>
            <w:pPr>
              <w:jc w:val="right"/>
              <w:spacing w:after="0"/>
              <w:rPr>
                <w:sz w:val="20"/>
                <w:szCs w:val="20"/>
                <w:color w:val="auto"/>
              </w:rPr>
            </w:pPr>
            <w:r>
              <w:rPr>
                <w:rFonts w:ascii="Arial" w:cs="Arial" w:eastAsia="Arial" w:hAnsi="Arial"/>
                <w:sz w:val="14"/>
                <w:szCs w:val="14"/>
                <w:color w:val="auto"/>
              </w:rPr>
              <w:t>$15,000,000.00</w:t>
            </w:r>
          </w:p>
        </w:tc>
        <w:tc>
          <w:tcPr>
            <w:tcW w:w="1340" w:type="dxa"/>
            <w:vAlign w:val="bottom"/>
            <w:tcBorders>
              <w:bottom w:val="single" w:sz="8" w:color="auto"/>
              <w:right w:val="single" w:sz="8" w:color="auto"/>
            </w:tcBorders>
          </w:tcPr>
          <w:p>
            <w:pPr>
              <w:jc w:val="right"/>
              <w:spacing w:after="0"/>
              <w:rPr>
                <w:sz w:val="20"/>
                <w:szCs w:val="20"/>
                <w:color w:val="auto"/>
              </w:rPr>
            </w:pPr>
            <w:r>
              <w:rPr>
                <w:rFonts w:ascii="Arial" w:cs="Arial" w:eastAsia="Arial" w:hAnsi="Arial"/>
                <w:sz w:val="14"/>
                <w:szCs w:val="14"/>
                <w:color w:val="auto"/>
              </w:rPr>
              <w:t>3.37%</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50"/>
        </w:trPr>
        <w:tc>
          <w:tcPr>
            <w:tcW w:w="2260" w:type="dxa"/>
            <w:vAlign w:val="bottom"/>
            <w:tcBorders>
              <w:left w:val="single" w:sz="8" w:color="auto"/>
              <w:bottom w:val="single" w:sz="8" w:color="auto"/>
              <w:right w:val="single" w:sz="8" w:color="auto"/>
            </w:tcBorders>
          </w:tcPr>
          <w:p>
            <w:pPr>
              <w:ind w:left="80"/>
              <w:spacing w:after="0"/>
              <w:rPr>
                <w:sz w:val="20"/>
                <w:szCs w:val="20"/>
                <w:color w:val="auto"/>
              </w:rPr>
            </w:pPr>
            <w:r>
              <w:rPr>
                <w:rFonts w:ascii="Arial" w:cs="Arial" w:eastAsia="Arial" w:hAnsi="Arial"/>
                <w:sz w:val="14"/>
                <w:szCs w:val="14"/>
                <w:color w:val="auto"/>
              </w:rPr>
              <w:t>Comerica Bank</w:t>
            </w:r>
          </w:p>
        </w:tc>
        <w:tc>
          <w:tcPr>
            <w:tcW w:w="1660" w:type="dxa"/>
            <w:vAlign w:val="bottom"/>
            <w:tcBorders>
              <w:bottom w:val="single" w:sz="8" w:color="auto"/>
              <w:right w:val="single" w:sz="8" w:color="auto"/>
            </w:tcBorders>
          </w:tcPr>
          <w:p>
            <w:pPr>
              <w:jc w:val="right"/>
              <w:spacing w:after="0"/>
              <w:rPr>
                <w:sz w:val="20"/>
                <w:szCs w:val="20"/>
                <w:color w:val="auto"/>
              </w:rPr>
            </w:pPr>
            <w:r>
              <w:rPr>
                <w:rFonts w:ascii="Arial" w:cs="Arial" w:eastAsia="Arial" w:hAnsi="Arial"/>
                <w:sz w:val="14"/>
                <w:szCs w:val="14"/>
                <w:color w:val="auto"/>
              </w:rPr>
              <w:t>$15,000,000.00</w:t>
            </w:r>
          </w:p>
        </w:tc>
        <w:tc>
          <w:tcPr>
            <w:tcW w:w="1320" w:type="dxa"/>
            <w:vAlign w:val="bottom"/>
            <w:tcBorders>
              <w:bottom w:val="single" w:sz="8" w:color="auto"/>
              <w:right w:val="single" w:sz="8" w:color="auto"/>
            </w:tcBorders>
          </w:tcPr>
          <w:p>
            <w:pPr>
              <w:jc w:val="right"/>
              <w:spacing w:after="0"/>
              <w:rPr>
                <w:sz w:val="20"/>
                <w:szCs w:val="20"/>
                <w:color w:val="auto"/>
              </w:rPr>
            </w:pPr>
            <w:r>
              <w:rPr>
                <w:rFonts w:ascii="Arial" w:cs="Arial" w:eastAsia="Arial" w:hAnsi="Arial"/>
                <w:sz w:val="14"/>
                <w:szCs w:val="14"/>
                <w:color w:val="auto"/>
              </w:rPr>
              <w:t>13.04%</w:t>
            </w:r>
          </w:p>
        </w:tc>
        <w:tc>
          <w:tcPr>
            <w:tcW w:w="1660" w:type="dxa"/>
            <w:vAlign w:val="bottom"/>
            <w:tcBorders>
              <w:bottom w:val="single" w:sz="8" w:color="auto"/>
              <w:right w:val="single" w:sz="8" w:color="auto"/>
            </w:tcBorders>
          </w:tcPr>
          <w:p>
            <w:pPr>
              <w:spacing w:after="0"/>
              <w:rPr>
                <w:sz w:val="21"/>
                <w:szCs w:val="21"/>
                <w:color w:val="auto"/>
              </w:rPr>
            </w:pPr>
          </w:p>
        </w:tc>
        <w:tc>
          <w:tcPr>
            <w:tcW w:w="1340" w:type="dxa"/>
            <w:vAlign w:val="bottom"/>
            <w:tcBorders>
              <w:bottom w:val="single" w:sz="8" w:color="auto"/>
              <w:right w:val="single" w:sz="8" w:color="auto"/>
            </w:tcBorders>
          </w:tcPr>
          <w:p>
            <w:pPr>
              <w:jc w:val="right"/>
              <w:spacing w:after="0"/>
              <w:rPr>
                <w:sz w:val="20"/>
                <w:szCs w:val="20"/>
                <w:color w:val="auto"/>
              </w:rPr>
            </w:pPr>
            <w:r>
              <w:rPr>
                <w:rFonts w:ascii="Arial" w:cs="Arial" w:eastAsia="Arial" w:hAnsi="Arial"/>
                <w:sz w:val="14"/>
                <w:szCs w:val="14"/>
                <w:color w:val="auto"/>
              </w:rPr>
              <w:t>0.00%</w:t>
            </w:r>
          </w:p>
        </w:tc>
        <w:tc>
          <w:tcPr>
            <w:tcW w:w="1660" w:type="dxa"/>
            <w:vAlign w:val="bottom"/>
            <w:tcBorders>
              <w:bottom w:val="single" w:sz="8" w:color="auto"/>
              <w:right w:val="single" w:sz="8" w:color="auto"/>
            </w:tcBorders>
          </w:tcPr>
          <w:p>
            <w:pPr>
              <w:jc w:val="right"/>
              <w:spacing w:after="0"/>
              <w:rPr>
                <w:sz w:val="20"/>
                <w:szCs w:val="20"/>
                <w:color w:val="auto"/>
              </w:rPr>
            </w:pPr>
            <w:r>
              <w:rPr>
                <w:rFonts w:ascii="Arial" w:cs="Arial" w:eastAsia="Arial" w:hAnsi="Arial"/>
                <w:sz w:val="14"/>
                <w:szCs w:val="14"/>
                <w:color w:val="auto"/>
              </w:rPr>
              <w:t>$15,000,000.00</w:t>
            </w:r>
          </w:p>
        </w:tc>
        <w:tc>
          <w:tcPr>
            <w:tcW w:w="1340" w:type="dxa"/>
            <w:vAlign w:val="bottom"/>
            <w:tcBorders>
              <w:bottom w:val="single" w:sz="8" w:color="auto"/>
              <w:right w:val="single" w:sz="8" w:color="auto"/>
            </w:tcBorders>
          </w:tcPr>
          <w:p>
            <w:pPr>
              <w:jc w:val="right"/>
              <w:spacing w:after="0"/>
              <w:rPr>
                <w:sz w:val="20"/>
                <w:szCs w:val="20"/>
                <w:color w:val="auto"/>
              </w:rPr>
            </w:pPr>
            <w:r>
              <w:rPr>
                <w:rFonts w:ascii="Arial" w:cs="Arial" w:eastAsia="Arial" w:hAnsi="Arial"/>
                <w:sz w:val="14"/>
                <w:szCs w:val="14"/>
                <w:color w:val="auto"/>
              </w:rPr>
              <w:t>3.37%</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50"/>
        </w:trPr>
        <w:tc>
          <w:tcPr>
            <w:tcW w:w="2260" w:type="dxa"/>
            <w:vAlign w:val="bottom"/>
            <w:tcBorders>
              <w:left w:val="single" w:sz="8" w:color="auto"/>
              <w:bottom w:val="single" w:sz="8" w:color="auto"/>
              <w:right w:val="single" w:sz="8" w:color="auto"/>
            </w:tcBorders>
            <w:shd w:val="clear" w:color="auto" w:fill="BFBFBF"/>
          </w:tcPr>
          <w:p>
            <w:pPr>
              <w:ind w:left="80"/>
              <w:spacing w:after="0"/>
              <w:rPr>
                <w:sz w:val="20"/>
                <w:szCs w:val="20"/>
                <w:color w:val="auto"/>
              </w:rPr>
            </w:pPr>
            <w:r>
              <w:rPr>
                <w:rFonts w:ascii="Arial" w:cs="Arial" w:eastAsia="Arial" w:hAnsi="Arial"/>
                <w:sz w:val="14"/>
                <w:szCs w:val="14"/>
                <w:b w:val="1"/>
                <w:bCs w:val="1"/>
                <w:color w:val="auto"/>
              </w:rPr>
              <w:t>Total</w:t>
            </w:r>
          </w:p>
        </w:tc>
        <w:tc>
          <w:tcPr>
            <w:tcW w:w="1660" w:type="dxa"/>
            <w:vAlign w:val="bottom"/>
            <w:tcBorders>
              <w:bottom w:val="single" w:sz="8" w:color="auto"/>
              <w:right w:val="single" w:sz="8" w:color="auto"/>
            </w:tcBorders>
            <w:shd w:val="clear" w:color="auto" w:fill="BFBFBF"/>
          </w:tcPr>
          <w:p>
            <w:pPr>
              <w:jc w:val="right"/>
              <w:spacing w:after="0"/>
              <w:rPr>
                <w:sz w:val="20"/>
                <w:szCs w:val="20"/>
                <w:color w:val="auto"/>
              </w:rPr>
            </w:pPr>
            <w:r>
              <w:rPr>
                <w:rFonts w:ascii="Arial" w:cs="Arial" w:eastAsia="Arial" w:hAnsi="Arial"/>
                <w:sz w:val="14"/>
                <w:szCs w:val="14"/>
                <w:b w:val="1"/>
                <w:bCs w:val="1"/>
                <w:color w:val="auto"/>
              </w:rPr>
              <w:t>$115,000,000.00</w:t>
            </w:r>
          </w:p>
        </w:tc>
        <w:tc>
          <w:tcPr>
            <w:tcW w:w="1320" w:type="dxa"/>
            <w:vAlign w:val="bottom"/>
            <w:tcBorders>
              <w:bottom w:val="single" w:sz="8" w:color="auto"/>
              <w:right w:val="single" w:sz="8" w:color="auto"/>
            </w:tcBorders>
            <w:shd w:val="clear" w:color="auto" w:fill="BFBFBF"/>
          </w:tcPr>
          <w:p>
            <w:pPr>
              <w:jc w:val="right"/>
              <w:spacing w:after="0"/>
              <w:rPr>
                <w:sz w:val="20"/>
                <w:szCs w:val="20"/>
                <w:color w:val="auto"/>
              </w:rPr>
            </w:pPr>
            <w:r>
              <w:rPr>
                <w:rFonts w:ascii="Arial" w:cs="Arial" w:eastAsia="Arial" w:hAnsi="Arial"/>
                <w:sz w:val="14"/>
                <w:szCs w:val="14"/>
                <w:b w:val="1"/>
                <w:bCs w:val="1"/>
                <w:color w:val="auto"/>
              </w:rPr>
              <w:t>100.00%</w:t>
            </w:r>
          </w:p>
        </w:tc>
        <w:tc>
          <w:tcPr>
            <w:tcW w:w="1660" w:type="dxa"/>
            <w:vAlign w:val="bottom"/>
            <w:tcBorders>
              <w:bottom w:val="single" w:sz="8" w:color="auto"/>
              <w:right w:val="single" w:sz="8" w:color="auto"/>
            </w:tcBorders>
            <w:shd w:val="clear" w:color="auto" w:fill="BFBFBF"/>
          </w:tcPr>
          <w:p>
            <w:pPr>
              <w:jc w:val="right"/>
              <w:spacing w:after="0"/>
              <w:rPr>
                <w:sz w:val="20"/>
                <w:szCs w:val="20"/>
                <w:color w:val="auto"/>
              </w:rPr>
            </w:pPr>
            <w:r>
              <w:rPr>
                <w:rFonts w:ascii="Arial" w:cs="Arial" w:eastAsia="Arial" w:hAnsi="Arial"/>
                <w:sz w:val="14"/>
                <w:szCs w:val="14"/>
                <w:b w:val="1"/>
                <w:bCs w:val="1"/>
                <w:color w:val="auto"/>
              </w:rPr>
              <w:t>$330,000,000.00</w:t>
            </w:r>
          </w:p>
        </w:tc>
        <w:tc>
          <w:tcPr>
            <w:tcW w:w="1340" w:type="dxa"/>
            <w:vAlign w:val="bottom"/>
            <w:tcBorders>
              <w:bottom w:val="single" w:sz="8" w:color="auto"/>
              <w:right w:val="single" w:sz="8" w:color="auto"/>
            </w:tcBorders>
            <w:shd w:val="clear" w:color="auto" w:fill="BFBFBF"/>
          </w:tcPr>
          <w:p>
            <w:pPr>
              <w:jc w:val="right"/>
              <w:spacing w:after="0"/>
              <w:rPr>
                <w:sz w:val="20"/>
                <w:szCs w:val="20"/>
                <w:color w:val="auto"/>
              </w:rPr>
            </w:pPr>
            <w:r>
              <w:rPr>
                <w:rFonts w:ascii="Arial" w:cs="Arial" w:eastAsia="Arial" w:hAnsi="Arial"/>
                <w:sz w:val="14"/>
                <w:szCs w:val="14"/>
                <w:b w:val="1"/>
                <w:bCs w:val="1"/>
                <w:color w:val="auto"/>
              </w:rPr>
              <w:t>100.00%</w:t>
            </w:r>
          </w:p>
        </w:tc>
        <w:tc>
          <w:tcPr>
            <w:tcW w:w="1660" w:type="dxa"/>
            <w:vAlign w:val="bottom"/>
            <w:tcBorders>
              <w:bottom w:val="single" w:sz="8" w:color="auto"/>
              <w:right w:val="single" w:sz="8" w:color="auto"/>
            </w:tcBorders>
            <w:shd w:val="clear" w:color="auto" w:fill="BFBFBF"/>
          </w:tcPr>
          <w:p>
            <w:pPr>
              <w:jc w:val="right"/>
              <w:spacing w:after="0"/>
              <w:rPr>
                <w:sz w:val="20"/>
                <w:szCs w:val="20"/>
                <w:color w:val="auto"/>
              </w:rPr>
            </w:pPr>
            <w:r>
              <w:rPr>
                <w:rFonts w:ascii="Arial" w:cs="Arial" w:eastAsia="Arial" w:hAnsi="Arial"/>
                <w:sz w:val="14"/>
                <w:szCs w:val="14"/>
                <w:b w:val="1"/>
                <w:bCs w:val="1"/>
                <w:color w:val="auto"/>
              </w:rPr>
              <w:t>$445,000,000.00</w:t>
            </w:r>
          </w:p>
        </w:tc>
        <w:tc>
          <w:tcPr>
            <w:tcW w:w="1340" w:type="dxa"/>
            <w:vAlign w:val="bottom"/>
            <w:tcBorders>
              <w:bottom w:val="single" w:sz="8" w:color="auto"/>
              <w:right w:val="single" w:sz="8" w:color="auto"/>
            </w:tcBorders>
            <w:shd w:val="clear" w:color="auto" w:fill="BFBFBF"/>
          </w:tcPr>
          <w:p>
            <w:pPr>
              <w:jc w:val="right"/>
              <w:spacing w:after="0"/>
              <w:rPr>
                <w:sz w:val="20"/>
                <w:szCs w:val="20"/>
                <w:color w:val="auto"/>
              </w:rPr>
            </w:pPr>
            <w:r>
              <w:rPr>
                <w:rFonts w:ascii="Arial" w:cs="Arial" w:eastAsia="Arial" w:hAnsi="Arial"/>
                <w:sz w:val="14"/>
                <w:szCs w:val="14"/>
                <w:b w:val="1"/>
                <w:bCs w:val="1"/>
                <w:color w:val="auto"/>
              </w:rPr>
              <w:t>100.00%</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986"/>
        </w:trPr>
        <w:tc>
          <w:tcPr>
            <w:tcW w:w="2260" w:type="dxa"/>
            <w:vAlign w:val="bottom"/>
            <w:tcBorders>
              <w:bottom w:val="single" w:sz="8" w:color="9A9A9A"/>
            </w:tcBorders>
          </w:tcPr>
          <w:p>
            <w:pPr>
              <w:spacing w:after="0"/>
              <w:rPr>
                <w:sz w:val="24"/>
                <w:szCs w:val="24"/>
                <w:color w:val="auto"/>
              </w:rPr>
            </w:pPr>
          </w:p>
        </w:tc>
        <w:tc>
          <w:tcPr>
            <w:tcW w:w="1660" w:type="dxa"/>
            <w:vAlign w:val="bottom"/>
            <w:tcBorders>
              <w:bottom w:val="single" w:sz="8" w:color="9A9A9A"/>
            </w:tcBorders>
          </w:tcPr>
          <w:p>
            <w:pPr>
              <w:spacing w:after="0"/>
              <w:rPr>
                <w:sz w:val="24"/>
                <w:szCs w:val="24"/>
                <w:color w:val="auto"/>
              </w:rPr>
            </w:pPr>
          </w:p>
        </w:tc>
        <w:tc>
          <w:tcPr>
            <w:tcW w:w="1320" w:type="dxa"/>
            <w:vAlign w:val="bottom"/>
            <w:tcBorders>
              <w:bottom w:val="single" w:sz="8" w:color="9A9A9A"/>
            </w:tcBorders>
          </w:tcPr>
          <w:p>
            <w:pPr>
              <w:spacing w:after="0"/>
              <w:rPr>
                <w:sz w:val="24"/>
                <w:szCs w:val="24"/>
                <w:color w:val="auto"/>
              </w:rPr>
            </w:pPr>
          </w:p>
        </w:tc>
        <w:tc>
          <w:tcPr>
            <w:tcW w:w="1660" w:type="dxa"/>
            <w:vAlign w:val="bottom"/>
            <w:tcBorders>
              <w:bottom w:val="single" w:sz="8" w:color="9A9A9A"/>
            </w:tcBorders>
          </w:tcPr>
          <w:p>
            <w:pPr>
              <w:spacing w:after="0"/>
              <w:rPr>
                <w:sz w:val="24"/>
                <w:szCs w:val="24"/>
                <w:color w:val="auto"/>
              </w:rPr>
            </w:pPr>
          </w:p>
        </w:tc>
        <w:tc>
          <w:tcPr>
            <w:tcW w:w="1340" w:type="dxa"/>
            <w:vAlign w:val="bottom"/>
            <w:tcBorders>
              <w:bottom w:val="single" w:sz="8" w:color="9A9A9A"/>
            </w:tcBorders>
          </w:tcPr>
          <w:p>
            <w:pPr>
              <w:spacing w:after="0"/>
              <w:rPr>
                <w:sz w:val="24"/>
                <w:szCs w:val="24"/>
                <w:color w:val="auto"/>
              </w:rPr>
            </w:pPr>
          </w:p>
        </w:tc>
        <w:tc>
          <w:tcPr>
            <w:tcW w:w="1660" w:type="dxa"/>
            <w:vAlign w:val="bottom"/>
            <w:tcBorders>
              <w:bottom w:val="single" w:sz="8" w:color="9A9A9A"/>
            </w:tcBorders>
          </w:tcPr>
          <w:p>
            <w:pPr>
              <w:spacing w:after="0"/>
              <w:rPr>
                <w:sz w:val="24"/>
                <w:szCs w:val="24"/>
                <w:color w:val="auto"/>
              </w:rPr>
            </w:pPr>
          </w:p>
        </w:tc>
        <w:tc>
          <w:tcPr>
            <w:tcW w:w="134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7145655</wp:posOffset>
            </wp:positionH>
            <wp:positionV relativeFrom="paragraph">
              <wp:posOffset>-7620</wp:posOffset>
            </wp:positionV>
            <wp:extent cx="8255" cy="8255"/>
            <wp:wrapNone/>
            <wp:docPr id="244" name="Picture 2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4"/>
                    <pic:cNvPicPr>
                      <a:picLocks noChangeAspect="1" noChangeArrowheads="1"/>
                    </pic:cNvPicPr>
                  </pic:nvPicPr>
                  <pic:blipFill>
                    <a:blip r:embed="rId251">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-16510</wp:posOffset>
            </wp:positionV>
            <wp:extent cx="8890" cy="17145"/>
            <wp:wrapNone/>
            <wp:docPr id="245" name="Picture 2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5"/>
                    <pic:cNvPicPr>
                      <a:picLocks noChangeAspect="1" noChangeArrowheads="1"/>
                    </pic:cNvPicPr>
                  </pic:nvPicPr>
                  <pic:blipFill>
                    <a:blip r:embed="rId252">
                      <a:extLst>
                        <a:ext uri="{28A0092B-C50C-407E-A947-70E740481C1C}"/>
                      </a:extLst>
                    </a:blip>
                    <a:srcRect/>
                    <a:stretch>
                      <a:fillRect/>
                    </a:stretch>
                  </pic:blipFill>
                  <pic:spPr bwMode="auto">
                    <a:xfrm>
                      <a:off x="0" y="0"/>
                      <a:ext cx="8890" cy="17145"/>
                    </a:xfrm>
                    <a:prstGeom prst="rect">
                      <a:avLst/>
                    </a:prstGeom>
                    <a:noFill/>
                  </pic:spPr>
                </pic:pic>
              </a:graphicData>
            </a:graphic>
          </wp:anchor>
        </w:drawing>
      </w:r>
    </w:p>
    <w:p>
      <w:pPr>
        <w:sectPr>
          <w:pgSz w:w="11900" w:h="16838" w:orient="portrait"/>
          <w:cols w:equalWidth="0" w:num="1">
            <w:col w:w="11260"/>
          </w:cols>
          <w:pgMar w:left="320" w:top="333" w:right="319" w:bottom="1440" w:gutter="0" w:footer="0" w:header="0"/>
        </w:sectPr>
      </w:pPr>
    </w:p>
    <w:bookmarkStart w:id="133" w:name="page134"/>
    <w:bookmarkEnd w:id="133"/>
    <w:tbl>
      <w:tblPr>
        <w:tblLayout w:type="fixed"/>
        <w:tblInd w:w="0" w:type="dxa"/>
        <w:tblCellMar>
          <w:top w:w="0" w:type="dxa"/>
          <w:left w:w="0" w:type="dxa"/>
          <w:bottom w:w="0" w:type="dxa"/>
          <w:right w:w="0" w:type="dxa"/>
        </w:tblCellMar>
      </w:tblPr>
      <w:tr>
        <w:trPr>
          <w:trHeight w:val="161"/>
        </w:trPr>
        <w:tc>
          <w:tcPr>
            <w:tcW w:w="140" w:type="dxa"/>
            <w:vAlign w:val="bottom"/>
          </w:tcPr>
          <w:p>
            <w:pPr>
              <w:spacing w:after="0"/>
              <w:rPr>
                <w:sz w:val="14"/>
                <w:szCs w:val="14"/>
                <w:color w:val="auto"/>
              </w:rPr>
            </w:pPr>
          </w:p>
        </w:tc>
        <w:tc>
          <w:tcPr>
            <w:tcW w:w="306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2180" w:type="dxa"/>
            <w:vAlign w:val="bottom"/>
            <w:gridSpan w:val="3"/>
          </w:tcPr>
          <w:p>
            <w:pPr>
              <w:jc w:val="center"/>
              <w:ind w:right="1180"/>
              <w:spacing w:after="0"/>
              <w:rPr>
                <w:sz w:val="20"/>
                <w:szCs w:val="20"/>
                <w:color w:val="auto"/>
              </w:rPr>
            </w:pPr>
            <w:r>
              <w:rPr>
                <w:rFonts w:ascii="Arial" w:cs="Arial" w:eastAsia="Arial" w:hAnsi="Arial"/>
                <w:sz w:val="14"/>
                <w:szCs w:val="14"/>
                <w:b w:val="1"/>
                <w:bCs w:val="1"/>
                <w:color w:val="auto"/>
                <w:w w:val="90"/>
              </w:rPr>
              <w:t>Schedule 1.01(c)</w:t>
            </w:r>
          </w:p>
        </w:tc>
        <w:tc>
          <w:tcPr>
            <w:tcW w:w="280" w:type="dxa"/>
            <w:vAlign w:val="bottom"/>
          </w:tcPr>
          <w:p>
            <w:pPr>
              <w:spacing w:after="0"/>
              <w:rPr>
                <w:sz w:val="14"/>
                <w:szCs w:val="14"/>
                <w:color w:val="auto"/>
              </w:rPr>
            </w:pPr>
          </w:p>
        </w:tc>
        <w:tc>
          <w:tcPr>
            <w:tcW w:w="3440" w:type="dxa"/>
            <w:vAlign w:val="bottom"/>
          </w:tcPr>
          <w:p>
            <w:pPr>
              <w:spacing w:after="0"/>
              <w:rPr>
                <w:sz w:val="14"/>
                <w:szCs w:val="14"/>
                <w:color w:val="auto"/>
              </w:rPr>
            </w:pPr>
          </w:p>
        </w:tc>
      </w:tr>
      <w:tr>
        <w:trPr>
          <w:trHeight w:val="20"/>
        </w:trPr>
        <w:tc>
          <w:tcPr>
            <w:tcW w:w="140" w:type="dxa"/>
            <w:vAlign w:val="bottom"/>
          </w:tcPr>
          <w:p>
            <w:pPr>
              <w:spacing w:after="0" w:line="20" w:lineRule="exact"/>
              <w:rPr>
                <w:sz w:val="1"/>
                <w:szCs w:val="1"/>
                <w:color w:val="auto"/>
              </w:rPr>
            </w:pPr>
          </w:p>
        </w:tc>
        <w:tc>
          <w:tcPr>
            <w:tcW w:w="306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440" w:type="dxa"/>
            <w:vAlign w:val="bottom"/>
          </w:tcPr>
          <w:p>
            <w:pPr>
              <w:spacing w:after="0" w:line="20" w:lineRule="exact"/>
              <w:rPr>
                <w:sz w:val="1"/>
                <w:szCs w:val="1"/>
                <w:color w:val="auto"/>
              </w:rPr>
            </w:pPr>
          </w:p>
        </w:tc>
      </w:tr>
      <w:tr>
        <w:trPr>
          <w:trHeight w:val="344"/>
        </w:trPr>
        <w:tc>
          <w:tcPr>
            <w:tcW w:w="140" w:type="dxa"/>
            <w:vAlign w:val="bottom"/>
          </w:tcPr>
          <w:p>
            <w:pPr>
              <w:spacing w:after="0"/>
              <w:rPr>
                <w:sz w:val="24"/>
                <w:szCs w:val="24"/>
                <w:color w:val="auto"/>
              </w:rPr>
            </w:pPr>
          </w:p>
        </w:tc>
        <w:tc>
          <w:tcPr>
            <w:tcW w:w="306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3440" w:type="dxa"/>
            <w:vAlign w:val="bottom"/>
            <w:gridSpan w:val="5"/>
          </w:tcPr>
          <w:p>
            <w:pPr>
              <w:jc w:val="center"/>
              <w:ind w:left="8"/>
              <w:spacing w:after="0"/>
              <w:rPr>
                <w:sz w:val="20"/>
                <w:szCs w:val="20"/>
                <w:color w:val="auto"/>
              </w:rPr>
            </w:pPr>
            <w:r>
              <w:rPr>
                <w:rFonts w:ascii="Arial" w:cs="Arial" w:eastAsia="Arial" w:hAnsi="Arial"/>
                <w:sz w:val="14"/>
                <w:szCs w:val="14"/>
                <w:b w:val="1"/>
                <w:bCs w:val="1"/>
                <w:color w:val="auto"/>
                <w:w w:val="94"/>
              </w:rPr>
              <w:t>Industry Classification Group List</w:t>
            </w:r>
          </w:p>
        </w:tc>
        <w:tc>
          <w:tcPr>
            <w:tcW w:w="280" w:type="dxa"/>
            <w:vAlign w:val="bottom"/>
          </w:tcPr>
          <w:p>
            <w:pPr>
              <w:spacing w:after="0"/>
              <w:rPr>
                <w:sz w:val="24"/>
                <w:szCs w:val="24"/>
                <w:color w:val="auto"/>
              </w:rPr>
            </w:pPr>
          </w:p>
        </w:tc>
        <w:tc>
          <w:tcPr>
            <w:tcW w:w="3440" w:type="dxa"/>
            <w:vAlign w:val="bottom"/>
          </w:tcPr>
          <w:p>
            <w:pPr>
              <w:spacing w:after="0"/>
              <w:rPr>
                <w:sz w:val="24"/>
                <w:szCs w:val="24"/>
                <w:color w:val="auto"/>
              </w:rPr>
            </w:pPr>
          </w:p>
        </w:tc>
      </w:tr>
      <w:tr>
        <w:trPr>
          <w:trHeight w:val="373"/>
        </w:trPr>
        <w:tc>
          <w:tcPr>
            <w:tcW w:w="3200" w:type="dxa"/>
            <w:vAlign w:val="bottom"/>
            <w:gridSpan w:val="2"/>
          </w:tcPr>
          <w:p>
            <w:pPr>
              <w:spacing w:after="0"/>
              <w:rPr>
                <w:sz w:val="20"/>
                <w:szCs w:val="20"/>
                <w:color w:val="auto"/>
              </w:rPr>
            </w:pPr>
            <w:r>
              <w:rPr>
                <w:rFonts w:ascii="Arial" w:cs="Arial" w:eastAsia="Arial" w:hAnsi="Arial"/>
                <w:sz w:val="14"/>
                <w:szCs w:val="14"/>
                <w:color w:val="auto"/>
              </w:rPr>
              <w:t>Industry Classification Groups:</w:t>
            </w:r>
          </w:p>
        </w:tc>
        <w:tc>
          <w:tcPr>
            <w:tcW w:w="66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560" w:type="dxa"/>
            <w:vAlign w:val="bottom"/>
            <w:tcBorders>
              <w:top w:val="single" w:sz="8" w:color="auto"/>
            </w:tcBorders>
          </w:tcPr>
          <w:p>
            <w:pPr>
              <w:spacing w:after="0"/>
              <w:rPr>
                <w:sz w:val="24"/>
                <w:szCs w:val="24"/>
                <w:color w:val="auto"/>
              </w:rPr>
            </w:pPr>
          </w:p>
        </w:tc>
        <w:tc>
          <w:tcPr>
            <w:tcW w:w="1000" w:type="dxa"/>
            <w:vAlign w:val="bottom"/>
            <w:tcBorders>
              <w:top w:val="single" w:sz="8" w:color="auto"/>
            </w:tcBorders>
          </w:tcPr>
          <w:p>
            <w:pPr>
              <w:spacing w:after="0"/>
              <w:rPr>
                <w:sz w:val="24"/>
                <w:szCs w:val="24"/>
                <w:color w:val="auto"/>
              </w:rPr>
            </w:pPr>
          </w:p>
        </w:tc>
        <w:tc>
          <w:tcPr>
            <w:tcW w:w="560" w:type="dxa"/>
            <w:vAlign w:val="bottom"/>
            <w:tcBorders>
              <w:top w:val="single" w:sz="8" w:color="auto"/>
            </w:tcBorders>
          </w:tcPr>
          <w:p>
            <w:pPr>
              <w:spacing w:after="0"/>
              <w:rPr>
                <w:sz w:val="24"/>
                <w:szCs w:val="24"/>
                <w:color w:val="auto"/>
              </w:rPr>
            </w:pPr>
          </w:p>
        </w:tc>
        <w:tc>
          <w:tcPr>
            <w:tcW w:w="6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3440" w:type="dxa"/>
            <w:vAlign w:val="bottom"/>
          </w:tcPr>
          <w:p>
            <w:pPr>
              <w:spacing w:after="0"/>
              <w:rPr>
                <w:sz w:val="24"/>
                <w:szCs w:val="24"/>
                <w:color w:val="auto"/>
              </w:rPr>
            </w:pPr>
          </w:p>
        </w:tc>
      </w:tr>
      <w:tr>
        <w:trPr>
          <w:trHeight w:val="331"/>
        </w:trPr>
        <w:tc>
          <w:tcPr>
            <w:tcW w:w="140" w:type="dxa"/>
            <w:vAlign w:val="bottom"/>
          </w:tcPr>
          <w:p>
            <w:pPr>
              <w:spacing w:after="0"/>
              <w:rPr>
                <w:sz w:val="20"/>
                <w:szCs w:val="20"/>
                <w:color w:val="auto"/>
              </w:rPr>
            </w:pPr>
            <w:r>
              <w:rPr>
                <w:rFonts w:ascii="Arial" w:cs="Arial" w:eastAsia="Arial" w:hAnsi="Arial"/>
                <w:sz w:val="14"/>
                <w:szCs w:val="14"/>
                <w:color w:val="auto"/>
              </w:rPr>
              <w:t>•</w:t>
            </w:r>
          </w:p>
        </w:tc>
        <w:tc>
          <w:tcPr>
            <w:tcW w:w="3060" w:type="dxa"/>
            <w:vAlign w:val="bottom"/>
          </w:tcPr>
          <w:p>
            <w:pPr>
              <w:ind w:left="100"/>
              <w:spacing w:after="0"/>
              <w:rPr>
                <w:sz w:val="20"/>
                <w:szCs w:val="20"/>
                <w:color w:val="auto"/>
              </w:rPr>
            </w:pPr>
            <w:r>
              <w:rPr>
                <w:rFonts w:ascii="Arial" w:cs="Arial" w:eastAsia="Arial" w:hAnsi="Arial"/>
                <w:sz w:val="14"/>
                <w:szCs w:val="14"/>
                <w:color w:val="auto"/>
              </w:rPr>
              <w:t>Aerospace and Defense</w:t>
            </w:r>
          </w:p>
        </w:tc>
        <w:tc>
          <w:tcPr>
            <w:tcW w:w="4100" w:type="dxa"/>
            <w:vAlign w:val="bottom"/>
            <w:gridSpan w:val="6"/>
          </w:tcPr>
          <w:p>
            <w:pPr>
              <w:ind w:left="520"/>
              <w:spacing w:after="0"/>
              <w:rPr>
                <w:sz w:val="20"/>
                <w:szCs w:val="20"/>
                <w:color w:val="auto"/>
              </w:rPr>
            </w:pPr>
            <w:r>
              <w:rPr>
                <w:rFonts w:ascii="Arial" w:cs="Arial" w:eastAsia="Arial" w:hAnsi="Arial"/>
                <w:sz w:val="14"/>
                <w:szCs w:val="14"/>
                <w:color w:val="auto"/>
              </w:rPr>
              <w:t>•   Diversified Natural Resources, Precious Metals and</w:t>
            </w:r>
          </w:p>
        </w:tc>
        <w:tc>
          <w:tcPr>
            <w:tcW w:w="3720" w:type="dxa"/>
            <w:vAlign w:val="bottom"/>
            <w:gridSpan w:val="2"/>
          </w:tcPr>
          <w:p>
            <w:pPr>
              <w:ind w:left="140"/>
              <w:spacing w:after="0"/>
              <w:rPr>
                <w:sz w:val="20"/>
                <w:szCs w:val="20"/>
                <w:color w:val="auto"/>
              </w:rPr>
            </w:pPr>
            <w:r>
              <w:rPr>
                <w:rFonts w:ascii="Arial" w:cs="Arial" w:eastAsia="Arial" w:hAnsi="Arial"/>
                <w:sz w:val="14"/>
                <w:szCs w:val="14"/>
                <w:color w:val="auto"/>
                <w:w w:val="97"/>
              </w:rPr>
              <w:t>•   Machinery (Non-Agriculture, Non-Construction and Non-</w:t>
            </w:r>
          </w:p>
        </w:tc>
      </w:tr>
      <w:tr>
        <w:trPr>
          <w:trHeight w:val="182"/>
        </w:trPr>
        <w:tc>
          <w:tcPr>
            <w:tcW w:w="140" w:type="dxa"/>
            <w:vAlign w:val="bottom"/>
          </w:tcPr>
          <w:p>
            <w:pPr>
              <w:spacing w:after="0"/>
              <w:rPr>
                <w:sz w:val="15"/>
                <w:szCs w:val="15"/>
                <w:color w:val="auto"/>
              </w:rPr>
            </w:pPr>
          </w:p>
        </w:tc>
        <w:tc>
          <w:tcPr>
            <w:tcW w:w="306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3440" w:type="dxa"/>
            <w:vAlign w:val="bottom"/>
            <w:gridSpan w:val="5"/>
          </w:tcPr>
          <w:p>
            <w:pPr>
              <w:ind w:left="180"/>
              <w:spacing w:after="0"/>
              <w:rPr>
                <w:sz w:val="20"/>
                <w:szCs w:val="20"/>
                <w:color w:val="auto"/>
              </w:rPr>
            </w:pPr>
            <w:r>
              <w:rPr>
                <w:rFonts w:ascii="Arial" w:cs="Arial" w:eastAsia="Arial" w:hAnsi="Arial"/>
                <w:sz w:val="14"/>
                <w:szCs w:val="14"/>
                <w:color w:val="auto"/>
              </w:rPr>
              <w:t>Minerals</w:t>
            </w:r>
          </w:p>
        </w:tc>
        <w:tc>
          <w:tcPr>
            <w:tcW w:w="280" w:type="dxa"/>
            <w:vAlign w:val="bottom"/>
          </w:tcPr>
          <w:p>
            <w:pPr>
              <w:spacing w:after="0"/>
              <w:rPr>
                <w:sz w:val="15"/>
                <w:szCs w:val="15"/>
                <w:color w:val="auto"/>
              </w:rPr>
            </w:pPr>
          </w:p>
        </w:tc>
        <w:tc>
          <w:tcPr>
            <w:tcW w:w="3440" w:type="dxa"/>
            <w:vAlign w:val="bottom"/>
          </w:tcPr>
          <w:p>
            <w:pPr>
              <w:ind w:left="180"/>
              <w:spacing w:after="0"/>
              <w:rPr>
                <w:sz w:val="20"/>
                <w:szCs w:val="20"/>
                <w:color w:val="auto"/>
              </w:rPr>
            </w:pPr>
            <w:r>
              <w:rPr>
                <w:rFonts w:ascii="Arial" w:cs="Arial" w:eastAsia="Arial" w:hAnsi="Arial"/>
                <w:sz w:val="14"/>
                <w:szCs w:val="14"/>
                <w:color w:val="auto"/>
              </w:rPr>
              <w:t>Electronic)</w:t>
            </w:r>
          </w:p>
        </w:tc>
      </w:tr>
      <w:tr>
        <w:trPr>
          <w:trHeight w:val="297"/>
        </w:trPr>
        <w:tc>
          <w:tcPr>
            <w:tcW w:w="140" w:type="dxa"/>
            <w:vAlign w:val="bottom"/>
          </w:tcPr>
          <w:p>
            <w:pPr>
              <w:spacing w:after="0"/>
              <w:rPr>
                <w:sz w:val="20"/>
                <w:szCs w:val="20"/>
                <w:color w:val="auto"/>
              </w:rPr>
            </w:pPr>
            <w:r>
              <w:rPr>
                <w:rFonts w:ascii="Arial" w:cs="Arial" w:eastAsia="Arial" w:hAnsi="Arial"/>
                <w:sz w:val="14"/>
                <w:szCs w:val="14"/>
                <w:color w:val="auto"/>
              </w:rPr>
              <w:t>•</w:t>
            </w:r>
          </w:p>
        </w:tc>
        <w:tc>
          <w:tcPr>
            <w:tcW w:w="3060" w:type="dxa"/>
            <w:vAlign w:val="bottom"/>
          </w:tcPr>
          <w:p>
            <w:pPr>
              <w:ind w:left="100"/>
              <w:spacing w:after="0"/>
              <w:rPr>
                <w:sz w:val="20"/>
                <w:szCs w:val="20"/>
                <w:color w:val="auto"/>
              </w:rPr>
            </w:pPr>
            <w:r>
              <w:rPr>
                <w:rFonts w:ascii="Arial" w:cs="Arial" w:eastAsia="Arial" w:hAnsi="Arial"/>
                <w:sz w:val="14"/>
                <w:szCs w:val="14"/>
                <w:color w:val="auto"/>
              </w:rPr>
              <w:t>Auto sector</w:t>
            </w:r>
          </w:p>
        </w:tc>
        <w:tc>
          <w:tcPr>
            <w:tcW w:w="660" w:type="dxa"/>
            <w:vAlign w:val="bottom"/>
          </w:tcPr>
          <w:p>
            <w:pPr>
              <w:ind w:left="520"/>
              <w:spacing w:after="0"/>
              <w:rPr>
                <w:sz w:val="20"/>
                <w:szCs w:val="20"/>
                <w:color w:val="auto"/>
              </w:rPr>
            </w:pPr>
            <w:r>
              <w:rPr>
                <w:rFonts w:ascii="Arial" w:cs="Arial" w:eastAsia="Arial" w:hAnsi="Arial"/>
                <w:sz w:val="14"/>
                <w:szCs w:val="14"/>
                <w:color w:val="auto"/>
              </w:rPr>
              <w:t>•</w:t>
            </w:r>
          </w:p>
        </w:tc>
        <w:tc>
          <w:tcPr>
            <w:tcW w:w="3440" w:type="dxa"/>
            <w:vAlign w:val="bottom"/>
            <w:gridSpan w:val="5"/>
          </w:tcPr>
          <w:p>
            <w:pPr>
              <w:ind w:left="100"/>
              <w:spacing w:after="0"/>
              <w:rPr>
                <w:sz w:val="20"/>
                <w:szCs w:val="20"/>
                <w:color w:val="auto"/>
              </w:rPr>
            </w:pPr>
            <w:r>
              <w:rPr>
                <w:rFonts w:ascii="Arial" w:cs="Arial" w:eastAsia="Arial" w:hAnsi="Arial"/>
                <w:sz w:val="14"/>
                <w:szCs w:val="14"/>
                <w:color w:val="auto"/>
              </w:rPr>
              <w:t>Ecological</w:t>
            </w:r>
          </w:p>
        </w:tc>
        <w:tc>
          <w:tcPr>
            <w:tcW w:w="280" w:type="dxa"/>
            <w:vAlign w:val="bottom"/>
          </w:tcPr>
          <w:p>
            <w:pPr>
              <w:ind w:left="140"/>
              <w:spacing w:after="0"/>
              <w:rPr>
                <w:sz w:val="20"/>
                <w:szCs w:val="20"/>
                <w:color w:val="auto"/>
              </w:rPr>
            </w:pPr>
            <w:r>
              <w:rPr>
                <w:rFonts w:ascii="Arial" w:cs="Arial" w:eastAsia="Arial" w:hAnsi="Arial"/>
                <w:sz w:val="14"/>
                <w:szCs w:val="14"/>
                <w:color w:val="auto"/>
              </w:rPr>
              <w:t>•</w:t>
            </w:r>
          </w:p>
        </w:tc>
        <w:tc>
          <w:tcPr>
            <w:tcW w:w="3440" w:type="dxa"/>
            <w:vAlign w:val="bottom"/>
          </w:tcPr>
          <w:p>
            <w:pPr>
              <w:ind w:left="80"/>
              <w:spacing w:after="0"/>
              <w:rPr>
                <w:sz w:val="20"/>
                <w:szCs w:val="20"/>
                <w:color w:val="auto"/>
              </w:rPr>
            </w:pPr>
            <w:r>
              <w:rPr>
                <w:rFonts w:ascii="Arial" w:cs="Arial" w:eastAsia="Arial" w:hAnsi="Arial"/>
                <w:sz w:val="14"/>
                <w:szCs w:val="14"/>
                <w:color w:val="auto"/>
              </w:rPr>
              <w:t>Manufacturing/ Basic industry</w:t>
            </w:r>
          </w:p>
        </w:tc>
      </w:tr>
      <w:tr>
        <w:trPr>
          <w:trHeight w:val="297"/>
        </w:trPr>
        <w:tc>
          <w:tcPr>
            <w:tcW w:w="3200" w:type="dxa"/>
            <w:vAlign w:val="bottom"/>
            <w:gridSpan w:val="2"/>
          </w:tcPr>
          <w:p>
            <w:pPr>
              <w:spacing w:after="0"/>
              <w:rPr>
                <w:sz w:val="20"/>
                <w:szCs w:val="20"/>
                <w:color w:val="auto"/>
              </w:rPr>
            </w:pPr>
            <w:r>
              <w:rPr>
                <w:rFonts w:ascii="Arial" w:cs="Arial" w:eastAsia="Arial" w:hAnsi="Arial"/>
                <w:sz w:val="14"/>
                <w:szCs w:val="14"/>
                <w:color w:val="auto"/>
              </w:rPr>
              <w:t>•   Beverage, Food and Tobacco</w:t>
            </w:r>
          </w:p>
        </w:tc>
        <w:tc>
          <w:tcPr>
            <w:tcW w:w="660" w:type="dxa"/>
            <w:vAlign w:val="bottom"/>
          </w:tcPr>
          <w:p>
            <w:pPr>
              <w:ind w:left="520"/>
              <w:spacing w:after="0"/>
              <w:rPr>
                <w:sz w:val="20"/>
                <w:szCs w:val="20"/>
                <w:color w:val="auto"/>
              </w:rPr>
            </w:pPr>
            <w:r>
              <w:rPr>
                <w:rFonts w:ascii="Arial" w:cs="Arial" w:eastAsia="Arial" w:hAnsi="Arial"/>
                <w:sz w:val="14"/>
                <w:szCs w:val="14"/>
                <w:color w:val="auto"/>
              </w:rPr>
              <w:t>•</w:t>
            </w:r>
          </w:p>
        </w:tc>
        <w:tc>
          <w:tcPr>
            <w:tcW w:w="3440" w:type="dxa"/>
            <w:vAlign w:val="bottom"/>
            <w:gridSpan w:val="5"/>
          </w:tcPr>
          <w:p>
            <w:pPr>
              <w:ind w:left="100"/>
              <w:spacing w:after="0"/>
              <w:rPr>
                <w:sz w:val="20"/>
                <w:szCs w:val="20"/>
                <w:color w:val="auto"/>
              </w:rPr>
            </w:pPr>
            <w:r>
              <w:rPr>
                <w:rFonts w:ascii="Arial" w:cs="Arial" w:eastAsia="Arial" w:hAnsi="Arial"/>
                <w:sz w:val="14"/>
                <w:szCs w:val="14"/>
                <w:color w:val="auto"/>
              </w:rPr>
              <w:t>Education</w:t>
            </w:r>
          </w:p>
        </w:tc>
        <w:tc>
          <w:tcPr>
            <w:tcW w:w="280" w:type="dxa"/>
            <w:vAlign w:val="bottom"/>
          </w:tcPr>
          <w:p>
            <w:pPr>
              <w:ind w:left="140"/>
              <w:spacing w:after="0"/>
              <w:rPr>
                <w:sz w:val="20"/>
                <w:szCs w:val="20"/>
                <w:color w:val="auto"/>
              </w:rPr>
            </w:pPr>
            <w:r>
              <w:rPr>
                <w:rFonts w:ascii="Arial" w:cs="Arial" w:eastAsia="Arial" w:hAnsi="Arial"/>
                <w:sz w:val="14"/>
                <w:szCs w:val="14"/>
                <w:color w:val="auto"/>
              </w:rPr>
              <w:t>•</w:t>
            </w:r>
          </w:p>
        </w:tc>
        <w:tc>
          <w:tcPr>
            <w:tcW w:w="3440" w:type="dxa"/>
            <w:vAlign w:val="bottom"/>
          </w:tcPr>
          <w:p>
            <w:pPr>
              <w:ind w:left="80"/>
              <w:spacing w:after="0"/>
              <w:rPr>
                <w:sz w:val="20"/>
                <w:szCs w:val="20"/>
                <w:color w:val="auto"/>
              </w:rPr>
            </w:pPr>
            <w:r>
              <w:rPr>
                <w:rFonts w:ascii="Arial" w:cs="Arial" w:eastAsia="Arial" w:hAnsi="Arial"/>
                <w:sz w:val="14"/>
                <w:szCs w:val="14"/>
                <w:color w:val="auto"/>
              </w:rPr>
              <w:t>Media</w:t>
            </w:r>
          </w:p>
        </w:tc>
      </w:tr>
      <w:tr>
        <w:trPr>
          <w:trHeight w:val="297"/>
        </w:trPr>
        <w:tc>
          <w:tcPr>
            <w:tcW w:w="140" w:type="dxa"/>
            <w:vAlign w:val="bottom"/>
          </w:tcPr>
          <w:p>
            <w:pPr>
              <w:spacing w:after="0"/>
              <w:rPr>
                <w:sz w:val="20"/>
                <w:szCs w:val="20"/>
                <w:color w:val="auto"/>
              </w:rPr>
            </w:pPr>
            <w:r>
              <w:rPr>
                <w:rFonts w:ascii="Arial" w:cs="Arial" w:eastAsia="Arial" w:hAnsi="Arial"/>
                <w:sz w:val="14"/>
                <w:szCs w:val="14"/>
                <w:color w:val="auto"/>
              </w:rPr>
              <w:t>•</w:t>
            </w:r>
          </w:p>
        </w:tc>
        <w:tc>
          <w:tcPr>
            <w:tcW w:w="3060" w:type="dxa"/>
            <w:vAlign w:val="bottom"/>
          </w:tcPr>
          <w:p>
            <w:pPr>
              <w:ind w:left="100"/>
              <w:spacing w:after="0"/>
              <w:rPr>
                <w:sz w:val="20"/>
                <w:szCs w:val="20"/>
                <w:color w:val="auto"/>
              </w:rPr>
            </w:pPr>
            <w:r>
              <w:rPr>
                <w:rFonts w:ascii="Arial" w:cs="Arial" w:eastAsia="Arial" w:hAnsi="Arial"/>
                <w:sz w:val="14"/>
                <w:szCs w:val="14"/>
                <w:color w:val="auto"/>
              </w:rPr>
              <w:t>Broadcasting and entertainment</w:t>
            </w:r>
          </w:p>
        </w:tc>
        <w:tc>
          <w:tcPr>
            <w:tcW w:w="660" w:type="dxa"/>
            <w:vAlign w:val="bottom"/>
          </w:tcPr>
          <w:p>
            <w:pPr>
              <w:ind w:left="520"/>
              <w:spacing w:after="0"/>
              <w:rPr>
                <w:sz w:val="20"/>
                <w:szCs w:val="20"/>
                <w:color w:val="auto"/>
              </w:rPr>
            </w:pPr>
            <w:r>
              <w:rPr>
                <w:rFonts w:ascii="Arial" w:cs="Arial" w:eastAsia="Arial" w:hAnsi="Arial"/>
                <w:sz w:val="14"/>
                <w:szCs w:val="14"/>
                <w:color w:val="auto"/>
              </w:rPr>
              <w:t>•</w:t>
            </w:r>
          </w:p>
        </w:tc>
        <w:tc>
          <w:tcPr>
            <w:tcW w:w="3440" w:type="dxa"/>
            <w:vAlign w:val="bottom"/>
            <w:gridSpan w:val="5"/>
          </w:tcPr>
          <w:p>
            <w:pPr>
              <w:ind w:left="100"/>
              <w:spacing w:after="0"/>
              <w:rPr>
                <w:sz w:val="20"/>
                <w:szCs w:val="20"/>
                <w:color w:val="auto"/>
              </w:rPr>
            </w:pPr>
            <w:r>
              <w:rPr>
                <w:rFonts w:ascii="Arial" w:cs="Arial" w:eastAsia="Arial" w:hAnsi="Arial"/>
                <w:sz w:val="14"/>
                <w:szCs w:val="14"/>
                <w:color w:val="auto"/>
              </w:rPr>
              <w:t>Electronics</w:t>
            </w:r>
          </w:p>
        </w:tc>
        <w:tc>
          <w:tcPr>
            <w:tcW w:w="3720" w:type="dxa"/>
            <w:vAlign w:val="bottom"/>
            <w:gridSpan w:val="2"/>
          </w:tcPr>
          <w:p>
            <w:pPr>
              <w:ind w:left="140"/>
              <w:spacing w:after="0"/>
              <w:rPr>
                <w:sz w:val="20"/>
                <w:szCs w:val="20"/>
                <w:color w:val="auto"/>
              </w:rPr>
            </w:pPr>
            <w:r>
              <w:rPr>
                <w:rFonts w:ascii="Arial" w:cs="Arial" w:eastAsia="Arial" w:hAnsi="Arial"/>
                <w:sz w:val="14"/>
                <w:szCs w:val="14"/>
                <w:color w:val="auto"/>
              </w:rPr>
              <w:t>•   Mining, Steel, Iron and Non-Precious Metals</w:t>
            </w:r>
          </w:p>
        </w:tc>
      </w:tr>
      <w:tr>
        <w:trPr>
          <w:trHeight w:val="297"/>
        </w:trPr>
        <w:tc>
          <w:tcPr>
            <w:tcW w:w="140" w:type="dxa"/>
            <w:vAlign w:val="bottom"/>
          </w:tcPr>
          <w:p>
            <w:pPr>
              <w:spacing w:after="0"/>
              <w:rPr>
                <w:sz w:val="20"/>
                <w:szCs w:val="20"/>
                <w:color w:val="auto"/>
              </w:rPr>
            </w:pPr>
            <w:r>
              <w:rPr>
                <w:rFonts w:ascii="Arial" w:cs="Arial" w:eastAsia="Arial" w:hAnsi="Arial"/>
                <w:sz w:val="14"/>
                <w:szCs w:val="14"/>
                <w:color w:val="auto"/>
              </w:rPr>
              <w:t>•</w:t>
            </w:r>
          </w:p>
        </w:tc>
        <w:tc>
          <w:tcPr>
            <w:tcW w:w="3060" w:type="dxa"/>
            <w:vAlign w:val="bottom"/>
          </w:tcPr>
          <w:p>
            <w:pPr>
              <w:ind w:left="100"/>
              <w:spacing w:after="0"/>
              <w:rPr>
                <w:sz w:val="20"/>
                <w:szCs w:val="20"/>
                <w:color w:val="auto"/>
              </w:rPr>
            </w:pPr>
            <w:r>
              <w:rPr>
                <w:rFonts w:ascii="Arial" w:cs="Arial" w:eastAsia="Arial" w:hAnsi="Arial"/>
                <w:sz w:val="14"/>
                <w:szCs w:val="14"/>
                <w:color w:val="auto"/>
              </w:rPr>
              <w:t>Building materials</w:t>
            </w:r>
          </w:p>
        </w:tc>
        <w:tc>
          <w:tcPr>
            <w:tcW w:w="660" w:type="dxa"/>
            <w:vAlign w:val="bottom"/>
          </w:tcPr>
          <w:p>
            <w:pPr>
              <w:ind w:left="520"/>
              <w:spacing w:after="0"/>
              <w:rPr>
                <w:sz w:val="20"/>
                <w:szCs w:val="20"/>
                <w:color w:val="auto"/>
              </w:rPr>
            </w:pPr>
            <w:r>
              <w:rPr>
                <w:rFonts w:ascii="Arial" w:cs="Arial" w:eastAsia="Arial" w:hAnsi="Arial"/>
                <w:sz w:val="14"/>
                <w:szCs w:val="14"/>
                <w:color w:val="auto"/>
              </w:rPr>
              <w:t>•</w:t>
            </w:r>
          </w:p>
        </w:tc>
        <w:tc>
          <w:tcPr>
            <w:tcW w:w="3440" w:type="dxa"/>
            <w:vAlign w:val="bottom"/>
            <w:gridSpan w:val="5"/>
          </w:tcPr>
          <w:p>
            <w:pPr>
              <w:ind w:left="100"/>
              <w:spacing w:after="0"/>
              <w:rPr>
                <w:sz w:val="20"/>
                <w:szCs w:val="20"/>
                <w:color w:val="auto"/>
              </w:rPr>
            </w:pPr>
            <w:r>
              <w:rPr>
                <w:rFonts w:ascii="Arial" w:cs="Arial" w:eastAsia="Arial" w:hAnsi="Arial"/>
                <w:sz w:val="14"/>
                <w:szCs w:val="14"/>
                <w:color w:val="auto"/>
              </w:rPr>
              <w:t>Energy/Utilities</w:t>
            </w:r>
          </w:p>
        </w:tc>
        <w:tc>
          <w:tcPr>
            <w:tcW w:w="280" w:type="dxa"/>
            <w:vAlign w:val="bottom"/>
          </w:tcPr>
          <w:p>
            <w:pPr>
              <w:ind w:left="140"/>
              <w:spacing w:after="0"/>
              <w:rPr>
                <w:sz w:val="20"/>
                <w:szCs w:val="20"/>
                <w:color w:val="auto"/>
              </w:rPr>
            </w:pPr>
            <w:r>
              <w:rPr>
                <w:rFonts w:ascii="Arial" w:cs="Arial" w:eastAsia="Arial" w:hAnsi="Arial"/>
                <w:sz w:val="14"/>
                <w:szCs w:val="14"/>
                <w:color w:val="auto"/>
              </w:rPr>
              <w:t>•</w:t>
            </w:r>
          </w:p>
        </w:tc>
        <w:tc>
          <w:tcPr>
            <w:tcW w:w="3440" w:type="dxa"/>
            <w:vAlign w:val="bottom"/>
          </w:tcPr>
          <w:p>
            <w:pPr>
              <w:ind w:left="80"/>
              <w:spacing w:after="0"/>
              <w:rPr>
                <w:sz w:val="20"/>
                <w:szCs w:val="20"/>
                <w:color w:val="auto"/>
              </w:rPr>
            </w:pPr>
            <w:r>
              <w:rPr>
                <w:rFonts w:ascii="Arial" w:cs="Arial" w:eastAsia="Arial" w:hAnsi="Arial"/>
                <w:sz w:val="14"/>
                <w:szCs w:val="14"/>
                <w:color w:val="auto"/>
              </w:rPr>
              <w:t>Oil and Gas</w:t>
            </w:r>
          </w:p>
        </w:tc>
      </w:tr>
      <w:tr>
        <w:trPr>
          <w:trHeight w:val="297"/>
        </w:trPr>
        <w:tc>
          <w:tcPr>
            <w:tcW w:w="3200" w:type="dxa"/>
            <w:vAlign w:val="bottom"/>
            <w:gridSpan w:val="2"/>
          </w:tcPr>
          <w:p>
            <w:pPr>
              <w:spacing w:after="0"/>
              <w:rPr>
                <w:sz w:val="20"/>
                <w:szCs w:val="20"/>
                <w:color w:val="auto"/>
              </w:rPr>
            </w:pPr>
            <w:r>
              <w:rPr>
                <w:rFonts w:ascii="Arial" w:cs="Arial" w:eastAsia="Arial" w:hAnsi="Arial"/>
                <w:sz w:val="14"/>
                <w:szCs w:val="14"/>
                <w:color w:val="auto"/>
              </w:rPr>
              <w:t>•   Buildings and real estate</w:t>
            </w:r>
          </w:p>
        </w:tc>
        <w:tc>
          <w:tcPr>
            <w:tcW w:w="660" w:type="dxa"/>
            <w:vAlign w:val="bottom"/>
          </w:tcPr>
          <w:p>
            <w:pPr>
              <w:ind w:left="520"/>
              <w:spacing w:after="0"/>
              <w:rPr>
                <w:sz w:val="20"/>
                <w:szCs w:val="20"/>
                <w:color w:val="auto"/>
              </w:rPr>
            </w:pPr>
            <w:r>
              <w:rPr>
                <w:rFonts w:ascii="Arial" w:cs="Arial" w:eastAsia="Arial" w:hAnsi="Arial"/>
                <w:sz w:val="14"/>
                <w:szCs w:val="14"/>
                <w:color w:val="auto"/>
              </w:rPr>
              <w:t>•</w:t>
            </w:r>
          </w:p>
        </w:tc>
        <w:tc>
          <w:tcPr>
            <w:tcW w:w="3440" w:type="dxa"/>
            <w:vAlign w:val="bottom"/>
            <w:gridSpan w:val="5"/>
          </w:tcPr>
          <w:p>
            <w:pPr>
              <w:ind w:left="100"/>
              <w:spacing w:after="0"/>
              <w:rPr>
                <w:sz w:val="20"/>
                <w:szCs w:val="20"/>
                <w:color w:val="auto"/>
              </w:rPr>
            </w:pPr>
            <w:r>
              <w:rPr>
                <w:rFonts w:ascii="Arial" w:cs="Arial" w:eastAsia="Arial" w:hAnsi="Arial"/>
                <w:sz w:val="14"/>
                <w:szCs w:val="14"/>
                <w:color w:val="auto"/>
              </w:rPr>
              <w:t>Environmental services</w:t>
            </w:r>
          </w:p>
        </w:tc>
        <w:tc>
          <w:tcPr>
            <w:tcW w:w="280" w:type="dxa"/>
            <w:vAlign w:val="bottom"/>
          </w:tcPr>
          <w:p>
            <w:pPr>
              <w:ind w:left="140"/>
              <w:spacing w:after="0"/>
              <w:rPr>
                <w:sz w:val="20"/>
                <w:szCs w:val="20"/>
                <w:color w:val="auto"/>
              </w:rPr>
            </w:pPr>
            <w:r>
              <w:rPr>
                <w:rFonts w:ascii="Arial" w:cs="Arial" w:eastAsia="Arial" w:hAnsi="Arial"/>
                <w:sz w:val="14"/>
                <w:szCs w:val="14"/>
                <w:color w:val="auto"/>
              </w:rPr>
              <w:t>•</w:t>
            </w:r>
          </w:p>
        </w:tc>
        <w:tc>
          <w:tcPr>
            <w:tcW w:w="3440" w:type="dxa"/>
            <w:vAlign w:val="bottom"/>
          </w:tcPr>
          <w:p>
            <w:pPr>
              <w:ind w:left="80"/>
              <w:spacing w:after="0"/>
              <w:rPr>
                <w:sz w:val="20"/>
                <w:szCs w:val="20"/>
                <w:color w:val="auto"/>
              </w:rPr>
            </w:pPr>
            <w:r>
              <w:rPr>
                <w:rFonts w:ascii="Arial" w:cs="Arial" w:eastAsia="Arial" w:hAnsi="Arial"/>
                <w:sz w:val="14"/>
                <w:szCs w:val="14"/>
                <w:color w:val="auto"/>
              </w:rPr>
              <w:t>Other Media</w:t>
            </w:r>
          </w:p>
        </w:tc>
      </w:tr>
      <w:tr>
        <w:trPr>
          <w:trHeight w:val="297"/>
        </w:trPr>
        <w:tc>
          <w:tcPr>
            <w:tcW w:w="140" w:type="dxa"/>
            <w:vAlign w:val="bottom"/>
          </w:tcPr>
          <w:p>
            <w:pPr>
              <w:spacing w:after="0"/>
              <w:rPr>
                <w:sz w:val="20"/>
                <w:szCs w:val="20"/>
                <w:color w:val="auto"/>
              </w:rPr>
            </w:pPr>
            <w:r>
              <w:rPr>
                <w:rFonts w:ascii="Arial" w:cs="Arial" w:eastAsia="Arial" w:hAnsi="Arial"/>
                <w:sz w:val="14"/>
                <w:szCs w:val="14"/>
                <w:color w:val="auto"/>
              </w:rPr>
              <w:t>•</w:t>
            </w:r>
          </w:p>
        </w:tc>
        <w:tc>
          <w:tcPr>
            <w:tcW w:w="3060" w:type="dxa"/>
            <w:vAlign w:val="bottom"/>
          </w:tcPr>
          <w:p>
            <w:pPr>
              <w:ind w:left="100"/>
              <w:spacing w:after="0"/>
              <w:rPr>
                <w:sz w:val="20"/>
                <w:szCs w:val="20"/>
                <w:color w:val="auto"/>
              </w:rPr>
            </w:pPr>
            <w:r>
              <w:rPr>
                <w:rFonts w:ascii="Arial" w:cs="Arial" w:eastAsia="Arial" w:hAnsi="Arial"/>
                <w:sz w:val="14"/>
                <w:szCs w:val="14"/>
                <w:color w:val="auto"/>
              </w:rPr>
              <w:t>Business services</w:t>
            </w:r>
          </w:p>
        </w:tc>
        <w:tc>
          <w:tcPr>
            <w:tcW w:w="660" w:type="dxa"/>
            <w:vAlign w:val="bottom"/>
          </w:tcPr>
          <w:p>
            <w:pPr>
              <w:ind w:left="520"/>
              <w:spacing w:after="0"/>
              <w:rPr>
                <w:sz w:val="20"/>
                <w:szCs w:val="20"/>
                <w:color w:val="auto"/>
              </w:rPr>
            </w:pPr>
            <w:r>
              <w:rPr>
                <w:rFonts w:ascii="Arial" w:cs="Arial" w:eastAsia="Arial" w:hAnsi="Arial"/>
                <w:sz w:val="14"/>
                <w:szCs w:val="14"/>
                <w:color w:val="auto"/>
              </w:rPr>
              <w:t>•</w:t>
            </w:r>
          </w:p>
        </w:tc>
        <w:tc>
          <w:tcPr>
            <w:tcW w:w="3440" w:type="dxa"/>
            <w:vAlign w:val="bottom"/>
            <w:gridSpan w:val="5"/>
          </w:tcPr>
          <w:p>
            <w:pPr>
              <w:ind w:left="100"/>
              <w:spacing w:after="0"/>
              <w:rPr>
                <w:sz w:val="20"/>
                <w:szCs w:val="20"/>
                <w:color w:val="auto"/>
              </w:rPr>
            </w:pPr>
            <w:r>
              <w:rPr>
                <w:rFonts w:ascii="Arial" w:cs="Arial" w:eastAsia="Arial" w:hAnsi="Arial"/>
                <w:sz w:val="14"/>
                <w:szCs w:val="14"/>
                <w:color w:val="auto"/>
              </w:rPr>
              <w:t>Farming and Agriculture</w:t>
            </w:r>
          </w:p>
        </w:tc>
        <w:tc>
          <w:tcPr>
            <w:tcW w:w="280" w:type="dxa"/>
            <w:vAlign w:val="bottom"/>
          </w:tcPr>
          <w:p>
            <w:pPr>
              <w:ind w:left="140"/>
              <w:spacing w:after="0"/>
              <w:rPr>
                <w:sz w:val="20"/>
                <w:szCs w:val="20"/>
                <w:color w:val="auto"/>
              </w:rPr>
            </w:pPr>
            <w:r>
              <w:rPr>
                <w:rFonts w:ascii="Arial" w:cs="Arial" w:eastAsia="Arial" w:hAnsi="Arial"/>
                <w:sz w:val="14"/>
                <w:szCs w:val="14"/>
                <w:color w:val="auto"/>
              </w:rPr>
              <w:t>•</w:t>
            </w:r>
          </w:p>
        </w:tc>
        <w:tc>
          <w:tcPr>
            <w:tcW w:w="3440" w:type="dxa"/>
            <w:vAlign w:val="bottom"/>
          </w:tcPr>
          <w:p>
            <w:pPr>
              <w:ind w:left="80"/>
              <w:spacing w:after="0"/>
              <w:rPr>
                <w:sz w:val="20"/>
                <w:szCs w:val="20"/>
                <w:color w:val="auto"/>
              </w:rPr>
            </w:pPr>
            <w:r>
              <w:rPr>
                <w:rFonts w:ascii="Arial" w:cs="Arial" w:eastAsia="Arial" w:hAnsi="Arial"/>
                <w:sz w:val="14"/>
                <w:szCs w:val="14"/>
                <w:color w:val="auto"/>
              </w:rPr>
              <w:t>Packaging</w:t>
            </w:r>
          </w:p>
        </w:tc>
      </w:tr>
      <w:tr>
        <w:trPr>
          <w:trHeight w:val="263"/>
        </w:trPr>
        <w:tc>
          <w:tcPr>
            <w:tcW w:w="140" w:type="dxa"/>
            <w:vAlign w:val="bottom"/>
          </w:tcPr>
          <w:p>
            <w:pPr>
              <w:spacing w:after="0"/>
              <w:rPr>
                <w:sz w:val="20"/>
                <w:szCs w:val="20"/>
                <w:color w:val="auto"/>
              </w:rPr>
            </w:pPr>
            <w:r>
              <w:rPr>
                <w:rFonts w:ascii="Arial" w:cs="Arial" w:eastAsia="Arial" w:hAnsi="Arial"/>
                <w:sz w:val="14"/>
                <w:szCs w:val="14"/>
                <w:color w:val="auto"/>
              </w:rPr>
              <w:t>•</w:t>
            </w:r>
          </w:p>
        </w:tc>
        <w:tc>
          <w:tcPr>
            <w:tcW w:w="3060" w:type="dxa"/>
            <w:vAlign w:val="bottom"/>
          </w:tcPr>
          <w:p>
            <w:pPr>
              <w:ind w:left="100"/>
              <w:spacing w:after="0"/>
              <w:rPr>
                <w:sz w:val="20"/>
                <w:szCs w:val="20"/>
                <w:color w:val="auto"/>
              </w:rPr>
            </w:pPr>
            <w:r>
              <w:rPr>
                <w:rFonts w:ascii="Arial" w:cs="Arial" w:eastAsia="Arial" w:hAnsi="Arial"/>
                <w:sz w:val="14"/>
                <w:szCs w:val="14"/>
                <w:color w:val="auto"/>
              </w:rPr>
              <w:t>Cable television</w:t>
            </w:r>
          </w:p>
        </w:tc>
        <w:tc>
          <w:tcPr>
            <w:tcW w:w="660" w:type="dxa"/>
            <w:vAlign w:val="bottom"/>
          </w:tcPr>
          <w:p>
            <w:pPr>
              <w:ind w:left="520"/>
              <w:spacing w:after="0"/>
              <w:rPr>
                <w:sz w:val="20"/>
                <w:szCs w:val="20"/>
                <w:color w:val="auto"/>
              </w:rPr>
            </w:pPr>
            <w:r>
              <w:rPr>
                <w:rFonts w:ascii="Arial" w:cs="Arial" w:eastAsia="Arial" w:hAnsi="Arial"/>
                <w:sz w:val="14"/>
                <w:szCs w:val="14"/>
                <w:color w:val="auto"/>
              </w:rPr>
              <w:t>•</w:t>
            </w:r>
          </w:p>
        </w:tc>
        <w:tc>
          <w:tcPr>
            <w:tcW w:w="3440" w:type="dxa"/>
            <w:vAlign w:val="bottom"/>
            <w:gridSpan w:val="5"/>
          </w:tcPr>
          <w:p>
            <w:pPr>
              <w:ind w:left="100"/>
              <w:spacing w:after="0"/>
              <w:rPr>
                <w:sz w:val="20"/>
                <w:szCs w:val="20"/>
                <w:color w:val="auto"/>
              </w:rPr>
            </w:pPr>
            <w:r>
              <w:rPr>
                <w:rFonts w:ascii="Arial" w:cs="Arial" w:eastAsia="Arial" w:hAnsi="Arial"/>
                <w:sz w:val="14"/>
                <w:szCs w:val="14"/>
                <w:color w:val="auto"/>
              </w:rPr>
              <w:t>Finance</w:t>
            </w:r>
          </w:p>
        </w:tc>
        <w:tc>
          <w:tcPr>
            <w:tcW w:w="3720" w:type="dxa"/>
            <w:vAlign w:val="bottom"/>
            <w:gridSpan w:val="2"/>
          </w:tcPr>
          <w:p>
            <w:pPr>
              <w:ind w:left="140"/>
              <w:spacing w:after="0"/>
              <w:rPr>
                <w:sz w:val="20"/>
                <w:szCs w:val="20"/>
                <w:color w:val="auto"/>
              </w:rPr>
            </w:pPr>
            <w:r>
              <w:rPr>
                <w:rFonts w:ascii="Arial" w:cs="Arial" w:eastAsia="Arial" w:hAnsi="Arial"/>
                <w:sz w:val="14"/>
                <w:szCs w:val="14"/>
                <w:color w:val="auto"/>
              </w:rPr>
              <w:t>•   Personal and Non-Durable Consumer Products</w:t>
            </w:r>
          </w:p>
        </w:tc>
      </w:tr>
      <w:tr>
        <w:trPr>
          <w:trHeight w:val="182"/>
        </w:trPr>
        <w:tc>
          <w:tcPr>
            <w:tcW w:w="140" w:type="dxa"/>
            <w:vAlign w:val="bottom"/>
          </w:tcPr>
          <w:p>
            <w:pPr>
              <w:spacing w:after="0"/>
              <w:rPr>
                <w:sz w:val="15"/>
                <w:szCs w:val="15"/>
                <w:color w:val="auto"/>
              </w:rPr>
            </w:pPr>
          </w:p>
        </w:tc>
        <w:tc>
          <w:tcPr>
            <w:tcW w:w="306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3440" w:type="dxa"/>
            <w:vAlign w:val="bottom"/>
          </w:tcPr>
          <w:p>
            <w:pPr>
              <w:ind w:left="180"/>
              <w:spacing w:after="0"/>
              <w:rPr>
                <w:sz w:val="20"/>
                <w:szCs w:val="20"/>
                <w:color w:val="auto"/>
              </w:rPr>
            </w:pPr>
            <w:r>
              <w:rPr>
                <w:rFonts w:ascii="Arial" w:cs="Arial" w:eastAsia="Arial" w:hAnsi="Arial"/>
                <w:sz w:val="14"/>
                <w:szCs w:val="14"/>
                <w:color w:val="auto"/>
              </w:rPr>
              <w:t>(Manufacturing Only)</w:t>
            </w:r>
          </w:p>
        </w:tc>
      </w:tr>
      <w:tr>
        <w:trPr>
          <w:trHeight w:val="297"/>
        </w:trPr>
        <w:tc>
          <w:tcPr>
            <w:tcW w:w="140" w:type="dxa"/>
            <w:vAlign w:val="bottom"/>
          </w:tcPr>
          <w:p>
            <w:pPr>
              <w:spacing w:after="0"/>
              <w:rPr>
                <w:sz w:val="20"/>
                <w:szCs w:val="20"/>
                <w:color w:val="auto"/>
              </w:rPr>
            </w:pPr>
            <w:r>
              <w:rPr>
                <w:rFonts w:ascii="Arial" w:cs="Arial" w:eastAsia="Arial" w:hAnsi="Arial"/>
                <w:sz w:val="14"/>
                <w:szCs w:val="14"/>
                <w:color w:val="auto"/>
              </w:rPr>
              <w:t>•</w:t>
            </w:r>
          </w:p>
        </w:tc>
        <w:tc>
          <w:tcPr>
            <w:tcW w:w="3060" w:type="dxa"/>
            <w:vAlign w:val="bottom"/>
          </w:tcPr>
          <w:p>
            <w:pPr>
              <w:ind w:left="100"/>
              <w:spacing w:after="0"/>
              <w:rPr>
                <w:sz w:val="20"/>
                <w:szCs w:val="20"/>
                <w:color w:val="auto"/>
              </w:rPr>
            </w:pPr>
            <w:r>
              <w:rPr>
                <w:rFonts w:ascii="Arial" w:cs="Arial" w:eastAsia="Arial" w:hAnsi="Arial"/>
                <w:sz w:val="14"/>
                <w:szCs w:val="14"/>
                <w:color w:val="auto"/>
              </w:rPr>
              <w:t>Cargo Transport</w:t>
            </w:r>
          </w:p>
        </w:tc>
        <w:tc>
          <w:tcPr>
            <w:tcW w:w="660" w:type="dxa"/>
            <w:vAlign w:val="bottom"/>
          </w:tcPr>
          <w:p>
            <w:pPr>
              <w:ind w:left="520"/>
              <w:spacing w:after="0"/>
              <w:rPr>
                <w:sz w:val="20"/>
                <w:szCs w:val="20"/>
                <w:color w:val="auto"/>
              </w:rPr>
            </w:pPr>
            <w:r>
              <w:rPr>
                <w:rFonts w:ascii="Arial" w:cs="Arial" w:eastAsia="Arial" w:hAnsi="Arial"/>
                <w:sz w:val="14"/>
                <w:szCs w:val="14"/>
                <w:color w:val="auto"/>
              </w:rPr>
              <w:t>•</w:t>
            </w:r>
          </w:p>
        </w:tc>
        <w:tc>
          <w:tcPr>
            <w:tcW w:w="3440" w:type="dxa"/>
            <w:vAlign w:val="bottom"/>
            <w:gridSpan w:val="5"/>
          </w:tcPr>
          <w:p>
            <w:pPr>
              <w:ind w:left="100"/>
              <w:spacing w:after="0"/>
              <w:rPr>
                <w:sz w:val="20"/>
                <w:szCs w:val="20"/>
                <w:color w:val="auto"/>
              </w:rPr>
            </w:pPr>
            <w:r>
              <w:rPr>
                <w:rFonts w:ascii="Arial" w:cs="Arial" w:eastAsia="Arial" w:hAnsi="Arial"/>
                <w:sz w:val="14"/>
                <w:szCs w:val="14"/>
                <w:color w:val="auto"/>
              </w:rPr>
              <w:t>Financial services</w:t>
            </w:r>
          </w:p>
        </w:tc>
        <w:tc>
          <w:tcPr>
            <w:tcW w:w="3720" w:type="dxa"/>
            <w:vAlign w:val="bottom"/>
            <w:gridSpan w:val="2"/>
          </w:tcPr>
          <w:p>
            <w:pPr>
              <w:ind w:left="140"/>
              <w:spacing w:after="0"/>
              <w:rPr>
                <w:sz w:val="20"/>
                <w:szCs w:val="20"/>
                <w:color w:val="auto"/>
              </w:rPr>
            </w:pPr>
            <w:r>
              <w:rPr>
                <w:rFonts w:ascii="Arial" w:cs="Arial" w:eastAsia="Arial" w:hAnsi="Arial"/>
                <w:sz w:val="14"/>
                <w:szCs w:val="14"/>
                <w:color w:val="auto"/>
              </w:rPr>
              <w:t>•   Personal, Food and Miscellaneous Services</w:t>
            </w:r>
          </w:p>
        </w:tc>
      </w:tr>
      <w:tr>
        <w:trPr>
          <w:trHeight w:val="297"/>
        </w:trPr>
        <w:tc>
          <w:tcPr>
            <w:tcW w:w="3200" w:type="dxa"/>
            <w:vAlign w:val="bottom"/>
            <w:gridSpan w:val="2"/>
          </w:tcPr>
          <w:p>
            <w:pPr>
              <w:spacing w:after="0"/>
              <w:rPr>
                <w:sz w:val="20"/>
                <w:szCs w:val="20"/>
                <w:color w:val="auto"/>
              </w:rPr>
            </w:pPr>
            <w:r>
              <w:rPr>
                <w:rFonts w:ascii="Arial" w:cs="Arial" w:eastAsia="Arial" w:hAnsi="Arial"/>
                <w:sz w:val="14"/>
                <w:szCs w:val="14"/>
                <w:color w:val="auto"/>
              </w:rPr>
              <w:t>•   Chemicals, Plastics and Rubber</w:t>
            </w:r>
          </w:p>
        </w:tc>
        <w:tc>
          <w:tcPr>
            <w:tcW w:w="660" w:type="dxa"/>
            <w:vAlign w:val="bottom"/>
          </w:tcPr>
          <w:p>
            <w:pPr>
              <w:ind w:left="520"/>
              <w:spacing w:after="0"/>
              <w:rPr>
                <w:sz w:val="20"/>
                <w:szCs w:val="20"/>
                <w:color w:val="auto"/>
              </w:rPr>
            </w:pPr>
            <w:r>
              <w:rPr>
                <w:rFonts w:ascii="Arial" w:cs="Arial" w:eastAsia="Arial" w:hAnsi="Arial"/>
                <w:sz w:val="14"/>
                <w:szCs w:val="14"/>
                <w:color w:val="auto"/>
              </w:rPr>
              <w:t>•</w:t>
            </w:r>
          </w:p>
        </w:tc>
        <w:tc>
          <w:tcPr>
            <w:tcW w:w="3440" w:type="dxa"/>
            <w:vAlign w:val="bottom"/>
            <w:gridSpan w:val="5"/>
          </w:tcPr>
          <w:p>
            <w:pPr>
              <w:ind w:left="100"/>
              <w:spacing w:after="0"/>
              <w:rPr>
                <w:sz w:val="20"/>
                <w:szCs w:val="20"/>
                <w:color w:val="auto"/>
              </w:rPr>
            </w:pPr>
            <w:r>
              <w:rPr>
                <w:rFonts w:ascii="Arial" w:cs="Arial" w:eastAsia="Arial" w:hAnsi="Arial"/>
                <w:sz w:val="14"/>
                <w:szCs w:val="14"/>
                <w:color w:val="auto"/>
              </w:rPr>
              <w:t>Food</w:t>
            </w:r>
          </w:p>
        </w:tc>
        <w:tc>
          <w:tcPr>
            <w:tcW w:w="280" w:type="dxa"/>
            <w:vAlign w:val="bottom"/>
          </w:tcPr>
          <w:p>
            <w:pPr>
              <w:ind w:left="140"/>
              <w:spacing w:after="0"/>
              <w:rPr>
                <w:sz w:val="20"/>
                <w:szCs w:val="20"/>
                <w:color w:val="auto"/>
              </w:rPr>
            </w:pPr>
            <w:r>
              <w:rPr>
                <w:rFonts w:ascii="Arial" w:cs="Arial" w:eastAsia="Arial" w:hAnsi="Arial"/>
                <w:sz w:val="14"/>
                <w:szCs w:val="14"/>
                <w:color w:val="auto"/>
              </w:rPr>
              <w:t>•</w:t>
            </w:r>
          </w:p>
        </w:tc>
        <w:tc>
          <w:tcPr>
            <w:tcW w:w="3440" w:type="dxa"/>
            <w:vAlign w:val="bottom"/>
          </w:tcPr>
          <w:p>
            <w:pPr>
              <w:ind w:left="80"/>
              <w:spacing w:after="0"/>
              <w:rPr>
                <w:sz w:val="20"/>
                <w:szCs w:val="20"/>
                <w:color w:val="auto"/>
              </w:rPr>
            </w:pPr>
            <w:r>
              <w:rPr>
                <w:rFonts w:ascii="Arial" w:cs="Arial" w:eastAsia="Arial" w:hAnsi="Arial"/>
                <w:sz w:val="14"/>
                <w:szCs w:val="14"/>
                <w:color w:val="auto"/>
              </w:rPr>
              <w:t>Personal Transportation</w:t>
            </w:r>
          </w:p>
        </w:tc>
      </w:tr>
      <w:tr>
        <w:trPr>
          <w:trHeight w:val="297"/>
        </w:trPr>
        <w:tc>
          <w:tcPr>
            <w:tcW w:w="140" w:type="dxa"/>
            <w:vAlign w:val="bottom"/>
          </w:tcPr>
          <w:p>
            <w:pPr>
              <w:spacing w:after="0"/>
              <w:rPr>
                <w:sz w:val="20"/>
                <w:szCs w:val="20"/>
                <w:color w:val="auto"/>
              </w:rPr>
            </w:pPr>
            <w:r>
              <w:rPr>
                <w:rFonts w:ascii="Arial" w:cs="Arial" w:eastAsia="Arial" w:hAnsi="Arial"/>
                <w:sz w:val="14"/>
                <w:szCs w:val="14"/>
                <w:color w:val="auto"/>
              </w:rPr>
              <w:t>•</w:t>
            </w:r>
          </w:p>
        </w:tc>
        <w:tc>
          <w:tcPr>
            <w:tcW w:w="3060" w:type="dxa"/>
            <w:vAlign w:val="bottom"/>
          </w:tcPr>
          <w:p>
            <w:pPr>
              <w:ind w:left="100"/>
              <w:spacing w:after="0"/>
              <w:rPr>
                <w:sz w:val="20"/>
                <w:szCs w:val="20"/>
                <w:color w:val="auto"/>
              </w:rPr>
            </w:pPr>
            <w:r>
              <w:rPr>
                <w:rFonts w:ascii="Arial" w:cs="Arial" w:eastAsia="Arial" w:hAnsi="Arial"/>
                <w:sz w:val="14"/>
                <w:szCs w:val="14"/>
                <w:color w:val="auto"/>
              </w:rPr>
              <w:t>Communications</w:t>
            </w:r>
          </w:p>
        </w:tc>
        <w:tc>
          <w:tcPr>
            <w:tcW w:w="660" w:type="dxa"/>
            <w:vAlign w:val="bottom"/>
          </w:tcPr>
          <w:p>
            <w:pPr>
              <w:ind w:left="520"/>
              <w:spacing w:after="0"/>
              <w:rPr>
                <w:sz w:val="20"/>
                <w:szCs w:val="20"/>
                <w:color w:val="auto"/>
              </w:rPr>
            </w:pPr>
            <w:r>
              <w:rPr>
                <w:rFonts w:ascii="Arial" w:cs="Arial" w:eastAsia="Arial" w:hAnsi="Arial"/>
                <w:sz w:val="14"/>
                <w:szCs w:val="14"/>
                <w:color w:val="auto"/>
              </w:rPr>
              <w:t>•</w:t>
            </w:r>
          </w:p>
        </w:tc>
        <w:tc>
          <w:tcPr>
            <w:tcW w:w="3440" w:type="dxa"/>
            <w:vAlign w:val="bottom"/>
            <w:gridSpan w:val="5"/>
          </w:tcPr>
          <w:p>
            <w:pPr>
              <w:ind w:left="100"/>
              <w:spacing w:after="0"/>
              <w:rPr>
                <w:sz w:val="20"/>
                <w:szCs w:val="20"/>
                <w:color w:val="auto"/>
              </w:rPr>
            </w:pPr>
            <w:r>
              <w:rPr>
                <w:rFonts w:ascii="Arial" w:cs="Arial" w:eastAsia="Arial" w:hAnsi="Arial"/>
                <w:sz w:val="14"/>
                <w:szCs w:val="14"/>
                <w:color w:val="auto"/>
              </w:rPr>
              <w:t>Grocery</w:t>
            </w:r>
          </w:p>
        </w:tc>
        <w:tc>
          <w:tcPr>
            <w:tcW w:w="280" w:type="dxa"/>
            <w:vAlign w:val="bottom"/>
          </w:tcPr>
          <w:p>
            <w:pPr>
              <w:ind w:left="140"/>
              <w:spacing w:after="0"/>
              <w:rPr>
                <w:sz w:val="20"/>
                <w:szCs w:val="20"/>
                <w:color w:val="auto"/>
              </w:rPr>
            </w:pPr>
            <w:r>
              <w:rPr>
                <w:rFonts w:ascii="Arial" w:cs="Arial" w:eastAsia="Arial" w:hAnsi="Arial"/>
                <w:sz w:val="14"/>
                <w:szCs w:val="14"/>
                <w:color w:val="auto"/>
              </w:rPr>
              <w:t>•</w:t>
            </w:r>
          </w:p>
        </w:tc>
        <w:tc>
          <w:tcPr>
            <w:tcW w:w="3440" w:type="dxa"/>
            <w:vAlign w:val="bottom"/>
          </w:tcPr>
          <w:p>
            <w:pPr>
              <w:ind w:left="80"/>
              <w:spacing w:after="0"/>
              <w:rPr>
                <w:sz w:val="20"/>
                <w:szCs w:val="20"/>
                <w:color w:val="auto"/>
              </w:rPr>
            </w:pPr>
            <w:r>
              <w:rPr>
                <w:rFonts w:ascii="Arial" w:cs="Arial" w:eastAsia="Arial" w:hAnsi="Arial"/>
                <w:sz w:val="14"/>
                <w:szCs w:val="14"/>
                <w:color w:val="auto"/>
              </w:rPr>
              <w:t>Printing and Publishing</w:t>
            </w:r>
          </w:p>
        </w:tc>
      </w:tr>
      <w:tr>
        <w:trPr>
          <w:trHeight w:val="297"/>
        </w:trPr>
        <w:tc>
          <w:tcPr>
            <w:tcW w:w="3200" w:type="dxa"/>
            <w:vAlign w:val="bottom"/>
            <w:gridSpan w:val="2"/>
          </w:tcPr>
          <w:p>
            <w:pPr>
              <w:spacing w:after="0"/>
              <w:rPr>
                <w:sz w:val="20"/>
                <w:szCs w:val="20"/>
                <w:color w:val="auto"/>
              </w:rPr>
            </w:pPr>
            <w:r>
              <w:rPr>
                <w:rFonts w:ascii="Arial" w:cs="Arial" w:eastAsia="Arial" w:hAnsi="Arial"/>
                <w:sz w:val="14"/>
                <w:szCs w:val="14"/>
                <w:color w:val="auto"/>
              </w:rPr>
              <w:t>•   Containers, packaging and glass</w:t>
            </w:r>
          </w:p>
        </w:tc>
        <w:tc>
          <w:tcPr>
            <w:tcW w:w="4100" w:type="dxa"/>
            <w:vAlign w:val="bottom"/>
            <w:gridSpan w:val="6"/>
          </w:tcPr>
          <w:p>
            <w:pPr>
              <w:ind w:left="520"/>
              <w:spacing w:after="0"/>
              <w:rPr>
                <w:sz w:val="20"/>
                <w:szCs w:val="20"/>
                <w:color w:val="auto"/>
              </w:rPr>
            </w:pPr>
            <w:r>
              <w:rPr>
                <w:rFonts w:ascii="Arial" w:cs="Arial" w:eastAsia="Arial" w:hAnsi="Arial"/>
                <w:sz w:val="14"/>
                <w:szCs w:val="14"/>
                <w:color w:val="auto"/>
              </w:rPr>
              <w:t>•   Healthcare, Education and Childcare</w:t>
            </w:r>
          </w:p>
        </w:tc>
        <w:tc>
          <w:tcPr>
            <w:tcW w:w="280" w:type="dxa"/>
            <w:vAlign w:val="bottom"/>
          </w:tcPr>
          <w:p>
            <w:pPr>
              <w:ind w:left="140"/>
              <w:spacing w:after="0"/>
              <w:rPr>
                <w:sz w:val="20"/>
                <w:szCs w:val="20"/>
                <w:color w:val="auto"/>
              </w:rPr>
            </w:pPr>
            <w:r>
              <w:rPr>
                <w:rFonts w:ascii="Arial" w:cs="Arial" w:eastAsia="Arial" w:hAnsi="Arial"/>
                <w:sz w:val="14"/>
                <w:szCs w:val="14"/>
                <w:color w:val="auto"/>
              </w:rPr>
              <w:t>•</w:t>
            </w:r>
          </w:p>
        </w:tc>
        <w:tc>
          <w:tcPr>
            <w:tcW w:w="3440" w:type="dxa"/>
            <w:vAlign w:val="bottom"/>
          </w:tcPr>
          <w:p>
            <w:pPr>
              <w:ind w:left="80"/>
              <w:spacing w:after="0"/>
              <w:rPr>
                <w:sz w:val="20"/>
                <w:szCs w:val="20"/>
                <w:color w:val="auto"/>
              </w:rPr>
            </w:pPr>
            <w:r>
              <w:rPr>
                <w:rFonts w:ascii="Arial" w:cs="Arial" w:eastAsia="Arial" w:hAnsi="Arial"/>
                <w:sz w:val="14"/>
                <w:szCs w:val="14"/>
                <w:color w:val="auto"/>
              </w:rPr>
              <w:t>Restaurants</w:t>
            </w:r>
          </w:p>
        </w:tc>
      </w:tr>
      <w:tr>
        <w:trPr>
          <w:trHeight w:val="263"/>
        </w:trPr>
        <w:tc>
          <w:tcPr>
            <w:tcW w:w="140" w:type="dxa"/>
            <w:vAlign w:val="bottom"/>
          </w:tcPr>
          <w:p>
            <w:pPr>
              <w:spacing w:after="0"/>
              <w:rPr>
                <w:sz w:val="20"/>
                <w:szCs w:val="20"/>
                <w:color w:val="auto"/>
              </w:rPr>
            </w:pPr>
            <w:r>
              <w:rPr>
                <w:rFonts w:ascii="Arial" w:cs="Arial" w:eastAsia="Arial" w:hAnsi="Arial"/>
                <w:sz w:val="14"/>
                <w:szCs w:val="14"/>
                <w:color w:val="auto"/>
              </w:rPr>
              <w:t>•</w:t>
            </w:r>
          </w:p>
        </w:tc>
        <w:tc>
          <w:tcPr>
            <w:tcW w:w="3060" w:type="dxa"/>
            <w:vAlign w:val="bottom"/>
          </w:tcPr>
          <w:p>
            <w:pPr>
              <w:ind w:left="100"/>
              <w:spacing w:after="0"/>
              <w:rPr>
                <w:sz w:val="20"/>
                <w:szCs w:val="20"/>
                <w:color w:val="auto"/>
              </w:rPr>
            </w:pPr>
            <w:r>
              <w:rPr>
                <w:rFonts w:ascii="Arial" w:cs="Arial" w:eastAsia="Arial" w:hAnsi="Arial"/>
                <w:sz w:val="14"/>
                <w:szCs w:val="14"/>
                <w:color w:val="auto"/>
              </w:rPr>
              <w:t>Consumer products</w:t>
            </w:r>
          </w:p>
        </w:tc>
        <w:tc>
          <w:tcPr>
            <w:tcW w:w="4100" w:type="dxa"/>
            <w:vAlign w:val="bottom"/>
            <w:gridSpan w:val="6"/>
          </w:tcPr>
          <w:p>
            <w:pPr>
              <w:ind w:left="520"/>
              <w:spacing w:after="0"/>
              <w:rPr>
                <w:sz w:val="20"/>
                <w:szCs w:val="20"/>
                <w:color w:val="auto"/>
              </w:rPr>
            </w:pPr>
            <w:r>
              <w:rPr>
                <w:rFonts w:ascii="Arial" w:cs="Arial" w:eastAsia="Arial" w:hAnsi="Arial"/>
                <w:sz w:val="14"/>
                <w:szCs w:val="14"/>
                <w:color w:val="auto"/>
                <w:w w:val="97"/>
              </w:rPr>
              <w:t>•   Home and Office Furnishings, Housewares and Durable</w:t>
            </w:r>
          </w:p>
        </w:tc>
        <w:tc>
          <w:tcPr>
            <w:tcW w:w="280" w:type="dxa"/>
            <w:vAlign w:val="bottom"/>
          </w:tcPr>
          <w:p>
            <w:pPr>
              <w:ind w:left="140"/>
              <w:spacing w:after="0"/>
              <w:rPr>
                <w:sz w:val="20"/>
                <w:szCs w:val="20"/>
                <w:color w:val="auto"/>
              </w:rPr>
            </w:pPr>
            <w:r>
              <w:rPr>
                <w:rFonts w:ascii="Arial" w:cs="Arial" w:eastAsia="Arial" w:hAnsi="Arial"/>
                <w:sz w:val="14"/>
                <w:szCs w:val="14"/>
                <w:color w:val="auto"/>
              </w:rPr>
              <w:t>•</w:t>
            </w:r>
          </w:p>
        </w:tc>
        <w:tc>
          <w:tcPr>
            <w:tcW w:w="3440" w:type="dxa"/>
            <w:vAlign w:val="bottom"/>
          </w:tcPr>
          <w:p>
            <w:pPr>
              <w:ind w:left="80"/>
              <w:spacing w:after="0"/>
              <w:rPr>
                <w:sz w:val="20"/>
                <w:szCs w:val="20"/>
                <w:color w:val="auto"/>
              </w:rPr>
            </w:pPr>
            <w:r>
              <w:rPr>
                <w:rFonts w:ascii="Arial" w:cs="Arial" w:eastAsia="Arial" w:hAnsi="Arial"/>
                <w:sz w:val="14"/>
                <w:szCs w:val="14"/>
                <w:color w:val="auto"/>
              </w:rPr>
              <w:t>Retail</w:t>
            </w:r>
          </w:p>
        </w:tc>
      </w:tr>
      <w:tr>
        <w:trPr>
          <w:trHeight w:val="182"/>
        </w:trPr>
        <w:tc>
          <w:tcPr>
            <w:tcW w:w="140" w:type="dxa"/>
            <w:vAlign w:val="bottom"/>
          </w:tcPr>
          <w:p>
            <w:pPr>
              <w:spacing w:after="0"/>
              <w:rPr>
                <w:sz w:val="15"/>
                <w:szCs w:val="15"/>
                <w:color w:val="auto"/>
              </w:rPr>
            </w:pPr>
          </w:p>
        </w:tc>
        <w:tc>
          <w:tcPr>
            <w:tcW w:w="306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3440" w:type="dxa"/>
            <w:vAlign w:val="bottom"/>
            <w:gridSpan w:val="5"/>
          </w:tcPr>
          <w:p>
            <w:pPr>
              <w:ind w:left="180"/>
              <w:spacing w:after="0"/>
              <w:rPr>
                <w:sz w:val="20"/>
                <w:szCs w:val="20"/>
                <w:color w:val="auto"/>
              </w:rPr>
            </w:pPr>
            <w:r>
              <w:rPr>
                <w:rFonts w:ascii="Arial" w:cs="Arial" w:eastAsia="Arial" w:hAnsi="Arial"/>
                <w:sz w:val="14"/>
                <w:szCs w:val="14"/>
                <w:color w:val="auto"/>
              </w:rPr>
              <w:t>Consumer Products</w:t>
            </w:r>
          </w:p>
        </w:tc>
        <w:tc>
          <w:tcPr>
            <w:tcW w:w="280" w:type="dxa"/>
            <w:vAlign w:val="bottom"/>
          </w:tcPr>
          <w:p>
            <w:pPr>
              <w:spacing w:after="0"/>
              <w:rPr>
                <w:sz w:val="15"/>
                <w:szCs w:val="15"/>
                <w:color w:val="auto"/>
              </w:rPr>
            </w:pPr>
          </w:p>
        </w:tc>
        <w:tc>
          <w:tcPr>
            <w:tcW w:w="3440" w:type="dxa"/>
            <w:vAlign w:val="bottom"/>
          </w:tcPr>
          <w:p>
            <w:pPr>
              <w:spacing w:after="0"/>
              <w:rPr>
                <w:sz w:val="15"/>
                <w:szCs w:val="15"/>
                <w:color w:val="auto"/>
              </w:rPr>
            </w:pPr>
          </w:p>
        </w:tc>
      </w:tr>
      <w:tr>
        <w:trPr>
          <w:trHeight w:val="297"/>
        </w:trPr>
        <w:tc>
          <w:tcPr>
            <w:tcW w:w="140" w:type="dxa"/>
            <w:vAlign w:val="bottom"/>
          </w:tcPr>
          <w:p>
            <w:pPr>
              <w:spacing w:after="0"/>
              <w:rPr>
                <w:sz w:val="20"/>
                <w:szCs w:val="20"/>
                <w:color w:val="auto"/>
              </w:rPr>
            </w:pPr>
            <w:r>
              <w:rPr>
                <w:rFonts w:ascii="Arial" w:cs="Arial" w:eastAsia="Arial" w:hAnsi="Arial"/>
                <w:sz w:val="14"/>
                <w:szCs w:val="14"/>
                <w:color w:val="auto"/>
              </w:rPr>
              <w:t>•</w:t>
            </w:r>
          </w:p>
        </w:tc>
        <w:tc>
          <w:tcPr>
            <w:tcW w:w="3060" w:type="dxa"/>
            <w:vAlign w:val="bottom"/>
          </w:tcPr>
          <w:p>
            <w:pPr>
              <w:ind w:left="100"/>
              <w:spacing w:after="0"/>
              <w:rPr>
                <w:sz w:val="20"/>
                <w:szCs w:val="20"/>
                <w:color w:val="auto"/>
              </w:rPr>
            </w:pPr>
            <w:r>
              <w:rPr>
                <w:rFonts w:ascii="Arial" w:cs="Arial" w:eastAsia="Arial" w:hAnsi="Arial"/>
                <w:sz w:val="14"/>
                <w:szCs w:val="14"/>
                <w:color w:val="auto"/>
              </w:rPr>
              <w:t>Distribution</w:t>
            </w:r>
          </w:p>
        </w:tc>
        <w:tc>
          <w:tcPr>
            <w:tcW w:w="660" w:type="dxa"/>
            <w:vAlign w:val="bottom"/>
          </w:tcPr>
          <w:p>
            <w:pPr>
              <w:ind w:left="520"/>
              <w:spacing w:after="0"/>
              <w:rPr>
                <w:sz w:val="20"/>
                <w:szCs w:val="20"/>
                <w:color w:val="auto"/>
              </w:rPr>
            </w:pPr>
            <w:r>
              <w:rPr>
                <w:rFonts w:ascii="Arial" w:cs="Arial" w:eastAsia="Arial" w:hAnsi="Arial"/>
                <w:sz w:val="14"/>
                <w:szCs w:val="14"/>
                <w:color w:val="auto"/>
              </w:rPr>
              <w:t>•</w:t>
            </w:r>
          </w:p>
        </w:tc>
        <w:tc>
          <w:tcPr>
            <w:tcW w:w="3440" w:type="dxa"/>
            <w:vAlign w:val="bottom"/>
            <w:gridSpan w:val="5"/>
          </w:tcPr>
          <w:p>
            <w:pPr>
              <w:ind w:left="100"/>
              <w:spacing w:after="0"/>
              <w:rPr>
                <w:sz w:val="20"/>
                <w:szCs w:val="20"/>
                <w:color w:val="auto"/>
              </w:rPr>
            </w:pPr>
            <w:r>
              <w:rPr>
                <w:rFonts w:ascii="Arial" w:cs="Arial" w:eastAsia="Arial" w:hAnsi="Arial"/>
                <w:sz w:val="14"/>
                <w:szCs w:val="14"/>
                <w:color w:val="auto"/>
              </w:rPr>
              <w:t>Homebuilding</w:t>
            </w:r>
          </w:p>
        </w:tc>
        <w:tc>
          <w:tcPr>
            <w:tcW w:w="280" w:type="dxa"/>
            <w:vAlign w:val="bottom"/>
          </w:tcPr>
          <w:p>
            <w:pPr>
              <w:ind w:left="140"/>
              <w:spacing w:after="0"/>
              <w:rPr>
                <w:sz w:val="20"/>
                <w:szCs w:val="20"/>
                <w:color w:val="auto"/>
              </w:rPr>
            </w:pPr>
            <w:r>
              <w:rPr>
                <w:rFonts w:ascii="Arial" w:cs="Arial" w:eastAsia="Arial" w:hAnsi="Arial"/>
                <w:sz w:val="14"/>
                <w:szCs w:val="14"/>
                <w:color w:val="auto"/>
              </w:rPr>
              <w:t>•</w:t>
            </w:r>
          </w:p>
        </w:tc>
        <w:tc>
          <w:tcPr>
            <w:tcW w:w="3440" w:type="dxa"/>
            <w:vAlign w:val="bottom"/>
          </w:tcPr>
          <w:p>
            <w:pPr>
              <w:ind w:left="80"/>
              <w:spacing w:after="0"/>
              <w:rPr>
                <w:sz w:val="20"/>
                <w:szCs w:val="20"/>
                <w:color w:val="auto"/>
              </w:rPr>
            </w:pPr>
            <w:r>
              <w:rPr>
                <w:rFonts w:ascii="Arial" w:cs="Arial" w:eastAsia="Arial" w:hAnsi="Arial"/>
                <w:sz w:val="14"/>
                <w:szCs w:val="14"/>
                <w:color w:val="auto"/>
              </w:rPr>
              <w:t>Retail Store</w:t>
            </w:r>
          </w:p>
        </w:tc>
      </w:tr>
      <w:tr>
        <w:trPr>
          <w:trHeight w:val="297"/>
        </w:trPr>
        <w:tc>
          <w:tcPr>
            <w:tcW w:w="140" w:type="dxa"/>
            <w:vAlign w:val="bottom"/>
          </w:tcPr>
          <w:p>
            <w:pPr>
              <w:spacing w:after="0"/>
              <w:rPr>
                <w:sz w:val="20"/>
                <w:szCs w:val="20"/>
                <w:color w:val="auto"/>
              </w:rPr>
            </w:pPr>
            <w:r>
              <w:rPr>
                <w:rFonts w:ascii="Arial" w:cs="Arial" w:eastAsia="Arial" w:hAnsi="Arial"/>
                <w:sz w:val="14"/>
                <w:szCs w:val="14"/>
                <w:color w:val="auto"/>
              </w:rPr>
              <w:t>•</w:t>
            </w:r>
          </w:p>
        </w:tc>
        <w:tc>
          <w:tcPr>
            <w:tcW w:w="3060" w:type="dxa"/>
            <w:vAlign w:val="bottom"/>
          </w:tcPr>
          <w:p>
            <w:pPr>
              <w:ind w:left="100"/>
              <w:spacing w:after="0"/>
              <w:rPr>
                <w:sz w:val="20"/>
                <w:szCs w:val="20"/>
                <w:color w:val="auto"/>
              </w:rPr>
            </w:pPr>
            <w:r>
              <w:rPr>
                <w:rFonts w:ascii="Arial" w:cs="Arial" w:eastAsia="Arial" w:hAnsi="Arial"/>
                <w:sz w:val="14"/>
                <w:szCs w:val="14"/>
                <w:color w:val="auto"/>
              </w:rPr>
              <w:t>Diversified/ Conglomerate Manufacturing</w:t>
            </w:r>
          </w:p>
        </w:tc>
        <w:tc>
          <w:tcPr>
            <w:tcW w:w="4100" w:type="dxa"/>
            <w:vAlign w:val="bottom"/>
            <w:gridSpan w:val="6"/>
          </w:tcPr>
          <w:p>
            <w:pPr>
              <w:ind w:left="520"/>
              <w:spacing w:after="0"/>
              <w:rPr>
                <w:sz w:val="20"/>
                <w:szCs w:val="20"/>
                <w:color w:val="auto"/>
              </w:rPr>
            </w:pPr>
            <w:r>
              <w:rPr>
                <w:rFonts w:ascii="Arial" w:cs="Arial" w:eastAsia="Arial" w:hAnsi="Arial"/>
                <w:sz w:val="14"/>
                <w:szCs w:val="14"/>
                <w:color w:val="auto"/>
              </w:rPr>
              <w:t>•   Hotels, Motels, Inns and Gaming</w:t>
            </w:r>
          </w:p>
        </w:tc>
        <w:tc>
          <w:tcPr>
            <w:tcW w:w="280" w:type="dxa"/>
            <w:vAlign w:val="bottom"/>
          </w:tcPr>
          <w:p>
            <w:pPr>
              <w:ind w:left="140"/>
              <w:spacing w:after="0"/>
              <w:rPr>
                <w:sz w:val="20"/>
                <w:szCs w:val="20"/>
                <w:color w:val="auto"/>
              </w:rPr>
            </w:pPr>
            <w:r>
              <w:rPr>
                <w:rFonts w:ascii="Arial" w:cs="Arial" w:eastAsia="Arial" w:hAnsi="Arial"/>
                <w:sz w:val="14"/>
                <w:szCs w:val="14"/>
                <w:color w:val="auto"/>
              </w:rPr>
              <w:t>•</w:t>
            </w:r>
          </w:p>
        </w:tc>
        <w:tc>
          <w:tcPr>
            <w:tcW w:w="3440" w:type="dxa"/>
            <w:vAlign w:val="bottom"/>
          </w:tcPr>
          <w:p>
            <w:pPr>
              <w:ind w:left="80"/>
              <w:spacing w:after="0"/>
              <w:rPr>
                <w:sz w:val="20"/>
                <w:szCs w:val="20"/>
                <w:color w:val="auto"/>
              </w:rPr>
            </w:pPr>
            <w:r>
              <w:rPr>
                <w:rFonts w:ascii="Arial" w:cs="Arial" w:eastAsia="Arial" w:hAnsi="Arial"/>
                <w:sz w:val="14"/>
                <w:szCs w:val="14"/>
                <w:color w:val="auto"/>
              </w:rPr>
              <w:t>Telecommunications</w:t>
            </w:r>
          </w:p>
        </w:tc>
      </w:tr>
      <w:tr>
        <w:trPr>
          <w:trHeight w:val="297"/>
        </w:trPr>
        <w:tc>
          <w:tcPr>
            <w:tcW w:w="140" w:type="dxa"/>
            <w:vAlign w:val="bottom"/>
          </w:tcPr>
          <w:p>
            <w:pPr>
              <w:spacing w:after="0"/>
              <w:rPr>
                <w:sz w:val="20"/>
                <w:szCs w:val="20"/>
                <w:color w:val="auto"/>
              </w:rPr>
            </w:pPr>
            <w:r>
              <w:rPr>
                <w:rFonts w:ascii="Arial" w:cs="Arial" w:eastAsia="Arial" w:hAnsi="Arial"/>
                <w:sz w:val="14"/>
                <w:szCs w:val="14"/>
                <w:color w:val="auto"/>
              </w:rPr>
              <w:t>•</w:t>
            </w:r>
          </w:p>
        </w:tc>
        <w:tc>
          <w:tcPr>
            <w:tcW w:w="3060" w:type="dxa"/>
            <w:vAlign w:val="bottom"/>
          </w:tcPr>
          <w:p>
            <w:pPr>
              <w:ind w:left="100"/>
              <w:spacing w:after="0"/>
              <w:rPr>
                <w:sz w:val="20"/>
                <w:szCs w:val="20"/>
                <w:color w:val="auto"/>
              </w:rPr>
            </w:pPr>
            <w:r>
              <w:rPr>
                <w:rFonts w:ascii="Arial" w:cs="Arial" w:eastAsia="Arial" w:hAnsi="Arial"/>
                <w:sz w:val="14"/>
                <w:szCs w:val="14"/>
                <w:color w:val="auto"/>
              </w:rPr>
              <w:t>Diversified/ Conglomerate Service</w:t>
            </w:r>
          </w:p>
        </w:tc>
        <w:tc>
          <w:tcPr>
            <w:tcW w:w="4100" w:type="dxa"/>
            <w:vAlign w:val="bottom"/>
            <w:gridSpan w:val="6"/>
          </w:tcPr>
          <w:p>
            <w:pPr>
              <w:ind w:left="520"/>
              <w:spacing w:after="0"/>
              <w:rPr>
                <w:sz w:val="20"/>
                <w:szCs w:val="20"/>
                <w:color w:val="auto"/>
              </w:rPr>
            </w:pPr>
            <w:r>
              <w:rPr>
                <w:rFonts w:ascii="Arial" w:cs="Arial" w:eastAsia="Arial" w:hAnsi="Arial"/>
                <w:sz w:val="14"/>
                <w:szCs w:val="14"/>
                <w:color w:val="auto"/>
              </w:rPr>
              <w:t>•   Leisure, Amusement, Motion Pictures, Entertainment</w:t>
            </w:r>
          </w:p>
        </w:tc>
        <w:tc>
          <w:tcPr>
            <w:tcW w:w="280" w:type="dxa"/>
            <w:vAlign w:val="bottom"/>
          </w:tcPr>
          <w:p>
            <w:pPr>
              <w:ind w:left="140"/>
              <w:spacing w:after="0"/>
              <w:rPr>
                <w:sz w:val="20"/>
                <w:szCs w:val="20"/>
                <w:color w:val="auto"/>
              </w:rPr>
            </w:pPr>
            <w:r>
              <w:rPr>
                <w:rFonts w:ascii="Arial" w:cs="Arial" w:eastAsia="Arial" w:hAnsi="Arial"/>
                <w:sz w:val="14"/>
                <w:szCs w:val="14"/>
                <w:color w:val="auto"/>
              </w:rPr>
              <w:t>•</w:t>
            </w:r>
          </w:p>
        </w:tc>
        <w:tc>
          <w:tcPr>
            <w:tcW w:w="3440" w:type="dxa"/>
            <w:vAlign w:val="bottom"/>
          </w:tcPr>
          <w:p>
            <w:pPr>
              <w:ind w:left="80"/>
              <w:spacing w:after="0"/>
              <w:rPr>
                <w:sz w:val="20"/>
                <w:szCs w:val="20"/>
                <w:color w:val="auto"/>
              </w:rPr>
            </w:pPr>
            <w:r>
              <w:rPr>
                <w:rFonts w:ascii="Arial" w:cs="Arial" w:eastAsia="Arial" w:hAnsi="Arial"/>
                <w:sz w:val="14"/>
                <w:szCs w:val="14"/>
                <w:color w:val="auto"/>
              </w:rPr>
              <w:t>Textiles and Leather</w:t>
            </w:r>
          </w:p>
        </w:tc>
      </w:tr>
      <w:tr>
        <w:trPr>
          <w:trHeight w:val="297"/>
        </w:trPr>
        <w:tc>
          <w:tcPr>
            <w:tcW w:w="140" w:type="dxa"/>
            <w:vAlign w:val="bottom"/>
          </w:tcPr>
          <w:p>
            <w:pPr>
              <w:spacing w:after="0"/>
              <w:rPr>
                <w:sz w:val="20"/>
                <w:szCs w:val="20"/>
                <w:color w:val="auto"/>
              </w:rPr>
            </w:pPr>
            <w:r>
              <w:rPr>
                <w:rFonts w:ascii="Arial" w:cs="Arial" w:eastAsia="Arial" w:hAnsi="Arial"/>
                <w:sz w:val="14"/>
                <w:szCs w:val="14"/>
                <w:color w:val="auto"/>
              </w:rPr>
              <w:t>•</w:t>
            </w:r>
          </w:p>
        </w:tc>
        <w:tc>
          <w:tcPr>
            <w:tcW w:w="3060" w:type="dxa"/>
            <w:vAlign w:val="bottom"/>
          </w:tcPr>
          <w:p>
            <w:pPr>
              <w:ind w:left="100"/>
              <w:spacing w:after="0"/>
              <w:rPr>
                <w:sz w:val="20"/>
                <w:szCs w:val="20"/>
                <w:color w:val="auto"/>
              </w:rPr>
            </w:pPr>
            <w:r>
              <w:rPr>
                <w:rFonts w:ascii="Arial" w:cs="Arial" w:eastAsia="Arial" w:hAnsi="Arial"/>
                <w:sz w:val="14"/>
                <w:szCs w:val="14"/>
                <w:color w:val="auto"/>
              </w:rPr>
              <w:t>Utilities</w:t>
            </w:r>
          </w:p>
        </w:tc>
        <w:tc>
          <w:tcPr>
            <w:tcW w:w="660" w:type="dxa"/>
            <w:vAlign w:val="bottom"/>
          </w:tcPr>
          <w:p>
            <w:pPr>
              <w:ind w:left="520"/>
              <w:spacing w:after="0"/>
              <w:rPr>
                <w:sz w:val="20"/>
                <w:szCs w:val="20"/>
                <w:color w:val="auto"/>
              </w:rPr>
            </w:pPr>
            <w:r>
              <w:rPr>
                <w:rFonts w:ascii="Arial" w:cs="Arial" w:eastAsia="Arial" w:hAnsi="Arial"/>
                <w:sz w:val="14"/>
                <w:szCs w:val="14"/>
                <w:color w:val="auto"/>
              </w:rPr>
              <w:t>•</w:t>
            </w:r>
          </w:p>
        </w:tc>
        <w:tc>
          <w:tcPr>
            <w:tcW w:w="3440" w:type="dxa"/>
            <w:vAlign w:val="bottom"/>
            <w:gridSpan w:val="5"/>
          </w:tcPr>
          <w:p>
            <w:pPr>
              <w:ind w:left="100"/>
              <w:spacing w:after="0"/>
              <w:rPr>
                <w:sz w:val="20"/>
                <w:szCs w:val="20"/>
                <w:color w:val="auto"/>
              </w:rPr>
            </w:pPr>
            <w:r>
              <w:rPr>
                <w:rFonts w:ascii="Arial" w:cs="Arial" w:eastAsia="Arial" w:hAnsi="Arial"/>
                <w:sz w:val="14"/>
                <w:szCs w:val="14"/>
                <w:color w:val="auto"/>
              </w:rPr>
              <w:t>Lodging, Leisure, Resorts</w:t>
            </w:r>
          </w:p>
        </w:tc>
        <w:tc>
          <w:tcPr>
            <w:tcW w:w="280" w:type="dxa"/>
            <w:vAlign w:val="bottom"/>
          </w:tcPr>
          <w:p>
            <w:pPr>
              <w:ind w:left="140"/>
              <w:spacing w:after="0"/>
              <w:rPr>
                <w:sz w:val="20"/>
                <w:szCs w:val="20"/>
                <w:color w:val="auto"/>
              </w:rPr>
            </w:pPr>
            <w:r>
              <w:rPr>
                <w:rFonts w:ascii="Arial" w:cs="Arial" w:eastAsia="Arial" w:hAnsi="Arial"/>
                <w:sz w:val="14"/>
                <w:szCs w:val="14"/>
                <w:color w:val="auto"/>
              </w:rPr>
              <w:t>•</w:t>
            </w:r>
          </w:p>
        </w:tc>
        <w:tc>
          <w:tcPr>
            <w:tcW w:w="3440" w:type="dxa"/>
            <w:vAlign w:val="bottom"/>
          </w:tcPr>
          <w:p>
            <w:pPr>
              <w:ind w:left="80"/>
              <w:spacing w:after="0"/>
              <w:rPr>
                <w:sz w:val="20"/>
                <w:szCs w:val="20"/>
                <w:color w:val="auto"/>
              </w:rPr>
            </w:pPr>
            <w:r>
              <w:rPr>
                <w:rFonts w:ascii="Arial" w:cs="Arial" w:eastAsia="Arial" w:hAnsi="Arial"/>
                <w:sz w:val="14"/>
                <w:szCs w:val="14"/>
                <w:color w:val="auto"/>
              </w:rPr>
              <w:t>Transportation</w:t>
            </w:r>
          </w:p>
        </w:tc>
      </w:tr>
    </w:tbl>
    <w:p>
      <w:pPr>
        <w:spacing w:after="0" w:line="115" w:lineRule="exact"/>
        <w:rPr>
          <w:sz w:val="20"/>
          <w:szCs w:val="20"/>
          <w:color w:val="auto"/>
        </w:rPr>
      </w:pPr>
    </w:p>
    <w:p>
      <w:pPr>
        <w:spacing w:after="0"/>
        <w:rPr>
          <w:sz w:val="20"/>
          <w:szCs w:val="20"/>
          <w:color w:val="auto"/>
        </w:rPr>
      </w:pPr>
      <w:r>
        <w:rPr>
          <w:rFonts w:ascii="Arial" w:cs="Arial" w:eastAsia="Arial" w:hAnsi="Arial"/>
          <w:sz w:val="14"/>
          <w:szCs w:val="14"/>
          <w:color w:val="auto"/>
        </w:rPr>
        <w:t>Additional Industry Classification Group Designated Pursuant to Section 5.12 as of the Effective Date:</w:t>
      </w:r>
    </w:p>
    <w:p>
      <w:pPr>
        <w:spacing w:after="0" w:line="204" w:lineRule="exact"/>
        <w:rPr>
          <w:sz w:val="20"/>
          <w:szCs w:val="20"/>
          <w:color w:val="auto"/>
        </w:rPr>
      </w:pPr>
    </w:p>
    <w:p>
      <w:pPr>
        <w:spacing w:after="0"/>
        <w:rPr>
          <w:sz w:val="20"/>
          <w:szCs w:val="20"/>
          <w:color w:val="auto"/>
        </w:rPr>
      </w:pPr>
      <w:r>
        <w:rPr>
          <w:rFonts w:ascii="Arial" w:cs="Arial" w:eastAsia="Arial" w:hAnsi="Arial"/>
          <w:sz w:val="14"/>
          <w:szCs w:val="14"/>
          <w:color w:val="auto"/>
        </w:rPr>
        <w:t>None.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672465</wp:posOffset>
            </wp:positionV>
            <wp:extent cx="7149465" cy="17145"/>
            <wp:wrapNone/>
            <wp:docPr id="246" name="Picture 2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6"/>
                    <pic:cNvPicPr>
                      <a:picLocks noChangeAspect="1" noChangeArrowheads="1"/>
                    </pic:cNvPicPr>
                  </pic:nvPicPr>
                  <pic:blipFill>
                    <a:blip r:embed="rId253">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020"/>
          </w:cols>
          <w:pgMar w:left="320" w:top="329" w:right="559" w:bottom="1440" w:gutter="0" w:footer="0" w:header="0"/>
        </w:sectPr>
      </w:pPr>
    </w:p>
    <w:bookmarkStart w:id="134" w:name="page135"/>
    <w:bookmarkEnd w:id="134"/>
    <w:p>
      <w:pPr>
        <w:jc w:val="center"/>
        <w:spacing w:after="0"/>
        <w:rPr>
          <w:sz w:val="20"/>
          <w:szCs w:val="20"/>
          <w:color w:val="auto"/>
        </w:rPr>
      </w:pPr>
      <w:r>
        <w:rPr>
          <w:rFonts w:ascii="Arial" w:cs="Arial" w:eastAsia="Arial" w:hAnsi="Arial"/>
          <w:sz w:val="14"/>
          <w:szCs w:val="14"/>
          <w:b w:val="1"/>
          <w:bCs w:val="1"/>
          <w:u w:val="single" w:color="auto"/>
          <w:color w:val="auto"/>
        </w:rPr>
        <w:t>Schedule 3.11</w:t>
      </w:r>
    </w:p>
    <w:p>
      <w:pPr>
        <w:spacing w:after="0" w:line="204" w:lineRule="exact"/>
        <w:rPr>
          <w:sz w:val="20"/>
          <w:szCs w:val="20"/>
          <w:color w:val="auto"/>
        </w:rPr>
      </w:pPr>
    </w:p>
    <w:p>
      <w:pPr>
        <w:jc w:val="center"/>
        <w:spacing w:after="0"/>
        <w:rPr>
          <w:sz w:val="20"/>
          <w:szCs w:val="20"/>
          <w:color w:val="auto"/>
        </w:rPr>
      </w:pPr>
      <w:r>
        <w:rPr>
          <w:rFonts w:ascii="Arial" w:cs="Arial" w:eastAsia="Arial" w:hAnsi="Arial"/>
          <w:sz w:val="14"/>
          <w:szCs w:val="14"/>
          <w:b w:val="1"/>
          <w:bCs w:val="1"/>
          <w:u w:val="single" w:color="auto"/>
          <w:color w:val="auto"/>
        </w:rPr>
        <w:t>Material Agreements and Liens</w:t>
      </w:r>
    </w:p>
    <w:p>
      <w:pPr>
        <w:spacing w:after="0" w:line="204"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Part A:</w:t>
      </w:r>
    </w:p>
    <w:p>
      <w:pPr>
        <w:spacing w:after="0" w:line="208" w:lineRule="exact"/>
        <w:rPr>
          <w:sz w:val="20"/>
          <w:szCs w:val="20"/>
          <w:color w:val="auto"/>
        </w:rPr>
      </w:pPr>
    </w:p>
    <w:p>
      <w:pPr>
        <w:spacing w:after="0"/>
        <w:rPr>
          <w:sz w:val="20"/>
          <w:szCs w:val="20"/>
          <w:color w:val="auto"/>
        </w:rPr>
      </w:pPr>
      <w:r>
        <w:rPr>
          <w:rFonts w:ascii="Arial" w:cs="Arial" w:eastAsia="Arial" w:hAnsi="Arial"/>
          <w:sz w:val="14"/>
          <w:szCs w:val="14"/>
          <w:color w:val="auto"/>
        </w:rPr>
        <w:t>PennantPark Investment Corporation’s 6.25% Senior Notes due 2025;</w:t>
      </w:r>
    </w:p>
    <w:p>
      <w:pPr>
        <w:spacing w:after="0" w:line="204" w:lineRule="exact"/>
        <w:rPr>
          <w:sz w:val="20"/>
          <w:szCs w:val="20"/>
          <w:color w:val="auto"/>
        </w:rPr>
      </w:pPr>
    </w:p>
    <w:p>
      <w:pPr>
        <w:spacing w:after="0"/>
        <w:rPr>
          <w:sz w:val="20"/>
          <w:szCs w:val="20"/>
          <w:color w:val="auto"/>
        </w:rPr>
      </w:pPr>
      <w:r>
        <w:rPr>
          <w:rFonts w:ascii="Arial" w:cs="Arial" w:eastAsia="Arial" w:hAnsi="Arial"/>
          <w:sz w:val="14"/>
          <w:szCs w:val="14"/>
          <w:color w:val="auto"/>
        </w:rPr>
        <w:t>SBA debentures issued by PennantPark SBIC LP (the “SBA Debentures”);</w:t>
      </w:r>
    </w:p>
    <w:p>
      <w:pPr>
        <w:spacing w:after="0" w:line="200"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Part B:</w:t>
      </w:r>
    </w:p>
    <w:p>
      <w:pPr>
        <w:spacing w:after="0" w:line="204"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UCC Liens:</w:t>
      </w:r>
    </w:p>
    <w:p>
      <w:pPr>
        <w:spacing w:after="0" w:line="206" w:lineRule="exact"/>
        <w:rPr>
          <w:sz w:val="20"/>
          <w:szCs w:val="20"/>
          <w:color w:val="auto"/>
        </w:rPr>
      </w:pPr>
    </w:p>
    <w:tbl>
      <w:tblPr>
        <w:tblLayout w:type="fixed"/>
        <w:tblInd w:w="10" w:type="dxa"/>
        <w:tblCellMar>
          <w:top w:w="0" w:type="dxa"/>
          <w:left w:w="0" w:type="dxa"/>
          <w:bottom w:w="0" w:type="dxa"/>
          <w:right w:w="0" w:type="dxa"/>
        </w:tblCellMar>
      </w:tblPr>
      <w:tr>
        <w:trPr>
          <w:trHeight w:val="207"/>
        </w:trPr>
        <w:tc>
          <w:tcPr>
            <w:tcW w:w="2060" w:type="dxa"/>
            <w:vAlign w:val="bottom"/>
            <w:tcBorders>
              <w:top w:val="single" w:sz="8" w:color="auto"/>
              <w:left w:val="single" w:sz="8" w:color="auto"/>
              <w:right w:val="single" w:sz="8" w:color="auto"/>
            </w:tcBorders>
            <w:shd w:val="clear" w:color="auto" w:fill="E7E6E6"/>
          </w:tcPr>
          <w:p>
            <w:pPr>
              <w:ind w:left="80"/>
              <w:spacing w:after="0"/>
              <w:rPr>
                <w:sz w:val="20"/>
                <w:szCs w:val="20"/>
                <w:color w:val="auto"/>
              </w:rPr>
            </w:pPr>
            <w:r>
              <w:rPr>
                <w:rFonts w:ascii="Arial" w:cs="Arial" w:eastAsia="Arial" w:hAnsi="Arial"/>
                <w:sz w:val="14"/>
                <w:szCs w:val="14"/>
                <w:b w:val="1"/>
                <w:bCs w:val="1"/>
                <w:color w:val="auto"/>
              </w:rPr>
              <w:t>Debtor</w:t>
            </w:r>
          </w:p>
        </w:tc>
        <w:tc>
          <w:tcPr>
            <w:tcW w:w="1680" w:type="dxa"/>
            <w:vAlign w:val="bottom"/>
            <w:tcBorders>
              <w:top w:val="single" w:sz="8" w:color="auto"/>
              <w:right w:val="single" w:sz="8" w:color="auto"/>
            </w:tcBorders>
            <w:shd w:val="clear" w:color="auto" w:fill="E7E6E6"/>
          </w:tcPr>
          <w:p>
            <w:pPr>
              <w:ind w:left="40"/>
              <w:spacing w:after="0"/>
              <w:rPr>
                <w:sz w:val="20"/>
                <w:szCs w:val="20"/>
                <w:color w:val="auto"/>
              </w:rPr>
            </w:pPr>
            <w:r>
              <w:rPr>
                <w:rFonts w:ascii="Arial" w:cs="Arial" w:eastAsia="Arial" w:hAnsi="Arial"/>
                <w:sz w:val="14"/>
                <w:szCs w:val="14"/>
                <w:b w:val="1"/>
                <w:bCs w:val="1"/>
                <w:color w:val="auto"/>
              </w:rPr>
              <w:t>Secured</w:t>
            </w:r>
          </w:p>
        </w:tc>
        <w:tc>
          <w:tcPr>
            <w:tcW w:w="2260" w:type="dxa"/>
            <w:vAlign w:val="bottom"/>
            <w:tcBorders>
              <w:top w:val="single" w:sz="8" w:color="auto"/>
              <w:right w:val="single" w:sz="8" w:color="auto"/>
            </w:tcBorders>
            <w:shd w:val="clear" w:color="auto" w:fill="E7E6E6"/>
          </w:tcPr>
          <w:p>
            <w:pPr>
              <w:ind w:left="40"/>
              <w:spacing w:after="0"/>
              <w:rPr>
                <w:sz w:val="20"/>
                <w:szCs w:val="20"/>
                <w:color w:val="auto"/>
              </w:rPr>
            </w:pPr>
            <w:r>
              <w:rPr>
                <w:rFonts w:ascii="Arial" w:cs="Arial" w:eastAsia="Arial" w:hAnsi="Arial"/>
                <w:sz w:val="14"/>
                <w:szCs w:val="14"/>
                <w:b w:val="1"/>
                <w:bCs w:val="1"/>
                <w:color w:val="auto"/>
              </w:rPr>
              <w:t>Jurisdiction/</w:t>
            </w:r>
          </w:p>
        </w:tc>
        <w:tc>
          <w:tcPr>
            <w:tcW w:w="2460" w:type="dxa"/>
            <w:vAlign w:val="bottom"/>
            <w:tcBorders>
              <w:top w:val="single" w:sz="8" w:color="auto"/>
              <w:right w:val="single" w:sz="8" w:color="auto"/>
            </w:tcBorders>
            <w:shd w:val="clear" w:color="auto" w:fill="E7E6E6"/>
          </w:tcPr>
          <w:p>
            <w:pPr>
              <w:ind w:left="40"/>
              <w:spacing w:after="0"/>
              <w:rPr>
                <w:sz w:val="20"/>
                <w:szCs w:val="20"/>
                <w:color w:val="auto"/>
              </w:rPr>
            </w:pPr>
            <w:r>
              <w:rPr>
                <w:rFonts w:ascii="Arial" w:cs="Arial" w:eastAsia="Arial" w:hAnsi="Arial"/>
                <w:sz w:val="14"/>
                <w:szCs w:val="14"/>
                <w:b w:val="1"/>
                <w:bCs w:val="1"/>
                <w:color w:val="auto"/>
              </w:rPr>
              <w:t>Filing</w:t>
            </w:r>
          </w:p>
        </w:tc>
        <w:tc>
          <w:tcPr>
            <w:tcW w:w="1120" w:type="dxa"/>
            <w:vAlign w:val="bottom"/>
            <w:tcBorders>
              <w:top w:val="single" w:sz="8" w:color="auto"/>
              <w:right w:val="single" w:sz="8" w:color="auto"/>
            </w:tcBorders>
            <w:shd w:val="clear" w:color="auto" w:fill="E7E6E6"/>
          </w:tcPr>
          <w:p>
            <w:pPr>
              <w:ind w:left="40"/>
              <w:spacing w:after="0"/>
              <w:rPr>
                <w:sz w:val="20"/>
                <w:szCs w:val="20"/>
                <w:color w:val="auto"/>
              </w:rPr>
            </w:pPr>
            <w:r>
              <w:rPr>
                <w:rFonts w:ascii="Arial" w:cs="Arial" w:eastAsia="Arial" w:hAnsi="Arial"/>
                <w:sz w:val="14"/>
                <w:szCs w:val="14"/>
                <w:b w:val="1"/>
                <w:bCs w:val="1"/>
                <w:color w:val="auto"/>
              </w:rPr>
              <w:t>Form</w:t>
            </w:r>
          </w:p>
        </w:tc>
        <w:tc>
          <w:tcPr>
            <w:tcW w:w="1660" w:type="dxa"/>
            <w:vAlign w:val="bottom"/>
            <w:tcBorders>
              <w:top w:val="single" w:sz="8" w:color="auto"/>
              <w:right w:val="single" w:sz="8" w:color="auto"/>
            </w:tcBorders>
            <w:shd w:val="clear" w:color="auto" w:fill="E7E6E6"/>
          </w:tcPr>
          <w:p>
            <w:pPr>
              <w:ind w:left="40"/>
              <w:spacing w:after="0"/>
              <w:rPr>
                <w:sz w:val="20"/>
                <w:szCs w:val="20"/>
                <w:color w:val="auto"/>
              </w:rPr>
            </w:pPr>
            <w:r>
              <w:rPr>
                <w:rFonts w:ascii="Arial" w:cs="Arial" w:eastAsia="Arial" w:hAnsi="Arial"/>
                <w:sz w:val="14"/>
                <w:szCs w:val="14"/>
                <w:b w:val="1"/>
                <w:bCs w:val="1"/>
                <w:color w:val="auto"/>
              </w:rPr>
              <w:t>Description</w:t>
            </w:r>
          </w:p>
        </w:tc>
        <w:tc>
          <w:tcPr>
            <w:tcW w:w="0" w:type="dxa"/>
            <w:vAlign w:val="bottom"/>
          </w:tcPr>
          <w:p>
            <w:pPr>
              <w:spacing w:after="0"/>
              <w:rPr>
                <w:sz w:val="1"/>
                <w:szCs w:val="1"/>
                <w:color w:val="auto"/>
              </w:rPr>
            </w:pPr>
          </w:p>
        </w:tc>
      </w:tr>
      <w:tr>
        <w:trPr>
          <w:trHeight w:val="149"/>
        </w:trPr>
        <w:tc>
          <w:tcPr>
            <w:tcW w:w="2060" w:type="dxa"/>
            <w:vAlign w:val="bottom"/>
            <w:tcBorders>
              <w:left w:val="single" w:sz="8" w:color="auto"/>
              <w:right w:val="single" w:sz="8" w:color="auto"/>
            </w:tcBorders>
            <w:shd w:val="clear" w:color="auto" w:fill="E7E6E6"/>
          </w:tcPr>
          <w:p>
            <w:pPr>
              <w:spacing w:after="0"/>
              <w:rPr>
                <w:sz w:val="12"/>
                <w:szCs w:val="12"/>
                <w:color w:val="auto"/>
              </w:rPr>
            </w:pPr>
          </w:p>
        </w:tc>
        <w:tc>
          <w:tcPr>
            <w:tcW w:w="1680" w:type="dxa"/>
            <w:vAlign w:val="bottom"/>
            <w:tcBorders>
              <w:right w:val="single" w:sz="8" w:color="auto"/>
            </w:tcBorders>
            <w:shd w:val="clear" w:color="auto" w:fill="E7E6E6"/>
          </w:tcPr>
          <w:p>
            <w:pPr>
              <w:ind w:left="40"/>
              <w:spacing w:after="0" w:line="149" w:lineRule="exact"/>
              <w:rPr>
                <w:sz w:val="20"/>
                <w:szCs w:val="20"/>
                <w:color w:val="auto"/>
              </w:rPr>
            </w:pPr>
            <w:r>
              <w:rPr>
                <w:rFonts w:ascii="Arial" w:cs="Arial" w:eastAsia="Arial" w:hAnsi="Arial"/>
                <w:sz w:val="14"/>
                <w:szCs w:val="14"/>
                <w:b w:val="1"/>
                <w:bCs w:val="1"/>
                <w:color w:val="auto"/>
              </w:rPr>
              <w:t>Party</w:t>
            </w:r>
          </w:p>
        </w:tc>
        <w:tc>
          <w:tcPr>
            <w:tcW w:w="2260" w:type="dxa"/>
            <w:vAlign w:val="bottom"/>
            <w:tcBorders>
              <w:right w:val="single" w:sz="8" w:color="auto"/>
            </w:tcBorders>
            <w:shd w:val="clear" w:color="auto" w:fill="E7E6E6"/>
          </w:tcPr>
          <w:p>
            <w:pPr>
              <w:ind w:left="40"/>
              <w:spacing w:after="0" w:line="149" w:lineRule="exact"/>
              <w:rPr>
                <w:sz w:val="20"/>
                <w:szCs w:val="20"/>
                <w:color w:val="auto"/>
              </w:rPr>
            </w:pPr>
            <w:r>
              <w:rPr>
                <w:rFonts w:ascii="Arial" w:cs="Arial" w:eastAsia="Arial" w:hAnsi="Arial"/>
                <w:sz w:val="14"/>
                <w:szCs w:val="14"/>
                <w:b w:val="1"/>
                <w:bCs w:val="1"/>
                <w:color w:val="auto"/>
              </w:rPr>
              <w:t>Office</w:t>
            </w:r>
          </w:p>
        </w:tc>
        <w:tc>
          <w:tcPr>
            <w:tcW w:w="2460" w:type="dxa"/>
            <w:vAlign w:val="bottom"/>
            <w:tcBorders>
              <w:right w:val="single" w:sz="8" w:color="auto"/>
            </w:tcBorders>
            <w:shd w:val="clear" w:color="auto" w:fill="E7E6E6"/>
          </w:tcPr>
          <w:p>
            <w:pPr>
              <w:ind w:left="40"/>
              <w:spacing w:after="0" w:line="149" w:lineRule="exact"/>
              <w:rPr>
                <w:sz w:val="20"/>
                <w:szCs w:val="20"/>
                <w:color w:val="auto"/>
              </w:rPr>
            </w:pPr>
            <w:r>
              <w:rPr>
                <w:rFonts w:ascii="Arial" w:cs="Arial" w:eastAsia="Arial" w:hAnsi="Arial"/>
                <w:sz w:val="14"/>
                <w:szCs w:val="14"/>
                <w:b w:val="1"/>
                <w:bCs w:val="1"/>
                <w:color w:val="auto"/>
              </w:rPr>
              <w:t>Number</w:t>
            </w:r>
          </w:p>
        </w:tc>
        <w:tc>
          <w:tcPr>
            <w:tcW w:w="1120" w:type="dxa"/>
            <w:vAlign w:val="bottom"/>
            <w:tcBorders>
              <w:right w:val="single" w:sz="8" w:color="auto"/>
            </w:tcBorders>
            <w:shd w:val="clear" w:color="auto" w:fill="E7E6E6"/>
          </w:tcPr>
          <w:p>
            <w:pPr>
              <w:spacing w:after="0"/>
              <w:rPr>
                <w:sz w:val="12"/>
                <w:szCs w:val="12"/>
                <w:color w:val="auto"/>
              </w:rPr>
            </w:pPr>
          </w:p>
        </w:tc>
        <w:tc>
          <w:tcPr>
            <w:tcW w:w="1660" w:type="dxa"/>
            <w:vAlign w:val="bottom"/>
            <w:tcBorders>
              <w:right w:val="single" w:sz="8" w:color="auto"/>
            </w:tcBorders>
            <w:shd w:val="clear" w:color="auto" w:fill="E7E6E6"/>
          </w:tcPr>
          <w:p>
            <w:pPr>
              <w:ind w:left="40"/>
              <w:spacing w:after="0" w:line="149" w:lineRule="exact"/>
              <w:rPr>
                <w:sz w:val="20"/>
                <w:szCs w:val="20"/>
                <w:color w:val="auto"/>
              </w:rPr>
            </w:pPr>
            <w:r>
              <w:rPr>
                <w:rFonts w:ascii="Arial" w:cs="Arial" w:eastAsia="Arial" w:hAnsi="Arial"/>
                <w:sz w:val="14"/>
                <w:szCs w:val="14"/>
                <w:b w:val="1"/>
                <w:bCs w:val="1"/>
                <w:color w:val="auto"/>
              </w:rPr>
              <w:t>of collateral</w:t>
            </w:r>
          </w:p>
        </w:tc>
        <w:tc>
          <w:tcPr>
            <w:tcW w:w="0" w:type="dxa"/>
            <w:vAlign w:val="bottom"/>
          </w:tcPr>
          <w:p>
            <w:pPr>
              <w:spacing w:after="0"/>
              <w:rPr>
                <w:sz w:val="1"/>
                <w:szCs w:val="1"/>
                <w:color w:val="auto"/>
              </w:rPr>
            </w:pPr>
          </w:p>
        </w:tc>
      </w:tr>
      <w:tr>
        <w:trPr>
          <w:trHeight w:val="217"/>
        </w:trPr>
        <w:tc>
          <w:tcPr>
            <w:tcW w:w="2060" w:type="dxa"/>
            <w:vAlign w:val="bottom"/>
            <w:tcBorders>
              <w:left w:val="single" w:sz="8" w:color="auto"/>
              <w:bottom w:val="single" w:sz="8" w:color="E7E6E6"/>
              <w:right w:val="single" w:sz="8" w:color="auto"/>
            </w:tcBorders>
            <w:shd w:val="clear" w:color="auto" w:fill="E7E6E6"/>
          </w:tcPr>
          <w:p>
            <w:pPr>
              <w:spacing w:after="0"/>
              <w:rPr>
                <w:sz w:val="18"/>
                <w:szCs w:val="18"/>
                <w:color w:val="auto"/>
              </w:rPr>
            </w:pPr>
          </w:p>
        </w:tc>
        <w:tc>
          <w:tcPr>
            <w:tcW w:w="1680" w:type="dxa"/>
            <w:vAlign w:val="bottom"/>
            <w:tcBorders>
              <w:bottom w:val="single" w:sz="8" w:color="E7E6E6"/>
              <w:right w:val="single" w:sz="8" w:color="auto"/>
            </w:tcBorders>
            <w:shd w:val="clear" w:color="auto" w:fill="E7E6E6"/>
          </w:tcPr>
          <w:p>
            <w:pPr>
              <w:spacing w:after="0"/>
              <w:rPr>
                <w:sz w:val="18"/>
                <w:szCs w:val="18"/>
                <w:color w:val="auto"/>
              </w:rPr>
            </w:pPr>
          </w:p>
        </w:tc>
        <w:tc>
          <w:tcPr>
            <w:tcW w:w="2260" w:type="dxa"/>
            <w:vAlign w:val="bottom"/>
            <w:tcBorders>
              <w:bottom w:val="single" w:sz="8" w:color="E7E6E6"/>
              <w:right w:val="single" w:sz="8" w:color="auto"/>
            </w:tcBorders>
            <w:shd w:val="clear" w:color="auto" w:fill="E7E6E6"/>
          </w:tcPr>
          <w:p>
            <w:pPr>
              <w:spacing w:after="0"/>
              <w:rPr>
                <w:sz w:val="18"/>
                <w:szCs w:val="18"/>
                <w:color w:val="auto"/>
              </w:rPr>
            </w:pPr>
          </w:p>
        </w:tc>
        <w:tc>
          <w:tcPr>
            <w:tcW w:w="2460" w:type="dxa"/>
            <w:vAlign w:val="bottom"/>
            <w:tcBorders>
              <w:bottom w:val="single" w:sz="8" w:color="E7E6E6"/>
              <w:right w:val="single" w:sz="8" w:color="auto"/>
            </w:tcBorders>
            <w:shd w:val="clear" w:color="auto" w:fill="E7E6E6"/>
          </w:tcPr>
          <w:p>
            <w:pPr>
              <w:ind w:left="40"/>
              <w:spacing w:after="0"/>
              <w:rPr>
                <w:sz w:val="20"/>
                <w:szCs w:val="20"/>
                <w:color w:val="auto"/>
              </w:rPr>
            </w:pPr>
            <w:r>
              <w:rPr>
                <w:rFonts w:ascii="Arial" w:cs="Arial" w:eastAsia="Arial" w:hAnsi="Arial"/>
                <w:sz w:val="14"/>
                <w:szCs w:val="14"/>
                <w:b w:val="1"/>
                <w:bCs w:val="1"/>
                <w:color w:val="auto"/>
              </w:rPr>
              <w:t>Date Filed</w:t>
            </w:r>
          </w:p>
        </w:tc>
        <w:tc>
          <w:tcPr>
            <w:tcW w:w="1120" w:type="dxa"/>
            <w:vAlign w:val="bottom"/>
            <w:tcBorders>
              <w:bottom w:val="single" w:sz="8" w:color="E7E6E6"/>
              <w:right w:val="single" w:sz="8" w:color="auto"/>
            </w:tcBorders>
            <w:shd w:val="clear" w:color="auto" w:fill="E7E6E6"/>
          </w:tcPr>
          <w:p>
            <w:pPr>
              <w:spacing w:after="0"/>
              <w:rPr>
                <w:sz w:val="18"/>
                <w:szCs w:val="18"/>
                <w:color w:val="auto"/>
              </w:rPr>
            </w:pPr>
          </w:p>
        </w:tc>
        <w:tc>
          <w:tcPr>
            <w:tcW w:w="1660" w:type="dxa"/>
            <w:vAlign w:val="bottom"/>
            <w:tcBorders>
              <w:bottom w:val="single" w:sz="8" w:color="E7E6E6"/>
              <w:right w:val="single" w:sz="8" w:color="auto"/>
            </w:tcBorders>
            <w:shd w:val="clear" w:color="auto" w:fill="E7E6E6"/>
          </w:tcPr>
          <w:p>
            <w:pPr>
              <w:spacing w:after="0"/>
              <w:rPr>
                <w:sz w:val="18"/>
                <w:szCs w:val="18"/>
                <w:color w:val="auto"/>
              </w:rPr>
            </w:pPr>
          </w:p>
        </w:tc>
        <w:tc>
          <w:tcPr>
            <w:tcW w:w="0" w:type="dxa"/>
            <w:vAlign w:val="bottom"/>
          </w:tcPr>
          <w:p>
            <w:pPr>
              <w:spacing w:after="0"/>
              <w:rPr>
                <w:sz w:val="1"/>
                <w:szCs w:val="1"/>
                <w:color w:val="auto"/>
              </w:rPr>
            </w:pPr>
          </w:p>
        </w:tc>
      </w:tr>
      <w:tr>
        <w:trPr>
          <w:trHeight w:val="187"/>
        </w:trPr>
        <w:tc>
          <w:tcPr>
            <w:tcW w:w="2060" w:type="dxa"/>
            <w:vAlign w:val="bottom"/>
            <w:tcBorders>
              <w:top w:val="single" w:sz="8" w:color="auto"/>
              <w:left w:val="single" w:sz="8" w:color="auto"/>
              <w:right w:val="single" w:sz="8" w:color="auto"/>
            </w:tcBorders>
          </w:tcPr>
          <w:p>
            <w:pPr>
              <w:ind w:left="80"/>
              <w:spacing w:after="0"/>
              <w:rPr>
                <w:sz w:val="20"/>
                <w:szCs w:val="20"/>
                <w:color w:val="auto"/>
              </w:rPr>
            </w:pPr>
            <w:r>
              <w:rPr>
                <w:rFonts w:ascii="Arial" w:cs="Arial" w:eastAsia="Arial" w:hAnsi="Arial"/>
                <w:sz w:val="14"/>
                <w:szCs w:val="14"/>
                <w:b w:val="1"/>
                <w:bCs w:val="1"/>
                <w:color w:val="auto"/>
              </w:rPr>
              <w:t>PennantPark</w:t>
            </w:r>
          </w:p>
        </w:tc>
        <w:tc>
          <w:tcPr>
            <w:tcW w:w="1680" w:type="dxa"/>
            <w:vAlign w:val="bottom"/>
            <w:tcBorders>
              <w:top w:val="single" w:sz="8" w:color="auto"/>
              <w:right w:val="single" w:sz="8" w:color="auto"/>
            </w:tcBorders>
          </w:tcPr>
          <w:p>
            <w:pPr>
              <w:ind w:left="40"/>
              <w:spacing w:after="0"/>
              <w:rPr>
                <w:sz w:val="20"/>
                <w:szCs w:val="20"/>
                <w:color w:val="auto"/>
              </w:rPr>
            </w:pPr>
            <w:r>
              <w:rPr>
                <w:rFonts w:ascii="Arial" w:cs="Arial" w:eastAsia="Arial" w:hAnsi="Arial"/>
                <w:sz w:val="14"/>
                <w:szCs w:val="14"/>
                <w:b w:val="1"/>
                <w:bCs w:val="1"/>
                <w:color w:val="auto"/>
              </w:rPr>
              <w:t>EverBank</w:t>
            </w:r>
          </w:p>
        </w:tc>
        <w:tc>
          <w:tcPr>
            <w:tcW w:w="2260" w:type="dxa"/>
            <w:vAlign w:val="bottom"/>
            <w:tcBorders>
              <w:top w:val="single" w:sz="8" w:color="auto"/>
              <w:right w:val="single" w:sz="8" w:color="auto"/>
            </w:tcBorders>
          </w:tcPr>
          <w:p>
            <w:pPr>
              <w:ind w:left="40"/>
              <w:spacing w:after="0"/>
              <w:rPr>
                <w:sz w:val="20"/>
                <w:szCs w:val="20"/>
                <w:color w:val="auto"/>
              </w:rPr>
            </w:pPr>
            <w:r>
              <w:rPr>
                <w:rFonts w:ascii="Arial" w:cs="Arial" w:eastAsia="Arial" w:hAnsi="Arial"/>
                <w:sz w:val="14"/>
                <w:szCs w:val="14"/>
                <w:b w:val="1"/>
                <w:bCs w:val="1"/>
                <w:color w:val="auto"/>
              </w:rPr>
              <w:t>Maryland</w:t>
            </w:r>
          </w:p>
        </w:tc>
        <w:tc>
          <w:tcPr>
            <w:tcW w:w="2460" w:type="dxa"/>
            <w:vAlign w:val="bottom"/>
            <w:tcBorders>
              <w:top w:val="single" w:sz="8" w:color="auto"/>
              <w:right w:val="single" w:sz="8" w:color="auto"/>
            </w:tcBorders>
          </w:tcPr>
          <w:p>
            <w:pPr>
              <w:ind w:left="40"/>
              <w:spacing w:after="0"/>
              <w:rPr>
                <w:sz w:val="20"/>
                <w:szCs w:val="20"/>
                <w:color w:val="auto"/>
              </w:rPr>
            </w:pPr>
            <w:r>
              <w:rPr>
                <w:rFonts w:ascii="Arial" w:cs="Arial" w:eastAsia="Arial" w:hAnsi="Arial"/>
                <w:sz w:val="14"/>
                <w:szCs w:val="14"/>
                <w:b w:val="1"/>
                <w:bCs w:val="1"/>
                <w:color w:val="auto"/>
              </w:rPr>
              <w:t>0000000181470645</w:t>
            </w:r>
          </w:p>
        </w:tc>
        <w:tc>
          <w:tcPr>
            <w:tcW w:w="1120" w:type="dxa"/>
            <w:vAlign w:val="bottom"/>
            <w:tcBorders>
              <w:top w:val="single" w:sz="8" w:color="auto"/>
              <w:right w:val="single" w:sz="8" w:color="auto"/>
            </w:tcBorders>
          </w:tcPr>
          <w:p>
            <w:pPr>
              <w:ind w:left="40"/>
              <w:spacing w:after="0"/>
              <w:rPr>
                <w:sz w:val="20"/>
                <w:szCs w:val="20"/>
                <w:color w:val="auto"/>
              </w:rPr>
            </w:pPr>
            <w:r>
              <w:rPr>
                <w:rFonts w:ascii="Arial" w:cs="Arial" w:eastAsia="Arial" w:hAnsi="Arial"/>
                <w:sz w:val="14"/>
                <w:szCs w:val="14"/>
                <w:b w:val="1"/>
                <w:bCs w:val="1"/>
                <w:color w:val="auto"/>
              </w:rPr>
              <w:t>UCC-1</w:t>
            </w:r>
          </w:p>
        </w:tc>
        <w:tc>
          <w:tcPr>
            <w:tcW w:w="1660" w:type="dxa"/>
            <w:vAlign w:val="bottom"/>
            <w:tcBorders>
              <w:top w:val="single" w:sz="8" w:color="auto"/>
              <w:right w:val="single" w:sz="8" w:color="auto"/>
            </w:tcBorders>
          </w:tcPr>
          <w:p>
            <w:pPr>
              <w:ind w:left="40"/>
              <w:spacing w:after="0"/>
              <w:rPr>
                <w:sz w:val="20"/>
                <w:szCs w:val="20"/>
                <w:color w:val="auto"/>
              </w:rPr>
            </w:pPr>
            <w:r>
              <w:rPr>
                <w:rFonts w:ascii="Arial" w:cs="Arial" w:eastAsia="Arial" w:hAnsi="Arial"/>
                <w:sz w:val="14"/>
                <w:szCs w:val="14"/>
                <w:b w:val="1"/>
                <w:bCs w:val="1"/>
                <w:color w:val="auto"/>
              </w:rPr>
              <w:t>Office</w:t>
            </w:r>
          </w:p>
        </w:tc>
        <w:tc>
          <w:tcPr>
            <w:tcW w:w="0" w:type="dxa"/>
            <w:vAlign w:val="bottom"/>
          </w:tcPr>
          <w:p>
            <w:pPr>
              <w:spacing w:after="0"/>
              <w:rPr>
                <w:sz w:val="1"/>
                <w:szCs w:val="1"/>
                <w:color w:val="auto"/>
              </w:rPr>
            </w:pPr>
          </w:p>
        </w:tc>
      </w:tr>
      <w:tr>
        <w:trPr>
          <w:trHeight w:val="148"/>
        </w:trPr>
        <w:tc>
          <w:tcPr>
            <w:tcW w:w="2060" w:type="dxa"/>
            <w:vAlign w:val="bottom"/>
            <w:tcBorders>
              <w:left w:val="single" w:sz="8" w:color="auto"/>
              <w:right w:val="single" w:sz="8" w:color="auto"/>
            </w:tcBorders>
          </w:tcPr>
          <w:p>
            <w:pPr>
              <w:ind w:left="80"/>
              <w:spacing w:after="0" w:line="149" w:lineRule="exact"/>
              <w:rPr>
                <w:sz w:val="20"/>
                <w:szCs w:val="20"/>
                <w:color w:val="auto"/>
              </w:rPr>
            </w:pPr>
            <w:r>
              <w:rPr>
                <w:rFonts w:ascii="Arial" w:cs="Arial" w:eastAsia="Arial" w:hAnsi="Arial"/>
                <w:sz w:val="14"/>
                <w:szCs w:val="14"/>
                <w:b w:val="1"/>
                <w:bCs w:val="1"/>
                <w:color w:val="auto"/>
              </w:rPr>
              <w:t>Investment</w:t>
            </w:r>
          </w:p>
        </w:tc>
        <w:tc>
          <w:tcPr>
            <w:tcW w:w="1680" w:type="dxa"/>
            <w:vAlign w:val="bottom"/>
            <w:tcBorders>
              <w:right w:val="single" w:sz="8" w:color="auto"/>
            </w:tcBorders>
          </w:tcPr>
          <w:p>
            <w:pPr>
              <w:ind w:left="40"/>
              <w:spacing w:after="0" w:line="149" w:lineRule="exact"/>
              <w:rPr>
                <w:sz w:val="20"/>
                <w:szCs w:val="20"/>
                <w:color w:val="auto"/>
              </w:rPr>
            </w:pPr>
            <w:r>
              <w:rPr>
                <w:rFonts w:ascii="Arial" w:cs="Arial" w:eastAsia="Arial" w:hAnsi="Arial"/>
                <w:sz w:val="14"/>
                <w:szCs w:val="14"/>
                <w:b w:val="1"/>
                <w:bCs w:val="1"/>
                <w:color w:val="auto"/>
              </w:rPr>
              <w:t>Commercial</w:t>
            </w:r>
          </w:p>
        </w:tc>
        <w:tc>
          <w:tcPr>
            <w:tcW w:w="2260" w:type="dxa"/>
            <w:vAlign w:val="bottom"/>
            <w:tcBorders>
              <w:right w:val="single" w:sz="8" w:color="auto"/>
            </w:tcBorders>
          </w:tcPr>
          <w:p>
            <w:pPr>
              <w:ind w:left="40"/>
              <w:spacing w:after="0" w:line="149" w:lineRule="exact"/>
              <w:rPr>
                <w:sz w:val="20"/>
                <w:szCs w:val="20"/>
                <w:color w:val="auto"/>
              </w:rPr>
            </w:pPr>
            <w:r>
              <w:rPr>
                <w:rFonts w:ascii="Arial" w:cs="Arial" w:eastAsia="Arial" w:hAnsi="Arial"/>
                <w:sz w:val="14"/>
                <w:szCs w:val="14"/>
                <w:b w:val="1"/>
                <w:bCs w:val="1"/>
                <w:color w:val="auto"/>
              </w:rPr>
              <w:t>Department</w:t>
            </w:r>
          </w:p>
        </w:tc>
        <w:tc>
          <w:tcPr>
            <w:tcW w:w="2460" w:type="dxa"/>
            <w:vAlign w:val="bottom"/>
            <w:tcBorders>
              <w:right w:val="single" w:sz="8" w:color="auto"/>
            </w:tcBorders>
            <w:vMerge w:val="restart"/>
          </w:tcPr>
          <w:p>
            <w:pPr>
              <w:ind w:left="40"/>
              <w:spacing w:after="0"/>
              <w:rPr>
                <w:sz w:val="20"/>
                <w:szCs w:val="20"/>
                <w:color w:val="auto"/>
              </w:rPr>
            </w:pPr>
            <w:r>
              <w:rPr>
                <w:rFonts w:ascii="Arial" w:cs="Arial" w:eastAsia="Arial" w:hAnsi="Arial"/>
                <w:sz w:val="14"/>
                <w:szCs w:val="14"/>
                <w:b w:val="1"/>
                <w:bCs w:val="1"/>
                <w:color w:val="auto"/>
              </w:rPr>
              <w:t>4/24/2013</w:t>
            </w:r>
          </w:p>
        </w:tc>
        <w:tc>
          <w:tcPr>
            <w:tcW w:w="1120" w:type="dxa"/>
            <w:vAlign w:val="bottom"/>
            <w:tcBorders>
              <w:right w:val="single" w:sz="8" w:color="auto"/>
            </w:tcBorders>
          </w:tcPr>
          <w:p>
            <w:pPr>
              <w:spacing w:after="0"/>
              <w:rPr>
                <w:sz w:val="12"/>
                <w:szCs w:val="12"/>
                <w:color w:val="auto"/>
              </w:rPr>
            </w:pPr>
          </w:p>
        </w:tc>
        <w:tc>
          <w:tcPr>
            <w:tcW w:w="1660" w:type="dxa"/>
            <w:vAlign w:val="bottom"/>
            <w:tcBorders>
              <w:right w:val="single" w:sz="8" w:color="auto"/>
            </w:tcBorders>
          </w:tcPr>
          <w:p>
            <w:pPr>
              <w:ind w:left="40"/>
              <w:spacing w:after="0" w:line="149" w:lineRule="exact"/>
              <w:rPr>
                <w:sz w:val="20"/>
                <w:szCs w:val="20"/>
                <w:color w:val="auto"/>
              </w:rPr>
            </w:pPr>
            <w:r>
              <w:rPr>
                <w:rFonts w:ascii="Arial" w:cs="Arial" w:eastAsia="Arial" w:hAnsi="Arial"/>
                <w:sz w:val="14"/>
                <w:szCs w:val="14"/>
                <w:b w:val="1"/>
                <w:bCs w:val="1"/>
                <w:color w:val="auto"/>
              </w:rPr>
              <w:t>Equipment</w:t>
            </w:r>
          </w:p>
        </w:tc>
        <w:tc>
          <w:tcPr>
            <w:tcW w:w="0" w:type="dxa"/>
            <w:vAlign w:val="bottom"/>
          </w:tcPr>
          <w:p>
            <w:pPr>
              <w:spacing w:after="0"/>
              <w:rPr>
                <w:sz w:val="1"/>
                <w:szCs w:val="1"/>
                <w:color w:val="auto"/>
              </w:rPr>
            </w:pPr>
          </w:p>
        </w:tc>
      </w:tr>
      <w:tr>
        <w:trPr>
          <w:trHeight w:val="119"/>
        </w:trPr>
        <w:tc>
          <w:tcPr>
            <w:tcW w:w="2060" w:type="dxa"/>
            <w:vAlign w:val="bottom"/>
            <w:tcBorders>
              <w:left w:val="single" w:sz="8" w:color="auto"/>
              <w:right w:val="single" w:sz="8" w:color="auto"/>
            </w:tcBorders>
            <w:vMerge w:val="restart"/>
          </w:tcPr>
          <w:p>
            <w:pPr>
              <w:ind w:left="80"/>
              <w:spacing w:after="0" w:line="149" w:lineRule="exact"/>
              <w:rPr>
                <w:sz w:val="20"/>
                <w:szCs w:val="20"/>
                <w:color w:val="auto"/>
              </w:rPr>
            </w:pPr>
            <w:r>
              <w:rPr>
                <w:rFonts w:ascii="Arial" w:cs="Arial" w:eastAsia="Arial" w:hAnsi="Arial"/>
                <w:sz w:val="14"/>
                <w:szCs w:val="14"/>
                <w:b w:val="1"/>
                <w:bCs w:val="1"/>
                <w:color w:val="auto"/>
              </w:rPr>
              <w:t>Corporation</w:t>
            </w:r>
          </w:p>
        </w:tc>
        <w:tc>
          <w:tcPr>
            <w:tcW w:w="1680" w:type="dxa"/>
            <w:vAlign w:val="bottom"/>
            <w:tcBorders>
              <w:right w:val="single" w:sz="8" w:color="auto"/>
            </w:tcBorders>
            <w:vMerge w:val="restart"/>
          </w:tcPr>
          <w:p>
            <w:pPr>
              <w:ind w:left="40"/>
              <w:spacing w:after="0" w:line="149" w:lineRule="exact"/>
              <w:rPr>
                <w:sz w:val="20"/>
                <w:szCs w:val="20"/>
                <w:color w:val="auto"/>
              </w:rPr>
            </w:pPr>
            <w:r>
              <w:rPr>
                <w:rFonts w:ascii="Arial" w:cs="Arial" w:eastAsia="Arial" w:hAnsi="Arial"/>
                <w:sz w:val="14"/>
                <w:szCs w:val="14"/>
                <w:b w:val="1"/>
                <w:bCs w:val="1"/>
                <w:color w:val="auto"/>
              </w:rPr>
              <w:t>Finance, Inc.</w:t>
            </w:r>
          </w:p>
        </w:tc>
        <w:tc>
          <w:tcPr>
            <w:tcW w:w="2260" w:type="dxa"/>
            <w:vAlign w:val="bottom"/>
            <w:tcBorders>
              <w:right w:val="single" w:sz="8" w:color="auto"/>
            </w:tcBorders>
            <w:vMerge w:val="restart"/>
          </w:tcPr>
          <w:p>
            <w:pPr>
              <w:ind w:left="40"/>
              <w:spacing w:after="0" w:line="149" w:lineRule="exact"/>
              <w:rPr>
                <w:sz w:val="20"/>
                <w:szCs w:val="20"/>
                <w:color w:val="auto"/>
              </w:rPr>
            </w:pPr>
            <w:r>
              <w:rPr>
                <w:rFonts w:ascii="Arial" w:cs="Arial" w:eastAsia="Arial" w:hAnsi="Arial"/>
                <w:sz w:val="14"/>
                <w:szCs w:val="14"/>
                <w:b w:val="1"/>
                <w:bCs w:val="1"/>
                <w:color w:val="auto"/>
              </w:rPr>
              <w:t>of Assessments</w:t>
            </w:r>
          </w:p>
        </w:tc>
        <w:tc>
          <w:tcPr>
            <w:tcW w:w="2460" w:type="dxa"/>
            <w:vAlign w:val="bottom"/>
            <w:tcBorders>
              <w:right w:val="single" w:sz="8" w:color="auto"/>
            </w:tcBorders>
            <w:vMerge w:val="continue"/>
          </w:tcPr>
          <w:p>
            <w:pPr>
              <w:spacing w:after="0"/>
              <w:rPr>
                <w:sz w:val="10"/>
                <w:szCs w:val="10"/>
                <w:color w:val="auto"/>
              </w:rPr>
            </w:pPr>
          </w:p>
        </w:tc>
        <w:tc>
          <w:tcPr>
            <w:tcW w:w="1120" w:type="dxa"/>
            <w:vAlign w:val="bottom"/>
            <w:tcBorders>
              <w:right w:val="single" w:sz="8" w:color="auto"/>
            </w:tcBorders>
          </w:tcPr>
          <w:p>
            <w:pPr>
              <w:spacing w:after="0"/>
              <w:rPr>
                <w:sz w:val="10"/>
                <w:szCs w:val="10"/>
                <w:color w:val="auto"/>
              </w:rPr>
            </w:pPr>
          </w:p>
        </w:tc>
        <w:tc>
          <w:tcPr>
            <w:tcW w:w="1660" w:type="dxa"/>
            <w:vAlign w:val="bottom"/>
            <w:tcBorders>
              <w:right w:val="single" w:sz="8" w:color="auto"/>
            </w:tcBorders>
          </w:tcPr>
          <w:p>
            <w:pPr>
              <w:spacing w:after="0"/>
              <w:rPr>
                <w:sz w:val="10"/>
                <w:szCs w:val="10"/>
                <w:color w:val="auto"/>
              </w:rPr>
            </w:pPr>
          </w:p>
        </w:tc>
        <w:tc>
          <w:tcPr>
            <w:tcW w:w="0" w:type="dxa"/>
            <w:vAlign w:val="bottom"/>
          </w:tcPr>
          <w:p>
            <w:pPr>
              <w:spacing w:after="0"/>
              <w:rPr>
                <w:sz w:val="1"/>
                <w:szCs w:val="1"/>
                <w:color w:val="auto"/>
              </w:rPr>
            </w:pPr>
          </w:p>
        </w:tc>
      </w:tr>
      <w:tr>
        <w:trPr>
          <w:trHeight w:val="30"/>
        </w:trPr>
        <w:tc>
          <w:tcPr>
            <w:tcW w:w="2060" w:type="dxa"/>
            <w:vAlign w:val="bottom"/>
            <w:tcBorders>
              <w:left w:val="single" w:sz="8" w:color="auto"/>
              <w:right w:val="single" w:sz="8" w:color="auto"/>
            </w:tcBorders>
            <w:vMerge w:val="continue"/>
          </w:tcPr>
          <w:p>
            <w:pPr>
              <w:spacing w:after="0"/>
              <w:rPr>
                <w:sz w:val="2"/>
                <w:szCs w:val="2"/>
                <w:color w:val="auto"/>
              </w:rPr>
            </w:pPr>
          </w:p>
        </w:tc>
        <w:tc>
          <w:tcPr>
            <w:tcW w:w="1680" w:type="dxa"/>
            <w:vAlign w:val="bottom"/>
            <w:tcBorders>
              <w:right w:val="single" w:sz="8" w:color="auto"/>
            </w:tcBorders>
            <w:vMerge w:val="continue"/>
          </w:tcPr>
          <w:p>
            <w:pPr>
              <w:spacing w:after="0"/>
              <w:rPr>
                <w:sz w:val="2"/>
                <w:szCs w:val="2"/>
                <w:color w:val="auto"/>
              </w:rPr>
            </w:pPr>
          </w:p>
        </w:tc>
        <w:tc>
          <w:tcPr>
            <w:tcW w:w="2260" w:type="dxa"/>
            <w:vAlign w:val="bottom"/>
            <w:tcBorders>
              <w:right w:val="single" w:sz="8" w:color="auto"/>
            </w:tcBorders>
            <w:vMerge w:val="continue"/>
          </w:tcPr>
          <w:p>
            <w:pPr>
              <w:spacing w:after="0"/>
              <w:rPr>
                <w:sz w:val="2"/>
                <w:szCs w:val="2"/>
                <w:color w:val="auto"/>
              </w:rPr>
            </w:pPr>
          </w:p>
        </w:tc>
        <w:tc>
          <w:tcPr>
            <w:tcW w:w="2460" w:type="dxa"/>
            <w:vAlign w:val="bottom"/>
            <w:tcBorders>
              <w:right w:val="single" w:sz="8" w:color="auto"/>
            </w:tcBorders>
          </w:tcPr>
          <w:p>
            <w:pPr>
              <w:spacing w:after="0"/>
              <w:rPr>
                <w:sz w:val="2"/>
                <w:szCs w:val="2"/>
                <w:color w:val="auto"/>
              </w:rPr>
            </w:pPr>
          </w:p>
        </w:tc>
        <w:tc>
          <w:tcPr>
            <w:tcW w:w="1120" w:type="dxa"/>
            <w:vAlign w:val="bottom"/>
            <w:tcBorders>
              <w:right w:val="single" w:sz="8" w:color="auto"/>
            </w:tcBorders>
          </w:tcPr>
          <w:p>
            <w:pPr>
              <w:spacing w:after="0"/>
              <w:rPr>
                <w:sz w:val="2"/>
                <w:szCs w:val="2"/>
                <w:color w:val="auto"/>
              </w:rPr>
            </w:pPr>
          </w:p>
        </w:tc>
        <w:tc>
          <w:tcPr>
            <w:tcW w:w="1660" w:type="dxa"/>
            <w:vAlign w:val="bottom"/>
            <w:tcBorders>
              <w:right w:val="single" w:sz="8" w:color="auto"/>
            </w:tcBorders>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86"/>
        </w:trPr>
        <w:tc>
          <w:tcPr>
            <w:tcW w:w="2060" w:type="dxa"/>
            <w:vAlign w:val="bottom"/>
            <w:tcBorders>
              <w:left w:val="single" w:sz="8" w:color="auto"/>
              <w:right w:val="single" w:sz="8" w:color="auto"/>
            </w:tcBorders>
          </w:tcPr>
          <w:p>
            <w:pPr>
              <w:spacing w:after="0"/>
              <w:rPr>
                <w:sz w:val="16"/>
                <w:szCs w:val="16"/>
                <w:color w:val="auto"/>
              </w:rPr>
            </w:pPr>
          </w:p>
        </w:tc>
        <w:tc>
          <w:tcPr>
            <w:tcW w:w="1680" w:type="dxa"/>
            <w:vAlign w:val="bottom"/>
            <w:tcBorders>
              <w:right w:val="single" w:sz="8" w:color="auto"/>
            </w:tcBorders>
          </w:tcPr>
          <w:p>
            <w:pPr>
              <w:spacing w:after="0"/>
              <w:rPr>
                <w:sz w:val="16"/>
                <w:szCs w:val="16"/>
                <w:color w:val="auto"/>
              </w:rPr>
            </w:pPr>
          </w:p>
        </w:tc>
        <w:tc>
          <w:tcPr>
            <w:tcW w:w="2260" w:type="dxa"/>
            <w:vAlign w:val="bottom"/>
            <w:tcBorders>
              <w:right w:val="single" w:sz="8" w:color="auto"/>
            </w:tcBorders>
          </w:tcPr>
          <w:p>
            <w:pPr>
              <w:ind w:left="40"/>
              <w:spacing w:after="0"/>
              <w:rPr>
                <w:sz w:val="20"/>
                <w:szCs w:val="20"/>
                <w:color w:val="auto"/>
              </w:rPr>
            </w:pPr>
            <w:r>
              <w:rPr>
                <w:rFonts w:ascii="Arial" w:cs="Arial" w:eastAsia="Arial" w:hAnsi="Arial"/>
                <w:sz w:val="14"/>
                <w:szCs w:val="14"/>
                <w:b w:val="1"/>
                <w:bCs w:val="1"/>
                <w:color w:val="auto"/>
              </w:rPr>
              <w:t>and Taxation</w:t>
            </w:r>
          </w:p>
        </w:tc>
        <w:tc>
          <w:tcPr>
            <w:tcW w:w="2460" w:type="dxa"/>
            <w:vAlign w:val="bottom"/>
            <w:tcBorders>
              <w:right w:val="single" w:sz="8" w:color="auto"/>
            </w:tcBorders>
          </w:tcPr>
          <w:p>
            <w:pPr>
              <w:spacing w:after="0"/>
              <w:rPr>
                <w:sz w:val="16"/>
                <w:szCs w:val="16"/>
                <w:color w:val="auto"/>
              </w:rPr>
            </w:pPr>
          </w:p>
        </w:tc>
        <w:tc>
          <w:tcPr>
            <w:tcW w:w="1120" w:type="dxa"/>
            <w:vAlign w:val="bottom"/>
            <w:tcBorders>
              <w:right w:val="single" w:sz="8" w:color="auto"/>
            </w:tcBorders>
          </w:tcPr>
          <w:p>
            <w:pPr>
              <w:spacing w:after="0"/>
              <w:rPr>
                <w:sz w:val="16"/>
                <w:szCs w:val="16"/>
                <w:color w:val="auto"/>
              </w:rPr>
            </w:pPr>
          </w:p>
        </w:tc>
        <w:tc>
          <w:tcPr>
            <w:tcW w:w="1660" w:type="dxa"/>
            <w:vAlign w:val="bottom"/>
            <w:tcBorders>
              <w:right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6"/>
        </w:trPr>
        <w:tc>
          <w:tcPr>
            <w:tcW w:w="2060" w:type="dxa"/>
            <w:vAlign w:val="bottom"/>
            <w:tcBorders>
              <w:left w:val="single" w:sz="8" w:color="auto"/>
              <w:bottom w:val="single" w:sz="8" w:color="auto"/>
              <w:right w:val="single" w:sz="8" w:color="auto"/>
            </w:tcBorders>
          </w:tcPr>
          <w:p>
            <w:pPr>
              <w:spacing w:after="0"/>
              <w:rPr>
                <w:sz w:val="2"/>
                <w:szCs w:val="2"/>
                <w:color w:val="auto"/>
              </w:rPr>
            </w:pPr>
          </w:p>
        </w:tc>
        <w:tc>
          <w:tcPr>
            <w:tcW w:w="1680" w:type="dxa"/>
            <w:vAlign w:val="bottom"/>
            <w:tcBorders>
              <w:bottom w:val="single" w:sz="8" w:color="auto"/>
              <w:right w:val="single" w:sz="8" w:color="auto"/>
            </w:tcBorders>
          </w:tcPr>
          <w:p>
            <w:pPr>
              <w:spacing w:after="0"/>
              <w:rPr>
                <w:sz w:val="2"/>
                <w:szCs w:val="2"/>
                <w:color w:val="auto"/>
              </w:rPr>
            </w:pPr>
          </w:p>
        </w:tc>
        <w:tc>
          <w:tcPr>
            <w:tcW w:w="2260" w:type="dxa"/>
            <w:vAlign w:val="bottom"/>
            <w:tcBorders>
              <w:bottom w:val="single" w:sz="8" w:color="auto"/>
              <w:right w:val="single" w:sz="8" w:color="auto"/>
            </w:tcBorders>
          </w:tcPr>
          <w:p>
            <w:pPr>
              <w:spacing w:after="0"/>
              <w:rPr>
                <w:sz w:val="2"/>
                <w:szCs w:val="2"/>
                <w:color w:val="auto"/>
              </w:rPr>
            </w:pPr>
          </w:p>
        </w:tc>
        <w:tc>
          <w:tcPr>
            <w:tcW w:w="2460" w:type="dxa"/>
            <w:vAlign w:val="bottom"/>
            <w:tcBorders>
              <w:bottom w:val="single" w:sz="8" w:color="auto"/>
              <w:right w:val="single" w:sz="8" w:color="auto"/>
            </w:tcBorders>
          </w:tcPr>
          <w:p>
            <w:pPr>
              <w:spacing w:after="0"/>
              <w:rPr>
                <w:sz w:val="2"/>
                <w:szCs w:val="2"/>
                <w:color w:val="auto"/>
              </w:rPr>
            </w:pPr>
          </w:p>
        </w:tc>
        <w:tc>
          <w:tcPr>
            <w:tcW w:w="1120" w:type="dxa"/>
            <w:vAlign w:val="bottom"/>
            <w:tcBorders>
              <w:bottom w:val="single" w:sz="8" w:color="auto"/>
              <w:right w:val="single" w:sz="8" w:color="auto"/>
            </w:tcBorders>
          </w:tcPr>
          <w:p>
            <w:pPr>
              <w:spacing w:after="0"/>
              <w:rPr>
                <w:sz w:val="2"/>
                <w:szCs w:val="2"/>
                <w:color w:val="auto"/>
              </w:rPr>
            </w:pPr>
          </w:p>
        </w:tc>
        <w:tc>
          <w:tcPr>
            <w:tcW w:w="1660" w:type="dxa"/>
            <w:vAlign w:val="bottom"/>
            <w:tcBorders>
              <w:bottom w:val="single" w:sz="8" w:color="auto"/>
              <w:right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305"/>
        </w:trPr>
        <w:tc>
          <w:tcPr>
            <w:tcW w:w="2060" w:type="dxa"/>
            <w:vAlign w:val="bottom"/>
          </w:tcPr>
          <w:p>
            <w:pPr>
              <w:spacing w:after="0"/>
              <w:rPr>
                <w:sz w:val="20"/>
                <w:szCs w:val="20"/>
                <w:color w:val="auto"/>
              </w:rPr>
            </w:pPr>
            <w:r>
              <w:rPr>
                <w:rFonts w:ascii="Arial" w:cs="Arial" w:eastAsia="Arial" w:hAnsi="Arial"/>
                <w:sz w:val="14"/>
                <w:szCs w:val="14"/>
                <w:b w:val="1"/>
                <w:bCs w:val="1"/>
                <w:color w:val="auto"/>
              </w:rPr>
              <w:t>Other Liens:</w:t>
            </w:r>
          </w:p>
        </w:tc>
        <w:tc>
          <w:tcPr>
            <w:tcW w:w="1680" w:type="dxa"/>
            <w:vAlign w:val="bottom"/>
          </w:tcPr>
          <w:p>
            <w:pPr>
              <w:spacing w:after="0"/>
              <w:rPr>
                <w:sz w:val="24"/>
                <w:szCs w:val="24"/>
                <w:color w:val="auto"/>
              </w:rPr>
            </w:pPr>
          </w:p>
        </w:tc>
        <w:tc>
          <w:tcPr>
            <w:tcW w:w="2260" w:type="dxa"/>
            <w:vAlign w:val="bottom"/>
          </w:tcPr>
          <w:p>
            <w:pPr>
              <w:spacing w:after="0"/>
              <w:rPr>
                <w:sz w:val="24"/>
                <w:szCs w:val="24"/>
                <w:color w:val="auto"/>
              </w:rPr>
            </w:pPr>
          </w:p>
        </w:tc>
        <w:tc>
          <w:tcPr>
            <w:tcW w:w="246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66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182" w:lineRule="exact"/>
        <w:rPr>
          <w:sz w:val="20"/>
          <w:szCs w:val="20"/>
          <w:color w:val="auto"/>
        </w:rPr>
      </w:pPr>
    </w:p>
    <w:p>
      <w:pPr>
        <w:spacing w:after="0"/>
        <w:rPr>
          <w:sz w:val="20"/>
          <w:szCs w:val="20"/>
          <w:color w:val="auto"/>
        </w:rPr>
      </w:pPr>
      <w:r>
        <w:rPr>
          <w:rFonts w:ascii="Arial" w:cs="Arial" w:eastAsia="Arial" w:hAnsi="Arial"/>
          <w:sz w:val="13"/>
          <w:szCs w:val="13"/>
          <w:color w:val="auto"/>
        </w:rPr>
        <w:t>The SBA Debentures are secured by all the investment portfolio assets of PennantPark SBIC LP and PennantPark SBIC II LP and have priority claim over such assets relative to all creditors.</w:t>
      </w:r>
    </w:p>
    <w:p>
      <w:pPr>
        <w:spacing w:after="0" w:line="215" w:lineRule="exact"/>
        <w:rPr>
          <w:sz w:val="20"/>
          <w:szCs w:val="20"/>
          <w:color w:val="auto"/>
        </w:rPr>
      </w:pPr>
    </w:p>
    <w:p>
      <w:pPr>
        <w:spacing w:after="0"/>
        <w:rPr>
          <w:sz w:val="20"/>
          <w:szCs w:val="20"/>
          <w:color w:val="auto"/>
        </w:rPr>
      </w:pPr>
      <w:r>
        <w:rPr>
          <w:rFonts w:ascii="Arial" w:cs="Arial" w:eastAsia="Arial" w:hAnsi="Arial"/>
          <w:sz w:val="14"/>
          <w:szCs w:val="14"/>
          <w:color w:val="auto"/>
        </w:rPr>
        <w:t>Holdings of PennantPark SBIC LP which are pledged to the U.S. Government Small Business Administration:</w:t>
      </w:r>
    </w:p>
    <w:p>
      <w:pPr>
        <w:spacing w:after="0" w:line="204" w:lineRule="exact"/>
        <w:rPr>
          <w:sz w:val="20"/>
          <w:szCs w:val="20"/>
          <w:color w:val="auto"/>
        </w:rPr>
      </w:pPr>
    </w:p>
    <w:p>
      <w:pPr>
        <w:spacing w:after="0"/>
        <w:rPr>
          <w:sz w:val="20"/>
          <w:szCs w:val="20"/>
          <w:color w:val="auto"/>
        </w:rPr>
      </w:pPr>
      <w:r>
        <w:rPr>
          <w:rFonts w:ascii="Arial" w:cs="Arial" w:eastAsia="Arial" w:hAnsi="Arial"/>
          <w:sz w:val="14"/>
          <w:szCs w:val="14"/>
          <w:color w:val="auto"/>
        </w:rPr>
        <w:t>Bottom Line Systems, LLC</w:t>
      </w:r>
    </w:p>
    <w:p>
      <w:pPr>
        <w:spacing w:after="0" w:line="204" w:lineRule="exact"/>
        <w:rPr>
          <w:sz w:val="20"/>
          <w:szCs w:val="20"/>
          <w:color w:val="auto"/>
        </w:rPr>
      </w:pPr>
    </w:p>
    <w:p>
      <w:pPr>
        <w:spacing w:after="0"/>
        <w:rPr>
          <w:sz w:val="20"/>
          <w:szCs w:val="20"/>
          <w:color w:val="auto"/>
        </w:rPr>
      </w:pPr>
      <w:r>
        <w:rPr>
          <w:rFonts w:ascii="Arial" w:cs="Arial" w:eastAsia="Arial" w:hAnsi="Arial"/>
          <w:sz w:val="14"/>
          <w:szCs w:val="14"/>
          <w:color w:val="auto"/>
        </w:rPr>
        <w:t>Broder Bros., Co.</w:t>
      </w:r>
    </w:p>
    <w:p>
      <w:pPr>
        <w:spacing w:after="0" w:line="204" w:lineRule="exact"/>
        <w:rPr>
          <w:sz w:val="20"/>
          <w:szCs w:val="20"/>
          <w:color w:val="auto"/>
        </w:rPr>
      </w:pPr>
    </w:p>
    <w:p>
      <w:pPr>
        <w:spacing w:after="0"/>
        <w:rPr>
          <w:sz w:val="20"/>
          <w:szCs w:val="20"/>
          <w:color w:val="auto"/>
        </w:rPr>
      </w:pPr>
      <w:r>
        <w:rPr>
          <w:rFonts w:ascii="Arial" w:cs="Arial" w:eastAsia="Arial" w:hAnsi="Arial"/>
          <w:sz w:val="14"/>
          <w:szCs w:val="14"/>
          <w:color w:val="auto"/>
        </w:rPr>
        <w:t>Cano Health, LLC</w:t>
      </w:r>
    </w:p>
    <w:p>
      <w:pPr>
        <w:spacing w:after="0" w:line="204" w:lineRule="exact"/>
        <w:rPr>
          <w:sz w:val="20"/>
          <w:szCs w:val="20"/>
          <w:color w:val="auto"/>
        </w:rPr>
      </w:pPr>
    </w:p>
    <w:p>
      <w:pPr>
        <w:spacing w:after="0"/>
        <w:rPr>
          <w:sz w:val="20"/>
          <w:szCs w:val="20"/>
          <w:color w:val="auto"/>
        </w:rPr>
      </w:pPr>
      <w:r>
        <w:rPr>
          <w:rFonts w:ascii="Arial" w:cs="Arial" w:eastAsia="Arial" w:hAnsi="Arial"/>
          <w:sz w:val="14"/>
          <w:szCs w:val="14"/>
          <w:color w:val="auto"/>
        </w:rPr>
        <w:t>Cascade Environmental LLC</w:t>
      </w:r>
    </w:p>
    <w:p>
      <w:pPr>
        <w:spacing w:after="0" w:line="204" w:lineRule="exact"/>
        <w:rPr>
          <w:sz w:val="20"/>
          <w:szCs w:val="20"/>
          <w:color w:val="auto"/>
        </w:rPr>
      </w:pPr>
    </w:p>
    <w:p>
      <w:pPr>
        <w:spacing w:after="0"/>
        <w:rPr>
          <w:sz w:val="20"/>
          <w:szCs w:val="20"/>
          <w:color w:val="auto"/>
        </w:rPr>
      </w:pPr>
      <w:r>
        <w:rPr>
          <w:rFonts w:ascii="Arial" w:cs="Arial" w:eastAsia="Arial" w:hAnsi="Arial"/>
          <w:sz w:val="14"/>
          <w:szCs w:val="14"/>
          <w:color w:val="auto"/>
        </w:rPr>
        <w:t>Corfin Industries LLC</w:t>
      </w:r>
    </w:p>
    <w:p>
      <w:pPr>
        <w:spacing w:after="0" w:line="204" w:lineRule="exact"/>
        <w:rPr>
          <w:sz w:val="20"/>
          <w:szCs w:val="20"/>
          <w:color w:val="auto"/>
        </w:rPr>
      </w:pPr>
    </w:p>
    <w:p>
      <w:pPr>
        <w:spacing w:after="0"/>
        <w:rPr>
          <w:sz w:val="20"/>
          <w:szCs w:val="20"/>
          <w:color w:val="auto"/>
        </w:rPr>
      </w:pPr>
      <w:r>
        <w:rPr>
          <w:rFonts w:ascii="Arial" w:cs="Arial" w:eastAsia="Arial" w:hAnsi="Arial"/>
          <w:sz w:val="14"/>
          <w:szCs w:val="14"/>
          <w:color w:val="auto"/>
        </w:rPr>
        <w:t>Credit Infonet, Inc.</w:t>
      </w:r>
    </w:p>
    <w:p>
      <w:pPr>
        <w:spacing w:after="0" w:line="204" w:lineRule="exact"/>
        <w:rPr>
          <w:sz w:val="20"/>
          <w:szCs w:val="20"/>
          <w:color w:val="auto"/>
        </w:rPr>
      </w:pPr>
    </w:p>
    <w:p>
      <w:pPr>
        <w:spacing w:after="0"/>
        <w:rPr>
          <w:sz w:val="20"/>
          <w:szCs w:val="20"/>
          <w:color w:val="auto"/>
        </w:rPr>
      </w:pPr>
      <w:r>
        <w:rPr>
          <w:rFonts w:ascii="Arial" w:cs="Arial" w:eastAsia="Arial" w:hAnsi="Arial"/>
          <w:sz w:val="14"/>
          <w:szCs w:val="14"/>
          <w:color w:val="auto"/>
        </w:rPr>
        <w:t>DermaRite Industries LLC</w:t>
      </w:r>
    </w:p>
    <w:p>
      <w:pPr>
        <w:spacing w:after="0" w:line="204" w:lineRule="exact"/>
        <w:rPr>
          <w:sz w:val="20"/>
          <w:szCs w:val="20"/>
          <w:color w:val="auto"/>
        </w:rPr>
      </w:pPr>
    </w:p>
    <w:p>
      <w:pPr>
        <w:spacing w:after="0"/>
        <w:rPr>
          <w:sz w:val="20"/>
          <w:szCs w:val="20"/>
          <w:color w:val="auto"/>
        </w:rPr>
      </w:pPr>
      <w:r>
        <w:rPr>
          <w:rFonts w:ascii="Arial" w:cs="Arial" w:eastAsia="Arial" w:hAnsi="Arial"/>
          <w:sz w:val="14"/>
          <w:szCs w:val="14"/>
          <w:color w:val="auto"/>
        </w:rPr>
        <w:t>Harbortouch Payments, LLC</w:t>
      </w:r>
    </w:p>
    <w:p>
      <w:pPr>
        <w:spacing w:after="0" w:line="204" w:lineRule="exact"/>
        <w:rPr>
          <w:sz w:val="20"/>
          <w:szCs w:val="20"/>
          <w:color w:val="auto"/>
        </w:rPr>
      </w:pPr>
    </w:p>
    <w:p>
      <w:pPr>
        <w:spacing w:after="0"/>
        <w:rPr>
          <w:sz w:val="20"/>
          <w:szCs w:val="20"/>
          <w:color w:val="auto"/>
        </w:rPr>
      </w:pPr>
      <w:r>
        <w:rPr>
          <w:rFonts w:ascii="Arial" w:cs="Arial" w:eastAsia="Arial" w:hAnsi="Arial"/>
          <w:sz w:val="14"/>
          <w:szCs w:val="14"/>
          <w:color w:val="auto"/>
        </w:rPr>
        <w:t>Juniper Landscaping of Florida, LLC</w:t>
      </w:r>
    </w:p>
    <w:p>
      <w:pPr>
        <w:spacing w:after="0" w:line="204" w:lineRule="exact"/>
        <w:rPr>
          <w:sz w:val="20"/>
          <w:szCs w:val="20"/>
          <w:color w:val="auto"/>
        </w:rPr>
      </w:pPr>
    </w:p>
    <w:p>
      <w:pPr>
        <w:spacing w:after="0"/>
        <w:rPr>
          <w:sz w:val="20"/>
          <w:szCs w:val="20"/>
          <w:color w:val="auto"/>
        </w:rPr>
      </w:pPr>
      <w:r>
        <w:rPr>
          <w:rFonts w:ascii="Arial" w:cs="Arial" w:eastAsia="Arial" w:hAnsi="Arial"/>
          <w:sz w:val="14"/>
          <w:szCs w:val="14"/>
          <w:color w:val="auto"/>
        </w:rPr>
        <w:t>K2 Pure Solutions NoCal, L.P.</w:t>
      </w:r>
    </w:p>
    <w:p>
      <w:pPr>
        <w:spacing w:after="0" w:line="204" w:lineRule="exact"/>
        <w:rPr>
          <w:sz w:val="20"/>
          <w:szCs w:val="20"/>
          <w:color w:val="auto"/>
        </w:rPr>
      </w:pPr>
    </w:p>
    <w:p>
      <w:pPr>
        <w:spacing w:after="0"/>
        <w:rPr>
          <w:sz w:val="20"/>
          <w:szCs w:val="20"/>
          <w:color w:val="auto"/>
        </w:rPr>
      </w:pPr>
      <w:r>
        <w:rPr>
          <w:rFonts w:ascii="Arial" w:cs="Arial" w:eastAsia="Arial" w:hAnsi="Arial"/>
          <w:sz w:val="14"/>
          <w:szCs w:val="14"/>
          <w:color w:val="auto"/>
        </w:rPr>
        <w:t>Roto Holdings Inc.</w:t>
      </w:r>
    </w:p>
    <w:p>
      <w:pPr>
        <w:spacing w:after="0" w:line="204" w:lineRule="exact"/>
        <w:rPr>
          <w:sz w:val="20"/>
          <w:szCs w:val="20"/>
          <w:color w:val="auto"/>
        </w:rPr>
      </w:pPr>
    </w:p>
    <w:p>
      <w:pPr>
        <w:spacing w:after="0"/>
        <w:rPr>
          <w:sz w:val="20"/>
          <w:szCs w:val="20"/>
          <w:color w:val="auto"/>
        </w:rPr>
      </w:pPr>
      <w:r>
        <w:rPr>
          <w:rFonts w:ascii="Arial" w:cs="Arial" w:eastAsia="Arial" w:hAnsi="Arial"/>
          <w:sz w:val="14"/>
          <w:szCs w:val="14"/>
          <w:color w:val="auto"/>
        </w:rPr>
        <w:t>Sonny's Enterprises, LLC</w:t>
      </w:r>
    </w:p>
    <w:p>
      <w:pPr>
        <w:spacing w:after="0" w:line="204" w:lineRule="exact"/>
        <w:rPr>
          <w:sz w:val="20"/>
          <w:szCs w:val="20"/>
          <w:color w:val="auto"/>
        </w:rPr>
      </w:pPr>
    </w:p>
    <w:p>
      <w:pPr>
        <w:spacing w:after="0"/>
        <w:rPr>
          <w:sz w:val="20"/>
          <w:szCs w:val="20"/>
          <w:color w:val="auto"/>
        </w:rPr>
      </w:pPr>
      <w:r>
        <w:rPr>
          <w:rFonts w:ascii="Arial" w:cs="Arial" w:eastAsia="Arial" w:hAnsi="Arial"/>
          <w:sz w:val="14"/>
          <w:szCs w:val="14"/>
          <w:color w:val="auto"/>
        </w:rPr>
        <w:t>U.S. Well Services, LLC</w:t>
      </w:r>
    </w:p>
    <w:p>
      <w:pPr>
        <w:spacing w:after="0" w:line="204" w:lineRule="exact"/>
        <w:rPr>
          <w:sz w:val="20"/>
          <w:szCs w:val="20"/>
          <w:color w:val="auto"/>
        </w:rPr>
      </w:pPr>
    </w:p>
    <w:p>
      <w:pPr>
        <w:spacing w:after="0"/>
        <w:rPr>
          <w:sz w:val="20"/>
          <w:szCs w:val="20"/>
          <w:color w:val="auto"/>
        </w:rPr>
      </w:pPr>
      <w:r>
        <w:rPr>
          <w:rFonts w:ascii="Arial" w:cs="Arial" w:eastAsia="Arial" w:hAnsi="Arial"/>
          <w:sz w:val="14"/>
          <w:szCs w:val="14"/>
          <w:color w:val="auto"/>
        </w:rPr>
        <w:t>Holdings of PennantPark SBIC II LP which are pledged to the U.S. Government Small Business Administration:</w:t>
      </w:r>
    </w:p>
    <w:p>
      <w:pPr>
        <w:spacing w:after="0" w:line="204" w:lineRule="exact"/>
        <w:rPr>
          <w:sz w:val="20"/>
          <w:szCs w:val="20"/>
          <w:color w:val="auto"/>
        </w:rPr>
      </w:pPr>
    </w:p>
    <w:p>
      <w:pPr>
        <w:spacing w:after="0"/>
        <w:rPr>
          <w:sz w:val="20"/>
          <w:szCs w:val="20"/>
          <w:color w:val="auto"/>
        </w:rPr>
      </w:pPr>
      <w:r>
        <w:rPr>
          <w:rFonts w:ascii="Arial" w:cs="Arial" w:eastAsia="Arial" w:hAnsi="Arial"/>
          <w:sz w:val="14"/>
          <w:szCs w:val="14"/>
          <w:color w:val="auto"/>
        </w:rPr>
        <w:t>Infogroup Parent Holdings, Inc.</w:t>
      </w:r>
    </w:p>
    <w:p>
      <w:pPr>
        <w:spacing w:after="0" w:line="204" w:lineRule="exact"/>
        <w:rPr>
          <w:sz w:val="20"/>
          <w:szCs w:val="20"/>
          <w:color w:val="auto"/>
        </w:rPr>
      </w:pPr>
    </w:p>
    <w:p>
      <w:pPr>
        <w:spacing w:after="0"/>
        <w:rPr>
          <w:sz w:val="20"/>
          <w:szCs w:val="20"/>
          <w:color w:val="auto"/>
        </w:rPr>
      </w:pPr>
      <w:r>
        <w:rPr>
          <w:rFonts w:ascii="Arial" w:cs="Arial" w:eastAsia="Arial" w:hAnsi="Arial"/>
          <w:sz w:val="14"/>
          <w:szCs w:val="14"/>
          <w:color w:val="auto"/>
        </w:rPr>
        <w:t>Infogroup, Inc.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346710</wp:posOffset>
            </wp:positionV>
            <wp:extent cx="7149465" cy="17145"/>
            <wp:wrapNone/>
            <wp:docPr id="247" name="Picture 2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7"/>
                    <pic:cNvPicPr>
                      <a:picLocks noChangeAspect="1" noChangeArrowheads="1"/>
                    </pic:cNvPicPr>
                  </pic:nvPicPr>
                  <pic:blipFill>
                    <a:blip r:embed="rId254">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333" w:right="339" w:bottom="1440" w:gutter="0" w:footer="0" w:header="0"/>
        </w:sectPr>
      </w:pPr>
    </w:p>
    <w:bookmarkStart w:id="135" w:name="page136"/>
    <w:bookmarkEnd w:id="135"/>
    <w:p>
      <w:pPr>
        <w:spacing w:after="0"/>
        <w:rPr>
          <w:sz w:val="20"/>
          <w:szCs w:val="20"/>
          <w:color w:val="auto"/>
        </w:rPr>
      </w:pPr>
      <w:r>
        <w:rPr>
          <w:rFonts w:ascii="Arial" w:cs="Arial" w:eastAsia="Arial" w:hAnsi="Arial"/>
          <w:sz w:val="14"/>
          <w:szCs w:val="14"/>
          <w:color w:val="auto"/>
        </w:rPr>
        <w:t>MailSouth, Inc.</w:t>
      </w:r>
    </w:p>
    <w:p>
      <w:pPr>
        <w:spacing w:after="0" w:line="204" w:lineRule="exact"/>
        <w:rPr>
          <w:sz w:val="20"/>
          <w:szCs w:val="20"/>
          <w:color w:val="auto"/>
        </w:rPr>
      </w:pPr>
    </w:p>
    <w:p>
      <w:pPr>
        <w:spacing w:after="0"/>
        <w:rPr>
          <w:sz w:val="20"/>
          <w:szCs w:val="20"/>
          <w:color w:val="auto"/>
        </w:rPr>
      </w:pPr>
      <w:r>
        <w:rPr>
          <w:rFonts w:ascii="Arial" w:cs="Arial" w:eastAsia="Arial" w:hAnsi="Arial"/>
          <w:sz w:val="13"/>
          <w:szCs w:val="13"/>
          <w:color w:val="auto"/>
        </w:rPr>
        <w:t>MidOcean JF Holdings Corp.</w:t>
      </w:r>
    </w:p>
    <w:p>
      <w:pPr>
        <w:spacing w:after="0" w:line="215" w:lineRule="exact"/>
        <w:rPr>
          <w:sz w:val="20"/>
          <w:szCs w:val="20"/>
          <w:color w:val="auto"/>
        </w:rPr>
      </w:pPr>
    </w:p>
    <w:p>
      <w:pPr>
        <w:spacing w:after="0"/>
        <w:rPr>
          <w:sz w:val="20"/>
          <w:szCs w:val="20"/>
          <w:color w:val="auto"/>
        </w:rPr>
      </w:pPr>
      <w:r>
        <w:rPr>
          <w:rFonts w:ascii="Arial" w:cs="Arial" w:eastAsia="Arial" w:hAnsi="Arial"/>
          <w:sz w:val="14"/>
          <w:szCs w:val="14"/>
          <w:color w:val="auto"/>
        </w:rPr>
        <w:t>Patriot National, Inc.</w:t>
      </w:r>
    </w:p>
    <w:p>
      <w:pPr>
        <w:spacing w:after="0" w:line="204" w:lineRule="exact"/>
        <w:rPr>
          <w:sz w:val="20"/>
          <w:szCs w:val="20"/>
          <w:color w:val="auto"/>
        </w:rPr>
      </w:pPr>
    </w:p>
    <w:p>
      <w:pPr>
        <w:spacing w:after="0"/>
        <w:rPr>
          <w:sz w:val="20"/>
          <w:szCs w:val="20"/>
          <w:color w:val="auto"/>
        </w:rPr>
      </w:pPr>
      <w:r>
        <w:rPr>
          <w:rFonts w:ascii="Arial" w:cs="Arial" w:eastAsia="Arial" w:hAnsi="Arial"/>
          <w:sz w:val="14"/>
          <w:szCs w:val="14"/>
          <w:color w:val="auto"/>
        </w:rPr>
        <w:t>Randall-Reilly, LLC</w:t>
      </w:r>
    </w:p>
    <w:p>
      <w:pPr>
        <w:spacing w:after="0" w:line="204" w:lineRule="exact"/>
        <w:rPr>
          <w:sz w:val="20"/>
          <w:szCs w:val="20"/>
          <w:color w:val="auto"/>
        </w:rPr>
      </w:pPr>
    </w:p>
    <w:p>
      <w:pPr>
        <w:spacing w:after="0"/>
        <w:rPr>
          <w:sz w:val="20"/>
          <w:szCs w:val="20"/>
          <w:color w:val="auto"/>
        </w:rPr>
      </w:pPr>
      <w:r>
        <w:rPr>
          <w:rFonts w:ascii="Arial" w:cs="Arial" w:eastAsia="Arial" w:hAnsi="Arial"/>
          <w:sz w:val="14"/>
          <w:szCs w:val="14"/>
          <w:color w:val="auto"/>
        </w:rPr>
        <w:t>Triad Manufacturing, Inc.</w:t>
      </w:r>
    </w:p>
    <w:p>
      <w:pPr>
        <w:spacing w:after="0" w:line="204" w:lineRule="exact"/>
        <w:rPr>
          <w:sz w:val="20"/>
          <w:szCs w:val="20"/>
          <w:color w:val="auto"/>
        </w:rPr>
      </w:pPr>
    </w:p>
    <w:p>
      <w:pPr>
        <w:spacing w:after="0"/>
        <w:rPr>
          <w:sz w:val="20"/>
          <w:szCs w:val="20"/>
          <w:color w:val="auto"/>
        </w:rPr>
      </w:pPr>
      <w:r>
        <w:rPr>
          <w:rFonts w:ascii="Arial" w:cs="Arial" w:eastAsia="Arial" w:hAnsi="Arial"/>
          <w:sz w:val="14"/>
          <w:szCs w:val="14"/>
          <w:color w:val="auto"/>
        </w:rPr>
        <w:t>Veritext Corp.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767080</wp:posOffset>
            </wp:positionV>
            <wp:extent cx="7149465" cy="17145"/>
            <wp:wrapNone/>
            <wp:docPr id="248" name="Picture 2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8"/>
                    <pic:cNvPicPr>
                      <a:picLocks noChangeAspect="1" noChangeArrowheads="1"/>
                    </pic:cNvPicPr>
                  </pic:nvPicPr>
                  <pic:blipFill>
                    <a:blip r:embed="rId255">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0139"/>
          </w:cols>
          <w:pgMar w:left="320" w:top="337" w:right="1440" w:bottom="1440" w:gutter="0" w:footer="0" w:header="0"/>
        </w:sectPr>
      </w:pPr>
    </w:p>
    <w:bookmarkStart w:id="136" w:name="page137"/>
    <w:bookmarkEnd w:id="136"/>
    <w:p>
      <w:pPr>
        <w:jc w:val="center"/>
        <w:ind w:right="-1100"/>
        <w:spacing w:after="0"/>
        <w:rPr>
          <w:sz w:val="20"/>
          <w:szCs w:val="20"/>
          <w:color w:val="auto"/>
        </w:rPr>
      </w:pPr>
      <w:r>
        <w:rPr>
          <w:rFonts w:ascii="Arial" w:cs="Arial" w:eastAsia="Arial" w:hAnsi="Arial"/>
          <w:sz w:val="12"/>
          <w:szCs w:val="12"/>
          <w:b w:val="1"/>
          <w:bCs w:val="1"/>
          <w:u w:val="single" w:color="auto"/>
          <w:color w:val="auto"/>
        </w:rPr>
        <w:t>Schedule 3.12(a)</w:t>
      </w:r>
    </w:p>
    <w:p>
      <w:pPr>
        <w:spacing w:after="0" w:line="227" w:lineRule="exact"/>
        <w:rPr>
          <w:sz w:val="20"/>
          <w:szCs w:val="20"/>
          <w:color w:val="auto"/>
        </w:rPr>
      </w:pPr>
    </w:p>
    <w:p>
      <w:pPr>
        <w:ind w:left="5240"/>
        <w:spacing w:after="0"/>
        <w:rPr>
          <w:sz w:val="20"/>
          <w:szCs w:val="20"/>
          <w:color w:val="auto"/>
        </w:rPr>
      </w:pPr>
      <w:r>
        <w:rPr>
          <w:rFonts w:ascii="Arial" w:cs="Arial" w:eastAsia="Arial" w:hAnsi="Arial"/>
          <w:sz w:val="14"/>
          <w:szCs w:val="14"/>
          <w:b w:val="1"/>
          <w:bCs w:val="1"/>
          <w:u w:val="single" w:color="auto"/>
          <w:color w:val="auto"/>
        </w:rPr>
        <w:t>Subsidiaries</w:t>
      </w:r>
    </w:p>
    <w:p>
      <w:pPr>
        <w:spacing w:after="0" w:line="208" w:lineRule="exact"/>
        <w:rPr>
          <w:sz w:val="20"/>
          <w:szCs w:val="20"/>
          <w:color w:val="auto"/>
        </w:rPr>
      </w:pPr>
    </w:p>
    <w:p>
      <w:pPr>
        <w:spacing w:after="0"/>
        <w:rPr>
          <w:sz w:val="20"/>
          <w:szCs w:val="20"/>
          <w:color w:val="auto"/>
        </w:rPr>
      </w:pPr>
      <w:r>
        <w:rPr>
          <w:rFonts w:ascii="Arial" w:cs="Arial" w:eastAsia="Arial" w:hAnsi="Arial"/>
          <w:sz w:val="14"/>
          <w:szCs w:val="14"/>
          <w:color w:val="auto"/>
        </w:rPr>
        <w:t>PNNT Alabama Holdings Inc.</w:t>
      </w:r>
    </w:p>
    <w:p>
      <w:pPr>
        <w:spacing w:after="0" w:line="204" w:lineRule="exact"/>
        <w:rPr>
          <w:sz w:val="20"/>
          <w:szCs w:val="20"/>
          <w:color w:val="auto"/>
        </w:rPr>
      </w:pPr>
    </w:p>
    <w:p>
      <w:pPr>
        <w:spacing w:after="0"/>
        <w:rPr>
          <w:sz w:val="20"/>
          <w:szCs w:val="20"/>
          <w:color w:val="auto"/>
        </w:rPr>
      </w:pPr>
      <w:r>
        <w:rPr>
          <w:rFonts w:ascii="Arial" w:cs="Arial" w:eastAsia="Arial" w:hAnsi="Arial"/>
          <w:sz w:val="14"/>
          <w:szCs w:val="14"/>
          <w:color w:val="auto"/>
        </w:rPr>
        <w:t>PNNT CI (GALLS) Prime Investment Holdings, LLC</w:t>
      </w:r>
    </w:p>
    <w:p>
      <w:pPr>
        <w:spacing w:after="0" w:line="204" w:lineRule="exact"/>
        <w:rPr>
          <w:sz w:val="20"/>
          <w:szCs w:val="20"/>
          <w:color w:val="auto"/>
        </w:rPr>
      </w:pPr>
    </w:p>
    <w:p>
      <w:pPr>
        <w:spacing w:after="0"/>
        <w:rPr>
          <w:sz w:val="20"/>
          <w:szCs w:val="20"/>
          <w:color w:val="auto"/>
        </w:rPr>
      </w:pPr>
      <w:r>
        <w:rPr>
          <w:rFonts w:ascii="Arial" w:cs="Arial" w:eastAsia="Arial" w:hAnsi="Arial"/>
          <w:sz w:val="14"/>
          <w:szCs w:val="14"/>
          <w:color w:val="auto"/>
        </w:rPr>
        <w:t>PNNT Transportation 100 Holdco, LLC</w:t>
      </w:r>
    </w:p>
    <w:p>
      <w:pPr>
        <w:spacing w:after="0" w:line="204" w:lineRule="exact"/>
        <w:rPr>
          <w:sz w:val="20"/>
          <w:szCs w:val="20"/>
          <w:color w:val="auto"/>
        </w:rPr>
      </w:pPr>
    </w:p>
    <w:p>
      <w:pPr>
        <w:spacing w:after="0"/>
        <w:rPr>
          <w:sz w:val="20"/>
          <w:szCs w:val="20"/>
          <w:color w:val="auto"/>
        </w:rPr>
      </w:pPr>
      <w:r>
        <w:rPr>
          <w:rFonts w:ascii="Arial" w:cs="Arial" w:eastAsia="Arial" w:hAnsi="Arial"/>
          <w:sz w:val="14"/>
          <w:szCs w:val="14"/>
          <w:color w:val="auto"/>
        </w:rPr>
        <w:t>PennantPark SBIC GP, LLC</w:t>
      </w:r>
    </w:p>
    <w:p>
      <w:pPr>
        <w:spacing w:after="0" w:line="204" w:lineRule="exact"/>
        <w:rPr>
          <w:sz w:val="20"/>
          <w:szCs w:val="20"/>
          <w:color w:val="auto"/>
        </w:rPr>
      </w:pPr>
    </w:p>
    <w:p>
      <w:pPr>
        <w:spacing w:after="0"/>
        <w:rPr>
          <w:sz w:val="20"/>
          <w:szCs w:val="20"/>
          <w:color w:val="auto"/>
        </w:rPr>
      </w:pPr>
      <w:r>
        <w:rPr>
          <w:rFonts w:ascii="Arial" w:cs="Arial" w:eastAsia="Arial" w:hAnsi="Arial"/>
          <w:sz w:val="14"/>
          <w:szCs w:val="14"/>
          <w:color w:val="auto"/>
        </w:rPr>
        <w:t>PennantPark SBIC LP</w:t>
      </w:r>
    </w:p>
    <w:p>
      <w:pPr>
        <w:spacing w:after="0" w:line="204" w:lineRule="exact"/>
        <w:rPr>
          <w:sz w:val="20"/>
          <w:szCs w:val="20"/>
          <w:color w:val="auto"/>
        </w:rPr>
      </w:pPr>
    </w:p>
    <w:p>
      <w:pPr>
        <w:spacing w:after="0"/>
        <w:rPr>
          <w:sz w:val="20"/>
          <w:szCs w:val="20"/>
          <w:color w:val="auto"/>
        </w:rPr>
      </w:pPr>
      <w:r>
        <w:rPr>
          <w:rFonts w:ascii="Arial" w:cs="Arial" w:eastAsia="Arial" w:hAnsi="Arial"/>
          <w:sz w:val="14"/>
          <w:szCs w:val="14"/>
          <w:color w:val="auto"/>
        </w:rPr>
        <w:t>PNNT Acentia, LLC</w:t>
      </w:r>
    </w:p>
    <w:p>
      <w:pPr>
        <w:spacing w:after="0" w:line="204" w:lineRule="exact"/>
        <w:rPr>
          <w:sz w:val="20"/>
          <w:szCs w:val="20"/>
          <w:color w:val="auto"/>
        </w:rPr>
      </w:pPr>
    </w:p>
    <w:p>
      <w:pPr>
        <w:spacing w:after="0"/>
        <w:rPr>
          <w:sz w:val="20"/>
          <w:szCs w:val="20"/>
          <w:color w:val="auto"/>
        </w:rPr>
      </w:pPr>
      <w:r>
        <w:rPr>
          <w:rFonts w:ascii="Arial" w:cs="Arial" w:eastAsia="Arial" w:hAnsi="Arial"/>
          <w:sz w:val="14"/>
          <w:szCs w:val="14"/>
          <w:color w:val="auto"/>
        </w:rPr>
        <w:t>PennantPark SBIC GP II, LLC</w:t>
      </w:r>
    </w:p>
    <w:p>
      <w:pPr>
        <w:spacing w:after="0" w:line="204" w:lineRule="exact"/>
        <w:rPr>
          <w:sz w:val="20"/>
          <w:szCs w:val="20"/>
          <w:color w:val="auto"/>
        </w:rPr>
      </w:pPr>
    </w:p>
    <w:p>
      <w:pPr>
        <w:spacing w:after="0"/>
        <w:rPr>
          <w:sz w:val="20"/>
          <w:szCs w:val="20"/>
          <w:color w:val="auto"/>
        </w:rPr>
      </w:pPr>
      <w:r>
        <w:rPr>
          <w:rFonts w:ascii="Arial" w:cs="Arial" w:eastAsia="Arial" w:hAnsi="Arial"/>
          <w:sz w:val="14"/>
          <w:szCs w:val="14"/>
          <w:color w:val="auto"/>
        </w:rPr>
        <w:t>PennantPark SBIC II LP</w:t>
      </w:r>
    </w:p>
    <w:p>
      <w:pPr>
        <w:spacing w:after="0" w:line="204" w:lineRule="exact"/>
        <w:rPr>
          <w:sz w:val="20"/>
          <w:szCs w:val="20"/>
          <w:color w:val="auto"/>
        </w:rPr>
      </w:pPr>
    </w:p>
    <w:p>
      <w:pPr>
        <w:spacing w:after="0"/>
        <w:rPr>
          <w:sz w:val="20"/>
          <w:szCs w:val="20"/>
          <w:color w:val="auto"/>
        </w:rPr>
      </w:pPr>
      <w:r>
        <w:rPr>
          <w:rFonts w:ascii="Arial" w:cs="Arial" w:eastAsia="Arial" w:hAnsi="Arial"/>
          <w:sz w:val="14"/>
          <w:szCs w:val="14"/>
          <w:color w:val="auto"/>
        </w:rPr>
        <w:t>PNNT Power Products Holdings, LLC</w:t>
      </w:r>
    </w:p>
    <w:p>
      <w:pPr>
        <w:spacing w:after="0" w:line="204" w:lineRule="exact"/>
        <w:rPr>
          <w:sz w:val="20"/>
          <w:szCs w:val="20"/>
          <w:color w:val="auto"/>
        </w:rPr>
      </w:pPr>
    </w:p>
    <w:p>
      <w:pPr>
        <w:spacing w:after="0"/>
        <w:rPr>
          <w:sz w:val="20"/>
          <w:szCs w:val="20"/>
          <w:color w:val="auto"/>
        </w:rPr>
      </w:pPr>
      <w:r>
        <w:rPr>
          <w:rFonts w:ascii="Arial" w:cs="Arial" w:eastAsia="Arial" w:hAnsi="Arial"/>
          <w:sz w:val="14"/>
          <w:szCs w:val="14"/>
          <w:color w:val="auto"/>
        </w:rPr>
        <w:t>PNNT New Gulf Resources, LLC</w:t>
      </w:r>
    </w:p>
    <w:p>
      <w:pPr>
        <w:spacing w:after="0" w:line="204" w:lineRule="exact"/>
        <w:rPr>
          <w:sz w:val="20"/>
          <w:szCs w:val="20"/>
          <w:color w:val="auto"/>
        </w:rPr>
      </w:pPr>
    </w:p>
    <w:p>
      <w:pPr>
        <w:spacing w:after="0"/>
        <w:rPr>
          <w:sz w:val="20"/>
          <w:szCs w:val="20"/>
          <w:color w:val="auto"/>
        </w:rPr>
      </w:pPr>
      <w:r>
        <w:rPr>
          <w:rFonts w:ascii="Arial" w:cs="Arial" w:eastAsia="Arial" w:hAnsi="Arial"/>
          <w:sz w:val="14"/>
          <w:szCs w:val="14"/>
          <w:color w:val="auto"/>
        </w:rPr>
        <w:t>PNNT ecoserve, LLC</w:t>
      </w:r>
    </w:p>
    <w:p>
      <w:pPr>
        <w:spacing w:after="0" w:line="204" w:lineRule="exact"/>
        <w:rPr>
          <w:sz w:val="20"/>
          <w:szCs w:val="20"/>
          <w:color w:val="auto"/>
        </w:rPr>
      </w:pPr>
    </w:p>
    <w:p>
      <w:pPr>
        <w:spacing w:after="0"/>
        <w:rPr>
          <w:sz w:val="20"/>
          <w:szCs w:val="20"/>
          <w:color w:val="auto"/>
        </w:rPr>
      </w:pPr>
      <w:r>
        <w:rPr>
          <w:rFonts w:ascii="Arial" w:cs="Arial" w:eastAsia="Arial" w:hAnsi="Arial"/>
          <w:sz w:val="14"/>
          <w:szCs w:val="14"/>
          <w:color w:val="auto"/>
        </w:rPr>
        <w:t>PNNT CI (FBM) Investment Holdings LLC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672465</wp:posOffset>
            </wp:positionV>
            <wp:extent cx="7149465" cy="17145"/>
            <wp:wrapNone/>
            <wp:docPr id="249" name="Picture 2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9"/>
                    <pic:cNvPicPr>
                      <a:picLocks noChangeAspect="1" noChangeArrowheads="1"/>
                    </pic:cNvPicPr>
                  </pic:nvPicPr>
                  <pic:blipFill>
                    <a:blip r:embed="rId256">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0139"/>
          </w:cols>
          <w:pgMar w:left="320" w:top="333" w:right="1440" w:bottom="1440" w:gutter="0" w:footer="0" w:header="0"/>
        </w:sectPr>
      </w:pPr>
    </w:p>
    <w:bookmarkStart w:id="137" w:name="page138"/>
    <w:bookmarkEnd w:id="137"/>
    <w:p>
      <w:pPr>
        <w:jc w:val="center"/>
        <w:ind w:right="-1020"/>
        <w:spacing w:after="0"/>
        <w:rPr>
          <w:sz w:val="20"/>
          <w:szCs w:val="20"/>
          <w:color w:val="auto"/>
        </w:rPr>
      </w:pPr>
      <w:r>
        <w:rPr>
          <w:rFonts w:ascii="Arial" w:cs="Arial" w:eastAsia="Arial" w:hAnsi="Arial"/>
          <w:sz w:val="14"/>
          <w:szCs w:val="14"/>
          <w:b w:val="1"/>
          <w:bCs w:val="1"/>
          <w:u w:val="single" w:color="auto"/>
          <w:color w:val="auto"/>
        </w:rPr>
        <w:t>Schedule 3.12(b)</w:t>
      </w:r>
    </w:p>
    <w:p>
      <w:pPr>
        <w:spacing w:after="0" w:line="204" w:lineRule="exact"/>
        <w:rPr>
          <w:sz w:val="20"/>
          <w:szCs w:val="20"/>
          <w:color w:val="auto"/>
        </w:rPr>
      </w:pPr>
    </w:p>
    <w:p>
      <w:pPr>
        <w:ind w:left="5180"/>
        <w:spacing w:after="0"/>
        <w:rPr>
          <w:sz w:val="20"/>
          <w:szCs w:val="20"/>
          <w:color w:val="auto"/>
        </w:rPr>
      </w:pPr>
      <w:r>
        <w:rPr>
          <w:rFonts w:ascii="Arial" w:cs="Arial" w:eastAsia="Arial" w:hAnsi="Arial"/>
          <w:sz w:val="14"/>
          <w:szCs w:val="14"/>
          <w:b w:val="1"/>
          <w:bCs w:val="1"/>
          <w:u w:val="single" w:color="auto"/>
          <w:color w:val="auto"/>
        </w:rPr>
        <w:t>Investments</w:t>
      </w:r>
    </w:p>
    <w:p>
      <w:pPr>
        <w:spacing w:after="0" w:line="217"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3360" w:type="dxa"/>
            <w:vAlign w:val="bottom"/>
          </w:tcPr>
          <w:p>
            <w:pPr>
              <w:spacing w:after="0"/>
              <w:rPr>
                <w:sz w:val="20"/>
                <w:szCs w:val="20"/>
                <w:color w:val="auto"/>
              </w:rPr>
            </w:pPr>
            <w:r>
              <w:rPr>
                <w:rFonts w:ascii="Arial" w:cs="Arial" w:eastAsia="Arial" w:hAnsi="Arial"/>
                <w:sz w:val="14"/>
                <w:szCs w:val="14"/>
                <w:b w:val="1"/>
                <w:bCs w:val="1"/>
                <w:color w:val="auto"/>
              </w:rPr>
              <w:t>Name of Investment</w:t>
            </w:r>
          </w:p>
        </w:tc>
        <w:tc>
          <w:tcPr>
            <w:tcW w:w="3420" w:type="dxa"/>
            <w:vAlign w:val="bottom"/>
          </w:tcPr>
          <w:p>
            <w:pPr>
              <w:ind w:left="260"/>
              <w:spacing w:after="0"/>
              <w:rPr>
                <w:sz w:val="20"/>
                <w:szCs w:val="20"/>
                <w:color w:val="auto"/>
              </w:rPr>
            </w:pPr>
            <w:r>
              <w:rPr>
                <w:rFonts w:ascii="Arial" w:cs="Arial" w:eastAsia="Arial" w:hAnsi="Arial"/>
                <w:sz w:val="14"/>
                <w:szCs w:val="14"/>
                <w:b w:val="1"/>
                <w:bCs w:val="1"/>
                <w:color w:val="auto"/>
              </w:rPr>
              <w:t>Person Holding the Investment</w:t>
            </w:r>
          </w:p>
        </w:tc>
        <w:tc>
          <w:tcPr>
            <w:tcW w:w="2960" w:type="dxa"/>
            <w:vAlign w:val="bottom"/>
          </w:tcPr>
          <w:p>
            <w:pPr>
              <w:ind w:left="1020"/>
              <w:spacing w:after="0"/>
              <w:rPr>
                <w:sz w:val="20"/>
                <w:szCs w:val="20"/>
                <w:color w:val="auto"/>
              </w:rPr>
            </w:pPr>
            <w:r>
              <w:rPr>
                <w:rFonts w:ascii="Arial" w:cs="Arial" w:eastAsia="Arial" w:hAnsi="Arial"/>
                <w:sz w:val="14"/>
                <w:szCs w:val="14"/>
                <w:b w:val="1"/>
                <w:bCs w:val="1"/>
                <w:color w:val="auto"/>
              </w:rPr>
              <w:t>Nature of the Investment</w:t>
            </w:r>
          </w:p>
        </w:tc>
      </w:tr>
      <w:tr>
        <w:trPr>
          <w:trHeight w:val="250"/>
        </w:trPr>
        <w:tc>
          <w:tcPr>
            <w:tcW w:w="3360" w:type="dxa"/>
            <w:vAlign w:val="bottom"/>
          </w:tcPr>
          <w:p>
            <w:pPr>
              <w:spacing w:after="0"/>
              <w:rPr>
                <w:sz w:val="20"/>
                <w:szCs w:val="20"/>
                <w:color w:val="auto"/>
              </w:rPr>
            </w:pPr>
            <w:r>
              <w:rPr>
                <w:rFonts w:ascii="Arial" w:cs="Arial" w:eastAsia="Arial" w:hAnsi="Arial"/>
                <w:sz w:val="14"/>
                <w:szCs w:val="14"/>
                <w:color w:val="auto"/>
              </w:rPr>
              <w:t>American Gilsonite Company</w:t>
            </w:r>
          </w:p>
        </w:tc>
        <w:tc>
          <w:tcPr>
            <w:tcW w:w="3420" w:type="dxa"/>
            <w:vAlign w:val="bottom"/>
          </w:tcPr>
          <w:p>
            <w:pPr>
              <w:ind w:left="260"/>
              <w:spacing w:after="0"/>
              <w:rPr>
                <w:sz w:val="20"/>
                <w:szCs w:val="20"/>
                <w:color w:val="auto"/>
              </w:rPr>
            </w:pPr>
            <w:r>
              <w:rPr>
                <w:rFonts w:ascii="Arial" w:cs="Arial" w:eastAsia="Arial" w:hAnsi="Arial"/>
                <w:sz w:val="14"/>
                <w:szCs w:val="14"/>
                <w:color w:val="auto"/>
              </w:rPr>
              <w:t>PennantPark Investment Corporation</w:t>
            </w:r>
          </w:p>
        </w:tc>
        <w:tc>
          <w:tcPr>
            <w:tcW w:w="2960" w:type="dxa"/>
            <w:vAlign w:val="bottom"/>
          </w:tcPr>
          <w:p>
            <w:pPr>
              <w:ind w:left="1020"/>
              <w:spacing w:after="0"/>
              <w:rPr>
                <w:sz w:val="20"/>
                <w:szCs w:val="20"/>
                <w:color w:val="auto"/>
              </w:rPr>
            </w:pPr>
            <w:r>
              <w:rPr>
                <w:rFonts w:ascii="Arial" w:cs="Arial" w:eastAsia="Arial" w:hAnsi="Arial"/>
                <w:sz w:val="14"/>
                <w:szCs w:val="14"/>
                <w:color w:val="auto"/>
              </w:rPr>
              <w:t>First Lien</w:t>
            </w:r>
          </w:p>
        </w:tc>
      </w:tr>
      <w:tr>
        <w:trPr>
          <w:trHeight w:val="162"/>
        </w:trPr>
        <w:tc>
          <w:tcPr>
            <w:tcW w:w="3360" w:type="dxa"/>
            <w:vAlign w:val="bottom"/>
          </w:tcPr>
          <w:p>
            <w:pPr>
              <w:spacing w:after="0"/>
              <w:rPr>
                <w:sz w:val="20"/>
                <w:szCs w:val="20"/>
                <w:color w:val="auto"/>
              </w:rPr>
            </w:pPr>
            <w:r>
              <w:rPr>
                <w:rFonts w:ascii="Arial" w:cs="Arial" w:eastAsia="Arial" w:hAnsi="Arial"/>
                <w:sz w:val="14"/>
                <w:szCs w:val="14"/>
                <w:color w:val="auto"/>
              </w:rPr>
              <w:t>Broder Bros., Co. (Tranche A)</w:t>
            </w:r>
          </w:p>
        </w:tc>
        <w:tc>
          <w:tcPr>
            <w:tcW w:w="3420" w:type="dxa"/>
            <w:vAlign w:val="bottom"/>
          </w:tcPr>
          <w:p>
            <w:pPr>
              <w:ind w:left="260"/>
              <w:spacing w:after="0"/>
              <w:rPr>
                <w:sz w:val="20"/>
                <w:szCs w:val="20"/>
                <w:color w:val="auto"/>
              </w:rPr>
            </w:pPr>
            <w:r>
              <w:rPr>
                <w:rFonts w:ascii="Arial" w:cs="Arial" w:eastAsia="Arial" w:hAnsi="Arial"/>
                <w:sz w:val="14"/>
                <w:szCs w:val="14"/>
                <w:color w:val="auto"/>
              </w:rPr>
              <w:t>PennantPark Investment Corporation</w:t>
            </w:r>
          </w:p>
        </w:tc>
        <w:tc>
          <w:tcPr>
            <w:tcW w:w="2960" w:type="dxa"/>
            <w:vAlign w:val="bottom"/>
          </w:tcPr>
          <w:p>
            <w:pPr>
              <w:ind w:left="1020"/>
              <w:spacing w:after="0"/>
              <w:rPr>
                <w:sz w:val="20"/>
                <w:szCs w:val="20"/>
                <w:color w:val="auto"/>
              </w:rPr>
            </w:pPr>
            <w:r>
              <w:rPr>
                <w:rFonts w:ascii="Arial" w:cs="Arial" w:eastAsia="Arial" w:hAnsi="Arial"/>
                <w:sz w:val="14"/>
                <w:szCs w:val="14"/>
                <w:color w:val="auto"/>
              </w:rPr>
              <w:t>First Lien</w:t>
            </w:r>
          </w:p>
        </w:tc>
      </w:tr>
      <w:tr>
        <w:trPr>
          <w:trHeight w:val="162"/>
        </w:trPr>
        <w:tc>
          <w:tcPr>
            <w:tcW w:w="3360" w:type="dxa"/>
            <w:vAlign w:val="bottom"/>
          </w:tcPr>
          <w:p>
            <w:pPr>
              <w:spacing w:after="0"/>
              <w:rPr>
                <w:sz w:val="20"/>
                <w:szCs w:val="20"/>
                <w:color w:val="auto"/>
              </w:rPr>
            </w:pPr>
            <w:r>
              <w:rPr>
                <w:rFonts w:ascii="Arial" w:cs="Arial" w:eastAsia="Arial" w:hAnsi="Arial"/>
                <w:sz w:val="14"/>
                <w:szCs w:val="14"/>
                <w:color w:val="auto"/>
              </w:rPr>
              <w:t>Broder Bros., Co. (Tranche B)</w:t>
            </w:r>
          </w:p>
        </w:tc>
        <w:tc>
          <w:tcPr>
            <w:tcW w:w="3420" w:type="dxa"/>
            <w:vAlign w:val="bottom"/>
          </w:tcPr>
          <w:p>
            <w:pPr>
              <w:ind w:left="260"/>
              <w:spacing w:after="0"/>
              <w:rPr>
                <w:sz w:val="20"/>
                <w:szCs w:val="20"/>
                <w:color w:val="auto"/>
              </w:rPr>
            </w:pPr>
            <w:r>
              <w:rPr>
                <w:rFonts w:ascii="Arial" w:cs="Arial" w:eastAsia="Arial" w:hAnsi="Arial"/>
                <w:sz w:val="14"/>
                <w:szCs w:val="14"/>
                <w:color w:val="auto"/>
              </w:rPr>
              <w:t>PennantPark Investment Corporation</w:t>
            </w:r>
          </w:p>
        </w:tc>
        <w:tc>
          <w:tcPr>
            <w:tcW w:w="2960" w:type="dxa"/>
            <w:vAlign w:val="bottom"/>
          </w:tcPr>
          <w:p>
            <w:pPr>
              <w:ind w:left="1020"/>
              <w:spacing w:after="0"/>
              <w:rPr>
                <w:sz w:val="20"/>
                <w:szCs w:val="20"/>
                <w:color w:val="auto"/>
              </w:rPr>
            </w:pPr>
            <w:r>
              <w:rPr>
                <w:rFonts w:ascii="Arial" w:cs="Arial" w:eastAsia="Arial" w:hAnsi="Arial"/>
                <w:sz w:val="14"/>
                <w:szCs w:val="14"/>
                <w:color w:val="auto"/>
              </w:rPr>
              <w:t>First Lien</w:t>
            </w:r>
          </w:p>
        </w:tc>
      </w:tr>
      <w:tr>
        <w:trPr>
          <w:trHeight w:val="162"/>
        </w:trPr>
        <w:tc>
          <w:tcPr>
            <w:tcW w:w="3360" w:type="dxa"/>
            <w:vAlign w:val="bottom"/>
          </w:tcPr>
          <w:p>
            <w:pPr>
              <w:spacing w:after="0"/>
              <w:rPr>
                <w:sz w:val="20"/>
                <w:szCs w:val="20"/>
                <w:color w:val="auto"/>
              </w:rPr>
            </w:pPr>
            <w:r>
              <w:rPr>
                <w:rFonts w:ascii="Arial" w:cs="Arial" w:eastAsia="Arial" w:hAnsi="Arial"/>
                <w:sz w:val="14"/>
                <w:szCs w:val="14"/>
                <w:color w:val="auto"/>
              </w:rPr>
              <w:t>Cano Health, LLC</w:t>
            </w:r>
          </w:p>
        </w:tc>
        <w:tc>
          <w:tcPr>
            <w:tcW w:w="3420" w:type="dxa"/>
            <w:vAlign w:val="bottom"/>
          </w:tcPr>
          <w:p>
            <w:pPr>
              <w:ind w:left="260"/>
              <w:spacing w:after="0"/>
              <w:rPr>
                <w:sz w:val="20"/>
                <w:szCs w:val="20"/>
                <w:color w:val="auto"/>
              </w:rPr>
            </w:pPr>
            <w:r>
              <w:rPr>
                <w:rFonts w:ascii="Arial" w:cs="Arial" w:eastAsia="Arial" w:hAnsi="Arial"/>
                <w:sz w:val="14"/>
                <w:szCs w:val="14"/>
                <w:color w:val="auto"/>
              </w:rPr>
              <w:t>PennantPark Investment Corporation</w:t>
            </w:r>
          </w:p>
        </w:tc>
        <w:tc>
          <w:tcPr>
            <w:tcW w:w="2960" w:type="dxa"/>
            <w:vAlign w:val="bottom"/>
          </w:tcPr>
          <w:p>
            <w:pPr>
              <w:ind w:left="1020"/>
              <w:spacing w:after="0"/>
              <w:rPr>
                <w:sz w:val="20"/>
                <w:szCs w:val="20"/>
                <w:color w:val="auto"/>
              </w:rPr>
            </w:pPr>
            <w:r>
              <w:rPr>
                <w:rFonts w:ascii="Arial" w:cs="Arial" w:eastAsia="Arial" w:hAnsi="Arial"/>
                <w:sz w:val="14"/>
                <w:szCs w:val="14"/>
                <w:color w:val="auto"/>
              </w:rPr>
              <w:t>First Lien</w:t>
            </w:r>
          </w:p>
        </w:tc>
      </w:tr>
      <w:tr>
        <w:trPr>
          <w:trHeight w:val="162"/>
        </w:trPr>
        <w:tc>
          <w:tcPr>
            <w:tcW w:w="3360" w:type="dxa"/>
            <w:vAlign w:val="bottom"/>
          </w:tcPr>
          <w:p>
            <w:pPr>
              <w:spacing w:after="0"/>
              <w:rPr>
                <w:sz w:val="20"/>
                <w:szCs w:val="20"/>
                <w:color w:val="auto"/>
              </w:rPr>
            </w:pPr>
            <w:r>
              <w:rPr>
                <w:rFonts w:ascii="Arial" w:cs="Arial" w:eastAsia="Arial" w:hAnsi="Arial"/>
                <w:sz w:val="14"/>
                <w:szCs w:val="14"/>
                <w:color w:val="auto"/>
              </w:rPr>
              <w:t>Corfin Industries LLC</w:t>
            </w:r>
          </w:p>
        </w:tc>
        <w:tc>
          <w:tcPr>
            <w:tcW w:w="3420" w:type="dxa"/>
            <w:vAlign w:val="bottom"/>
          </w:tcPr>
          <w:p>
            <w:pPr>
              <w:ind w:left="260"/>
              <w:spacing w:after="0"/>
              <w:rPr>
                <w:sz w:val="20"/>
                <w:szCs w:val="20"/>
                <w:color w:val="auto"/>
              </w:rPr>
            </w:pPr>
            <w:r>
              <w:rPr>
                <w:rFonts w:ascii="Arial" w:cs="Arial" w:eastAsia="Arial" w:hAnsi="Arial"/>
                <w:sz w:val="14"/>
                <w:szCs w:val="14"/>
                <w:color w:val="auto"/>
              </w:rPr>
              <w:t>PennantPark Investment Corporation</w:t>
            </w:r>
          </w:p>
        </w:tc>
        <w:tc>
          <w:tcPr>
            <w:tcW w:w="2960" w:type="dxa"/>
            <w:vAlign w:val="bottom"/>
          </w:tcPr>
          <w:p>
            <w:pPr>
              <w:ind w:left="1020"/>
              <w:spacing w:after="0"/>
              <w:rPr>
                <w:sz w:val="20"/>
                <w:szCs w:val="20"/>
                <w:color w:val="auto"/>
              </w:rPr>
            </w:pPr>
            <w:r>
              <w:rPr>
                <w:rFonts w:ascii="Arial" w:cs="Arial" w:eastAsia="Arial" w:hAnsi="Arial"/>
                <w:sz w:val="14"/>
                <w:szCs w:val="14"/>
                <w:color w:val="auto"/>
              </w:rPr>
              <w:t>First Lien</w:t>
            </w:r>
          </w:p>
        </w:tc>
      </w:tr>
      <w:tr>
        <w:trPr>
          <w:trHeight w:val="162"/>
        </w:trPr>
        <w:tc>
          <w:tcPr>
            <w:tcW w:w="3360" w:type="dxa"/>
            <w:vAlign w:val="bottom"/>
          </w:tcPr>
          <w:p>
            <w:pPr>
              <w:spacing w:after="0"/>
              <w:rPr>
                <w:sz w:val="20"/>
                <w:szCs w:val="20"/>
                <w:color w:val="auto"/>
              </w:rPr>
            </w:pPr>
            <w:r>
              <w:rPr>
                <w:rFonts w:ascii="Arial" w:cs="Arial" w:eastAsia="Arial" w:hAnsi="Arial"/>
                <w:sz w:val="14"/>
                <w:szCs w:val="14"/>
                <w:color w:val="auto"/>
              </w:rPr>
              <w:t>Hollander Sleep Products, LLC</w:t>
            </w:r>
          </w:p>
        </w:tc>
        <w:tc>
          <w:tcPr>
            <w:tcW w:w="3420" w:type="dxa"/>
            <w:vAlign w:val="bottom"/>
          </w:tcPr>
          <w:p>
            <w:pPr>
              <w:ind w:left="260"/>
              <w:spacing w:after="0"/>
              <w:rPr>
                <w:sz w:val="20"/>
                <w:szCs w:val="20"/>
                <w:color w:val="auto"/>
              </w:rPr>
            </w:pPr>
            <w:r>
              <w:rPr>
                <w:rFonts w:ascii="Arial" w:cs="Arial" w:eastAsia="Arial" w:hAnsi="Arial"/>
                <w:sz w:val="14"/>
                <w:szCs w:val="14"/>
                <w:color w:val="auto"/>
              </w:rPr>
              <w:t>PennantPark Investment Corporation</w:t>
            </w:r>
          </w:p>
        </w:tc>
        <w:tc>
          <w:tcPr>
            <w:tcW w:w="2960" w:type="dxa"/>
            <w:vAlign w:val="bottom"/>
          </w:tcPr>
          <w:p>
            <w:pPr>
              <w:ind w:left="1020"/>
              <w:spacing w:after="0"/>
              <w:rPr>
                <w:sz w:val="20"/>
                <w:szCs w:val="20"/>
                <w:color w:val="auto"/>
              </w:rPr>
            </w:pPr>
            <w:r>
              <w:rPr>
                <w:rFonts w:ascii="Arial" w:cs="Arial" w:eastAsia="Arial" w:hAnsi="Arial"/>
                <w:sz w:val="14"/>
                <w:szCs w:val="14"/>
                <w:color w:val="auto"/>
              </w:rPr>
              <w:t>First Lien</w:t>
            </w:r>
          </w:p>
        </w:tc>
      </w:tr>
      <w:tr>
        <w:trPr>
          <w:trHeight w:val="162"/>
        </w:trPr>
        <w:tc>
          <w:tcPr>
            <w:tcW w:w="3360" w:type="dxa"/>
            <w:vAlign w:val="bottom"/>
          </w:tcPr>
          <w:p>
            <w:pPr>
              <w:spacing w:after="0"/>
              <w:rPr>
                <w:sz w:val="20"/>
                <w:szCs w:val="20"/>
                <w:color w:val="auto"/>
              </w:rPr>
            </w:pPr>
            <w:r>
              <w:rPr>
                <w:rFonts w:ascii="Arial" w:cs="Arial" w:eastAsia="Arial" w:hAnsi="Arial"/>
                <w:sz w:val="14"/>
                <w:szCs w:val="14"/>
                <w:color w:val="auto"/>
              </w:rPr>
              <w:t>Interior Specialists, Inc.</w:t>
            </w:r>
          </w:p>
        </w:tc>
        <w:tc>
          <w:tcPr>
            <w:tcW w:w="3420" w:type="dxa"/>
            <w:vAlign w:val="bottom"/>
          </w:tcPr>
          <w:p>
            <w:pPr>
              <w:ind w:left="260"/>
              <w:spacing w:after="0"/>
              <w:rPr>
                <w:sz w:val="20"/>
                <w:szCs w:val="20"/>
                <w:color w:val="auto"/>
              </w:rPr>
            </w:pPr>
            <w:r>
              <w:rPr>
                <w:rFonts w:ascii="Arial" w:cs="Arial" w:eastAsia="Arial" w:hAnsi="Arial"/>
                <w:sz w:val="14"/>
                <w:szCs w:val="14"/>
                <w:color w:val="auto"/>
              </w:rPr>
              <w:t>PennantPark Investment Corporation</w:t>
            </w:r>
          </w:p>
        </w:tc>
        <w:tc>
          <w:tcPr>
            <w:tcW w:w="2960" w:type="dxa"/>
            <w:vAlign w:val="bottom"/>
          </w:tcPr>
          <w:p>
            <w:pPr>
              <w:ind w:left="1020"/>
              <w:spacing w:after="0"/>
              <w:rPr>
                <w:sz w:val="20"/>
                <w:szCs w:val="20"/>
                <w:color w:val="auto"/>
              </w:rPr>
            </w:pPr>
            <w:r>
              <w:rPr>
                <w:rFonts w:ascii="Arial" w:cs="Arial" w:eastAsia="Arial" w:hAnsi="Arial"/>
                <w:sz w:val="14"/>
                <w:szCs w:val="14"/>
                <w:color w:val="auto"/>
              </w:rPr>
              <w:t>First Lien</w:t>
            </w:r>
          </w:p>
        </w:tc>
      </w:tr>
      <w:tr>
        <w:trPr>
          <w:trHeight w:val="162"/>
        </w:trPr>
        <w:tc>
          <w:tcPr>
            <w:tcW w:w="3360" w:type="dxa"/>
            <w:vAlign w:val="bottom"/>
          </w:tcPr>
          <w:p>
            <w:pPr>
              <w:spacing w:after="0"/>
              <w:rPr>
                <w:sz w:val="20"/>
                <w:szCs w:val="20"/>
                <w:color w:val="auto"/>
              </w:rPr>
            </w:pPr>
            <w:r>
              <w:rPr>
                <w:rFonts w:ascii="Arial" w:cs="Arial" w:eastAsia="Arial" w:hAnsi="Arial"/>
                <w:sz w:val="14"/>
                <w:szCs w:val="14"/>
                <w:color w:val="auto"/>
              </w:rPr>
              <w:t>One Sixty Over Ninety, LLC</w:t>
            </w:r>
          </w:p>
        </w:tc>
        <w:tc>
          <w:tcPr>
            <w:tcW w:w="3420" w:type="dxa"/>
            <w:vAlign w:val="bottom"/>
          </w:tcPr>
          <w:p>
            <w:pPr>
              <w:ind w:left="260"/>
              <w:spacing w:after="0"/>
              <w:rPr>
                <w:sz w:val="20"/>
                <w:szCs w:val="20"/>
                <w:color w:val="auto"/>
              </w:rPr>
            </w:pPr>
            <w:r>
              <w:rPr>
                <w:rFonts w:ascii="Arial" w:cs="Arial" w:eastAsia="Arial" w:hAnsi="Arial"/>
                <w:sz w:val="14"/>
                <w:szCs w:val="14"/>
                <w:color w:val="auto"/>
              </w:rPr>
              <w:t>PennantPark Investment Corporation</w:t>
            </w:r>
          </w:p>
        </w:tc>
        <w:tc>
          <w:tcPr>
            <w:tcW w:w="2960" w:type="dxa"/>
            <w:vAlign w:val="bottom"/>
          </w:tcPr>
          <w:p>
            <w:pPr>
              <w:ind w:left="1020"/>
              <w:spacing w:after="0"/>
              <w:rPr>
                <w:sz w:val="20"/>
                <w:szCs w:val="20"/>
                <w:color w:val="auto"/>
              </w:rPr>
            </w:pPr>
            <w:r>
              <w:rPr>
                <w:rFonts w:ascii="Arial" w:cs="Arial" w:eastAsia="Arial" w:hAnsi="Arial"/>
                <w:sz w:val="14"/>
                <w:szCs w:val="14"/>
                <w:color w:val="auto"/>
              </w:rPr>
              <w:t>First Lien</w:t>
            </w:r>
          </w:p>
        </w:tc>
      </w:tr>
      <w:tr>
        <w:trPr>
          <w:trHeight w:val="162"/>
        </w:trPr>
        <w:tc>
          <w:tcPr>
            <w:tcW w:w="3360" w:type="dxa"/>
            <w:vAlign w:val="bottom"/>
          </w:tcPr>
          <w:p>
            <w:pPr>
              <w:spacing w:after="0"/>
              <w:rPr>
                <w:sz w:val="20"/>
                <w:szCs w:val="20"/>
                <w:color w:val="auto"/>
              </w:rPr>
            </w:pPr>
            <w:r>
              <w:rPr>
                <w:rFonts w:ascii="Arial" w:cs="Arial" w:eastAsia="Arial" w:hAnsi="Arial"/>
                <w:sz w:val="14"/>
                <w:szCs w:val="14"/>
                <w:color w:val="auto"/>
              </w:rPr>
              <w:t>Prince Mineral Holding Corp.</w:t>
            </w:r>
          </w:p>
        </w:tc>
        <w:tc>
          <w:tcPr>
            <w:tcW w:w="3420" w:type="dxa"/>
            <w:vAlign w:val="bottom"/>
          </w:tcPr>
          <w:p>
            <w:pPr>
              <w:ind w:left="260"/>
              <w:spacing w:after="0"/>
              <w:rPr>
                <w:sz w:val="20"/>
                <w:szCs w:val="20"/>
                <w:color w:val="auto"/>
              </w:rPr>
            </w:pPr>
            <w:r>
              <w:rPr>
                <w:rFonts w:ascii="Arial" w:cs="Arial" w:eastAsia="Arial" w:hAnsi="Arial"/>
                <w:sz w:val="14"/>
                <w:szCs w:val="14"/>
                <w:color w:val="auto"/>
              </w:rPr>
              <w:t>PennantPark Investment Corporation</w:t>
            </w:r>
          </w:p>
        </w:tc>
        <w:tc>
          <w:tcPr>
            <w:tcW w:w="2960" w:type="dxa"/>
            <w:vAlign w:val="bottom"/>
          </w:tcPr>
          <w:p>
            <w:pPr>
              <w:ind w:left="1020"/>
              <w:spacing w:after="0"/>
              <w:rPr>
                <w:sz w:val="20"/>
                <w:szCs w:val="20"/>
                <w:color w:val="auto"/>
              </w:rPr>
            </w:pPr>
            <w:r>
              <w:rPr>
                <w:rFonts w:ascii="Arial" w:cs="Arial" w:eastAsia="Arial" w:hAnsi="Arial"/>
                <w:sz w:val="14"/>
                <w:szCs w:val="14"/>
                <w:color w:val="auto"/>
              </w:rPr>
              <w:t>First Lien</w:t>
            </w:r>
          </w:p>
        </w:tc>
      </w:tr>
      <w:tr>
        <w:trPr>
          <w:trHeight w:val="162"/>
        </w:trPr>
        <w:tc>
          <w:tcPr>
            <w:tcW w:w="3360" w:type="dxa"/>
            <w:vAlign w:val="bottom"/>
          </w:tcPr>
          <w:p>
            <w:pPr>
              <w:spacing w:after="0"/>
              <w:rPr>
                <w:sz w:val="20"/>
                <w:szCs w:val="20"/>
                <w:color w:val="auto"/>
              </w:rPr>
            </w:pPr>
            <w:r>
              <w:rPr>
                <w:rFonts w:ascii="Arial" w:cs="Arial" w:eastAsia="Arial" w:hAnsi="Arial"/>
                <w:sz w:val="14"/>
                <w:szCs w:val="14"/>
                <w:color w:val="auto"/>
              </w:rPr>
              <w:t>RAM Energy LLC - Tranche A</w:t>
            </w:r>
          </w:p>
        </w:tc>
        <w:tc>
          <w:tcPr>
            <w:tcW w:w="3420" w:type="dxa"/>
            <w:vAlign w:val="bottom"/>
          </w:tcPr>
          <w:p>
            <w:pPr>
              <w:ind w:left="260"/>
              <w:spacing w:after="0"/>
              <w:rPr>
                <w:sz w:val="20"/>
                <w:szCs w:val="20"/>
                <w:color w:val="auto"/>
              </w:rPr>
            </w:pPr>
            <w:r>
              <w:rPr>
                <w:rFonts w:ascii="Arial" w:cs="Arial" w:eastAsia="Arial" w:hAnsi="Arial"/>
                <w:sz w:val="14"/>
                <w:szCs w:val="14"/>
                <w:color w:val="auto"/>
              </w:rPr>
              <w:t>PennantPark Investment Corporation</w:t>
            </w:r>
          </w:p>
        </w:tc>
        <w:tc>
          <w:tcPr>
            <w:tcW w:w="2960" w:type="dxa"/>
            <w:vAlign w:val="bottom"/>
          </w:tcPr>
          <w:p>
            <w:pPr>
              <w:ind w:left="1020"/>
              <w:spacing w:after="0"/>
              <w:rPr>
                <w:sz w:val="20"/>
                <w:szCs w:val="20"/>
                <w:color w:val="auto"/>
              </w:rPr>
            </w:pPr>
            <w:r>
              <w:rPr>
                <w:rFonts w:ascii="Arial" w:cs="Arial" w:eastAsia="Arial" w:hAnsi="Arial"/>
                <w:sz w:val="14"/>
                <w:szCs w:val="14"/>
                <w:color w:val="auto"/>
              </w:rPr>
              <w:t>First Lien</w:t>
            </w:r>
          </w:p>
        </w:tc>
      </w:tr>
      <w:tr>
        <w:trPr>
          <w:trHeight w:val="162"/>
        </w:trPr>
        <w:tc>
          <w:tcPr>
            <w:tcW w:w="3360" w:type="dxa"/>
            <w:vAlign w:val="bottom"/>
          </w:tcPr>
          <w:p>
            <w:pPr>
              <w:spacing w:after="0"/>
              <w:rPr>
                <w:sz w:val="20"/>
                <w:szCs w:val="20"/>
                <w:color w:val="auto"/>
              </w:rPr>
            </w:pPr>
            <w:r>
              <w:rPr>
                <w:rFonts w:ascii="Arial" w:cs="Arial" w:eastAsia="Arial" w:hAnsi="Arial"/>
                <w:sz w:val="14"/>
                <w:szCs w:val="14"/>
                <w:color w:val="auto"/>
              </w:rPr>
              <w:t>Robertshaw US Holding Corp.</w:t>
            </w:r>
          </w:p>
        </w:tc>
        <w:tc>
          <w:tcPr>
            <w:tcW w:w="3420" w:type="dxa"/>
            <w:vAlign w:val="bottom"/>
          </w:tcPr>
          <w:p>
            <w:pPr>
              <w:ind w:left="260"/>
              <w:spacing w:after="0"/>
              <w:rPr>
                <w:sz w:val="20"/>
                <w:szCs w:val="20"/>
                <w:color w:val="auto"/>
              </w:rPr>
            </w:pPr>
            <w:r>
              <w:rPr>
                <w:rFonts w:ascii="Arial" w:cs="Arial" w:eastAsia="Arial" w:hAnsi="Arial"/>
                <w:sz w:val="14"/>
                <w:szCs w:val="14"/>
                <w:color w:val="auto"/>
              </w:rPr>
              <w:t>PennantPark Investment Corporation</w:t>
            </w:r>
          </w:p>
        </w:tc>
        <w:tc>
          <w:tcPr>
            <w:tcW w:w="2960" w:type="dxa"/>
            <w:vAlign w:val="bottom"/>
          </w:tcPr>
          <w:p>
            <w:pPr>
              <w:ind w:left="1020"/>
              <w:spacing w:after="0"/>
              <w:rPr>
                <w:sz w:val="20"/>
                <w:szCs w:val="20"/>
                <w:color w:val="auto"/>
              </w:rPr>
            </w:pPr>
            <w:r>
              <w:rPr>
                <w:rFonts w:ascii="Arial" w:cs="Arial" w:eastAsia="Arial" w:hAnsi="Arial"/>
                <w:sz w:val="14"/>
                <w:szCs w:val="14"/>
                <w:color w:val="auto"/>
              </w:rPr>
              <w:t>First Lien</w:t>
            </w:r>
          </w:p>
        </w:tc>
      </w:tr>
      <w:tr>
        <w:trPr>
          <w:trHeight w:val="162"/>
        </w:trPr>
        <w:tc>
          <w:tcPr>
            <w:tcW w:w="3360" w:type="dxa"/>
            <w:vAlign w:val="bottom"/>
          </w:tcPr>
          <w:p>
            <w:pPr>
              <w:spacing w:after="0"/>
              <w:rPr>
                <w:sz w:val="20"/>
                <w:szCs w:val="20"/>
                <w:color w:val="auto"/>
              </w:rPr>
            </w:pPr>
            <w:r>
              <w:rPr>
                <w:rFonts w:ascii="Arial" w:cs="Arial" w:eastAsia="Arial" w:hAnsi="Arial"/>
                <w:sz w:val="14"/>
                <w:szCs w:val="14"/>
                <w:color w:val="auto"/>
              </w:rPr>
              <w:t>Sunborn Oy, Sunborn Saga Oy</w:t>
            </w:r>
          </w:p>
        </w:tc>
        <w:tc>
          <w:tcPr>
            <w:tcW w:w="3420" w:type="dxa"/>
            <w:vAlign w:val="bottom"/>
          </w:tcPr>
          <w:p>
            <w:pPr>
              <w:ind w:left="260"/>
              <w:spacing w:after="0"/>
              <w:rPr>
                <w:sz w:val="20"/>
                <w:szCs w:val="20"/>
                <w:color w:val="auto"/>
              </w:rPr>
            </w:pPr>
            <w:r>
              <w:rPr>
                <w:rFonts w:ascii="Arial" w:cs="Arial" w:eastAsia="Arial" w:hAnsi="Arial"/>
                <w:sz w:val="14"/>
                <w:szCs w:val="14"/>
                <w:color w:val="auto"/>
              </w:rPr>
              <w:t>PennantPark Investment Corporation</w:t>
            </w:r>
          </w:p>
        </w:tc>
        <w:tc>
          <w:tcPr>
            <w:tcW w:w="2960" w:type="dxa"/>
            <w:vAlign w:val="bottom"/>
          </w:tcPr>
          <w:p>
            <w:pPr>
              <w:ind w:left="1020"/>
              <w:spacing w:after="0"/>
              <w:rPr>
                <w:sz w:val="20"/>
                <w:szCs w:val="20"/>
                <w:color w:val="auto"/>
              </w:rPr>
            </w:pPr>
            <w:r>
              <w:rPr>
                <w:rFonts w:ascii="Arial" w:cs="Arial" w:eastAsia="Arial" w:hAnsi="Arial"/>
                <w:sz w:val="14"/>
                <w:szCs w:val="14"/>
                <w:color w:val="auto"/>
              </w:rPr>
              <w:t>First Lien</w:t>
            </w:r>
          </w:p>
        </w:tc>
      </w:tr>
      <w:tr>
        <w:trPr>
          <w:trHeight w:val="162"/>
        </w:trPr>
        <w:tc>
          <w:tcPr>
            <w:tcW w:w="3360" w:type="dxa"/>
            <w:vAlign w:val="bottom"/>
          </w:tcPr>
          <w:p>
            <w:pPr>
              <w:spacing w:after="0"/>
              <w:rPr>
                <w:sz w:val="20"/>
                <w:szCs w:val="20"/>
                <w:color w:val="auto"/>
              </w:rPr>
            </w:pPr>
            <w:r>
              <w:rPr>
                <w:rFonts w:ascii="Arial" w:cs="Arial" w:eastAsia="Arial" w:hAnsi="Arial"/>
                <w:sz w:val="14"/>
                <w:szCs w:val="14"/>
                <w:color w:val="auto"/>
              </w:rPr>
              <w:t>Superior Digital Displays, LLC</w:t>
            </w:r>
          </w:p>
        </w:tc>
        <w:tc>
          <w:tcPr>
            <w:tcW w:w="3420" w:type="dxa"/>
            <w:vAlign w:val="bottom"/>
          </w:tcPr>
          <w:p>
            <w:pPr>
              <w:ind w:left="260"/>
              <w:spacing w:after="0"/>
              <w:rPr>
                <w:sz w:val="20"/>
                <w:szCs w:val="20"/>
                <w:color w:val="auto"/>
              </w:rPr>
            </w:pPr>
            <w:r>
              <w:rPr>
                <w:rFonts w:ascii="Arial" w:cs="Arial" w:eastAsia="Arial" w:hAnsi="Arial"/>
                <w:sz w:val="14"/>
                <w:szCs w:val="14"/>
                <w:color w:val="auto"/>
              </w:rPr>
              <w:t>PennantPark Investment Corporation</w:t>
            </w:r>
          </w:p>
        </w:tc>
        <w:tc>
          <w:tcPr>
            <w:tcW w:w="2960" w:type="dxa"/>
            <w:vAlign w:val="bottom"/>
          </w:tcPr>
          <w:p>
            <w:pPr>
              <w:ind w:left="1020"/>
              <w:spacing w:after="0"/>
              <w:rPr>
                <w:sz w:val="20"/>
                <w:szCs w:val="20"/>
                <w:color w:val="auto"/>
              </w:rPr>
            </w:pPr>
            <w:r>
              <w:rPr>
                <w:rFonts w:ascii="Arial" w:cs="Arial" w:eastAsia="Arial" w:hAnsi="Arial"/>
                <w:sz w:val="14"/>
                <w:szCs w:val="14"/>
                <w:color w:val="auto"/>
              </w:rPr>
              <w:t>First Lien</w:t>
            </w:r>
          </w:p>
        </w:tc>
      </w:tr>
      <w:tr>
        <w:trPr>
          <w:trHeight w:val="162"/>
        </w:trPr>
        <w:tc>
          <w:tcPr>
            <w:tcW w:w="3360" w:type="dxa"/>
            <w:vAlign w:val="bottom"/>
          </w:tcPr>
          <w:p>
            <w:pPr>
              <w:spacing w:after="0"/>
              <w:rPr>
                <w:sz w:val="20"/>
                <w:szCs w:val="20"/>
                <w:color w:val="auto"/>
              </w:rPr>
            </w:pPr>
            <w:r>
              <w:rPr>
                <w:rFonts w:ascii="Arial" w:cs="Arial" w:eastAsia="Arial" w:hAnsi="Arial"/>
                <w:sz w:val="14"/>
                <w:szCs w:val="14"/>
                <w:color w:val="auto"/>
              </w:rPr>
              <w:t>TRAK Acquisition Corp.</w:t>
            </w:r>
          </w:p>
        </w:tc>
        <w:tc>
          <w:tcPr>
            <w:tcW w:w="3420" w:type="dxa"/>
            <w:vAlign w:val="bottom"/>
          </w:tcPr>
          <w:p>
            <w:pPr>
              <w:ind w:left="260"/>
              <w:spacing w:after="0"/>
              <w:rPr>
                <w:sz w:val="20"/>
                <w:szCs w:val="20"/>
                <w:color w:val="auto"/>
              </w:rPr>
            </w:pPr>
            <w:r>
              <w:rPr>
                <w:rFonts w:ascii="Arial" w:cs="Arial" w:eastAsia="Arial" w:hAnsi="Arial"/>
                <w:sz w:val="14"/>
                <w:szCs w:val="14"/>
                <w:color w:val="auto"/>
              </w:rPr>
              <w:t>PennantPark Investment Corporation</w:t>
            </w:r>
          </w:p>
        </w:tc>
        <w:tc>
          <w:tcPr>
            <w:tcW w:w="2960" w:type="dxa"/>
            <w:vAlign w:val="bottom"/>
          </w:tcPr>
          <w:p>
            <w:pPr>
              <w:ind w:left="1020"/>
              <w:spacing w:after="0"/>
              <w:rPr>
                <w:sz w:val="20"/>
                <w:szCs w:val="20"/>
                <w:color w:val="auto"/>
              </w:rPr>
            </w:pPr>
            <w:r>
              <w:rPr>
                <w:rFonts w:ascii="Arial" w:cs="Arial" w:eastAsia="Arial" w:hAnsi="Arial"/>
                <w:sz w:val="14"/>
                <w:szCs w:val="14"/>
                <w:color w:val="auto"/>
              </w:rPr>
              <w:t>First Lien</w:t>
            </w:r>
          </w:p>
        </w:tc>
      </w:tr>
      <w:tr>
        <w:trPr>
          <w:trHeight w:val="162"/>
        </w:trPr>
        <w:tc>
          <w:tcPr>
            <w:tcW w:w="3360" w:type="dxa"/>
            <w:vAlign w:val="bottom"/>
          </w:tcPr>
          <w:p>
            <w:pPr>
              <w:spacing w:after="0"/>
              <w:rPr>
                <w:sz w:val="20"/>
                <w:szCs w:val="20"/>
                <w:color w:val="auto"/>
              </w:rPr>
            </w:pPr>
            <w:r>
              <w:rPr>
                <w:rFonts w:ascii="Arial" w:cs="Arial" w:eastAsia="Arial" w:hAnsi="Arial"/>
                <w:sz w:val="14"/>
                <w:szCs w:val="14"/>
                <w:color w:val="auto"/>
              </w:rPr>
              <w:t>Triad Manufacturing, Inc.</w:t>
            </w:r>
          </w:p>
        </w:tc>
        <w:tc>
          <w:tcPr>
            <w:tcW w:w="3420" w:type="dxa"/>
            <w:vAlign w:val="bottom"/>
          </w:tcPr>
          <w:p>
            <w:pPr>
              <w:ind w:left="260"/>
              <w:spacing w:after="0"/>
              <w:rPr>
                <w:sz w:val="20"/>
                <w:szCs w:val="20"/>
                <w:color w:val="auto"/>
              </w:rPr>
            </w:pPr>
            <w:r>
              <w:rPr>
                <w:rFonts w:ascii="Arial" w:cs="Arial" w:eastAsia="Arial" w:hAnsi="Arial"/>
                <w:sz w:val="14"/>
                <w:szCs w:val="14"/>
                <w:color w:val="auto"/>
              </w:rPr>
              <w:t>PennantPark Investment Corporation</w:t>
            </w:r>
          </w:p>
        </w:tc>
        <w:tc>
          <w:tcPr>
            <w:tcW w:w="2960" w:type="dxa"/>
            <w:vAlign w:val="bottom"/>
          </w:tcPr>
          <w:p>
            <w:pPr>
              <w:ind w:left="1020"/>
              <w:spacing w:after="0"/>
              <w:rPr>
                <w:sz w:val="20"/>
                <w:szCs w:val="20"/>
                <w:color w:val="auto"/>
              </w:rPr>
            </w:pPr>
            <w:r>
              <w:rPr>
                <w:rFonts w:ascii="Arial" w:cs="Arial" w:eastAsia="Arial" w:hAnsi="Arial"/>
                <w:sz w:val="14"/>
                <w:szCs w:val="14"/>
                <w:color w:val="auto"/>
              </w:rPr>
              <w:t>First Lien</w:t>
            </w:r>
          </w:p>
        </w:tc>
      </w:tr>
      <w:tr>
        <w:trPr>
          <w:trHeight w:val="162"/>
        </w:trPr>
        <w:tc>
          <w:tcPr>
            <w:tcW w:w="3360" w:type="dxa"/>
            <w:vAlign w:val="bottom"/>
          </w:tcPr>
          <w:p>
            <w:pPr>
              <w:spacing w:after="0"/>
              <w:rPr>
                <w:sz w:val="20"/>
                <w:szCs w:val="20"/>
                <w:color w:val="auto"/>
              </w:rPr>
            </w:pPr>
            <w:r>
              <w:rPr>
                <w:rFonts w:ascii="Arial" w:cs="Arial" w:eastAsia="Arial" w:hAnsi="Arial"/>
                <w:sz w:val="14"/>
                <w:szCs w:val="14"/>
                <w:color w:val="auto"/>
              </w:rPr>
              <w:t>Trust Inns Limited</w:t>
            </w:r>
          </w:p>
        </w:tc>
        <w:tc>
          <w:tcPr>
            <w:tcW w:w="3420" w:type="dxa"/>
            <w:vAlign w:val="bottom"/>
          </w:tcPr>
          <w:p>
            <w:pPr>
              <w:ind w:left="260"/>
              <w:spacing w:after="0"/>
              <w:rPr>
                <w:sz w:val="20"/>
                <w:szCs w:val="20"/>
                <w:color w:val="auto"/>
              </w:rPr>
            </w:pPr>
            <w:r>
              <w:rPr>
                <w:rFonts w:ascii="Arial" w:cs="Arial" w:eastAsia="Arial" w:hAnsi="Arial"/>
                <w:sz w:val="14"/>
                <w:szCs w:val="14"/>
                <w:color w:val="auto"/>
              </w:rPr>
              <w:t>PennantPark Investment Corporation</w:t>
            </w:r>
          </w:p>
        </w:tc>
        <w:tc>
          <w:tcPr>
            <w:tcW w:w="2960" w:type="dxa"/>
            <w:vAlign w:val="bottom"/>
          </w:tcPr>
          <w:p>
            <w:pPr>
              <w:ind w:left="1020"/>
              <w:spacing w:after="0"/>
              <w:rPr>
                <w:sz w:val="20"/>
                <w:szCs w:val="20"/>
                <w:color w:val="auto"/>
              </w:rPr>
            </w:pPr>
            <w:r>
              <w:rPr>
                <w:rFonts w:ascii="Arial" w:cs="Arial" w:eastAsia="Arial" w:hAnsi="Arial"/>
                <w:sz w:val="14"/>
                <w:szCs w:val="14"/>
                <w:color w:val="auto"/>
              </w:rPr>
              <w:t>First Lien</w:t>
            </w:r>
          </w:p>
        </w:tc>
      </w:tr>
      <w:tr>
        <w:trPr>
          <w:trHeight w:val="162"/>
        </w:trPr>
        <w:tc>
          <w:tcPr>
            <w:tcW w:w="3360" w:type="dxa"/>
            <w:vAlign w:val="bottom"/>
          </w:tcPr>
          <w:p>
            <w:pPr>
              <w:spacing w:after="0"/>
              <w:rPr>
                <w:sz w:val="20"/>
                <w:szCs w:val="20"/>
                <w:color w:val="auto"/>
              </w:rPr>
            </w:pPr>
            <w:r>
              <w:rPr>
                <w:rFonts w:ascii="Arial" w:cs="Arial" w:eastAsia="Arial" w:hAnsi="Arial"/>
                <w:sz w:val="14"/>
                <w:szCs w:val="14"/>
                <w:color w:val="auto"/>
              </w:rPr>
              <w:t>US Med Acquisition, Inc.</w:t>
            </w:r>
          </w:p>
        </w:tc>
        <w:tc>
          <w:tcPr>
            <w:tcW w:w="3420" w:type="dxa"/>
            <w:vAlign w:val="bottom"/>
          </w:tcPr>
          <w:p>
            <w:pPr>
              <w:ind w:left="260"/>
              <w:spacing w:after="0"/>
              <w:rPr>
                <w:sz w:val="20"/>
                <w:szCs w:val="20"/>
                <w:color w:val="auto"/>
              </w:rPr>
            </w:pPr>
            <w:r>
              <w:rPr>
                <w:rFonts w:ascii="Arial" w:cs="Arial" w:eastAsia="Arial" w:hAnsi="Arial"/>
                <w:sz w:val="14"/>
                <w:szCs w:val="14"/>
                <w:color w:val="auto"/>
              </w:rPr>
              <w:t>PennantPark Investment Corporation</w:t>
            </w:r>
          </w:p>
        </w:tc>
        <w:tc>
          <w:tcPr>
            <w:tcW w:w="2960" w:type="dxa"/>
            <w:vAlign w:val="bottom"/>
          </w:tcPr>
          <w:p>
            <w:pPr>
              <w:ind w:left="1020"/>
              <w:spacing w:after="0"/>
              <w:rPr>
                <w:sz w:val="20"/>
                <w:szCs w:val="20"/>
                <w:color w:val="auto"/>
              </w:rPr>
            </w:pPr>
            <w:r>
              <w:rPr>
                <w:rFonts w:ascii="Arial" w:cs="Arial" w:eastAsia="Arial" w:hAnsi="Arial"/>
                <w:sz w:val="14"/>
                <w:szCs w:val="14"/>
                <w:color w:val="auto"/>
              </w:rPr>
              <w:t>First Lien</w:t>
            </w:r>
          </w:p>
        </w:tc>
      </w:tr>
      <w:tr>
        <w:trPr>
          <w:trHeight w:val="162"/>
        </w:trPr>
        <w:tc>
          <w:tcPr>
            <w:tcW w:w="3360" w:type="dxa"/>
            <w:vAlign w:val="bottom"/>
          </w:tcPr>
          <w:p>
            <w:pPr>
              <w:spacing w:after="0"/>
              <w:rPr>
                <w:sz w:val="20"/>
                <w:szCs w:val="20"/>
                <w:color w:val="auto"/>
              </w:rPr>
            </w:pPr>
            <w:r>
              <w:rPr>
                <w:rFonts w:ascii="Arial" w:cs="Arial" w:eastAsia="Arial" w:hAnsi="Arial"/>
                <w:sz w:val="14"/>
                <w:szCs w:val="14"/>
                <w:color w:val="auto"/>
              </w:rPr>
              <w:t>U.S. Well Services, LLC</w:t>
            </w:r>
          </w:p>
        </w:tc>
        <w:tc>
          <w:tcPr>
            <w:tcW w:w="3420" w:type="dxa"/>
            <w:vAlign w:val="bottom"/>
          </w:tcPr>
          <w:p>
            <w:pPr>
              <w:ind w:left="260"/>
              <w:spacing w:after="0"/>
              <w:rPr>
                <w:sz w:val="20"/>
                <w:szCs w:val="20"/>
                <w:color w:val="auto"/>
              </w:rPr>
            </w:pPr>
            <w:r>
              <w:rPr>
                <w:rFonts w:ascii="Arial" w:cs="Arial" w:eastAsia="Arial" w:hAnsi="Arial"/>
                <w:sz w:val="14"/>
                <w:szCs w:val="14"/>
                <w:color w:val="auto"/>
              </w:rPr>
              <w:t>PennantPark Investment Corporation</w:t>
            </w:r>
          </w:p>
        </w:tc>
        <w:tc>
          <w:tcPr>
            <w:tcW w:w="2960" w:type="dxa"/>
            <w:vAlign w:val="bottom"/>
          </w:tcPr>
          <w:p>
            <w:pPr>
              <w:ind w:left="1020"/>
              <w:spacing w:after="0"/>
              <w:rPr>
                <w:sz w:val="20"/>
                <w:szCs w:val="20"/>
                <w:color w:val="auto"/>
              </w:rPr>
            </w:pPr>
            <w:r>
              <w:rPr>
                <w:rFonts w:ascii="Arial" w:cs="Arial" w:eastAsia="Arial" w:hAnsi="Arial"/>
                <w:sz w:val="14"/>
                <w:szCs w:val="14"/>
                <w:color w:val="auto"/>
              </w:rPr>
              <w:t>First Lien</w:t>
            </w:r>
          </w:p>
        </w:tc>
      </w:tr>
      <w:tr>
        <w:trPr>
          <w:trHeight w:val="162"/>
        </w:trPr>
        <w:tc>
          <w:tcPr>
            <w:tcW w:w="3360" w:type="dxa"/>
            <w:vAlign w:val="bottom"/>
          </w:tcPr>
          <w:p>
            <w:pPr>
              <w:spacing w:after="0"/>
              <w:rPr>
                <w:sz w:val="20"/>
                <w:szCs w:val="20"/>
                <w:color w:val="auto"/>
              </w:rPr>
            </w:pPr>
            <w:r>
              <w:rPr>
                <w:rFonts w:ascii="Arial" w:cs="Arial" w:eastAsia="Arial" w:hAnsi="Arial"/>
                <w:sz w:val="14"/>
                <w:szCs w:val="14"/>
                <w:color w:val="auto"/>
              </w:rPr>
              <w:t>Acre Operating Company, LLC</w:t>
            </w:r>
          </w:p>
        </w:tc>
        <w:tc>
          <w:tcPr>
            <w:tcW w:w="3420" w:type="dxa"/>
            <w:vAlign w:val="bottom"/>
          </w:tcPr>
          <w:p>
            <w:pPr>
              <w:ind w:left="260"/>
              <w:spacing w:after="0"/>
              <w:rPr>
                <w:sz w:val="20"/>
                <w:szCs w:val="20"/>
                <w:color w:val="auto"/>
              </w:rPr>
            </w:pPr>
            <w:r>
              <w:rPr>
                <w:rFonts w:ascii="Arial" w:cs="Arial" w:eastAsia="Arial" w:hAnsi="Arial"/>
                <w:sz w:val="14"/>
                <w:szCs w:val="14"/>
                <w:color w:val="auto"/>
              </w:rPr>
              <w:t>PennantPark Investment Corporation</w:t>
            </w:r>
          </w:p>
        </w:tc>
        <w:tc>
          <w:tcPr>
            <w:tcW w:w="2960" w:type="dxa"/>
            <w:vAlign w:val="bottom"/>
          </w:tcPr>
          <w:p>
            <w:pPr>
              <w:ind w:left="1020"/>
              <w:spacing w:after="0"/>
              <w:rPr>
                <w:sz w:val="20"/>
                <w:szCs w:val="20"/>
                <w:color w:val="auto"/>
              </w:rPr>
            </w:pPr>
            <w:r>
              <w:rPr>
                <w:rFonts w:ascii="Arial" w:cs="Arial" w:eastAsia="Arial" w:hAnsi="Arial"/>
                <w:sz w:val="14"/>
                <w:szCs w:val="14"/>
                <w:color w:val="auto"/>
              </w:rPr>
              <w:t>Second Lien</w:t>
            </w:r>
          </w:p>
        </w:tc>
      </w:tr>
      <w:tr>
        <w:trPr>
          <w:trHeight w:val="162"/>
        </w:trPr>
        <w:tc>
          <w:tcPr>
            <w:tcW w:w="3360" w:type="dxa"/>
            <w:vAlign w:val="bottom"/>
          </w:tcPr>
          <w:p>
            <w:pPr>
              <w:spacing w:after="0"/>
              <w:rPr>
                <w:sz w:val="20"/>
                <w:szCs w:val="20"/>
                <w:color w:val="auto"/>
              </w:rPr>
            </w:pPr>
            <w:r>
              <w:rPr>
                <w:rFonts w:ascii="Arial" w:cs="Arial" w:eastAsia="Arial" w:hAnsi="Arial"/>
                <w:sz w:val="14"/>
                <w:szCs w:val="14"/>
                <w:color w:val="auto"/>
              </w:rPr>
              <w:t>Balboa Capital Corporation</w:t>
            </w:r>
          </w:p>
        </w:tc>
        <w:tc>
          <w:tcPr>
            <w:tcW w:w="3420" w:type="dxa"/>
            <w:vAlign w:val="bottom"/>
          </w:tcPr>
          <w:p>
            <w:pPr>
              <w:ind w:left="260"/>
              <w:spacing w:after="0"/>
              <w:rPr>
                <w:sz w:val="20"/>
                <w:szCs w:val="20"/>
                <w:color w:val="auto"/>
              </w:rPr>
            </w:pPr>
            <w:r>
              <w:rPr>
                <w:rFonts w:ascii="Arial" w:cs="Arial" w:eastAsia="Arial" w:hAnsi="Arial"/>
                <w:sz w:val="14"/>
                <w:szCs w:val="14"/>
                <w:color w:val="auto"/>
              </w:rPr>
              <w:t>PennantPark Investment Corporation</w:t>
            </w:r>
          </w:p>
        </w:tc>
        <w:tc>
          <w:tcPr>
            <w:tcW w:w="2960" w:type="dxa"/>
            <w:vAlign w:val="bottom"/>
          </w:tcPr>
          <w:p>
            <w:pPr>
              <w:ind w:left="1020"/>
              <w:spacing w:after="0"/>
              <w:rPr>
                <w:sz w:val="20"/>
                <w:szCs w:val="20"/>
                <w:color w:val="auto"/>
              </w:rPr>
            </w:pPr>
            <w:r>
              <w:rPr>
                <w:rFonts w:ascii="Arial" w:cs="Arial" w:eastAsia="Arial" w:hAnsi="Arial"/>
                <w:sz w:val="14"/>
                <w:szCs w:val="14"/>
                <w:color w:val="auto"/>
              </w:rPr>
              <w:t>Second Lien</w:t>
            </w:r>
          </w:p>
        </w:tc>
      </w:tr>
      <w:tr>
        <w:trPr>
          <w:trHeight w:val="162"/>
        </w:trPr>
        <w:tc>
          <w:tcPr>
            <w:tcW w:w="3360" w:type="dxa"/>
            <w:vAlign w:val="bottom"/>
          </w:tcPr>
          <w:p>
            <w:pPr>
              <w:spacing w:after="0"/>
              <w:rPr>
                <w:sz w:val="20"/>
                <w:szCs w:val="20"/>
                <w:color w:val="auto"/>
              </w:rPr>
            </w:pPr>
            <w:r>
              <w:rPr>
                <w:rFonts w:ascii="Arial" w:cs="Arial" w:eastAsia="Arial" w:hAnsi="Arial"/>
                <w:sz w:val="14"/>
                <w:szCs w:val="14"/>
                <w:color w:val="auto"/>
              </w:rPr>
              <w:t>EnviroSolutions Real Property Holdings, Inc.</w:t>
            </w:r>
          </w:p>
        </w:tc>
        <w:tc>
          <w:tcPr>
            <w:tcW w:w="3420" w:type="dxa"/>
            <w:vAlign w:val="bottom"/>
          </w:tcPr>
          <w:p>
            <w:pPr>
              <w:ind w:left="260"/>
              <w:spacing w:after="0"/>
              <w:rPr>
                <w:sz w:val="20"/>
                <w:szCs w:val="20"/>
                <w:color w:val="auto"/>
              </w:rPr>
            </w:pPr>
            <w:r>
              <w:rPr>
                <w:rFonts w:ascii="Arial" w:cs="Arial" w:eastAsia="Arial" w:hAnsi="Arial"/>
                <w:sz w:val="14"/>
                <w:szCs w:val="14"/>
                <w:color w:val="auto"/>
              </w:rPr>
              <w:t>PennantPark Investment Corporation</w:t>
            </w:r>
          </w:p>
        </w:tc>
        <w:tc>
          <w:tcPr>
            <w:tcW w:w="2960" w:type="dxa"/>
            <w:vAlign w:val="bottom"/>
          </w:tcPr>
          <w:p>
            <w:pPr>
              <w:ind w:left="1020"/>
              <w:spacing w:after="0"/>
              <w:rPr>
                <w:sz w:val="20"/>
                <w:szCs w:val="20"/>
                <w:color w:val="auto"/>
              </w:rPr>
            </w:pPr>
            <w:r>
              <w:rPr>
                <w:rFonts w:ascii="Arial" w:cs="Arial" w:eastAsia="Arial" w:hAnsi="Arial"/>
                <w:sz w:val="14"/>
                <w:szCs w:val="14"/>
                <w:color w:val="auto"/>
              </w:rPr>
              <w:t>Second Lien</w:t>
            </w:r>
          </w:p>
        </w:tc>
      </w:tr>
      <w:tr>
        <w:trPr>
          <w:trHeight w:val="162"/>
        </w:trPr>
        <w:tc>
          <w:tcPr>
            <w:tcW w:w="3360" w:type="dxa"/>
            <w:vAlign w:val="bottom"/>
          </w:tcPr>
          <w:p>
            <w:pPr>
              <w:spacing w:after="0"/>
              <w:rPr>
                <w:sz w:val="20"/>
                <w:szCs w:val="20"/>
                <w:color w:val="auto"/>
              </w:rPr>
            </w:pPr>
            <w:r>
              <w:rPr>
                <w:rFonts w:ascii="Arial" w:cs="Arial" w:eastAsia="Arial" w:hAnsi="Arial"/>
                <w:sz w:val="14"/>
                <w:szCs w:val="14"/>
                <w:color w:val="auto"/>
              </w:rPr>
              <w:t>Harbortouch Payments, LLC</w:t>
            </w:r>
          </w:p>
        </w:tc>
        <w:tc>
          <w:tcPr>
            <w:tcW w:w="3420" w:type="dxa"/>
            <w:vAlign w:val="bottom"/>
          </w:tcPr>
          <w:p>
            <w:pPr>
              <w:ind w:left="260"/>
              <w:spacing w:after="0"/>
              <w:rPr>
                <w:sz w:val="20"/>
                <w:szCs w:val="20"/>
                <w:color w:val="auto"/>
              </w:rPr>
            </w:pPr>
            <w:r>
              <w:rPr>
                <w:rFonts w:ascii="Arial" w:cs="Arial" w:eastAsia="Arial" w:hAnsi="Arial"/>
                <w:sz w:val="14"/>
                <w:szCs w:val="14"/>
                <w:color w:val="auto"/>
              </w:rPr>
              <w:t>PennantPark Investment Corporation</w:t>
            </w:r>
          </w:p>
        </w:tc>
        <w:tc>
          <w:tcPr>
            <w:tcW w:w="2960" w:type="dxa"/>
            <w:vAlign w:val="bottom"/>
          </w:tcPr>
          <w:p>
            <w:pPr>
              <w:ind w:left="1020"/>
              <w:spacing w:after="0"/>
              <w:rPr>
                <w:sz w:val="20"/>
                <w:szCs w:val="20"/>
                <w:color w:val="auto"/>
              </w:rPr>
            </w:pPr>
            <w:r>
              <w:rPr>
                <w:rFonts w:ascii="Arial" w:cs="Arial" w:eastAsia="Arial" w:hAnsi="Arial"/>
                <w:sz w:val="14"/>
                <w:szCs w:val="14"/>
                <w:color w:val="auto"/>
              </w:rPr>
              <w:t>Second Lien</w:t>
            </w:r>
          </w:p>
        </w:tc>
      </w:tr>
      <w:tr>
        <w:trPr>
          <w:trHeight w:val="162"/>
        </w:trPr>
        <w:tc>
          <w:tcPr>
            <w:tcW w:w="3360" w:type="dxa"/>
            <w:vAlign w:val="bottom"/>
          </w:tcPr>
          <w:p>
            <w:pPr>
              <w:spacing w:after="0"/>
              <w:rPr>
                <w:sz w:val="20"/>
                <w:szCs w:val="20"/>
                <w:color w:val="auto"/>
              </w:rPr>
            </w:pPr>
            <w:r>
              <w:rPr>
                <w:rFonts w:ascii="Arial" w:cs="Arial" w:eastAsia="Arial" w:hAnsi="Arial"/>
                <w:sz w:val="14"/>
                <w:szCs w:val="14"/>
                <w:color w:val="auto"/>
              </w:rPr>
              <w:t>Howard Berger Co. LLC</w:t>
            </w:r>
          </w:p>
        </w:tc>
        <w:tc>
          <w:tcPr>
            <w:tcW w:w="3420" w:type="dxa"/>
            <w:vAlign w:val="bottom"/>
          </w:tcPr>
          <w:p>
            <w:pPr>
              <w:ind w:left="260"/>
              <w:spacing w:after="0"/>
              <w:rPr>
                <w:sz w:val="20"/>
                <w:szCs w:val="20"/>
                <w:color w:val="auto"/>
              </w:rPr>
            </w:pPr>
            <w:r>
              <w:rPr>
                <w:rFonts w:ascii="Arial" w:cs="Arial" w:eastAsia="Arial" w:hAnsi="Arial"/>
                <w:sz w:val="14"/>
                <w:szCs w:val="14"/>
                <w:color w:val="auto"/>
              </w:rPr>
              <w:t>PennantPark Investment Corporation</w:t>
            </w:r>
          </w:p>
        </w:tc>
        <w:tc>
          <w:tcPr>
            <w:tcW w:w="2960" w:type="dxa"/>
            <w:vAlign w:val="bottom"/>
          </w:tcPr>
          <w:p>
            <w:pPr>
              <w:ind w:left="1020"/>
              <w:spacing w:after="0"/>
              <w:rPr>
                <w:sz w:val="20"/>
                <w:szCs w:val="20"/>
                <w:color w:val="auto"/>
              </w:rPr>
            </w:pPr>
            <w:r>
              <w:rPr>
                <w:rFonts w:ascii="Arial" w:cs="Arial" w:eastAsia="Arial" w:hAnsi="Arial"/>
                <w:sz w:val="14"/>
                <w:szCs w:val="14"/>
                <w:color w:val="auto"/>
              </w:rPr>
              <w:t>Second Lien</w:t>
            </w:r>
          </w:p>
        </w:tc>
      </w:tr>
      <w:tr>
        <w:trPr>
          <w:trHeight w:val="162"/>
        </w:trPr>
        <w:tc>
          <w:tcPr>
            <w:tcW w:w="3360" w:type="dxa"/>
            <w:vAlign w:val="bottom"/>
          </w:tcPr>
          <w:p>
            <w:pPr>
              <w:spacing w:after="0"/>
              <w:rPr>
                <w:sz w:val="20"/>
                <w:szCs w:val="20"/>
                <w:color w:val="auto"/>
              </w:rPr>
            </w:pPr>
            <w:r>
              <w:rPr>
                <w:rFonts w:ascii="Arial" w:cs="Arial" w:eastAsia="Arial" w:hAnsi="Arial"/>
                <w:sz w:val="14"/>
                <w:szCs w:val="14"/>
                <w:color w:val="auto"/>
              </w:rPr>
              <w:t>Intermediate Transportation 100, LLC</w:t>
            </w:r>
          </w:p>
        </w:tc>
        <w:tc>
          <w:tcPr>
            <w:tcW w:w="3420" w:type="dxa"/>
            <w:vAlign w:val="bottom"/>
          </w:tcPr>
          <w:p>
            <w:pPr>
              <w:ind w:left="260"/>
              <w:spacing w:after="0"/>
              <w:rPr>
                <w:sz w:val="20"/>
                <w:szCs w:val="20"/>
                <w:color w:val="auto"/>
              </w:rPr>
            </w:pPr>
            <w:r>
              <w:rPr>
                <w:rFonts w:ascii="Arial" w:cs="Arial" w:eastAsia="Arial" w:hAnsi="Arial"/>
                <w:sz w:val="14"/>
                <w:szCs w:val="14"/>
                <w:color w:val="auto"/>
              </w:rPr>
              <w:t>PennantPark Investment Corporation</w:t>
            </w:r>
          </w:p>
        </w:tc>
        <w:tc>
          <w:tcPr>
            <w:tcW w:w="2960" w:type="dxa"/>
            <w:vAlign w:val="bottom"/>
          </w:tcPr>
          <w:p>
            <w:pPr>
              <w:ind w:left="1020"/>
              <w:spacing w:after="0"/>
              <w:rPr>
                <w:sz w:val="20"/>
                <w:szCs w:val="20"/>
                <w:color w:val="auto"/>
              </w:rPr>
            </w:pPr>
            <w:r>
              <w:rPr>
                <w:rFonts w:ascii="Arial" w:cs="Arial" w:eastAsia="Arial" w:hAnsi="Arial"/>
                <w:sz w:val="14"/>
                <w:szCs w:val="14"/>
                <w:color w:val="auto"/>
              </w:rPr>
              <w:t>Second Lien</w:t>
            </w:r>
          </w:p>
        </w:tc>
      </w:tr>
      <w:tr>
        <w:trPr>
          <w:trHeight w:val="162"/>
        </w:trPr>
        <w:tc>
          <w:tcPr>
            <w:tcW w:w="3360" w:type="dxa"/>
            <w:vAlign w:val="bottom"/>
          </w:tcPr>
          <w:p>
            <w:pPr>
              <w:spacing w:after="0"/>
              <w:rPr>
                <w:sz w:val="20"/>
                <w:szCs w:val="20"/>
                <w:color w:val="auto"/>
              </w:rPr>
            </w:pPr>
            <w:r>
              <w:rPr>
                <w:rFonts w:ascii="Arial" w:cs="Arial" w:eastAsia="Arial" w:hAnsi="Arial"/>
                <w:sz w:val="14"/>
                <w:szCs w:val="14"/>
                <w:color w:val="auto"/>
              </w:rPr>
              <w:t>MailSouth, Inc.</w:t>
            </w:r>
          </w:p>
        </w:tc>
        <w:tc>
          <w:tcPr>
            <w:tcW w:w="3420" w:type="dxa"/>
            <w:vAlign w:val="bottom"/>
          </w:tcPr>
          <w:p>
            <w:pPr>
              <w:ind w:left="260"/>
              <w:spacing w:after="0"/>
              <w:rPr>
                <w:sz w:val="20"/>
                <w:szCs w:val="20"/>
                <w:color w:val="auto"/>
              </w:rPr>
            </w:pPr>
            <w:r>
              <w:rPr>
                <w:rFonts w:ascii="Arial" w:cs="Arial" w:eastAsia="Arial" w:hAnsi="Arial"/>
                <w:sz w:val="14"/>
                <w:szCs w:val="14"/>
                <w:color w:val="auto"/>
              </w:rPr>
              <w:t>PennantPark Investment Corporation</w:t>
            </w:r>
          </w:p>
        </w:tc>
        <w:tc>
          <w:tcPr>
            <w:tcW w:w="2960" w:type="dxa"/>
            <w:vAlign w:val="bottom"/>
          </w:tcPr>
          <w:p>
            <w:pPr>
              <w:ind w:left="1020"/>
              <w:spacing w:after="0"/>
              <w:rPr>
                <w:sz w:val="20"/>
                <w:szCs w:val="20"/>
                <w:color w:val="auto"/>
              </w:rPr>
            </w:pPr>
            <w:r>
              <w:rPr>
                <w:rFonts w:ascii="Arial" w:cs="Arial" w:eastAsia="Arial" w:hAnsi="Arial"/>
                <w:sz w:val="14"/>
                <w:szCs w:val="14"/>
                <w:color w:val="auto"/>
              </w:rPr>
              <w:t>Second Lien</w:t>
            </w:r>
          </w:p>
        </w:tc>
      </w:tr>
      <w:tr>
        <w:trPr>
          <w:trHeight w:val="162"/>
        </w:trPr>
        <w:tc>
          <w:tcPr>
            <w:tcW w:w="3360" w:type="dxa"/>
            <w:vAlign w:val="bottom"/>
          </w:tcPr>
          <w:p>
            <w:pPr>
              <w:spacing w:after="0"/>
              <w:rPr>
                <w:sz w:val="20"/>
                <w:szCs w:val="20"/>
                <w:color w:val="auto"/>
              </w:rPr>
            </w:pPr>
            <w:r>
              <w:rPr>
                <w:rFonts w:ascii="Arial" w:cs="Arial" w:eastAsia="Arial" w:hAnsi="Arial"/>
                <w:sz w:val="14"/>
                <w:szCs w:val="14"/>
                <w:color w:val="auto"/>
              </w:rPr>
              <w:t>Novitex Acquisition, LLC</w:t>
            </w:r>
          </w:p>
        </w:tc>
        <w:tc>
          <w:tcPr>
            <w:tcW w:w="3420" w:type="dxa"/>
            <w:vAlign w:val="bottom"/>
          </w:tcPr>
          <w:p>
            <w:pPr>
              <w:ind w:left="260"/>
              <w:spacing w:after="0"/>
              <w:rPr>
                <w:sz w:val="20"/>
                <w:szCs w:val="20"/>
                <w:color w:val="auto"/>
              </w:rPr>
            </w:pPr>
            <w:r>
              <w:rPr>
                <w:rFonts w:ascii="Arial" w:cs="Arial" w:eastAsia="Arial" w:hAnsi="Arial"/>
                <w:sz w:val="14"/>
                <w:szCs w:val="14"/>
                <w:color w:val="auto"/>
              </w:rPr>
              <w:t>PennantPark Investment Corporation</w:t>
            </w:r>
          </w:p>
        </w:tc>
        <w:tc>
          <w:tcPr>
            <w:tcW w:w="2960" w:type="dxa"/>
            <w:vAlign w:val="bottom"/>
          </w:tcPr>
          <w:p>
            <w:pPr>
              <w:ind w:left="1020"/>
              <w:spacing w:after="0"/>
              <w:rPr>
                <w:sz w:val="20"/>
                <w:szCs w:val="20"/>
                <w:color w:val="auto"/>
              </w:rPr>
            </w:pPr>
            <w:r>
              <w:rPr>
                <w:rFonts w:ascii="Arial" w:cs="Arial" w:eastAsia="Arial" w:hAnsi="Arial"/>
                <w:sz w:val="14"/>
                <w:szCs w:val="14"/>
                <w:color w:val="auto"/>
              </w:rPr>
              <w:t>Second Lien</w:t>
            </w:r>
          </w:p>
        </w:tc>
      </w:tr>
      <w:tr>
        <w:trPr>
          <w:trHeight w:val="162"/>
        </w:trPr>
        <w:tc>
          <w:tcPr>
            <w:tcW w:w="3360" w:type="dxa"/>
            <w:vAlign w:val="bottom"/>
          </w:tcPr>
          <w:p>
            <w:pPr>
              <w:spacing w:after="0"/>
              <w:rPr>
                <w:sz w:val="20"/>
                <w:szCs w:val="20"/>
                <w:color w:val="auto"/>
              </w:rPr>
            </w:pPr>
            <w:r>
              <w:rPr>
                <w:rFonts w:ascii="Arial" w:cs="Arial" w:eastAsia="Arial" w:hAnsi="Arial"/>
                <w:sz w:val="14"/>
                <w:szCs w:val="14"/>
                <w:color w:val="auto"/>
              </w:rPr>
              <w:t>Parq Holdings Limited Partnership</w:t>
            </w:r>
          </w:p>
        </w:tc>
        <w:tc>
          <w:tcPr>
            <w:tcW w:w="3420" w:type="dxa"/>
            <w:vAlign w:val="bottom"/>
          </w:tcPr>
          <w:p>
            <w:pPr>
              <w:ind w:left="260"/>
              <w:spacing w:after="0"/>
              <w:rPr>
                <w:sz w:val="20"/>
                <w:szCs w:val="20"/>
                <w:color w:val="auto"/>
              </w:rPr>
            </w:pPr>
            <w:r>
              <w:rPr>
                <w:rFonts w:ascii="Arial" w:cs="Arial" w:eastAsia="Arial" w:hAnsi="Arial"/>
                <w:sz w:val="14"/>
                <w:szCs w:val="14"/>
                <w:color w:val="auto"/>
              </w:rPr>
              <w:t>PennantPark Investment Corporation</w:t>
            </w:r>
          </w:p>
        </w:tc>
        <w:tc>
          <w:tcPr>
            <w:tcW w:w="2960" w:type="dxa"/>
            <w:vAlign w:val="bottom"/>
          </w:tcPr>
          <w:p>
            <w:pPr>
              <w:ind w:left="1020"/>
              <w:spacing w:after="0"/>
              <w:rPr>
                <w:sz w:val="20"/>
                <w:szCs w:val="20"/>
                <w:color w:val="auto"/>
              </w:rPr>
            </w:pPr>
            <w:r>
              <w:rPr>
                <w:rFonts w:ascii="Arial" w:cs="Arial" w:eastAsia="Arial" w:hAnsi="Arial"/>
                <w:sz w:val="14"/>
                <w:szCs w:val="14"/>
                <w:color w:val="auto"/>
              </w:rPr>
              <w:t>Second Lien</w:t>
            </w:r>
          </w:p>
        </w:tc>
      </w:tr>
      <w:tr>
        <w:trPr>
          <w:trHeight w:val="162"/>
        </w:trPr>
        <w:tc>
          <w:tcPr>
            <w:tcW w:w="3360" w:type="dxa"/>
            <w:vAlign w:val="bottom"/>
          </w:tcPr>
          <w:p>
            <w:pPr>
              <w:spacing w:after="0"/>
              <w:rPr>
                <w:sz w:val="20"/>
                <w:szCs w:val="20"/>
                <w:color w:val="auto"/>
              </w:rPr>
            </w:pPr>
            <w:r>
              <w:rPr>
                <w:rFonts w:ascii="Arial" w:cs="Arial" w:eastAsia="Arial" w:hAnsi="Arial"/>
                <w:sz w:val="14"/>
                <w:szCs w:val="14"/>
                <w:color w:val="auto"/>
              </w:rPr>
              <w:t>Pre-Paid Legal Services, Inc.</w:t>
            </w:r>
          </w:p>
        </w:tc>
        <w:tc>
          <w:tcPr>
            <w:tcW w:w="3420" w:type="dxa"/>
            <w:vAlign w:val="bottom"/>
          </w:tcPr>
          <w:p>
            <w:pPr>
              <w:ind w:left="260"/>
              <w:spacing w:after="0"/>
              <w:rPr>
                <w:sz w:val="20"/>
                <w:szCs w:val="20"/>
                <w:color w:val="auto"/>
              </w:rPr>
            </w:pPr>
            <w:r>
              <w:rPr>
                <w:rFonts w:ascii="Arial" w:cs="Arial" w:eastAsia="Arial" w:hAnsi="Arial"/>
                <w:sz w:val="14"/>
                <w:szCs w:val="14"/>
                <w:color w:val="auto"/>
              </w:rPr>
              <w:t>PennantPark Investment Corporation</w:t>
            </w:r>
          </w:p>
        </w:tc>
        <w:tc>
          <w:tcPr>
            <w:tcW w:w="2960" w:type="dxa"/>
            <w:vAlign w:val="bottom"/>
          </w:tcPr>
          <w:p>
            <w:pPr>
              <w:ind w:left="1020"/>
              <w:spacing w:after="0"/>
              <w:rPr>
                <w:sz w:val="20"/>
                <w:szCs w:val="20"/>
                <w:color w:val="auto"/>
              </w:rPr>
            </w:pPr>
            <w:r>
              <w:rPr>
                <w:rFonts w:ascii="Arial" w:cs="Arial" w:eastAsia="Arial" w:hAnsi="Arial"/>
                <w:sz w:val="14"/>
                <w:szCs w:val="14"/>
                <w:color w:val="auto"/>
              </w:rPr>
              <w:t>Second Lien</w:t>
            </w:r>
          </w:p>
        </w:tc>
      </w:tr>
      <w:tr>
        <w:trPr>
          <w:trHeight w:val="162"/>
        </w:trPr>
        <w:tc>
          <w:tcPr>
            <w:tcW w:w="3360" w:type="dxa"/>
            <w:vAlign w:val="bottom"/>
          </w:tcPr>
          <w:p>
            <w:pPr>
              <w:spacing w:after="0"/>
              <w:rPr>
                <w:sz w:val="20"/>
                <w:szCs w:val="20"/>
                <w:color w:val="auto"/>
              </w:rPr>
            </w:pPr>
            <w:r>
              <w:rPr>
                <w:rFonts w:ascii="Arial" w:cs="Arial" w:eastAsia="Arial" w:hAnsi="Arial"/>
                <w:sz w:val="14"/>
                <w:szCs w:val="14"/>
                <w:color w:val="auto"/>
              </w:rPr>
              <w:t>Superior Digital Displays, LLC</w:t>
            </w:r>
          </w:p>
        </w:tc>
        <w:tc>
          <w:tcPr>
            <w:tcW w:w="3420" w:type="dxa"/>
            <w:vAlign w:val="bottom"/>
          </w:tcPr>
          <w:p>
            <w:pPr>
              <w:ind w:left="260"/>
              <w:spacing w:after="0"/>
              <w:rPr>
                <w:sz w:val="20"/>
                <w:szCs w:val="20"/>
                <w:color w:val="auto"/>
              </w:rPr>
            </w:pPr>
            <w:r>
              <w:rPr>
                <w:rFonts w:ascii="Arial" w:cs="Arial" w:eastAsia="Arial" w:hAnsi="Arial"/>
                <w:sz w:val="14"/>
                <w:szCs w:val="14"/>
                <w:color w:val="auto"/>
              </w:rPr>
              <w:t>PennantPark Investment Corporation</w:t>
            </w:r>
          </w:p>
        </w:tc>
        <w:tc>
          <w:tcPr>
            <w:tcW w:w="2960" w:type="dxa"/>
            <w:vAlign w:val="bottom"/>
          </w:tcPr>
          <w:p>
            <w:pPr>
              <w:ind w:left="1020"/>
              <w:spacing w:after="0"/>
              <w:rPr>
                <w:sz w:val="20"/>
                <w:szCs w:val="20"/>
                <w:color w:val="auto"/>
              </w:rPr>
            </w:pPr>
            <w:r>
              <w:rPr>
                <w:rFonts w:ascii="Arial" w:cs="Arial" w:eastAsia="Arial" w:hAnsi="Arial"/>
                <w:sz w:val="14"/>
                <w:szCs w:val="14"/>
                <w:color w:val="auto"/>
              </w:rPr>
              <w:t>Second Lien</w:t>
            </w:r>
          </w:p>
        </w:tc>
      </w:tr>
      <w:tr>
        <w:trPr>
          <w:trHeight w:val="162"/>
        </w:trPr>
        <w:tc>
          <w:tcPr>
            <w:tcW w:w="3360" w:type="dxa"/>
            <w:vAlign w:val="bottom"/>
          </w:tcPr>
          <w:p>
            <w:pPr>
              <w:spacing w:after="0"/>
              <w:rPr>
                <w:sz w:val="20"/>
                <w:szCs w:val="20"/>
                <w:color w:val="auto"/>
              </w:rPr>
            </w:pPr>
            <w:r>
              <w:rPr>
                <w:rFonts w:ascii="Arial" w:cs="Arial" w:eastAsia="Arial" w:hAnsi="Arial"/>
                <w:sz w:val="14"/>
                <w:szCs w:val="14"/>
                <w:color w:val="auto"/>
              </w:rPr>
              <w:t>Affinion International Holdings Limited</w:t>
            </w:r>
          </w:p>
        </w:tc>
        <w:tc>
          <w:tcPr>
            <w:tcW w:w="3420" w:type="dxa"/>
            <w:vAlign w:val="bottom"/>
          </w:tcPr>
          <w:p>
            <w:pPr>
              <w:ind w:left="260"/>
              <w:spacing w:after="0"/>
              <w:rPr>
                <w:sz w:val="20"/>
                <w:szCs w:val="20"/>
                <w:color w:val="auto"/>
              </w:rPr>
            </w:pPr>
            <w:r>
              <w:rPr>
                <w:rFonts w:ascii="Arial" w:cs="Arial" w:eastAsia="Arial" w:hAnsi="Arial"/>
                <w:sz w:val="14"/>
                <w:szCs w:val="14"/>
                <w:color w:val="auto"/>
              </w:rPr>
              <w:t>PennantPark Investment Corporation</w:t>
            </w:r>
          </w:p>
        </w:tc>
        <w:tc>
          <w:tcPr>
            <w:tcW w:w="2960" w:type="dxa"/>
            <w:vAlign w:val="bottom"/>
          </w:tcPr>
          <w:p>
            <w:pPr>
              <w:ind w:left="1020"/>
              <w:spacing w:after="0"/>
              <w:rPr>
                <w:sz w:val="20"/>
                <w:szCs w:val="20"/>
                <w:color w:val="auto"/>
              </w:rPr>
            </w:pPr>
            <w:r>
              <w:rPr>
                <w:rFonts w:ascii="Arial" w:cs="Arial" w:eastAsia="Arial" w:hAnsi="Arial"/>
                <w:sz w:val="14"/>
                <w:szCs w:val="14"/>
                <w:color w:val="auto"/>
                <w:w w:val="92"/>
              </w:rPr>
              <w:t>Subordinate Debt/Corporate Note</w:t>
            </w:r>
          </w:p>
        </w:tc>
      </w:tr>
      <w:tr>
        <w:trPr>
          <w:trHeight w:val="162"/>
        </w:trPr>
        <w:tc>
          <w:tcPr>
            <w:tcW w:w="3360" w:type="dxa"/>
            <w:vAlign w:val="bottom"/>
          </w:tcPr>
          <w:p>
            <w:pPr>
              <w:spacing w:after="0"/>
              <w:rPr>
                <w:sz w:val="20"/>
                <w:szCs w:val="20"/>
                <w:color w:val="auto"/>
              </w:rPr>
            </w:pPr>
            <w:r>
              <w:rPr>
                <w:rFonts w:ascii="Arial" w:cs="Arial" w:eastAsia="Arial" w:hAnsi="Arial"/>
                <w:sz w:val="14"/>
                <w:szCs w:val="14"/>
                <w:color w:val="auto"/>
              </w:rPr>
              <w:t>American Gilsonite Company</w:t>
            </w:r>
          </w:p>
        </w:tc>
        <w:tc>
          <w:tcPr>
            <w:tcW w:w="3420" w:type="dxa"/>
            <w:vAlign w:val="bottom"/>
          </w:tcPr>
          <w:p>
            <w:pPr>
              <w:ind w:left="260"/>
              <w:spacing w:after="0"/>
              <w:rPr>
                <w:sz w:val="20"/>
                <w:szCs w:val="20"/>
                <w:color w:val="auto"/>
              </w:rPr>
            </w:pPr>
            <w:r>
              <w:rPr>
                <w:rFonts w:ascii="Arial" w:cs="Arial" w:eastAsia="Arial" w:hAnsi="Arial"/>
                <w:sz w:val="14"/>
                <w:szCs w:val="14"/>
                <w:color w:val="auto"/>
              </w:rPr>
              <w:t>PennantPark Investment Corporation</w:t>
            </w:r>
          </w:p>
        </w:tc>
        <w:tc>
          <w:tcPr>
            <w:tcW w:w="2960" w:type="dxa"/>
            <w:vAlign w:val="bottom"/>
          </w:tcPr>
          <w:p>
            <w:pPr>
              <w:ind w:left="1020"/>
              <w:spacing w:after="0"/>
              <w:rPr>
                <w:sz w:val="20"/>
                <w:szCs w:val="20"/>
                <w:color w:val="auto"/>
              </w:rPr>
            </w:pPr>
            <w:r>
              <w:rPr>
                <w:rFonts w:ascii="Arial" w:cs="Arial" w:eastAsia="Arial" w:hAnsi="Arial"/>
                <w:sz w:val="14"/>
                <w:szCs w:val="14"/>
                <w:color w:val="auto"/>
                <w:w w:val="92"/>
              </w:rPr>
              <w:t>Subordinate Debt/Corporate Note</w:t>
            </w:r>
          </w:p>
        </w:tc>
      </w:tr>
      <w:tr>
        <w:trPr>
          <w:trHeight w:val="162"/>
        </w:trPr>
        <w:tc>
          <w:tcPr>
            <w:tcW w:w="3360" w:type="dxa"/>
            <w:vAlign w:val="bottom"/>
          </w:tcPr>
          <w:p>
            <w:pPr>
              <w:spacing w:after="0"/>
              <w:rPr>
                <w:sz w:val="20"/>
                <w:szCs w:val="20"/>
                <w:color w:val="auto"/>
              </w:rPr>
            </w:pPr>
            <w:r>
              <w:rPr>
                <w:rFonts w:ascii="Arial" w:cs="Arial" w:eastAsia="Arial" w:hAnsi="Arial"/>
                <w:sz w:val="14"/>
                <w:szCs w:val="14"/>
                <w:color w:val="auto"/>
              </w:rPr>
              <w:t>Cascade Environmental LLC</w:t>
            </w:r>
          </w:p>
        </w:tc>
        <w:tc>
          <w:tcPr>
            <w:tcW w:w="3420" w:type="dxa"/>
            <w:vAlign w:val="bottom"/>
          </w:tcPr>
          <w:p>
            <w:pPr>
              <w:ind w:left="260"/>
              <w:spacing w:after="0"/>
              <w:rPr>
                <w:sz w:val="20"/>
                <w:szCs w:val="20"/>
                <w:color w:val="auto"/>
              </w:rPr>
            </w:pPr>
            <w:r>
              <w:rPr>
                <w:rFonts w:ascii="Arial" w:cs="Arial" w:eastAsia="Arial" w:hAnsi="Arial"/>
                <w:sz w:val="14"/>
                <w:szCs w:val="14"/>
                <w:color w:val="auto"/>
              </w:rPr>
              <w:t>PennantPark Investment Corporation</w:t>
            </w:r>
          </w:p>
        </w:tc>
        <w:tc>
          <w:tcPr>
            <w:tcW w:w="2960" w:type="dxa"/>
            <w:vAlign w:val="bottom"/>
          </w:tcPr>
          <w:p>
            <w:pPr>
              <w:ind w:left="1020"/>
              <w:spacing w:after="0"/>
              <w:rPr>
                <w:sz w:val="20"/>
                <w:szCs w:val="20"/>
                <w:color w:val="auto"/>
              </w:rPr>
            </w:pPr>
            <w:r>
              <w:rPr>
                <w:rFonts w:ascii="Arial" w:cs="Arial" w:eastAsia="Arial" w:hAnsi="Arial"/>
                <w:sz w:val="14"/>
                <w:szCs w:val="14"/>
                <w:color w:val="auto"/>
                <w:w w:val="92"/>
              </w:rPr>
              <w:t>Subordinate Debt/Corporate Note</w:t>
            </w:r>
          </w:p>
        </w:tc>
      </w:tr>
      <w:tr>
        <w:trPr>
          <w:trHeight w:val="162"/>
        </w:trPr>
        <w:tc>
          <w:tcPr>
            <w:tcW w:w="3360" w:type="dxa"/>
            <w:vAlign w:val="bottom"/>
          </w:tcPr>
          <w:p>
            <w:pPr>
              <w:spacing w:after="0"/>
              <w:rPr>
                <w:sz w:val="20"/>
                <w:szCs w:val="20"/>
                <w:color w:val="auto"/>
              </w:rPr>
            </w:pPr>
            <w:r>
              <w:rPr>
                <w:rFonts w:ascii="Arial" w:cs="Arial" w:eastAsia="Arial" w:hAnsi="Arial"/>
                <w:sz w:val="14"/>
                <w:szCs w:val="14"/>
                <w:color w:val="auto"/>
              </w:rPr>
              <w:t>ETX Energy, LLC</w:t>
            </w:r>
          </w:p>
        </w:tc>
        <w:tc>
          <w:tcPr>
            <w:tcW w:w="3420" w:type="dxa"/>
            <w:vAlign w:val="bottom"/>
          </w:tcPr>
          <w:p>
            <w:pPr>
              <w:ind w:left="260"/>
              <w:spacing w:after="0"/>
              <w:rPr>
                <w:sz w:val="20"/>
                <w:szCs w:val="20"/>
                <w:color w:val="auto"/>
              </w:rPr>
            </w:pPr>
            <w:r>
              <w:rPr>
                <w:rFonts w:ascii="Arial" w:cs="Arial" w:eastAsia="Arial" w:hAnsi="Arial"/>
                <w:sz w:val="14"/>
                <w:szCs w:val="14"/>
                <w:color w:val="auto"/>
              </w:rPr>
              <w:t>PennantPark Investment Corporation</w:t>
            </w:r>
          </w:p>
        </w:tc>
        <w:tc>
          <w:tcPr>
            <w:tcW w:w="2960" w:type="dxa"/>
            <w:vAlign w:val="bottom"/>
          </w:tcPr>
          <w:p>
            <w:pPr>
              <w:ind w:left="1020"/>
              <w:spacing w:after="0"/>
              <w:rPr>
                <w:sz w:val="20"/>
                <w:szCs w:val="20"/>
                <w:color w:val="auto"/>
              </w:rPr>
            </w:pPr>
            <w:r>
              <w:rPr>
                <w:rFonts w:ascii="Arial" w:cs="Arial" w:eastAsia="Arial" w:hAnsi="Arial"/>
                <w:sz w:val="14"/>
                <w:szCs w:val="14"/>
                <w:color w:val="auto"/>
                <w:w w:val="92"/>
              </w:rPr>
              <w:t>Subordinate Debt/Corporate Note</w:t>
            </w:r>
          </w:p>
        </w:tc>
      </w:tr>
      <w:tr>
        <w:trPr>
          <w:trHeight w:val="162"/>
        </w:trPr>
        <w:tc>
          <w:tcPr>
            <w:tcW w:w="3360" w:type="dxa"/>
            <w:vAlign w:val="bottom"/>
          </w:tcPr>
          <w:p>
            <w:pPr>
              <w:spacing w:after="0"/>
              <w:rPr>
                <w:sz w:val="20"/>
                <w:szCs w:val="20"/>
                <w:color w:val="auto"/>
              </w:rPr>
            </w:pPr>
            <w:r>
              <w:rPr>
                <w:rFonts w:ascii="Arial" w:cs="Arial" w:eastAsia="Arial" w:hAnsi="Arial"/>
                <w:sz w:val="14"/>
                <w:szCs w:val="14"/>
                <w:color w:val="auto"/>
              </w:rPr>
              <w:t>Goldsun Trading Limited</w:t>
            </w:r>
          </w:p>
        </w:tc>
        <w:tc>
          <w:tcPr>
            <w:tcW w:w="3420" w:type="dxa"/>
            <w:vAlign w:val="bottom"/>
          </w:tcPr>
          <w:p>
            <w:pPr>
              <w:ind w:left="260"/>
              <w:spacing w:after="0"/>
              <w:rPr>
                <w:sz w:val="20"/>
                <w:szCs w:val="20"/>
                <w:color w:val="auto"/>
              </w:rPr>
            </w:pPr>
            <w:r>
              <w:rPr>
                <w:rFonts w:ascii="Arial" w:cs="Arial" w:eastAsia="Arial" w:hAnsi="Arial"/>
                <w:sz w:val="14"/>
                <w:szCs w:val="14"/>
                <w:color w:val="auto"/>
              </w:rPr>
              <w:t>PennantPark Investment Corporation</w:t>
            </w:r>
          </w:p>
        </w:tc>
        <w:tc>
          <w:tcPr>
            <w:tcW w:w="2960" w:type="dxa"/>
            <w:vAlign w:val="bottom"/>
          </w:tcPr>
          <w:p>
            <w:pPr>
              <w:ind w:left="1020"/>
              <w:spacing w:after="0"/>
              <w:rPr>
                <w:sz w:val="20"/>
                <w:szCs w:val="20"/>
                <w:color w:val="auto"/>
              </w:rPr>
            </w:pPr>
            <w:r>
              <w:rPr>
                <w:rFonts w:ascii="Arial" w:cs="Arial" w:eastAsia="Arial" w:hAnsi="Arial"/>
                <w:sz w:val="14"/>
                <w:szCs w:val="14"/>
                <w:color w:val="auto"/>
                <w:w w:val="92"/>
              </w:rPr>
              <w:t>Subordinate Debt/Corporate Note</w:t>
            </w:r>
          </w:p>
        </w:tc>
      </w:tr>
      <w:tr>
        <w:trPr>
          <w:trHeight w:val="162"/>
        </w:trPr>
        <w:tc>
          <w:tcPr>
            <w:tcW w:w="3360" w:type="dxa"/>
            <w:vAlign w:val="bottom"/>
          </w:tcPr>
          <w:p>
            <w:pPr>
              <w:spacing w:after="0"/>
              <w:rPr>
                <w:sz w:val="20"/>
                <w:szCs w:val="20"/>
                <w:color w:val="auto"/>
              </w:rPr>
            </w:pPr>
            <w:r>
              <w:rPr>
                <w:rFonts w:ascii="Arial" w:cs="Arial" w:eastAsia="Arial" w:hAnsi="Arial"/>
                <w:sz w:val="14"/>
                <w:szCs w:val="14"/>
                <w:color w:val="auto"/>
              </w:rPr>
              <w:t>Randall-Reilly, LLC</w:t>
            </w:r>
          </w:p>
        </w:tc>
        <w:tc>
          <w:tcPr>
            <w:tcW w:w="3420" w:type="dxa"/>
            <w:vAlign w:val="bottom"/>
          </w:tcPr>
          <w:p>
            <w:pPr>
              <w:ind w:left="260"/>
              <w:spacing w:after="0"/>
              <w:rPr>
                <w:sz w:val="20"/>
                <w:szCs w:val="20"/>
                <w:color w:val="auto"/>
              </w:rPr>
            </w:pPr>
            <w:r>
              <w:rPr>
                <w:rFonts w:ascii="Arial" w:cs="Arial" w:eastAsia="Arial" w:hAnsi="Arial"/>
                <w:sz w:val="14"/>
                <w:szCs w:val="14"/>
                <w:color w:val="auto"/>
              </w:rPr>
              <w:t>PennantPark Investment Corporation</w:t>
            </w:r>
          </w:p>
        </w:tc>
        <w:tc>
          <w:tcPr>
            <w:tcW w:w="2960" w:type="dxa"/>
            <w:vAlign w:val="bottom"/>
          </w:tcPr>
          <w:p>
            <w:pPr>
              <w:ind w:left="1020"/>
              <w:spacing w:after="0"/>
              <w:rPr>
                <w:sz w:val="20"/>
                <w:szCs w:val="20"/>
                <w:color w:val="auto"/>
              </w:rPr>
            </w:pPr>
            <w:r>
              <w:rPr>
                <w:rFonts w:ascii="Arial" w:cs="Arial" w:eastAsia="Arial" w:hAnsi="Arial"/>
                <w:sz w:val="14"/>
                <w:szCs w:val="14"/>
                <w:color w:val="auto"/>
                <w:w w:val="92"/>
              </w:rPr>
              <w:t>Subordinate Debt/Corporate Note</w:t>
            </w:r>
          </w:p>
        </w:tc>
      </w:tr>
      <w:tr>
        <w:trPr>
          <w:trHeight w:val="162"/>
        </w:trPr>
        <w:tc>
          <w:tcPr>
            <w:tcW w:w="3360" w:type="dxa"/>
            <w:vAlign w:val="bottom"/>
          </w:tcPr>
          <w:p>
            <w:pPr>
              <w:spacing w:after="0"/>
              <w:rPr>
                <w:sz w:val="20"/>
                <w:szCs w:val="20"/>
                <w:color w:val="auto"/>
              </w:rPr>
            </w:pPr>
            <w:r>
              <w:rPr>
                <w:rFonts w:ascii="Arial" w:cs="Arial" w:eastAsia="Arial" w:hAnsi="Arial"/>
                <w:sz w:val="14"/>
                <w:szCs w:val="14"/>
                <w:color w:val="auto"/>
              </w:rPr>
              <w:t>AH Holdings, Inc.</w:t>
            </w:r>
          </w:p>
        </w:tc>
        <w:tc>
          <w:tcPr>
            <w:tcW w:w="3420" w:type="dxa"/>
            <w:vAlign w:val="bottom"/>
          </w:tcPr>
          <w:p>
            <w:pPr>
              <w:ind w:left="260"/>
              <w:spacing w:after="0"/>
              <w:rPr>
                <w:sz w:val="20"/>
                <w:szCs w:val="20"/>
                <w:color w:val="auto"/>
              </w:rPr>
            </w:pPr>
            <w:r>
              <w:rPr>
                <w:rFonts w:ascii="Arial" w:cs="Arial" w:eastAsia="Arial" w:hAnsi="Arial"/>
                <w:sz w:val="14"/>
                <w:szCs w:val="14"/>
                <w:color w:val="auto"/>
              </w:rPr>
              <w:t>PennantPark Investment Corporation</w:t>
            </w:r>
          </w:p>
        </w:tc>
        <w:tc>
          <w:tcPr>
            <w:tcW w:w="2960" w:type="dxa"/>
            <w:vAlign w:val="bottom"/>
          </w:tcPr>
          <w:p>
            <w:pPr>
              <w:ind w:left="1020"/>
              <w:spacing w:after="0"/>
              <w:rPr>
                <w:sz w:val="20"/>
                <w:szCs w:val="20"/>
                <w:color w:val="auto"/>
              </w:rPr>
            </w:pPr>
            <w:r>
              <w:rPr>
                <w:rFonts w:ascii="Arial" w:cs="Arial" w:eastAsia="Arial" w:hAnsi="Arial"/>
                <w:sz w:val="14"/>
                <w:szCs w:val="14"/>
                <w:color w:val="auto"/>
              </w:rPr>
              <w:t>Equity/Preferred</w:t>
            </w:r>
          </w:p>
        </w:tc>
      </w:tr>
      <w:tr>
        <w:trPr>
          <w:trHeight w:val="162"/>
        </w:trPr>
        <w:tc>
          <w:tcPr>
            <w:tcW w:w="3360" w:type="dxa"/>
            <w:vAlign w:val="bottom"/>
          </w:tcPr>
          <w:p>
            <w:pPr>
              <w:spacing w:after="0"/>
              <w:rPr>
                <w:sz w:val="20"/>
                <w:szCs w:val="20"/>
                <w:color w:val="auto"/>
              </w:rPr>
            </w:pPr>
            <w:r>
              <w:rPr>
                <w:rFonts w:ascii="Arial" w:cs="Arial" w:eastAsia="Arial" w:hAnsi="Arial"/>
                <w:sz w:val="14"/>
                <w:szCs w:val="14"/>
                <w:color w:val="auto"/>
              </w:rPr>
              <w:t>Alegeus Technologies Holdings Corp.</w:t>
            </w:r>
          </w:p>
        </w:tc>
        <w:tc>
          <w:tcPr>
            <w:tcW w:w="3420" w:type="dxa"/>
            <w:vAlign w:val="bottom"/>
          </w:tcPr>
          <w:p>
            <w:pPr>
              <w:ind w:left="260"/>
              <w:spacing w:after="0"/>
              <w:rPr>
                <w:sz w:val="20"/>
                <w:szCs w:val="20"/>
                <w:color w:val="auto"/>
              </w:rPr>
            </w:pPr>
            <w:r>
              <w:rPr>
                <w:rFonts w:ascii="Arial" w:cs="Arial" w:eastAsia="Arial" w:hAnsi="Arial"/>
                <w:sz w:val="14"/>
                <w:szCs w:val="14"/>
                <w:color w:val="auto"/>
              </w:rPr>
              <w:t>PennantPark Investment Corporation</w:t>
            </w:r>
          </w:p>
        </w:tc>
        <w:tc>
          <w:tcPr>
            <w:tcW w:w="2960" w:type="dxa"/>
            <w:vAlign w:val="bottom"/>
          </w:tcPr>
          <w:p>
            <w:pPr>
              <w:ind w:left="1020"/>
              <w:spacing w:after="0"/>
              <w:rPr>
                <w:sz w:val="20"/>
                <w:szCs w:val="20"/>
                <w:color w:val="auto"/>
              </w:rPr>
            </w:pPr>
            <w:r>
              <w:rPr>
                <w:rFonts w:ascii="Arial" w:cs="Arial" w:eastAsia="Arial" w:hAnsi="Arial"/>
                <w:sz w:val="14"/>
                <w:szCs w:val="14"/>
                <w:color w:val="auto"/>
              </w:rPr>
              <w:t>Equity/Preferred</w:t>
            </w:r>
          </w:p>
        </w:tc>
      </w:tr>
      <w:tr>
        <w:trPr>
          <w:trHeight w:val="162"/>
        </w:trPr>
        <w:tc>
          <w:tcPr>
            <w:tcW w:w="3360" w:type="dxa"/>
            <w:vAlign w:val="bottom"/>
          </w:tcPr>
          <w:p>
            <w:pPr>
              <w:spacing w:after="0"/>
              <w:rPr>
                <w:sz w:val="20"/>
                <w:szCs w:val="20"/>
                <w:color w:val="auto"/>
              </w:rPr>
            </w:pPr>
            <w:r>
              <w:rPr>
                <w:rFonts w:ascii="Arial" w:cs="Arial" w:eastAsia="Arial" w:hAnsi="Arial"/>
                <w:sz w:val="14"/>
                <w:szCs w:val="14"/>
                <w:color w:val="auto"/>
              </w:rPr>
              <w:t>Convergint Technologies Holdings, LLC</w:t>
            </w:r>
          </w:p>
        </w:tc>
        <w:tc>
          <w:tcPr>
            <w:tcW w:w="3420" w:type="dxa"/>
            <w:vAlign w:val="bottom"/>
          </w:tcPr>
          <w:p>
            <w:pPr>
              <w:ind w:left="260"/>
              <w:spacing w:after="0"/>
              <w:rPr>
                <w:sz w:val="20"/>
                <w:szCs w:val="20"/>
                <w:color w:val="auto"/>
              </w:rPr>
            </w:pPr>
            <w:r>
              <w:rPr>
                <w:rFonts w:ascii="Arial" w:cs="Arial" w:eastAsia="Arial" w:hAnsi="Arial"/>
                <w:sz w:val="14"/>
                <w:szCs w:val="14"/>
                <w:color w:val="auto"/>
              </w:rPr>
              <w:t>PennantPark Investment Corporation</w:t>
            </w:r>
          </w:p>
        </w:tc>
        <w:tc>
          <w:tcPr>
            <w:tcW w:w="2960" w:type="dxa"/>
            <w:vAlign w:val="bottom"/>
          </w:tcPr>
          <w:p>
            <w:pPr>
              <w:ind w:left="1020"/>
              <w:spacing w:after="0"/>
              <w:rPr>
                <w:sz w:val="20"/>
                <w:szCs w:val="20"/>
                <w:color w:val="auto"/>
              </w:rPr>
            </w:pPr>
            <w:r>
              <w:rPr>
                <w:rFonts w:ascii="Arial" w:cs="Arial" w:eastAsia="Arial" w:hAnsi="Arial"/>
                <w:sz w:val="14"/>
                <w:szCs w:val="14"/>
                <w:color w:val="auto"/>
              </w:rPr>
              <w:t>Equity/Preferred</w:t>
            </w:r>
          </w:p>
        </w:tc>
      </w:tr>
      <w:tr>
        <w:trPr>
          <w:trHeight w:val="162"/>
        </w:trPr>
        <w:tc>
          <w:tcPr>
            <w:tcW w:w="3360" w:type="dxa"/>
            <w:vAlign w:val="bottom"/>
          </w:tcPr>
          <w:p>
            <w:pPr>
              <w:spacing w:after="0"/>
              <w:rPr>
                <w:sz w:val="20"/>
                <w:szCs w:val="20"/>
                <w:color w:val="auto"/>
              </w:rPr>
            </w:pPr>
            <w:r>
              <w:rPr>
                <w:rFonts w:ascii="Arial" w:cs="Arial" w:eastAsia="Arial" w:hAnsi="Arial"/>
                <w:sz w:val="14"/>
                <w:szCs w:val="14"/>
                <w:color w:val="auto"/>
              </w:rPr>
              <w:t>HW Holdco, LLC</w:t>
            </w:r>
          </w:p>
        </w:tc>
        <w:tc>
          <w:tcPr>
            <w:tcW w:w="3420" w:type="dxa"/>
            <w:vAlign w:val="bottom"/>
          </w:tcPr>
          <w:p>
            <w:pPr>
              <w:ind w:left="260"/>
              <w:spacing w:after="0"/>
              <w:rPr>
                <w:sz w:val="20"/>
                <w:szCs w:val="20"/>
                <w:color w:val="auto"/>
              </w:rPr>
            </w:pPr>
            <w:r>
              <w:rPr>
                <w:rFonts w:ascii="Arial" w:cs="Arial" w:eastAsia="Arial" w:hAnsi="Arial"/>
                <w:sz w:val="14"/>
                <w:szCs w:val="14"/>
                <w:color w:val="auto"/>
              </w:rPr>
              <w:t>PennantPark Investment Corporation</w:t>
            </w:r>
          </w:p>
        </w:tc>
        <w:tc>
          <w:tcPr>
            <w:tcW w:w="2960" w:type="dxa"/>
            <w:vAlign w:val="bottom"/>
          </w:tcPr>
          <w:p>
            <w:pPr>
              <w:ind w:left="1020"/>
              <w:spacing w:after="0"/>
              <w:rPr>
                <w:sz w:val="20"/>
                <w:szCs w:val="20"/>
                <w:color w:val="auto"/>
              </w:rPr>
            </w:pPr>
            <w:r>
              <w:rPr>
                <w:rFonts w:ascii="Arial" w:cs="Arial" w:eastAsia="Arial" w:hAnsi="Arial"/>
                <w:sz w:val="14"/>
                <w:szCs w:val="14"/>
                <w:color w:val="auto"/>
              </w:rPr>
              <w:t>Equity/Preferred</w:t>
            </w:r>
          </w:p>
        </w:tc>
      </w:tr>
      <w:tr>
        <w:trPr>
          <w:trHeight w:val="162"/>
        </w:trPr>
        <w:tc>
          <w:tcPr>
            <w:tcW w:w="3360" w:type="dxa"/>
            <w:vAlign w:val="bottom"/>
          </w:tcPr>
          <w:p>
            <w:pPr>
              <w:spacing w:after="0"/>
              <w:rPr>
                <w:sz w:val="20"/>
                <w:szCs w:val="20"/>
                <w:color w:val="auto"/>
              </w:rPr>
            </w:pPr>
            <w:r>
              <w:rPr>
                <w:rFonts w:ascii="Arial" w:cs="Arial" w:eastAsia="Arial" w:hAnsi="Arial"/>
                <w:sz w:val="14"/>
                <w:szCs w:val="14"/>
                <w:color w:val="auto"/>
              </w:rPr>
              <w:t>Superior Digital Display Holdings, Inc.</w:t>
            </w:r>
          </w:p>
        </w:tc>
        <w:tc>
          <w:tcPr>
            <w:tcW w:w="3420" w:type="dxa"/>
            <w:vAlign w:val="bottom"/>
          </w:tcPr>
          <w:p>
            <w:pPr>
              <w:ind w:left="260"/>
              <w:spacing w:after="0"/>
              <w:rPr>
                <w:sz w:val="20"/>
                <w:szCs w:val="20"/>
                <w:color w:val="auto"/>
              </w:rPr>
            </w:pPr>
            <w:r>
              <w:rPr>
                <w:rFonts w:ascii="Arial" w:cs="Arial" w:eastAsia="Arial" w:hAnsi="Arial"/>
                <w:sz w:val="14"/>
                <w:szCs w:val="14"/>
                <w:color w:val="auto"/>
              </w:rPr>
              <w:t>PennantPark Investment Corporation</w:t>
            </w:r>
          </w:p>
        </w:tc>
        <w:tc>
          <w:tcPr>
            <w:tcW w:w="2960" w:type="dxa"/>
            <w:vAlign w:val="bottom"/>
          </w:tcPr>
          <w:p>
            <w:pPr>
              <w:ind w:left="1020"/>
              <w:spacing w:after="0"/>
              <w:rPr>
                <w:sz w:val="20"/>
                <w:szCs w:val="20"/>
                <w:color w:val="auto"/>
              </w:rPr>
            </w:pPr>
            <w:r>
              <w:rPr>
                <w:rFonts w:ascii="Arial" w:cs="Arial" w:eastAsia="Arial" w:hAnsi="Arial"/>
                <w:sz w:val="14"/>
                <w:szCs w:val="14"/>
                <w:color w:val="auto"/>
              </w:rPr>
              <w:t>Equity/Preferred</w:t>
            </w:r>
          </w:p>
        </w:tc>
      </w:tr>
      <w:tr>
        <w:trPr>
          <w:trHeight w:val="162"/>
        </w:trPr>
        <w:tc>
          <w:tcPr>
            <w:tcW w:w="3360" w:type="dxa"/>
            <w:vAlign w:val="bottom"/>
          </w:tcPr>
          <w:p>
            <w:pPr>
              <w:spacing w:after="0"/>
              <w:rPr>
                <w:sz w:val="20"/>
                <w:szCs w:val="20"/>
                <w:color w:val="auto"/>
              </w:rPr>
            </w:pPr>
            <w:r>
              <w:rPr>
                <w:rFonts w:ascii="Arial" w:cs="Arial" w:eastAsia="Arial" w:hAnsi="Arial"/>
                <w:sz w:val="14"/>
                <w:szCs w:val="14"/>
                <w:color w:val="auto"/>
              </w:rPr>
              <w:t>Affinion Group Holdings, Inc.</w:t>
            </w:r>
          </w:p>
        </w:tc>
        <w:tc>
          <w:tcPr>
            <w:tcW w:w="3420" w:type="dxa"/>
            <w:vAlign w:val="bottom"/>
          </w:tcPr>
          <w:p>
            <w:pPr>
              <w:ind w:left="260"/>
              <w:spacing w:after="0"/>
              <w:rPr>
                <w:sz w:val="20"/>
                <w:szCs w:val="20"/>
                <w:color w:val="auto"/>
              </w:rPr>
            </w:pPr>
            <w:r>
              <w:rPr>
                <w:rFonts w:ascii="Arial" w:cs="Arial" w:eastAsia="Arial" w:hAnsi="Arial"/>
                <w:sz w:val="14"/>
                <w:szCs w:val="14"/>
                <w:color w:val="auto"/>
              </w:rPr>
              <w:t>PennantPark Investment Corporation</w:t>
            </w:r>
          </w:p>
        </w:tc>
        <w:tc>
          <w:tcPr>
            <w:tcW w:w="2960" w:type="dxa"/>
            <w:vAlign w:val="bottom"/>
          </w:tcPr>
          <w:p>
            <w:pPr>
              <w:ind w:left="1020"/>
              <w:spacing w:after="0"/>
              <w:rPr>
                <w:sz w:val="20"/>
                <w:szCs w:val="20"/>
                <w:color w:val="auto"/>
              </w:rPr>
            </w:pPr>
            <w:r>
              <w:rPr>
                <w:rFonts w:ascii="Arial" w:cs="Arial" w:eastAsia="Arial" w:hAnsi="Arial"/>
                <w:sz w:val="14"/>
                <w:szCs w:val="14"/>
                <w:color w:val="auto"/>
              </w:rPr>
              <w:t>Equity/Common</w:t>
            </w:r>
          </w:p>
        </w:tc>
      </w:tr>
      <w:tr>
        <w:trPr>
          <w:trHeight w:val="162"/>
        </w:trPr>
        <w:tc>
          <w:tcPr>
            <w:tcW w:w="3360" w:type="dxa"/>
            <w:vAlign w:val="bottom"/>
          </w:tcPr>
          <w:p>
            <w:pPr>
              <w:spacing w:after="0"/>
              <w:rPr>
                <w:sz w:val="20"/>
                <w:szCs w:val="20"/>
                <w:color w:val="auto"/>
              </w:rPr>
            </w:pPr>
            <w:r>
              <w:rPr>
                <w:rFonts w:ascii="Arial" w:cs="Arial" w:eastAsia="Arial" w:hAnsi="Arial"/>
                <w:sz w:val="14"/>
                <w:szCs w:val="14"/>
                <w:color w:val="auto"/>
              </w:rPr>
              <w:t>Affinion Group Holdings, Inc. - Series C and Series D</w:t>
            </w:r>
          </w:p>
        </w:tc>
        <w:tc>
          <w:tcPr>
            <w:tcW w:w="3420" w:type="dxa"/>
            <w:vAlign w:val="bottom"/>
          </w:tcPr>
          <w:p>
            <w:pPr>
              <w:ind w:left="260"/>
              <w:spacing w:after="0"/>
              <w:rPr>
                <w:sz w:val="20"/>
                <w:szCs w:val="20"/>
                <w:color w:val="auto"/>
              </w:rPr>
            </w:pPr>
            <w:r>
              <w:rPr>
                <w:rFonts w:ascii="Arial" w:cs="Arial" w:eastAsia="Arial" w:hAnsi="Arial"/>
                <w:sz w:val="14"/>
                <w:szCs w:val="14"/>
                <w:color w:val="auto"/>
              </w:rPr>
              <w:t>PennantPark Investment Corporation</w:t>
            </w:r>
          </w:p>
        </w:tc>
        <w:tc>
          <w:tcPr>
            <w:tcW w:w="2960" w:type="dxa"/>
            <w:vAlign w:val="bottom"/>
          </w:tcPr>
          <w:p>
            <w:pPr>
              <w:ind w:left="1020"/>
              <w:spacing w:after="0"/>
              <w:rPr>
                <w:sz w:val="20"/>
                <w:szCs w:val="20"/>
                <w:color w:val="auto"/>
              </w:rPr>
            </w:pPr>
            <w:r>
              <w:rPr>
                <w:rFonts w:ascii="Arial" w:cs="Arial" w:eastAsia="Arial" w:hAnsi="Arial"/>
                <w:sz w:val="14"/>
                <w:szCs w:val="14"/>
                <w:color w:val="auto"/>
              </w:rPr>
              <w:t>Equity/Common</w:t>
            </w:r>
          </w:p>
        </w:tc>
      </w:tr>
      <w:tr>
        <w:trPr>
          <w:trHeight w:val="162"/>
        </w:trPr>
        <w:tc>
          <w:tcPr>
            <w:tcW w:w="3360" w:type="dxa"/>
            <w:vAlign w:val="bottom"/>
          </w:tcPr>
          <w:p>
            <w:pPr>
              <w:spacing w:after="0"/>
              <w:rPr>
                <w:sz w:val="20"/>
                <w:szCs w:val="20"/>
                <w:color w:val="auto"/>
              </w:rPr>
            </w:pPr>
            <w:r>
              <w:rPr>
                <w:rFonts w:ascii="Arial" w:cs="Arial" w:eastAsia="Arial" w:hAnsi="Arial"/>
                <w:sz w:val="14"/>
                <w:szCs w:val="14"/>
                <w:color w:val="auto"/>
              </w:rPr>
              <w:t>Alegeus Technologies Holdings Corp. - Class A</w:t>
            </w:r>
          </w:p>
        </w:tc>
        <w:tc>
          <w:tcPr>
            <w:tcW w:w="3420" w:type="dxa"/>
            <w:vAlign w:val="bottom"/>
          </w:tcPr>
          <w:p>
            <w:pPr>
              <w:ind w:left="260"/>
              <w:spacing w:after="0"/>
              <w:rPr>
                <w:sz w:val="20"/>
                <w:szCs w:val="20"/>
                <w:color w:val="auto"/>
              </w:rPr>
            </w:pPr>
            <w:r>
              <w:rPr>
                <w:rFonts w:ascii="Arial" w:cs="Arial" w:eastAsia="Arial" w:hAnsi="Arial"/>
                <w:sz w:val="14"/>
                <w:szCs w:val="14"/>
                <w:color w:val="auto"/>
              </w:rPr>
              <w:t>PennantPark Investment Corporation</w:t>
            </w:r>
          </w:p>
        </w:tc>
        <w:tc>
          <w:tcPr>
            <w:tcW w:w="2960" w:type="dxa"/>
            <w:vAlign w:val="bottom"/>
          </w:tcPr>
          <w:p>
            <w:pPr>
              <w:ind w:left="1020"/>
              <w:spacing w:after="0"/>
              <w:rPr>
                <w:sz w:val="20"/>
                <w:szCs w:val="20"/>
                <w:color w:val="auto"/>
              </w:rPr>
            </w:pPr>
            <w:r>
              <w:rPr>
                <w:rFonts w:ascii="Arial" w:cs="Arial" w:eastAsia="Arial" w:hAnsi="Arial"/>
                <w:sz w:val="14"/>
                <w:szCs w:val="14"/>
                <w:color w:val="auto"/>
              </w:rPr>
              <w:t>Equity/Common</w:t>
            </w:r>
          </w:p>
        </w:tc>
      </w:tr>
      <w:tr>
        <w:trPr>
          <w:trHeight w:val="162"/>
        </w:trPr>
        <w:tc>
          <w:tcPr>
            <w:tcW w:w="3360" w:type="dxa"/>
            <w:vAlign w:val="bottom"/>
          </w:tcPr>
          <w:p>
            <w:pPr>
              <w:spacing w:after="0"/>
              <w:rPr>
                <w:sz w:val="20"/>
                <w:szCs w:val="20"/>
                <w:color w:val="auto"/>
              </w:rPr>
            </w:pPr>
            <w:r>
              <w:rPr>
                <w:rFonts w:ascii="Arial" w:cs="Arial" w:eastAsia="Arial" w:hAnsi="Arial"/>
                <w:sz w:val="14"/>
                <w:szCs w:val="14"/>
                <w:color w:val="auto"/>
              </w:rPr>
              <w:t>American Gilsonite Company</w:t>
            </w:r>
          </w:p>
        </w:tc>
        <w:tc>
          <w:tcPr>
            <w:tcW w:w="3420" w:type="dxa"/>
            <w:vAlign w:val="bottom"/>
          </w:tcPr>
          <w:p>
            <w:pPr>
              <w:ind w:left="260"/>
              <w:spacing w:after="0"/>
              <w:rPr>
                <w:sz w:val="20"/>
                <w:szCs w:val="20"/>
                <w:color w:val="auto"/>
              </w:rPr>
            </w:pPr>
            <w:r>
              <w:rPr>
                <w:rFonts w:ascii="Arial" w:cs="Arial" w:eastAsia="Arial" w:hAnsi="Arial"/>
                <w:sz w:val="14"/>
                <w:szCs w:val="14"/>
                <w:color w:val="auto"/>
              </w:rPr>
              <w:t>PennantPark Investment Corporation</w:t>
            </w:r>
          </w:p>
        </w:tc>
        <w:tc>
          <w:tcPr>
            <w:tcW w:w="2960" w:type="dxa"/>
            <w:vAlign w:val="bottom"/>
          </w:tcPr>
          <w:p>
            <w:pPr>
              <w:ind w:left="1020"/>
              <w:spacing w:after="0"/>
              <w:rPr>
                <w:sz w:val="20"/>
                <w:szCs w:val="20"/>
                <w:color w:val="auto"/>
              </w:rPr>
            </w:pPr>
            <w:r>
              <w:rPr>
                <w:rFonts w:ascii="Arial" w:cs="Arial" w:eastAsia="Arial" w:hAnsi="Arial"/>
                <w:sz w:val="14"/>
                <w:szCs w:val="14"/>
                <w:color w:val="auto"/>
              </w:rPr>
              <w:t>Equity/Common</w:t>
            </w:r>
          </w:p>
        </w:tc>
      </w:tr>
      <w:tr>
        <w:trPr>
          <w:trHeight w:val="162"/>
        </w:trPr>
        <w:tc>
          <w:tcPr>
            <w:tcW w:w="3360" w:type="dxa"/>
            <w:vAlign w:val="bottom"/>
          </w:tcPr>
          <w:p>
            <w:pPr>
              <w:spacing w:after="0"/>
              <w:rPr>
                <w:sz w:val="20"/>
                <w:szCs w:val="20"/>
                <w:color w:val="auto"/>
              </w:rPr>
            </w:pPr>
            <w:r>
              <w:rPr>
                <w:rFonts w:ascii="Arial" w:cs="Arial" w:eastAsia="Arial" w:hAnsi="Arial"/>
                <w:sz w:val="14"/>
                <w:szCs w:val="14"/>
                <w:color w:val="auto"/>
              </w:rPr>
              <w:t>Autumn Games, LLC</w:t>
            </w:r>
          </w:p>
        </w:tc>
        <w:tc>
          <w:tcPr>
            <w:tcW w:w="3420" w:type="dxa"/>
            <w:vAlign w:val="bottom"/>
          </w:tcPr>
          <w:p>
            <w:pPr>
              <w:ind w:left="260"/>
              <w:spacing w:after="0"/>
              <w:rPr>
                <w:sz w:val="20"/>
                <w:szCs w:val="20"/>
                <w:color w:val="auto"/>
              </w:rPr>
            </w:pPr>
            <w:r>
              <w:rPr>
                <w:rFonts w:ascii="Arial" w:cs="Arial" w:eastAsia="Arial" w:hAnsi="Arial"/>
                <w:sz w:val="14"/>
                <w:szCs w:val="14"/>
                <w:color w:val="auto"/>
              </w:rPr>
              <w:t>PennantPark Investment Corporation</w:t>
            </w:r>
          </w:p>
        </w:tc>
        <w:tc>
          <w:tcPr>
            <w:tcW w:w="2960" w:type="dxa"/>
            <w:vAlign w:val="bottom"/>
          </w:tcPr>
          <w:p>
            <w:pPr>
              <w:ind w:left="1020"/>
              <w:spacing w:after="0"/>
              <w:rPr>
                <w:sz w:val="20"/>
                <w:szCs w:val="20"/>
                <w:color w:val="auto"/>
              </w:rPr>
            </w:pPr>
            <w:r>
              <w:rPr>
                <w:rFonts w:ascii="Arial" w:cs="Arial" w:eastAsia="Arial" w:hAnsi="Arial"/>
                <w:sz w:val="14"/>
                <w:szCs w:val="14"/>
                <w:color w:val="auto"/>
              </w:rPr>
              <w:t>Equity/Common</w:t>
            </w:r>
          </w:p>
        </w:tc>
      </w:tr>
      <w:tr>
        <w:trPr>
          <w:trHeight w:val="162"/>
        </w:trPr>
        <w:tc>
          <w:tcPr>
            <w:tcW w:w="3360" w:type="dxa"/>
            <w:vAlign w:val="bottom"/>
          </w:tcPr>
          <w:p>
            <w:pPr>
              <w:spacing w:after="0"/>
              <w:rPr>
                <w:sz w:val="20"/>
                <w:szCs w:val="20"/>
                <w:color w:val="auto"/>
              </w:rPr>
            </w:pPr>
            <w:r>
              <w:rPr>
                <w:rFonts w:ascii="Arial" w:cs="Arial" w:eastAsia="Arial" w:hAnsi="Arial"/>
                <w:sz w:val="14"/>
                <w:szCs w:val="14"/>
                <w:color w:val="auto"/>
              </w:rPr>
              <w:t>Cardinal Logistics Holdings LLC</w:t>
            </w:r>
          </w:p>
        </w:tc>
        <w:tc>
          <w:tcPr>
            <w:tcW w:w="3420" w:type="dxa"/>
            <w:vAlign w:val="bottom"/>
          </w:tcPr>
          <w:p>
            <w:pPr>
              <w:ind w:left="260"/>
              <w:spacing w:after="0"/>
              <w:rPr>
                <w:sz w:val="20"/>
                <w:szCs w:val="20"/>
                <w:color w:val="auto"/>
              </w:rPr>
            </w:pPr>
            <w:r>
              <w:rPr>
                <w:rFonts w:ascii="Arial" w:cs="Arial" w:eastAsia="Arial" w:hAnsi="Arial"/>
                <w:sz w:val="14"/>
                <w:szCs w:val="14"/>
                <w:color w:val="auto"/>
              </w:rPr>
              <w:t>PennantPark Investment Corporation</w:t>
            </w:r>
          </w:p>
        </w:tc>
        <w:tc>
          <w:tcPr>
            <w:tcW w:w="2960" w:type="dxa"/>
            <w:vAlign w:val="bottom"/>
          </w:tcPr>
          <w:p>
            <w:pPr>
              <w:ind w:left="1020"/>
              <w:spacing w:after="0"/>
              <w:rPr>
                <w:sz w:val="20"/>
                <w:szCs w:val="20"/>
                <w:color w:val="auto"/>
              </w:rPr>
            </w:pPr>
            <w:r>
              <w:rPr>
                <w:rFonts w:ascii="Arial" w:cs="Arial" w:eastAsia="Arial" w:hAnsi="Arial"/>
                <w:sz w:val="14"/>
                <w:szCs w:val="14"/>
                <w:color w:val="auto"/>
              </w:rPr>
              <w:t>Equity/Common</w:t>
            </w:r>
          </w:p>
        </w:tc>
      </w:tr>
      <w:tr>
        <w:trPr>
          <w:trHeight w:val="162"/>
        </w:trPr>
        <w:tc>
          <w:tcPr>
            <w:tcW w:w="3360" w:type="dxa"/>
            <w:vAlign w:val="bottom"/>
          </w:tcPr>
          <w:p>
            <w:pPr>
              <w:spacing w:after="0"/>
              <w:rPr>
                <w:sz w:val="20"/>
                <w:szCs w:val="20"/>
                <w:color w:val="auto"/>
              </w:rPr>
            </w:pPr>
            <w:r>
              <w:rPr>
                <w:rFonts w:ascii="Arial" w:cs="Arial" w:eastAsia="Arial" w:hAnsi="Arial"/>
                <w:sz w:val="14"/>
                <w:szCs w:val="14"/>
                <w:color w:val="auto"/>
              </w:rPr>
              <w:t>Cascade Environmental LLC</w:t>
            </w:r>
          </w:p>
        </w:tc>
        <w:tc>
          <w:tcPr>
            <w:tcW w:w="3420" w:type="dxa"/>
            <w:vAlign w:val="bottom"/>
          </w:tcPr>
          <w:p>
            <w:pPr>
              <w:ind w:left="260"/>
              <w:spacing w:after="0"/>
              <w:rPr>
                <w:sz w:val="20"/>
                <w:szCs w:val="20"/>
                <w:color w:val="auto"/>
              </w:rPr>
            </w:pPr>
            <w:r>
              <w:rPr>
                <w:rFonts w:ascii="Arial" w:cs="Arial" w:eastAsia="Arial" w:hAnsi="Arial"/>
                <w:sz w:val="14"/>
                <w:szCs w:val="14"/>
                <w:color w:val="auto"/>
              </w:rPr>
              <w:t>PennantPark Investment Corporation</w:t>
            </w:r>
          </w:p>
        </w:tc>
        <w:tc>
          <w:tcPr>
            <w:tcW w:w="2960" w:type="dxa"/>
            <w:vAlign w:val="bottom"/>
          </w:tcPr>
          <w:p>
            <w:pPr>
              <w:ind w:left="1020"/>
              <w:spacing w:after="0"/>
              <w:rPr>
                <w:sz w:val="20"/>
                <w:szCs w:val="20"/>
                <w:color w:val="auto"/>
              </w:rPr>
            </w:pPr>
            <w:r>
              <w:rPr>
                <w:rFonts w:ascii="Arial" w:cs="Arial" w:eastAsia="Arial" w:hAnsi="Arial"/>
                <w:sz w:val="14"/>
                <w:szCs w:val="14"/>
                <w:color w:val="auto"/>
              </w:rPr>
              <w:t>Equity/Common</w:t>
            </w:r>
          </w:p>
        </w:tc>
      </w:tr>
      <w:tr>
        <w:trPr>
          <w:trHeight w:val="162"/>
        </w:trPr>
        <w:tc>
          <w:tcPr>
            <w:tcW w:w="3360" w:type="dxa"/>
            <w:vAlign w:val="bottom"/>
          </w:tcPr>
          <w:p>
            <w:pPr>
              <w:spacing w:after="0"/>
              <w:rPr>
                <w:sz w:val="20"/>
                <w:szCs w:val="20"/>
                <w:color w:val="auto"/>
              </w:rPr>
            </w:pPr>
            <w:r>
              <w:rPr>
                <w:rFonts w:ascii="Arial" w:cs="Arial" w:eastAsia="Arial" w:hAnsi="Arial"/>
                <w:sz w:val="14"/>
                <w:szCs w:val="14"/>
                <w:color w:val="auto"/>
              </w:rPr>
              <w:t>CI (Galls) Prime Investment Holdings, LLC</w:t>
            </w:r>
          </w:p>
        </w:tc>
        <w:tc>
          <w:tcPr>
            <w:tcW w:w="3420" w:type="dxa"/>
            <w:vAlign w:val="bottom"/>
          </w:tcPr>
          <w:p>
            <w:pPr>
              <w:ind w:left="260"/>
              <w:spacing w:after="0"/>
              <w:rPr>
                <w:sz w:val="20"/>
                <w:szCs w:val="20"/>
                <w:color w:val="auto"/>
              </w:rPr>
            </w:pPr>
            <w:r>
              <w:rPr>
                <w:rFonts w:ascii="Arial" w:cs="Arial" w:eastAsia="Arial" w:hAnsi="Arial"/>
                <w:sz w:val="14"/>
                <w:szCs w:val="14"/>
                <w:color w:val="auto"/>
              </w:rPr>
              <w:t>PennantPark Investment Corporation</w:t>
            </w:r>
          </w:p>
        </w:tc>
        <w:tc>
          <w:tcPr>
            <w:tcW w:w="2960" w:type="dxa"/>
            <w:vAlign w:val="bottom"/>
          </w:tcPr>
          <w:p>
            <w:pPr>
              <w:ind w:left="1020"/>
              <w:spacing w:after="0"/>
              <w:rPr>
                <w:sz w:val="20"/>
                <w:szCs w:val="20"/>
                <w:color w:val="auto"/>
              </w:rPr>
            </w:pPr>
            <w:r>
              <w:rPr>
                <w:rFonts w:ascii="Arial" w:cs="Arial" w:eastAsia="Arial" w:hAnsi="Arial"/>
                <w:sz w:val="14"/>
                <w:szCs w:val="14"/>
                <w:color w:val="auto"/>
              </w:rPr>
              <w:t>Equity/Common</w:t>
            </w:r>
          </w:p>
        </w:tc>
      </w:tr>
      <w:tr>
        <w:trPr>
          <w:trHeight w:val="162"/>
        </w:trPr>
        <w:tc>
          <w:tcPr>
            <w:tcW w:w="3360" w:type="dxa"/>
            <w:vAlign w:val="bottom"/>
          </w:tcPr>
          <w:p>
            <w:pPr>
              <w:spacing w:after="0"/>
              <w:rPr>
                <w:sz w:val="20"/>
                <w:szCs w:val="20"/>
                <w:color w:val="auto"/>
              </w:rPr>
            </w:pPr>
            <w:r>
              <w:rPr>
                <w:rFonts w:ascii="Arial" w:cs="Arial" w:eastAsia="Arial" w:hAnsi="Arial"/>
                <w:sz w:val="14"/>
                <w:szCs w:val="14"/>
                <w:color w:val="auto"/>
              </w:rPr>
              <w:t>Convergint Technologies Holdings, LLC</w:t>
            </w:r>
          </w:p>
        </w:tc>
        <w:tc>
          <w:tcPr>
            <w:tcW w:w="3420" w:type="dxa"/>
            <w:vAlign w:val="bottom"/>
          </w:tcPr>
          <w:p>
            <w:pPr>
              <w:ind w:left="260"/>
              <w:spacing w:after="0"/>
              <w:rPr>
                <w:sz w:val="20"/>
                <w:szCs w:val="20"/>
                <w:color w:val="auto"/>
              </w:rPr>
            </w:pPr>
            <w:r>
              <w:rPr>
                <w:rFonts w:ascii="Arial" w:cs="Arial" w:eastAsia="Arial" w:hAnsi="Arial"/>
                <w:sz w:val="14"/>
                <w:szCs w:val="14"/>
                <w:color w:val="auto"/>
              </w:rPr>
              <w:t>PennantPark Investment Corporation</w:t>
            </w:r>
          </w:p>
        </w:tc>
        <w:tc>
          <w:tcPr>
            <w:tcW w:w="2960" w:type="dxa"/>
            <w:vAlign w:val="bottom"/>
          </w:tcPr>
          <w:p>
            <w:pPr>
              <w:ind w:left="1020"/>
              <w:spacing w:after="0"/>
              <w:rPr>
                <w:sz w:val="20"/>
                <w:szCs w:val="20"/>
                <w:color w:val="auto"/>
              </w:rPr>
            </w:pPr>
            <w:r>
              <w:rPr>
                <w:rFonts w:ascii="Arial" w:cs="Arial" w:eastAsia="Arial" w:hAnsi="Arial"/>
                <w:sz w:val="14"/>
                <w:szCs w:val="14"/>
                <w:color w:val="auto"/>
              </w:rPr>
              <w:t>Equity/Common</w:t>
            </w:r>
          </w:p>
        </w:tc>
      </w:tr>
      <w:tr>
        <w:trPr>
          <w:trHeight w:val="162"/>
        </w:trPr>
        <w:tc>
          <w:tcPr>
            <w:tcW w:w="3360" w:type="dxa"/>
            <w:vAlign w:val="bottom"/>
          </w:tcPr>
          <w:p>
            <w:pPr>
              <w:spacing w:after="0"/>
              <w:rPr>
                <w:sz w:val="20"/>
                <w:szCs w:val="20"/>
                <w:color w:val="auto"/>
              </w:rPr>
            </w:pPr>
            <w:r>
              <w:rPr>
                <w:rFonts w:ascii="Arial" w:cs="Arial" w:eastAsia="Arial" w:hAnsi="Arial"/>
                <w:sz w:val="14"/>
                <w:szCs w:val="14"/>
                <w:color w:val="auto"/>
              </w:rPr>
              <w:t>Corfin InvestCo, L.P.</w:t>
            </w:r>
          </w:p>
        </w:tc>
        <w:tc>
          <w:tcPr>
            <w:tcW w:w="3420" w:type="dxa"/>
            <w:vAlign w:val="bottom"/>
          </w:tcPr>
          <w:p>
            <w:pPr>
              <w:ind w:left="260"/>
              <w:spacing w:after="0"/>
              <w:rPr>
                <w:sz w:val="20"/>
                <w:szCs w:val="20"/>
                <w:color w:val="auto"/>
              </w:rPr>
            </w:pPr>
            <w:r>
              <w:rPr>
                <w:rFonts w:ascii="Arial" w:cs="Arial" w:eastAsia="Arial" w:hAnsi="Arial"/>
                <w:sz w:val="14"/>
                <w:szCs w:val="14"/>
                <w:color w:val="auto"/>
              </w:rPr>
              <w:t>PennantPark Investment Corporation</w:t>
            </w:r>
          </w:p>
        </w:tc>
        <w:tc>
          <w:tcPr>
            <w:tcW w:w="2960" w:type="dxa"/>
            <w:vAlign w:val="bottom"/>
          </w:tcPr>
          <w:p>
            <w:pPr>
              <w:ind w:left="1020"/>
              <w:spacing w:after="0"/>
              <w:rPr>
                <w:sz w:val="20"/>
                <w:szCs w:val="20"/>
                <w:color w:val="auto"/>
              </w:rPr>
            </w:pPr>
            <w:r>
              <w:rPr>
                <w:rFonts w:ascii="Arial" w:cs="Arial" w:eastAsia="Arial" w:hAnsi="Arial"/>
                <w:sz w:val="14"/>
                <w:szCs w:val="14"/>
                <w:color w:val="auto"/>
              </w:rPr>
              <w:t>Equity/Common</w:t>
            </w:r>
          </w:p>
        </w:tc>
      </w:tr>
      <w:tr>
        <w:trPr>
          <w:trHeight w:val="162"/>
        </w:trPr>
        <w:tc>
          <w:tcPr>
            <w:tcW w:w="3360" w:type="dxa"/>
            <w:vAlign w:val="bottom"/>
          </w:tcPr>
          <w:p>
            <w:pPr>
              <w:spacing w:after="0"/>
              <w:rPr>
                <w:sz w:val="20"/>
                <w:szCs w:val="20"/>
                <w:color w:val="auto"/>
              </w:rPr>
            </w:pPr>
            <w:r>
              <w:rPr>
                <w:rFonts w:ascii="Arial" w:cs="Arial" w:eastAsia="Arial" w:hAnsi="Arial"/>
                <w:sz w:val="14"/>
                <w:szCs w:val="14"/>
                <w:color w:val="auto"/>
              </w:rPr>
              <w:t>e.l.f. Beauty, Inc.</w:t>
            </w:r>
          </w:p>
        </w:tc>
        <w:tc>
          <w:tcPr>
            <w:tcW w:w="3420" w:type="dxa"/>
            <w:vAlign w:val="bottom"/>
          </w:tcPr>
          <w:p>
            <w:pPr>
              <w:ind w:left="260"/>
              <w:spacing w:after="0"/>
              <w:rPr>
                <w:sz w:val="20"/>
                <w:szCs w:val="20"/>
                <w:color w:val="auto"/>
              </w:rPr>
            </w:pPr>
            <w:r>
              <w:rPr>
                <w:rFonts w:ascii="Arial" w:cs="Arial" w:eastAsia="Arial" w:hAnsi="Arial"/>
                <w:sz w:val="14"/>
                <w:szCs w:val="14"/>
                <w:color w:val="auto"/>
              </w:rPr>
              <w:t>PennantPark Investment Corporation</w:t>
            </w:r>
          </w:p>
        </w:tc>
        <w:tc>
          <w:tcPr>
            <w:tcW w:w="2960" w:type="dxa"/>
            <w:vAlign w:val="bottom"/>
          </w:tcPr>
          <w:p>
            <w:pPr>
              <w:ind w:left="1020"/>
              <w:spacing w:after="0"/>
              <w:rPr>
                <w:sz w:val="20"/>
                <w:szCs w:val="20"/>
                <w:color w:val="auto"/>
              </w:rPr>
            </w:pPr>
            <w:r>
              <w:rPr>
                <w:rFonts w:ascii="Arial" w:cs="Arial" w:eastAsia="Arial" w:hAnsi="Arial"/>
                <w:sz w:val="14"/>
                <w:szCs w:val="14"/>
                <w:color w:val="auto"/>
              </w:rPr>
              <w:t>Equity/Common</w:t>
            </w:r>
          </w:p>
        </w:tc>
      </w:tr>
      <w:tr>
        <w:trPr>
          <w:trHeight w:val="162"/>
        </w:trPr>
        <w:tc>
          <w:tcPr>
            <w:tcW w:w="3360" w:type="dxa"/>
            <w:vAlign w:val="bottom"/>
          </w:tcPr>
          <w:p>
            <w:pPr>
              <w:spacing w:after="0"/>
              <w:rPr>
                <w:sz w:val="20"/>
                <w:szCs w:val="20"/>
                <w:color w:val="auto"/>
              </w:rPr>
            </w:pPr>
            <w:r>
              <w:rPr>
                <w:rFonts w:ascii="Arial" w:cs="Arial" w:eastAsia="Arial" w:hAnsi="Arial"/>
                <w:sz w:val="14"/>
                <w:szCs w:val="14"/>
                <w:color w:val="auto"/>
              </w:rPr>
              <w:t>EnviroSolutions Holdings, Inc.</w:t>
            </w:r>
          </w:p>
        </w:tc>
        <w:tc>
          <w:tcPr>
            <w:tcW w:w="3420" w:type="dxa"/>
            <w:vAlign w:val="bottom"/>
          </w:tcPr>
          <w:p>
            <w:pPr>
              <w:ind w:left="260"/>
              <w:spacing w:after="0"/>
              <w:rPr>
                <w:sz w:val="20"/>
                <w:szCs w:val="20"/>
                <w:color w:val="auto"/>
              </w:rPr>
            </w:pPr>
            <w:r>
              <w:rPr>
                <w:rFonts w:ascii="Arial" w:cs="Arial" w:eastAsia="Arial" w:hAnsi="Arial"/>
                <w:sz w:val="14"/>
                <w:szCs w:val="14"/>
                <w:color w:val="auto"/>
              </w:rPr>
              <w:t>PennantPark Investment Corporation</w:t>
            </w:r>
          </w:p>
        </w:tc>
        <w:tc>
          <w:tcPr>
            <w:tcW w:w="2960" w:type="dxa"/>
            <w:vAlign w:val="bottom"/>
          </w:tcPr>
          <w:p>
            <w:pPr>
              <w:ind w:left="1020"/>
              <w:spacing w:after="0"/>
              <w:rPr>
                <w:sz w:val="20"/>
                <w:szCs w:val="20"/>
                <w:color w:val="auto"/>
              </w:rPr>
            </w:pPr>
            <w:r>
              <w:rPr>
                <w:rFonts w:ascii="Arial" w:cs="Arial" w:eastAsia="Arial" w:hAnsi="Arial"/>
                <w:sz w:val="14"/>
                <w:szCs w:val="14"/>
                <w:color w:val="auto"/>
              </w:rPr>
              <w:t>Equity/Common</w:t>
            </w:r>
          </w:p>
        </w:tc>
      </w:tr>
      <w:tr>
        <w:trPr>
          <w:trHeight w:val="162"/>
        </w:trPr>
        <w:tc>
          <w:tcPr>
            <w:tcW w:w="3360" w:type="dxa"/>
            <w:vAlign w:val="bottom"/>
          </w:tcPr>
          <w:p>
            <w:pPr>
              <w:spacing w:after="0"/>
              <w:rPr>
                <w:sz w:val="20"/>
                <w:szCs w:val="20"/>
                <w:color w:val="auto"/>
              </w:rPr>
            </w:pPr>
            <w:r>
              <w:rPr>
                <w:rFonts w:ascii="Arial" w:cs="Arial" w:eastAsia="Arial" w:hAnsi="Arial"/>
                <w:sz w:val="14"/>
                <w:szCs w:val="14"/>
                <w:color w:val="auto"/>
              </w:rPr>
              <w:t>ETX Energy, LLC</w:t>
            </w:r>
          </w:p>
        </w:tc>
        <w:tc>
          <w:tcPr>
            <w:tcW w:w="3420" w:type="dxa"/>
            <w:vAlign w:val="bottom"/>
          </w:tcPr>
          <w:p>
            <w:pPr>
              <w:ind w:left="260"/>
              <w:spacing w:after="0"/>
              <w:rPr>
                <w:sz w:val="20"/>
                <w:szCs w:val="20"/>
                <w:color w:val="auto"/>
              </w:rPr>
            </w:pPr>
            <w:r>
              <w:rPr>
                <w:rFonts w:ascii="Arial" w:cs="Arial" w:eastAsia="Arial" w:hAnsi="Arial"/>
                <w:sz w:val="14"/>
                <w:szCs w:val="14"/>
                <w:color w:val="auto"/>
              </w:rPr>
              <w:t>PennantPark Investment Corporation</w:t>
            </w:r>
          </w:p>
        </w:tc>
        <w:tc>
          <w:tcPr>
            <w:tcW w:w="2960" w:type="dxa"/>
            <w:vAlign w:val="bottom"/>
          </w:tcPr>
          <w:p>
            <w:pPr>
              <w:ind w:left="1020"/>
              <w:spacing w:after="0"/>
              <w:rPr>
                <w:sz w:val="20"/>
                <w:szCs w:val="20"/>
                <w:color w:val="auto"/>
              </w:rPr>
            </w:pPr>
            <w:r>
              <w:rPr>
                <w:rFonts w:ascii="Arial" w:cs="Arial" w:eastAsia="Arial" w:hAnsi="Arial"/>
                <w:sz w:val="14"/>
                <w:szCs w:val="14"/>
                <w:color w:val="auto"/>
              </w:rPr>
              <w:t>Equity/Common</w:t>
            </w:r>
          </w:p>
        </w:tc>
      </w:tr>
      <w:tr>
        <w:trPr>
          <w:trHeight w:val="162"/>
        </w:trPr>
        <w:tc>
          <w:tcPr>
            <w:tcW w:w="3360" w:type="dxa"/>
            <w:vAlign w:val="bottom"/>
          </w:tcPr>
          <w:p>
            <w:pPr>
              <w:spacing w:after="0"/>
              <w:rPr>
                <w:sz w:val="20"/>
                <w:szCs w:val="20"/>
                <w:color w:val="auto"/>
              </w:rPr>
            </w:pPr>
            <w:r>
              <w:rPr>
                <w:rFonts w:ascii="Arial" w:cs="Arial" w:eastAsia="Arial" w:hAnsi="Arial"/>
                <w:sz w:val="14"/>
                <w:szCs w:val="14"/>
                <w:color w:val="auto"/>
              </w:rPr>
              <w:t>ETX Energy Management Company, LLC</w:t>
            </w:r>
          </w:p>
        </w:tc>
        <w:tc>
          <w:tcPr>
            <w:tcW w:w="3420" w:type="dxa"/>
            <w:vAlign w:val="bottom"/>
          </w:tcPr>
          <w:p>
            <w:pPr>
              <w:ind w:left="260"/>
              <w:spacing w:after="0"/>
              <w:rPr>
                <w:sz w:val="20"/>
                <w:szCs w:val="20"/>
                <w:color w:val="auto"/>
              </w:rPr>
            </w:pPr>
            <w:r>
              <w:rPr>
                <w:rFonts w:ascii="Arial" w:cs="Arial" w:eastAsia="Arial" w:hAnsi="Arial"/>
                <w:sz w:val="14"/>
                <w:szCs w:val="14"/>
                <w:color w:val="auto"/>
              </w:rPr>
              <w:t>PennantPark Investment Corporation</w:t>
            </w:r>
          </w:p>
        </w:tc>
        <w:tc>
          <w:tcPr>
            <w:tcW w:w="2960" w:type="dxa"/>
            <w:vAlign w:val="bottom"/>
          </w:tcPr>
          <w:p>
            <w:pPr>
              <w:ind w:left="1020"/>
              <w:spacing w:after="0"/>
              <w:rPr>
                <w:sz w:val="20"/>
                <w:szCs w:val="20"/>
                <w:color w:val="auto"/>
              </w:rPr>
            </w:pPr>
            <w:r>
              <w:rPr>
                <w:rFonts w:ascii="Arial" w:cs="Arial" w:eastAsia="Arial" w:hAnsi="Arial"/>
                <w:sz w:val="14"/>
                <w:szCs w:val="14"/>
                <w:color w:val="auto"/>
              </w:rPr>
              <w:t>Equity/Common</w:t>
            </w:r>
          </w:p>
        </w:tc>
      </w:tr>
      <w:tr>
        <w:trPr>
          <w:trHeight w:val="162"/>
        </w:trPr>
        <w:tc>
          <w:tcPr>
            <w:tcW w:w="3360" w:type="dxa"/>
            <w:vAlign w:val="bottom"/>
          </w:tcPr>
          <w:p>
            <w:pPr>
              <w:spacing w:after="0"/>
              <w:rPr>
                <w:sz w:val="20"/>
                <w:szCs w:val="20"/>
                <w:color w:val="auto"/>
              </w:rPr>
            </w:pPr>
            <w:r>
              <w:rPr>
                <w:rFonts w:ascii="Arial" w:cs="Arial" w:eastAsia="Arial" w:hAnsi="Arial"/>
                <w:sz w:val="14"/>
                <w:szCs w:val="14"/>
                <w:color w:val="auto"/>
              </w:rPr>
              <w:t>Faraday Holdings, LLC</w:t>
            </w:r>
          </w:p>
        </w:tc>
        <w:tc>
          <w:tcPr>
            <w:tcW w:w="3420" w:type="dxa"/>
            <w:vAlign w:val="bottom"/>
          </w:tcPr>
          <w:p>
            <w:pPr>
              <w:ind w:left="260"/>
              <w:spacing w:after="0"/>
              <w:rPr>
                <w:sz w:val="20"/>
                <w:szCs w:val="20"/>
                <w:color w:val="auto"/>
              </w:rPr>
            </w:pPr>
            <w:r>
              <w:rPr>
                <w:rFonts w:ascii="Arial" w:cs="Arial" w:eastAsia="Arial" w:hAnsi="Arial"/>
                <w:sz w:val="14"/>
                <w:szCs w:val="14"/>
                <w:color w:val="auto"/>
              </w:rPr>
              <w:t>PennantPark Investment Corporation</w:t>
            </w:r>
          </w:p>
        </w:tc>
        <w:tc>
          <w:tcPr>
            <w:tcW w:w="2960" w:type="dxa"/>
            <w:vAlign w:val="bottom"/>
          </w:tcPr>
          <w:p>
            <w:pPr>
              <w:ind w:left="1020"/>
              <w:spacing w:after="0"/>
              <w:rPr>
                <w:sz w:val="20"/>
                <w:szCs w:val="20"/>
                <w:color w:val="auto"/>
              </w:rPr>
            </w:pPr>
            <w:r>
              <w:rPr>
                <w:rFonts w:ascii="Arial" w:cs="Arial" w:eastAsia="Arial" w:hAnsi="Arial"/>
                <w:sz w:val="14"/>
                <w:szCs w:val="14"/>
                <w:color w:val="auto"/>
              </w:rPr>
              <w:t>Equity/Common</w:t>
            </w:r>
          </w:p>
        </w:tc>
      </w:tr>
      <w:tr>
        <w:trPr>
          <w:trHeight w:val="162"/>
        </w:trPr>
        <w:tc>
          <w:tcPr>
            <w:tcW w:w="3360" w:type="dxa"/>
            <w:vAlign w:val="bottom"/>
          </w:tcPr>
          <w:p>
            <w:pPr>
              <w:spacing w:after="0"/>
              <w:rPr>
                <w:sz w:val="20"/>
                <w:szCs w:val="20"/>
                <w:color w:val="auto"/>
              </w:rPr>
            </w:pPr>
            <w:r>
              <w:rPr>
                <w:rFonts w:ascii="Arial" w:cs="Arial" w:eastAsia="Arial" w:hAnsi="Arial"/>
                <w:sz w:val="14"/>
                <w:szCs w:val="14"/>
                <w:color w:val="auto"/>
              </w:rPr>
              <w:t>HW Holdco, LLC</w:t>
            </w:r>
          </w:p>
        </w:tc>
        <w:tc>
          <w:tcPr>
            <w:tcW w:w="3420" w:type="dxa"/>
            <w:vAlign w:val="bottom"/>
          </w:tcPr>
          <w:p>
            <w:pPr>
              <w:ind w:left="260"/>
              <w:spacing w:after="0"/>
              <w:rPr>
                <w:sz w:val="20"/>
                <w:szCs w:val="20"/>
                <w:color w:val="auto"/>
              </w:rPr>
            </w:pPr>
            <w:r>
              <w:rPr>
                <w:rFonts w:ascii="Arial" w:cs="Arial" w:eastAsia="Arial" w:hAnsi="Arial"/>
                <w:sz w:val="14"/>
                <w:szCs w:val="14"/>
                <w:color w:val="auto"/>
              </w:rPr>
              <w:t>PennantPark Investment Corporation</w:t>
            </w:r>
          </w:p>
        </w:tc>
        <w:tc>
          <w:tcPr>
            <w:tcW w:w="2960" w:type="dxa"/>
            <w:vAlign w:val="bottom"/>
          </w:tcPr>
          <w:p>
            <w:pPr>
              <w:ind w:left="1020"/>
              <w:spacing w:after="0"/>
              <w:rPr>
                <w:sz w:val="20"/>
                <w:szCs w:val="20"/>
                <w:color w:val="auto"/>
              </w:rPr>
            </w:pPr>
            <w:r>
              <w:rPr>
                <w:rFonts w:ascii="Arial" w:cs="Arial" w:eastAsia="Arial" w:hAnsi="Arial"/>
                <w:sz w:val="14"/>
                <w:szCs w:val="14"/>
                <w:color w:val="auto"/>
              </w:rPr>
              <w:t>Equity/Common</w:t>
            </w:r>
          </w:p>
        </w:tc>
      </w:tr>
      <w:tr>
        <w:trPr>
          <w:trHeight w:val="162"/>
        </w:trPr>
        <w:tc>
          <w:tcPr>
            <w:tcW w:w="3360" w:type="dxa"/>
            <w:vAlign w:val="bottom"/>
          </w:tcPr>
          <w:p>
            <w:pPr>
              <w:spacing w:after="0"/>
              <w:rPr>
                <w:sz w:val="20"/>
                <w:szCs w:val="20"/>
                <w:color w:val="auto"/>
              </w:rPr>
            </w:pPr>
            <w:r>
              <w:rPr>
                <w:rFonts w:ascii="Arial" w:cs="Arial" w:eastAsia="Arial" w:hAnsi="Arial"/>
                <w:sz w:val="14"/>
                <w:szCs w:val="14"/>
                <w:color w:val="auto"/>
              </w:rPr>
              <w:t>ITC Rumba, LLC</w:t>
            </w:r>
          </w:p>
        </w:tc>
        <w:tc>
          <w:tcPr>
            <w:tcW w:w="3420" w:type="dxa"/>
            <w:vAlign w:val="bottom"/>
          </w:tcPr>
          <w:p>
            <w:pPr>
              <w:ind w:left="260"/>
              <w:spacing w:after="0"/>
              <w:rPr>
                <w:sz w:val="20"/>
                <w:szCs w:val="20"/>
                <w:color w:val="auto"/>
              </w:rPr>
            </w:pPr>
            <w:r>
              <w:rPr>
                <w:rFonts w:ascii="Arial" w:cs="Arial" w:eastAsia="Arial" w:hAnsi="Arial"/>
                <w:sz w:val="14"/>
                <w:szCs w:val="14"/>
                <w:color w:val="auto"/>
              </w:rPr>
              <w:t>PennantPark Investment Corporation</w:t>
            </w:r>
          </w:p>
        </w:tc>
        <w:tc>
          <w:tcPr>
            <w:tcW w:w="2960" w:type="dxa"/>
            <w:vAlign w:val="bottom"/>
          </w:tcPr>
          <w:p>
            <w:pPr>
              <w:ind w:left="1020"/>
              <w:spacing w:after="0"/>
              <w:rPr>
                <w:sz w:val="20"/>
                <w:szCs w:val="20"/>
                <w:color w:val="auto"/>
              </w:rPr>
            </w:pPr>
            <w:r>
              <w:rPr>
                <w:rFonts w:ascii="Arial" w:cs="Arial" w:eastAsia="Arial" w:hAnsi="Arial"/>
                <w:sz w:val="14"/>
                <w:szCs w:val="14"/>
                <w:color w:val="auto"/>
              </w:rPr>
              <w:t>Equity/Common</w:t>
            </w:r>
          </w:p>
        </w:tc>
      </w:tr>
      <w:tr>
        <w:trPr>
          <w:trHeight w:val="182"/>
        </w:trPr>
        <w:tc>
          <w:tcPr>
            <w:tcW w:w="3360" w:type="dxa"/>
            <w:vAlign w:val="bottom"/>
          </w:tcPr>
          <w:p>
            <w:pPr>
              <w:spacing w:after="0"/>
              <w:rPr>
                <w:sz w:val="20"/>
                <w:szCs w:val="20"/>
                <w:color w:val="auto"/>
              </w:rPr>
            </w:pPr>
            <w:r>
              <w:rPr>
                <w:rFonts w:ascii="Arial" w:cs="Arial" w:eastAsia="Arial" w:hAnsi="Arial"/>
                <w:sz w:val="14"/>
                <w:szCs w:val="14"/>
                <w:color w:val="auto"/>
              </w:rPr>
              <w:t>Kadmon Holdings, Inc.</w:t>
            </w:r>
          </w:p>
        </w:tc>
        <w:tc>
          <w:tcPr>
            <w:tcW w:w="3420" w:type="dxa"/>
            <w:vAlign w:val="bottom"/>
          </w:tcPr>
          <w:p>
            <w:pPr>
              <w:ind w:left="260"/>
              <w:spacing w:after="0"/>
              <w:rPr>
                <w:sz w:val="20"/>
                <w:szCs w:val="20"/>
                <w:color w:val="auto"/>
              </w:rPr>
            </w:pPr>
            <w:r>
              <w:rPr>
                <w:rFonts w:ascii="Arial" w:cs="Arial" w:eastAsia="Arial" w:hAnsi="Arial"/>
                <w:sz w:val="14"/>
                <w:szCs w:val="14"/>
                <w:color w:val="auto"/>
              </w:rPr>
              <w:t>PennantPark Investment Corporation</w:t>
            </w:r>
          </w:p>
        </w:tc>
        <w:tc>
          <w:tcPr>
            <w:tcW w:w="2960" w:type="dxa"/>
            <w:vAlign w:val="bottom"/>
          </w:tcPr>
          <w:p>
            <w:pPr>
              <w:ind w:left="1020"/>
              <w:spacing w:after="0"/>
              <w:rPr>
                <w:sz w:val="20"/>
                <w:szCs w:val="20"/>
                <w:color w:val="auto"/>
              </w:rPr>
            </w:pPr>
            <w:r>
              <w:rPr>
                <w:rFonts w:ascii="Arial" w:cs="Arial" w:eastAsia="Arial" w:hAnsi="Arial"/>
                <w:sz w:val="14"/>
                <w:szCs w:val="14"/>
                <w:color w:val="auto"/>
              </w:rPr>
              <w:t>Equity/Common</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-45085</wp:posOffset>
            </wp:positionH>
            <wp:positionV relativeFrom="paragraph">
              <wp:posOffset>-6146800</wp:posOffset>
            </wp:positionV>
            <wp:extent cx="7149465" cy="6506210"/>
            <wp:wrapNone/>
            <wp:docPr id="250" name="Picture 2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0"/>
                    <pic:cNvPicPr>
                      <a:picLocks noChangeAspect="1" noChangeArrowheads="1"/>
                    </pic:cNvPicPr>
                  </pic:nvPicPr>
                  <pic:blipFill>
                    <a:blip r:embed="rId257">
                      <a:extLst>
                        <a:ext uri="{28A0092B-C50C-407E-A947-70E740481C1C}"/>
                      </a:extLst>
                    </a:blip>
                    <a:srcRect/>
                    <a:stretch>
                      <a:fillRect/>
                    </a:stretch>
                  </pic:blipFill>
                  <pic:spPr bwMode="auto">
                    <a:xfrm>
                      <a:off x="0" y="0"/>
                      <a:ext cx="7149465" cy="6506210"/>
                    </a:xfrm>
                    <a:prstGeom prst="rect">
                      <a:avLst/>
                    </a:prstGeom>
                    <a:noFill/>
                  </pic:spPr>
                </pic:pic>
              </a:graphicData>
            </a:graphic>
          </wp:anchor>
        </w:drawing>
      </w:r>
    </w:p>
    <w:p>
      <w:pPr>
        <w:sectPr>
          <w:pgSz w:w="11900" w:h="16838" w:orient="portrait"/>
          <w:cols w:equalWidth="0" w:num="1">
            <w:col w:w="10059"/>
          </w:cols>
          <w:pgMar w:left="400" w:top="333" w:right="1440" w:bottom="1440" w:gutter="0" w:footer="0" w:header="0"/>
        </w:sectPr>
      </w:pPr>
    </w:p>
    <w:bookmarkStart w:id="138" w:name="page139"/>
    <w:bookmarkEnd w:id="138"/>
    <w:tbl>
      <w:tblPr>
        <w:tblLayout w:type="fixed"/>
        <w:tblInd w:w="0" w:type="dxa"/>
        <w:tblCellMar>
          <w:top w:w="0" w:type="dxa"/>
          <w:left w:w="0" w:type="dxa"/>
          <w:bottom w:w="0" w:type="dxa"/>
          <w:right w:w="0" w:type="dxa"/>
        </w:tblCellMar>
      </w:tblPr>
      <w:tr>
        <w:trPr>
          <w:trHeight w:val="162"/>
        </w:trPr>
        <w:tc>
          <w:tcPr>
            <w:tcW w:w="3100" w:type="dxa"/>
            <w:vAlign w:val="bottom"/>
          </w:tcPr>
          <w:p>
            <w:pPr>
              <w:spacing w:after="0"/>
              <w:rPr>
                <w:sz w:val="20"/>
                <w:szCs w:val="20"/>
                <w:color w:val="auto"/>
              </w:rPr>
            </w:pPr>
            <w:r>
              <w:rPr>
                <w:rFonts w:ascii="Arial" w:cs="Arial" w:eastAsia="Arial" w:hAnsi="Arial"/>
                <w:sz w:val="14"/>
                <w:szCs w:val="14"/>
                <w:color w:val="auto"/>
              </w:rPr>
              <w:t>LaMi Acquisition, LLC</w:t>
            </w:r>
          </w:p>
        </w:tc>
        <w:tc>
          <w:tcPr>
            <w:tcW w:w="3680" w:type="dxa"/>
            <w:vAlign w:val="bottom"/>
          </w:tcPr>
          <w:p>
            <w:pPr>
              <w:ind w:left="520"/>
              <w:spacing w:after="0"/>
              <w:rPr>
                <w:sz w:val="20"/>
                <w:szCs w:val="20"/>
                <w:color w:val="auto"/>
              </w:rPr>
            </w:pPr>
            <w:r>
              <w:rPr>
                <w:rFonts w:ascii="Arial" w:cs="Arial" w:eastAsia="Arial" w:hAnsi="Arial"/>
                <w:sz w:val="14"/>
                <w:szCs w:val="14"/>
                <w:color w:val="auto"/>
              </w:rPr>
              <w:t>PennantPark Investment Corporation</w:t>
            </w:r>
          </w:p>
        </w:tc>
        <w:tc>
          <w:tcPr>
            <w:tcW w:w="1980" w:type="dxa"/>
            <w:vAlign w:val="bottom"/>
          </w:tcPr>
          <w:p>
            <w:pPr>
              <w:ind w:left="1020"/>
              <w:spacing w:after="0"/>
              <w:rPr>
                <w:sz w:val="20"/>
                <w:szCs w:val="20"/>
                <w:color w:val="auto"/>
              </w:rPr>
            </w:pPr>
            <w:r>
              <w:rPr>
                <w:rFonts w:ascii="Arial" w:cs="Arial" w:eastAsia="Arial" w:hAnsi="Arial"/>
                <w:sz w:val="14"/>
                <w:szCs w:val="14"/>
                <w:color w:val="auto"/>
                <w:w w:val="94"/>
              </w:rPr>
              <w:t>Equity/Common</w:t>
            </w:r>
          </w:p>
        </w:tc>
      </w:tr>
      <w:tr>
        <w:trPr>
          <w:trHeight w:val="162"/>
        </w:trPr>
        <w:tc>
          <w:tcPr>
            <w:tcW w:w="3100" w:type="dxa"/>
            <w:vAlign w:val="bottom"/>
          </w:tcPr>
          <w:p>
            <w:pPr>
              <w:spacing w:after="0"/>
              <w:rPr>
                <w:sz w:val="20"/>
                <w:szCs w:val="20"/>
                <w:color w:val="auto"/>
              </w:rPr>
            </w:pPr>
            <w:r>
              <w:rPr>
                <w:rFonts w:ascii="Arial" w:cs="Arial" w:eastAsia="Arial" w:hAnsi="Arial"/>
                <w:sz w:val="14"/>
                <w:szCs w:val="14"/>
                <w:color w:val="auto"/>
              </w:rPr>
              <w:t>Lariat ecoserv Co-Invest Holdings, LLC</w:t>
            </w:r>
          </w:p>
        </w:tc>
        <w:tc>
          <w:tcPr>
            <w:tcW w:w="3680" w:type="dxa"/>
            <w:vAlign w:val="bottom"/>
          </w:tcPr>
          <w:p>
            <w:pPr>
              <w:ind w:left="520"/>
              <w:spacing w:after="0"/>
              <w:rPr>
                <w:sz w:val="20"/>
                <w:szCs w:val="20"/>
                <w:color w:val="auto"/>
              </w:rPr>
            </w:pPr>
            <w:r>
              <w:rPr>
                <w:rFonts w:ascii="Arial" w:cs="Arial" w:eastAsia="Arial" w:hAnsi="Arial"/>
                <w:sz w:val="14"/>
                <w:szCs w:val="14"/>
                <w:color w:val="auto"/>
              </w:rPr>
              <w:t>PennantPark Investment Corporation</w:t>
            </w:r>
          </w:p>
        </w:tc>
        <w:tc>
          <w:tcPr>
            <w:tcW w:w="1980" w:type="dxa"/>
            <w:vAlign w:val="bottom"/>
          </w:tcPr>
          <w:p>
            <w:pPr>
              <w:ind w:left="1020"/>
              <w:spacing w:after="0"/>
              <w:rPr>
                <w:sz w:val="20"/>
                <w:szCs w:val="20"/>
                <w:color w:val="auto"/>
              </w:rPr>
            </w:pPr>
            <w:r>
              <w:rPr>
                <w:rFonts w:ascii="Arial" w:cs="Arial" w:eastAsia="Arial" w:hAnsi="Arial"/>
                <w:sz w:val="14"/>
                <w:szCs w:val="14"/>
                <w:color w:val="auto"/>
                <w:w w:val="94"/>
              </w:rPr>
              <w:t>Equity/Common</w:t>
            </w:r>
          </w:p>
        </w:tc>
      </w:tr>
      <w:tr>
        <w:trPr>
          <w:trHeight w:val="162"/>
        </w:trPr>
        <w:tc>
          <w:tcPr>
            <w:tcW w:w="3100" w:type="dxa"/>
            <w:vAlign w:val="bottom"/>
          </w:tcPr>
          <w:p>
            <w:pPr>
              <w:spacing w:after="0"/>
              <w:rPr>
                <w:sz w:val="20"/>
                <w:szCs w:val="20"/>
                <w:color w:val="auto"/>
              </w:rPr>
            </w:pPr>
            <w:r>
              <w:rPr>
                <w:rFonts w:ascii="Arial" w:cs="Arial" w:eastAsia="Arial" w:hAnsi="Arial"/>
                <w:sz w:val="14"/>
                <w:szCs w:val="14"/>
                <w:color w:val="auto"/>
              </w:rPr>
              <w:t>MidOcean JF Holdings Corp.</w:t>
            </w:r>
          </w:p>
        </w:tc>
        <w:tc>
          <w:tcPr>
            <w:tcW w:w="3680" w:type="dxa"/>
            <w:vAlign w:val="bottom"/>
          </w:tcPr>
          <w:p>
            <w:pPr>
              <w:ind w:left="520"/>
              <w:spacing w:after="0"/>
              <w:rPr>
                <w:sz w:val="20"/>
                <w:szCs w:val="20"/>
                <w:color w:val="auto"/>
              </w:rPr>
            </w:pPr>
            <w:r>
              <w:rPr>
                <w:rFonts w:ascii="Arial" w:cs="Arial" w:eastAsia="Arial" w:hAnsi="Arial"/>
                <w:sz w:val="14"/>
                <w:szCs w:val="14"/>
                <w:color w:val="auto"/>
              </w:rPr>
              <w:t>PennantPark Investment Corporation</w:t>
            </w:r>
          </w:p>
        </w:tc>
        <w:tc>
          <w:tcPr>
            <w:tcW w:w="1980" w:type="dxa"/>
            <w:vAlign w:val="bottom"/>
          </w:tcPr>
          <w:p>
            <w:pPr>
              <w:ind w:left="1020"/>
              <w:spacing w:after="0"/>
              <w:rPr>
                <w:sz w:val="20"/>
                <w:szCs w:val="20"/>
                <w:color w:val="auto"/>
              </w:rPr>
            </w:pPr>
            <w:r>
              <w:rPr>
                <w:rFonts w:ascii="Arial" w:cs="Arial" w:eastAsia="Arial" w:hAnsi="Arial"/>
                <w:sz w:val="14"/>
                <w:szCs w:val="14"/>
                <w:color w:val="auto"/>
                <w:w w:val="94"/>
              </w:rPr>
              <w:t>Equity/Common</w:t>
            </w:r>
          </w:p>
        </w:tc>
      </w:tr>
      <w:tr>
        <w:trPr>
          <w:trHeight w:val="162"/>
        </w:trPr>
        <w:tc>
          <w:tcPr>
            <w:tcW w:w="3100" w:type="dxa"/>
            <w:vAlign w:val="bottom"/>
          </w:tcPr>
          <w:p>
            <w:pPr>
              <w:spacing w:after="0"/>
              <w:rPr>
                <w:sz w:val="20"/>
                <w:szCs w:val="20"/>
                <w:color w:val="auto"/>
              </w:rPr>
            </w:pPr>
            <w:r>
              <w:rPr>
                <w:rFonts w:ascii="Arial" w:cs="Arial" w:eastAsia="Arial" w:hAnsi="Arial"/>
                <w:sz w:val="14"/>
                <w:szCs w:val="14"/>
                <w:color w:val="auto"/>
              </w:rPr>
              <w:t>MidOcean PPL Holdings, Corp.</w:t>
            </w:r>
          </w:p>
        </w:tc>
        <w:tc>
          <w:tcPr>
            <w:tcW w:w="3680" w:type="dxa"/>
            <w:vAlign w:val="bottom"/>
          </w:tcPr>
          <w:p>
            <w:pPr>
              <w:ind w:left="520"/>
              <w:spacing w:after="0"/>
              <w:rPr>
                <w:sz w:val="20"/>
                <w:szCs w:val="20"/>
                <w:color w:val="auto"/>
              </w:rPr>
            </w:pPr>
            <w:r>
              <w:rPr>
                <w:rFonts w:ascii="Arial" w:cs="Arial" w:eastAsia="Arial" w:hAnsi="Arial"/>
                <w:sz w:val="14"/>
                <w:szCs w:val="14"/>
                <w:color w:val="auto"/>
              </w:rPr>
              <w:t>PennantPark Investment Corporation</w:t>
            </w:r>
          </w:p>
        </w:tc>
        <w:tc>
          <w:tcPr>
            <w:tcW w:w="1980" w:type="dxa"/>
            <w:vAlign w:val="bottom"/>
          </w:tcPr>
          <w:p>
            <w:pPr>
              <w:ind w:left="1020"/>
              <w:spacing w:after="0"/>
              <w:rPr>
                <w:sz w:val="20"/>
                <w:szCs w:val="20"/>
                <w:color w:val="auto"/>
              </w:rPr>
            </w:pPr>
            <w:r>
              <w:rPr>
                <w:rFonts w:ascii="Arial" w:cs="Arial" w:eastAsia="Arial" w:hAnsi="Arial"/>
                <w:sz w:val="14"/>
                <w:szCs w:val="14"/>
                <w:color w:val="auto"/>
                <w:w w:val="94"/>
              </w:rPr>
              <w:t>Equity/Common</w:t>
            </w:r>
          </w:p>
        </w:tc>
      </w:tr>
      <w:tr>
        <w:trPr>
          <w:trHeight w:val="162"/>
        </w:trPr>
        <w:tc>
          <w:tcPr>
            <w:tcW w:w="3100" w:type="dxa"/>
            <w:vAlign w:val="bottom"/>
          </w:tcPr>
          <w:p>
            <w:pPr>
              <w:spacing w:after="0"/>
              <w:rPr>
                <w:sz w:val="20"/>
                <w:szCs w:val="20"/>
                <w:color w:val="auto"/>
              </w:rPr>
            </w:pPr>
            <w:r>
              <w:rPr>
                <w:rFonts w:ascii="Arial" w:cs="Arial" w:eastAsia="Arial" w:hAnsi="Arial"/>
                <w:sz w:val="14"/>
                <w:szCs w:val="14"/>
                <w:color w:val="auto"/>
              </w:rPr>
              <w:t>Patriot National, Inc.</w:t>
            </w:r>
          </w:p>
        </w:tc>
        <w:tc>
          <w:tcPr>
            <w:tcW w:w="3680" w:type="dxa"/>
            <w:vAlign w:val="bottom"/>
          </w:tcPr>
          <w:p>
            <w:pPr>
              <w:ind w:left="520"/>
              <w:spacing w:after="0"/>
              <w:rPr>
                <w:sz w:val="20"/>
                <w:szCs w:val="20"/>
                <w:color w:val="auto"/>
              </w:rPr>
            </w:pPr>
            <w:r>
              <w:rPr>
                <w:rFonts w:ascii="Arial" w:cs="Arial" w:eastAsia="Arial" w:hAnsi="Arial"/>
                <w:sz w:val="14"/>
                <w:szCs w:val="14"/>
                <w:color w:val="auto"/>
              </w:rPr>
              <w:t>PennantPark Investment Corporation</w:t>
            </w:r>
          </w:p>
        </w:tc>
        <w:tc>
          <w:tcPr>
            <w:tcW w:w="1980" w:type="dxa"/>
            <w:vAlign w:val="bottom"/>
          </w:tcPr>
          <w:p>
            <w:pPr>
              <w:ind w:left="1020"/>
              <w:spacing w:after="0"/>
              <w:rPr>
                <w:sz w:val="20"/>
                <w:szCs w:val="20"/>
                <w:color w:val="auto"/>
              </w:rPr>
            </w:pPr>
            <w:r>
              <w:rPr>
                <w:rFonts w:ascii="Arial" w:cs="Arial" w:eastAsia="Arial" w:hAnsi="Arial"/>
                <w:sz w:val="14"/>
                <w:szCs w:val="14"/>
                <w:color w:val="auto"/>
                <w:w w:val="94"/>
              </w:rPr>
              <w:t>Equity/Common</w:t>
            </w:r>
          </w:p>
        </w:tc>
      </w:tr>
      <w:tr>
        <w:trPr>
          <w:trHeight w:val="162"/>
        </w:trPr>
        <w:tc>
          <w:tcPr>
            <w:tcW w:w="3100" w:type="dxa"/>
            <w:vAlign w:val="bottom"/>
          </w:tcPr>
          <w:p>
            <w:pPr>
              <w:spacing w:after="0"/>
              <w:rPr>
                <w:sz w:val="20"/>
                <w:szCs w:val="20"/>
                <w:color w:val="auto"/>
              </w:rPr>
            </w:pPr>
            <w:r>
              <w:rPr>
                <w:rFonts w:ascii="Arial" w:cs="Arial" w:eastAsia="Arial" w:hAnsi="Arial"/>
                <w:sz w:val="14"/>
                <w:szCs w:val="14"/>
                <w:color w:val="auto"/>
              </w:rPr>
              <w:t>RAM Energy Holdings LLC</w:t>
            </w:r>
          </w:p>
        </w:tc>
        <w:tc>
          <w:tcPr>
            <w:tcW w:w="3680" w:type="dxa"/>
            <w:vAlign w:val="bottom"/>
          </w:tcPr>
          <w:p>
            <w:pPr>
              <w:ind w:left="520"/>
              <w:spacing w:after="0"/>
              <w:rPr>
                <w:sz w:val="20"/>
                <w:szCs w:val="20"/>
                <w:color w:val="auto"/>
              </w:rPr>
            </w:pPr>
            <w:r>
              <w:rPr>
                <w:rFonts w:ascii="Arial" w:cs="Arial" w:eastAsia="Arial" w:hAnsi="Arial"/>
                <w:sz w:val="14"/>
                <w:szCs w:val="14"/>
                <w:color w:val="auto"/>
              </w:rPr>
              <w:t>PennantPark Investment Corporation</w:t>
            </w:r>
          </w:p>
        </w:tc>
        <w:tc>
          <w:tcPr>
            <w:tcW w:w="1980" w:type="dxa"/>
            <w:vAlign w:val="bottom"/>
          </w:tcPr>
          <w:p>
            <w:pPr>
              <w:ind w:left="1020"/>
              <w:spacing w:after="0"/>
              <w:rPr>
                <w:sz w:val="20"/>
                <w:szCs w:val="20"/>
                <w:color w:val="auto"/>
              </w:rPr>
            </w:pPr>
            <w:r>
              <w:rPr>
                <w:rFonts w:ascii="Arial" w:cs="Arial" w:eastAsia="Arial" w:hAnsi="Arial"/>
                <w:sz w:val="14"/>
                <w:szCs w:val="14"/>
                <w:color w:val="auto"/>
                <w:w w:val="94"/>
              </w:rPr>
              <w:t>Equity/Common</w:t>
            </w:r>
          </w:p>
        </w:tc>
      </w:tr>
      <w:tr>
        <w:trPr>
          <w:trHeight w:val="162"/>
        </w:trPr>
        <w:tc>
          <w:tcPr>
            <w:tcW w:w="3100" w:type="dxa"/>
            <w:vAlign w:val="bottom"/>
          </w:tcPr>
          <w:p>
            <w:pPr>
              <w:spacing w:after="0"/>
              <w:rPr>
                <w:sz w:val="20"/>
                <w:szCs w:val="20"/>
                <w:color w:val="auto"/>
              </w:rPr>
            </w:pPr>
            <w:r>
              <w:rPr>
                <w:rFonts w:ascii="Arial" w:cs="Arial" w:eastAsia="Arial" w:hAnsi="Arial"/>
                <w:sz w:val="14"/>
                <w:szCs w:val="14"/>
                <w:color w:val="auto"/>
              </w:rPr>
              <w:t>Superior Digital Displays Holdings, Inc.</w:t>
            </w:r>
          </w:p>
        </w:tc>
        <w:tc>
          <w:tcPr>
            <w:tcW w:w="3680" w:type="dxa"/>
            <w:vAlign w:val="bottom"/>
          </w:tcPr>
          <w:p>
            <w:pPr>
              <w:ind w:left="520"/>
              <w:spacing w:after="0"/>
              <w:rPr>
                <w:sz w:val="20"/>
                <w:szCs w:val="20"/>
                <w:color w:val="auto"/>
              </w:rPr>
            </w:pPr>
            <w:r>
              <w:rPr>
                <w:rFonts w:ascii="Arial" w:cs="Arial" w:eastAsia="Arial" w:hAnsi="Arial"/>
                <w:sz w:val="14"/>
                <w:szCs w:val="14"/>
                <w:color w:val="auto"/>
              </w:rPr>
              <w:t>PennantPark Investment Corporation</w:t>
            </w:r>
          </w:p>
        </w:tc>
        <w:tc>
          <w:tcPr>
            <w:tcW w:w="1980" w:type="dxa"/>
            <w:vAlign w:val="bottom"/>
          </w:tcPr>
          <w:p>
            <w:pPr>
              <w:ind w:left="1020"/>
              <w:spacing w:after="0"/>
              <w:rPr>
                <w:sz w:val="20"/>
                <w:szCs w:val="20"/>
                <w:color w:val="auto"/>
              </w:rPr>
            </w:pPr>
            <w:r>
              <w:rPr>
                <w:rFonts w:ascii="Arial" w:cs="Arial" w:eastAsia="Arial" w:hAnsi="Arial"/>
                <w:sz w:val="14"/>
                <w:szCs w:val="14"/>
                <w:color w:val="auto"/>
                <w:w w:val="94"/>
              </w:rPr>
              <w:t>Equity/Common</w:t>
            </w:r>
          </w:p>
        </w:tc>
      </w:tr>
      <w:tr>
        <w:trPr>
          <w:trHeight w:val="162"/>
        </w:trPr>
        <w:tc>
          <w:tcPr>
            <w:tcW w:w="3100" w:type="dxa"/>
            <w:vAlign w:val="bottom"/>
          </w:tcPr>
          <w:p>
            <w:pPr>
              <w:spacing w:after="0"/>
              <w:rPr>
                <w:sz w:val="20"/>
                <w:szCs w:val="20"/>
                <w:color w:val="auto"/>
              </w:rPr>
            </w:pPr>
            <w:r>
              <w:rPr>
                <w:rFonts w:ascii="Arial" w:cs="Arial" w:eastAsia="Arial" w:hAnsi="Arial"/>
                <w:sz w:val="14"/>
                <w:szCs w:val="14"/>
                <w:color w:val="auto"/>
              </w:rPr>
              <w:t>TRAK Acquisition Corp.</w:t>
            </w:r>
          </w:p>
        </w:tc>
        <w:tc>
          <w:tcPr>
            <w:tcW w:w="3680" w:type="dxa"/>
            <w:vAlign w:val="bottom"/>
          </w:tcPr>
          <w:p>
            <w:pPr>
              <w:ind w:left="520"/>
              <w:spacing w:after="0"/>
              <w:rPr>
                <w:sz w:val="20"/>
                <w:szCs w:val="20"/>
                <w:color w:val="auto"/>
              </w:rPr>
            </w:pPr>
            <w:r>
              <w:rPr>
                <w:rFonts w:ascii="Arial" w:cs="Arial" w:eastAsia="Arial" w:hAnsi="Arial"/>
                <w:sz w:val="14"/>
                <w:szCs w:val="14"/>
                <w:color w:val="auto"/>
              </w:rPr>
              <w:t>PennantPark Investment Corporation</w:t>
            </w:r>
          </w:p>
        </w:tc>
        <w:tc>
          <w:tcPr>
            <w:tcW w:w="1980" w:type="dxa"/>
            <w:vAlign w:val="bottom"/>
          </w:tcPr>
          <w:p>
            <w:pPr>
              <w:ind w:left="1020"/>
              <w:spacing w:after="0"/>
              <w:rPr>
                <w:sz w:val="20"/>
                <w:szCs w:val="20"/>
                <w:color w:val="auto"/>
              </w:rPr>
            </w:pPr>
            <w:r>
              <w:rPr>
                <w:rFonts w:ascii="Arial" w:cs="Arial" w:eastAsia="Arial" w:hAnsi="Arial"/>
                <w:sz w:val="14"/>
                <w:szCs w:val="14"/>
                <w:color w:val="auto"/>
                <w:w w:val="94"/>
              </w:rPr>
              <w:t>Equity/Common</w:t>
            </w:r>
          </w:p>
        </w:tc>
      </w:tr>
      <w:tr>
        <w:trPr>
          <w:trHeight w:val="162"/>
        </w:trPr>
        <w:tc>
          <w:tcPr>
            <w:tcW w:w="3100" w:type="dxa"/>
            <w:vAlign w:val="bottom"/>
          </w:tcPr>
          <w:p>
            <w:pPr>
              <w:spacing w:after="0"/>
              <w:rPr>
                <w:sz w:val="20"/>
                <w:szCs w:val="20"/>
                <w:color w:val="auto"/>
              </w:rPr>
            </w:pPr>
            <w:r>
              <w:rPr>
                <w:rFonts w:ascii="Arial" w:cs="Arial" w:eastAsia="Arial" w:hAnsi="Arial"/>
                <w:sz w:val="14"/>
                <w:szCs w:val="14"/>
                <w:color w:val="auto"/>
              </w:rPr>
              <w:t>USWS Holdings, LLC - Class A and Class B</w:t>
            </w:r>
          </w:p>
        </w:tc>
        <w:tc>
          <w:tcPr>
            <w:tcW w:w="3680" w:type="dxa"/>
            <w:vAlign w:val="bottom"/>
          </w:tcPr>
          <w:p>
            <w:pPr>
              <w:ind w:left="520"/>
              <w:spacing w:after="0"/>
              <w:rPr>
                <w:sz w:val="20"/>
                <w:szCs w:val="20"/>
                <w:color w:val="auto"/>
              </w:rPr>
            </w:pPr>
            <w:r>
              <w:rPr>
                <w:rFonts w:ascii="Arial" w:cs="Arial" w:eastAsia="Arial" w:hAnsi="Arial"/>
                <w:sz w:val="14"/>
                <w:szCs w:val="14"/>
                <w:color w:val="auto"/>
              </w:rPr>
              <w:t>PennantPark Investment Corporation</w:t>
            </w:r>
          </w:p>
        </w:tc>
        <w:tc>
          <w:tcPr>
            <w:tcW w:w="1980" w:type="dxa"/>
            <w:vAlign w:val="bottom"/>
          </w:tcPr>
          <w:p>
            <w:pPr>
              <w:ind w:left="1020"/>
              <w:spacing w:after="0"/>
              <w:rPr>
                <w:sz w:val="20"/>
                <w:szCs w:val="20"/>
                <w:color w:val="auto"/>
              </w:rPr>
            </w:pPr>
            <w:r>
              <w:rPr>
                <w:rFonts w:ascii="Arial" w:cs="Arial" w:eastAsia="Arial" w:hAnsi="Arial"/>
                <w:sz w:val="14"/>
                <w:szCs w:val="14"/>
                <w:color w:val="auto"/>
                <w:w w:val="94"/>
              </w:rPr>
              <w:t>Equity/Common</w:t>
            </w:r>
          </w:p>
        </w:tc>
      </w:tr>
      <w:tr>
        <w:trPr>
          <w:trHeight w:val="162"/>
        </w:trPr>
        <w:tc>
          <w:tcPr>
            <w:tcW w:w="3100" w:type="dxa"/>
            <w:vAlign w:val="bottom"/>
          </w:tcPr>
          <w:p>
            <w:pPr>
              <w:spacing w:after="0"/>
              <w:rPr>
                <w:sz w:val="20"/>
                <w:szCs w:val="20"/>
                <w:color w:val="auto"/>
              </w:rPr>
            </w:pPr>
            <w:r>
              <w:rPr>
                <w:rFonts w:ascii="Arial" w:cs="Arial" w:eastAsia="Arial" w:hAnsi="Arial"/>
                <w:sz w:val="14"/>
                <w:szCs w:val="14"/>
                <w:color w:val="auto"/>
              </w:rPr>
              <w:t>ZS Juniper L.P.</w:t>
            </w:r>
          </w:p>
        </w:tc>
        <w:tc>
          <w:tcPr>
            <w:tcW w:w="3680" w:type="dxa"/>
            <w:vAlign w:val="bottom"/>
          </w:tcPr>
          <w:p>
            <w:pPr>
              <w:ind w:left="520"/>
              <w:spacing w:after="0"/>
              <w:rPr>
                <w:sz w:val="20"/>
                <w:szCs w:val="20"/>
                <w:color w:val="auto"/>
              </w:rPr>
            </w:pPr>
            <w:r>
              <w:rPr>
                <w:rFonts w:ascii="Arial" w:cs="Arial" w:eastAsia="Arial" w:hAnsi="Arial"/>
                <w:sz w:val="14"/>
                <w:szCs w:val="14"/>
                <w:color w:val="auto"/>
              </w:rPr>
              <w:t>PennantPark Investment Corporation</w:t>
            </w:r>
          </w:p>
        </w:tc>
        <w:tc>
          <w:tcPr>
            <w:tcW w:w="1980" w:type="dxa"/>
            <w:vAlign w:val="bottom"/>
          </w:tcPr>
          <w:p>
            <w:pPr>
              <w:ind w:left="1020"/>
              <w:spacing w:after="0"/>
              <w:rPr>
                <w:sz w:val="20"/>
                <w:szCs w:val="20"/>
                <w:color w:val="auto"/>
              </w:rPr>
            </w:pPr>
            <w:r>
              <w:rPr>
                <w:rFonts w:ascii="Arial" w:cs="Arial" w:eastAsia="Arial" w:hAnsi="Arial"/>
                <w:sz w:val="14"/>
                <w:szCs w:val="14"/>
                <w:color w:val="auto"/>
                <w:w w:val="94"/>
              </w:rPr>
              <w:t>Equity/Common</w:t>
            </w:r>
          </w:p>
        </w:tc>
      </w:tr>
      <w:tr>
        <w:trPr>
          <w:trHeight w:val="162"/>
        </w:trPr>
        <w:tc>
          <w:tcPr>
            <w:tcW w:w="3100" w:type="dxa"/>
            <w:vAlign w:val="bottom"/>
          </w:tcPr>
          <w:p>
            <w:pPr>
              <w:spacing w:after="0"/>
              <w:rPr>
                <w:sz w:val="20"/>
                <w:szCs w:val="20"/>
                <w:color w:val="auto"/>
              </w:rPr>
            </w:pPr>
            <w:r>
              <w:rPr>
                <w:rFonts w:ascii="Arial" w:cs="Arial" w:eastAsia="Arial" w:hAnsi="Arial"/>
                <w:sz w:val="14"/>
                <w:szCs w:val="14"/>
                <w:color w:val="auto"/>
              </w:rPr>
              <w:t>AH Holdings, Inc.</w:t>
            </w:r>
          </w:p>
        </w:tc>
        <w:tc>
          <w:tcPr>
            <w:tcW w:w="3680" w:type="dxa"/>
            <w:vAlign w:val="bottom"/>
          </w:tcPr>
          <w:p>
            <w:pPr>
              <w:ind w:left="520"/>
              <w:spacing w:after="0"/>
              <w:rPr>
                <w:sz w:val="20"/>
                <w:szCs w:val="20"/>
                <w:color w:val="auto"/>
              </w:rPr>
            </w:pPr>
            <w:r>
              <w:rPr>
                <w:rFonts w:ascii="Arial" w:cs="Arial" w:eastAsia="Arial" w:hAnsi="Arial"/>
                <w:sz w:val="14"/>
                <w:szCs w:val="14"/>
                <w:color w:val="auto"/>
              </w:rPr>
              <w:t>PennantPark Investment Corporation</w:t>
            </w:r>
          </w:p>
        </w:tc>
        <w:tc>
          <w:tcPr>
            <w:tcW w:w="1980" w:type="dxa"/>
            <w:vAlign w:val="bottom"/>
          </w:tcPr>
          <w:p>
            <w:pPr>
              <w:ind w:left="1020"/>
              <w:spacing w:after="0"/>
              <w:rPr>
                <w:sz w:val="20"/>
                <w:szCs w:val="20"/>
                <w:color w:val="auto"/>
              </w:rPr>
            </w:pPr>
            <w:r>
              <w:rPr>
                <w:rFonts w:ascii="Arial" w:cs="Arial" w:eastAsia="Arial" w:hAnsi="Arial"/>
                <w:sz w:val="14"/>
                <w:szCs w:val="14"/>
                <w:color w:val="auto"/>
                <w:w w:val="94"/>
              </w:rPr>
              <w:t>Equity/Warrants</w:t>
            </w:r>
          </w:p>
        </w:tc>
      </w:tr>
      <w:tr>
        <w:trPr>
          <w:trHeight w:val="182"/>
        </w:trPr>
        <w:tc>
          <w:tcPr>
            <w:tcW w:w="3100" w:type="dxa"/>
            <w:vAlign w:val="bottom"/>
          </w:tcPr>
          <w:p>
            <w:pPr>
              <w:spacing w:after="0"/>
              <w:rPr>
                <w:sz w:val="20"/>
                <w:szCs w:val="20"/>
                <w:color w:val="auto"/>
              </w:rPr>
            </w:pPr>
            <w:r>
              <w:rPr>
                <w:rFonts w:ascii="Arial" w:cs="Arial" w:eastAsia="Arial" w:hAnsi="Arial"/>
                <w:sz w:val="14"/>
                <w:szCs w:val="14"/>
                <w:color w:val="auto"/>
              </w:rPr>
              <w:t>ASP LCG Holdings, Inc.</w:t>
            </w:r>
          </w:p>
        </w:tc>
        <w:tc>
          <w:tcPr>
            <w:tcW w:w="3680" w:type="dxa"/>
            <w:vAlign w:val="bottom"/>
          </w:tcPr>
          <w:p>
            <w:pPr>
              <w:ind w:left="520"/>
              <w:spacing w:after="0"/>
              <w:rPr>
                <w:sz w:val="20"/>
                <w:szCs w:val="20"/>
                <w:color w:val="auto"/>
              </w:rPr>
            </w:pPr>
            <w:r>
              <w:rPr>
                <w:rFonts w:ascii="Arial" w:cs="Arial" w:eastAsia="Arial" w:hAnsi="Arial"/>
                <w:sz w:val="14"/>
                <w:szCs w:val="14"/>
                <w:color w:val="auto"/>
              </w:rPr>
              <w:t>PennantPark Investment Corporation</w:t>
            </w:r>
          </w:p>
        </w:tc>
        <w:tc>
          <w:tcPr>
            <w:tcW w:w="1980" w:type="dxa"/>
            <w:vAlign w:val="bottom"/>
          </w:tcPr>
          <w:p>
            <w:pPr>
              <w:ind w:left="1020"/>
              <w:spacing w:after="0"/>
              <w:rPr>
                <w:sz w:val="20"/>
                <w:szCs w:val="20"/>
                <w:color w:val="auto"/>
              </w:rPr>
            </w:pPr>
            <w:r>
              <w:rPr>
                <w:rFonts w:ascii="Arial" w:cs="Arial" w:eastAsia="Arial" w:hAnsi="Arial"/>
                <w:sz w:val="14"/>
                <w:szCs w:val="14"/>
                <w:color w:val="auto"/>
                <w:w w:val="94"/>
              </w:rPr>
              <w:t>Equity/Warrants</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-45085</wp:posOffset>
            </wp:positionH>
            <wp:positionV relativeFrom="paragraph">
              <wp:posOffset>-1243330</wp:posOffset>
            </wp:positionV>
            <wp:extent cx="7132320" cy="1243330"/>
            <wp:wrapNone/>
            <wp:docPr id="251" name="Picture 2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1"/>
                    <pic:cNvPicPr>
                      <a:picLocks noChangeAspect="1" noChangeArrowheads="1"/>
                    </pic:cNvPicPr>
                  </pic:nvPicPr>
                  <pic:blipFill>
                    <a:blip r:embed="rId258">
                      <a:extLst>
                        <a:ext uri="{28A0092B-C50C-407E-A947-70E740481C1C}"/>
                      </a:extLst>
                    </a:blip>
                    <a:srcRect/>
                    <a:stretch>
                      <a:fillRect/>
                    </a:stretch>
                  </pic:blipFill>
                  <pic:spPr bwMode="auto">
                    <a:xfrm>
                      <a:off x="0" y="0"/>
                      <a:ext cx="7132320" cy="1243330"/>
                    </a:xfrm>
                    <a:prstGeom prst="rect">
                      <a:avLst/>
                    </a:prstGeom>
                    <a:noFill/>
                  </pic:spPr>
                </pic:pic>
              </a:graphicData>
            </a:graphic>
          </wp:anchor>
        </w:drawing>
        <w:drawing>
          <wp:anchor simplePos="0" relativeHeight="251657728" behindDoc="1" locked="0" layoutInCell="0" allowOverlap="1">
            <wp:simplePos x="0" y="0"/>
            <wp:positionH relativeFrom="column">
              <wp:posOffset>-45085</wp:posOffset>
            </wp:positionH>
            <wp:positionV relativeFrom="paragraph">
              <wp:posOffset>899160</wp:posOffset>
            </wp:positionV>
            <wp:extent cx="7149465" cy="17145"/>
            <wp:wrapNone/>
            <wp:docPr id="252" name="Picture 2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2"/>
                    <pic:cNvPicPr>
                      <a:picLocks noChangeAspect="1" noChangeArrowheads="1"/>
                    </pic:cNvPicPr>
                  </pic:nvPicPr>
                  <pic:blipFill>
                    <a:blip r:embed="rId259">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0059"/>
          </w:cols>
          <w:pgMar w:left="400" w:top="350" w:right="1440" w:bottom="1440" w:gutter="0" w:footer="0" w:header="0"/>
        </w:sectPr>
      </w:pPr>
    </w:p>
    <w:bookmarkStart w:id="139" w:name="page140"/>
    <w:bookmarkEnd w:id="139"/>
    <w:p>
      <w:pPr>
        <w:jc w:val="center"/>
        <w:spacing w:after="0"/>
        <w:rPr>
          <w:sz w:val="20"/>
          <w:szCs w:val="20"/>
          <w:color w:val="auto"/>
        </w:rPr>
      </w:pPr>
      <w:r>
        <w:rPr>
          <w:rFonts w:ascii="Arial" w:cs="Arial" w:eastAsia="Arial" w:hAnsi="Arial"/>
          <w:sz w:val="14"/>
          <w:szCs w:val="14"/>
          <w:b w:val="1"/>
          <w:bCs w:val="1"/>
          <w:u w:val="single" w:color="auto"/>
          <w:color w:val="auto"/>
        </w:rPr>
        <w:t>Schedule 6.08</w:t>
      </w:r>
    </w:p>
    <w:p>
      <w:pPr>
        <w:spacing w:after="0" w:line="204" w:lineRule="exact"/>
        <w:rPr>
          <w:sz w:val="20"/>
          <w:szCs w:val="20"/>
          <w:color w:val="auto"/>
        </w:rPr>
      </w:pPr>
    </w:p>
    <w:p>
      <w:pPr>
        <w:jc w:val="center"/>
        <w:spacing w:after="0"/>
        <w:rPr>
          <w:sz w:val="20"/>
          <w:szCs w:val="20"/>
          <w:color w:val="auto"/>
        </w:rPr>
      </w:pPr>
      <w:r>
        <w:rPr>
          <w:rFonts w:ascii="Arial" w:cs="Arial" w:eastAsia="Arial" w:hAnsi="Arial"/>
          <w:sz w:val="14"/>
          <w:szCs w:val="14"/>
          <w:b w:val="1"/>
          <w:bCs w:val="1"/>
          <w:u w:val="single" w:color="auto"/>
          <w:color w:val="auto"/>
        </w:rPr>
        <w:t>Transactions with Affiliates</w:t>
      </w:r>
    </w:p>
    <w:p>
      <w:pPr>
        <w:spacing w:after="0" w:line="208" w:lineRule="exact"/>
        <w:rPr>
          <w:sz w:val="20"/>
          <w:szCs w:val="20"/>
          <w:color w:val="auto"/>
        </w:rPr>
      </w:pPr>
    </w:p>
    <w:p>
      <w:pPr>
        <w:ind w:right="20" w:firstLine="8"/>
        <w:spacing w:after="0" w:line="253" w:lineRule="auto"/>
        <w:tabs>
          <w:tab w:leader="none" w:pos="756" w:val="left"/>
        </w:tabs>
        <w:numPr>
          <w:ilvl w:val="0"/>
          <w:numId w:val="174"/>
        </w:numPr>
        <w:rPr>
          <w:rFonts w:ascii="Arial" w:cs="Arial" w:eastAsia="Arial" w:hAnsi="Arial"/>
          <w:sz w:val="14"/>
          <w:szCs w:val="14"/>
          <w:color w:val="auto"/>
        </w:rPr>
      </w:pPr>
      <w:r>
        <w:rPr>
          <w:rFonts w:ascii="Arial" w:cs="Arial" w:eastAsia="Arial" w:hAnsi="Arial"/>
          <w:sz w:val="14"/>
          <w:szCs w:val="14"/>
          <w:color w:val="auto"/>
        </w:rPr>
        <w:t>We hold the debt and equity of EnviroSolutions, Inc., Performance Holdings, Inc. and SuttonPark Holdings Inc. and we enter into certain transactions with such Persons (including receiving and making distributions).</w:t>
      </w:r>
    </w:p>
    <w:p>
      <w:pPr>
        <w:spacing w:after="0" w:line="173" w:lineRule="exact"/>
        <w:rPr>
          <w:rFonts w:ascii="Arial" w:cs="Arial" w:eastAsia="Arial" w:hAnsi="Arial"/>
          <w:sz w:val="14"/>
          <w:szCs w:val="14"/>
          <w:color w:val="auto"/>
        </w:rPr>
      </w:pPr>
    </w:p>
    <w:p>
      <w:pPr>
        <w:jc w:val="both"/>
        <w:ind w:firstLine="8"/>
        <w:spacing w:after="0" w:line="229" w:lineRule="auto"/>
        <w:tabs>
          <w:tab w:leader="none" w:pos="756" w:val="left"/>
        </w:tabs>
        <w:numPr>
          <w:ilvl w:val="0"/>
          <w:numId w:val="174"/>
        </w:numPr>
        <w:rPr>
          <w:rFonts w:ascii="Arial" w:cs="Arial" w:eastAsia="Arial" w:hAnsi="Arial"/>
          <w:sz w:val="14"/>
          <w:szCs w:val="14"/>
          <w:color w:val="auto"/>
        </w:rPr>
      </w:pPr>
      <w:r>
        <w:rPr>
          <w:rFonts w:ascii="Arial" w:cs="Arial" w:eastAsia="Arial" w:hAnsi="Arial"/>
          <w:sz w:val="14"/>
          <w:szCs w:val="14"/>
          <w:color w:val="auto"/>
        </w:rPr>
        <w:t>We entered into an administration agreement with our controlled affiliate, SuttonPark Holdings Inc. (“SPH”). Under the administration agreement with SPH (the “SPH Administration Agreement”), PennantPark Investment Corporation through the Administrator furnishes SPH with office facilities, equipment and clerical, bookkeeping and record keeping services at such facilities. Additionally, the Administrator performs or oversees the performance of SPH’s required administrative services, which include, among other things, maintaining financial records, preparing financial reports and filing of tax returns. Payments under the SPH Administration Agreement are equal to an amount based upon SPH’s allocable portion of the Administrator’s overhead in performing its obligations under the SPH Administration Agreement, including rent and allocable portion of the cost of compensation and related expenses of our chief financial officer and their respective staffs.</w:t>
      </w:r>
    </w:p>
    <w:p>
      <w:pPr>
        <w:spacing w:after="0" w:line="185" w:lineRule="exact"/>
        <w:rPr>
          <w:rFonts w:ascii="Arial" w:cs="Arial" w:eastAsia="Arial" w:hAnsi="Arial"/>
          <w:sz w:val="14"/>
          <w:szCs w:val="14"/>
          <w:color w:val="auto"/>
        </w:rPr>
      </w:pPr>
    </w:p>
    <w:p>
      <w:pPr>
        <w:jc w:val="both"/>
        <w:ind w:firstLine="8"/>
        <w:spacing w:after="0" w:line="229" w:lineRule="auto"/>
        <w:tabs>
          <w:tab w:leader="none" w:pos="756" w:val="left"/>
        </w:tabs>
        <w:numPr>
          <w:ilvl w:val="0"/>
          <w:numId w:val="174"/>
        </w:numPr>
        <w:rPr>
          <w:rFonts w:ascii="Arial" w:cs="Arial" w:eastAsia="Arial" w:hAnsi="Arial"/>
          <w:sz w:val="14"/>
          <w:szCs w:val="14"/>
          <w:color w:val="auto"/>
        </w:rPr>
      </w:pPr>
      <w:r>
        <w:rPr>
          <w:rFonts w:ascii="Arial" w:cs="Arial" w:eastAsia="Arial" w:hAnsi="Arial"/>
          <w:sz w:val="14"/>
          <w:szCs w:val="14"/>
          <w:color w:val="auto"/>
        </w:rPr>
        <w:t>We entered into an administration agreement, dated December 28, 2012, with PennantPark SBIC II LP (“SBIC II”) and PennantPark SBIC GP II, LLC. Under the administration agreement with SBIC II (the “SBIC II Administration Agreement”), PennantPark Investment Corporation through the Administrator furnishes SBIC II with office facilities, equipment and clerical, bookkeeping and record keeping services at such facilities. Additionally, the Administrator performs or oversees the performance of SBIC II’s required administrative services, which include, among other things, maintaining financial records, preparing financial reports and filing of tax returns. Payments under the SBIC II Administration Agreement are equal to an amount based upon SBIC II’s allocable portion of the Administrator’s overhead in performing its obligations under the SBIC II Administration Agreement, including rent and allocable portion of the cost of compensation and related expenses of our chief financial officer and their respective staffs.</w:t>
      </w:r>
    </w:p>
    <w:p>
      <w:pPr>
        <w:spacing w:after="0" w:line="185" w:lineRule="exact"/>
        <w:rPr>
          <w:rFonts w:ascii="Arial" w:cs="Arial" w:eastAsia="Arial" w:hAnsi="Arial"/>
          <w:sz w:val="14"/>
          <w:szCs w:val="14"/>
          <w:color w:val="auto"/>
        </w:rPr>
      </w:pPr>
    </w:p>
    <w:p>
      <w:pPr>
        <w:jc w:val="both"/>
        <w:ind w:firstLine="8"/>
        <w:spacing w:after="0" w:line="264" w:lineRule="auto"/>
        <w:tabs>
          <w:tab w:leader="none" w:pos="756" w:val="left"/>
        </w:tabs>
        <w:numPr>
          <w:ilvl w:val="0"/>
          <w:numId w:val="174"/>
        </w:numPr>
        <w:rPr>
          <w:rFonts w:ascii="Arial" w:cs="Arial" w:eastAsia="Arial" w:hAnsi="Arial"/>
          <w:sz w:val="13"/>
          <w:szCs w:val="13"/>
          <w:color w:val="auto"/>
        </w:rPr>
      </w:pPr>
      <w:r>
        <w:rPr>
          <w:rFonts w:ascii="Arial" w:cs="Arial" w:eastAsia="Arial" w:hAnsi="Arial"/>
          <w:sz w:val="13"/>
          <w:szCs w:val="13"/>
          <w:color w:val="auto"/>
        </w:rPr>
        <w:t>We entered into an investment advisory agreement, dated December 28, 2012, with SBIC II and PennantPark SBIC GP II, LLC. Under the investment advisory agreement (the “SBIC II Investment Agreement), PennantPark Investment Corporation through the Investment Advisor/Manager provides SBIC II with experienced investment professionals to assist in federal law and regulation compliance. Payments under the SBIC II Investment Agreement are pursuant to Section 3.05 of the agreement of limited partnership of the SBIC 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932815</wp:posOffset>
            </wp:positionV>
            <wp:extent cx="7149465" cy="17145"/>
            <wp:wrapNone/>
            <wp:docPr id="253" name="Picture 2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3"/>
                    <pic:cNvPicPr>
                      <a:picLocks noChangeAspect="1" noChangeArrowheads="1"/>
                    </pic:cNvPicPr>
                  </pic:nvPicPr>
                  <pic:blipFill>
                    <a:blip r:embed="rId260">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333" w:right="339" w:bottom="1440" w:gutter="0" w:footer="0" w:header="0"/>
        </w:sectPr>
      </w:pPr>
    </w:p>
    <w:bookmarkStart w:id="140" w:name="page141"/>
    <w:bookmarkEnd w:id="140"/>
    <w:p>
      <w:pPr>
        <w:jc w:val="center"/>
        <w:spacing w:after="0"/>
        <w:rPr>
          <w:sz w:val="20"/>
          <w:szCs w:val="20"/>
          <w:color w:val="auto"/>
        </w:rPr>
      </w:pPr>
      <w:r>
        <w:rPr>
          <w:rFonts w:ascii="Arial" w:cs="Arial" w:eastAsia="Arial" w:hAnsi="Arial"/>
          <w:sz w:val="14"/>
          <w:szCs w:val="14"/>
          <w:b w:val="1"/>
          <w:bCs w:val="1"/>
          <w:color w:val="auto"/>
        </w:rPr>
        <w:t>EXHIBIT A</w:t>
      </w:r>
    </w:p>
    <w:p>
      <w:pPr>
        <w:spacing w:after="0" w:line="204"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ASSIGNMENT AND ASSUMPTION</w:t>
      </w:r>
    </w:p>
    <w:p>
      <w:pPr>
        <w:spacing w:after="0" w:line="208" w:lineRule="exact"/>
        <w:rPr>
          <w:sz w:val="20"/>
          <w:szCs w:val="20"/>
          <w:color w:val="auto"/>
        </w:rPr>
      </w:pPr>
    </w:p>
    <w:p>
      <w:pPr>
        <w:jc w:val="both"/>
        <w:ind w:firstLine="1727"/>
        <w:spacing w:after="0" w:line="231" w:lineRule="auto"/>
        <w:rPr>
          <w:sz w:val="20"/>
          <w:szCs w:val="20"/>
          <w:color w:val="auto"/>
        </w:rPr>
      </w:pPr>
      <w:r>
        <w:rPr>
          <w:rFonts w:ascii="Arial" w:cs="Arial" w:eastAsia="Arial" w:hAnsi="Arial"/>
          <w:sz w:val="14"/>
          <w:szCs w:val="14"/>
          <w:color w:val="auto"/>
        </w:rPr>
        <w:t>This Assignment and Assumption (the “</w:t>
      </w:r>
      <w:r>
        <w:rPr>
          <w:rFonts w:ascii="Arial" w:cs="Arial" w:eastAsia="Arial" w:hAnsi="Arial"/>
          <w:sz w:val="14"/>
          <w:szCs w:val="14"/>
          <w:u w:val="single" w:color="auto"/>
          <w:color w:val="auto"/>
        </w:rPr>
        <w:t>Assignment and Assumption</w:t>
      </w:r>
      <w:r>
        <w:rPr>
          <w:rFonts w:ascii="Arial" w:cs="Arial" w:eastAsia="Arial" w:hAnsi="Arial"/>
          <w:sz w:val="14"/>
          <w:szCs w:val="14"/>
          <w:color w:val="auto"/>
        </w:rPr>
        <w:t>”) is dated as of the Effective Date set forth below and is entered into by and between [</w:t>
      </w:r>
      <w:r>
        <w:rPr>
          <w:rFonts w:ascii="Arial" w:cs="Arial" w:eastAsia="Arial" w:hAnsi="Arial"/>
          <w:sz w:val="14"/>
          <w:szCs w:val="14"/>
          <w:i w:val="1"/>
          <w:iCs w:val="1"/>
          <w:color w:val="auto"/>
        </w:rPr>
        <w:t>Insert</w:t>
      </w:r>
      <w:r>
        <w:rPr>
          <w:rFonts w:ascii="Arial" w:cs="Arial" w:eastAsia="Arial" w:hAnsi="Arial"/>
          <w:sz w:val="14"/>
          <w:szCs w:val="14"/>
          <w:color w:val="auto"/>
        </w:rPr>
        <w:t xml:space="preserve"> </w:t>
      </w:r>
      <w:r>
        <w:rPr>
          <w:rFonts w:ascii="Arial" w:cs="Arial" w:eastAsia="Arial" w:hAnsi="Arial"/>
          <w:sz w:val="14"/>
          <w:szCs w:val="14"/>
          <w:i w:val="1"/>
          <w:iCs w:val="1"/>
          <w:color w:val="auto"/>
        </w:rPr>
        <w:t>name of Assignor</w:t>
      </w:r>
      <w:r>
        <w:rPr>
          <w:rFonts w:ascii="Arial" w:cs="Arial" w:eastAsia="Arial" w:hAnsi="Arial"/>
          <w:sz w:val="14"/>
          <w:szCs w:val="14"/>
          <w:color w:val="auto"/>
        </w:rPr>
        <w:t>] (the “</w:t>
      </w:r>
      <w:r>
        <w:rPr>
          <w:rFonts w:ascii="Arial" w:cs="Arial" w:eastAsia="Arial" w:hAnsi="Arial"/>
          <w:sz w:val="14"/>
          <w:szCs w:val="14"/>
          <w:u w:val="single" w:color="auto"/>
          <w:color w:val="auto"/>
        </w:rPr>
        <w:t>Assignor</w:t>
      </w:r>
      <w:r>
        <w:rPr>
          <w:rFonts w:ascii="Arial" w:cs="Arial" w:eastAsia="Arial" w:hAnsi="Arial"/>
          <w:sz w:val="14"/>
          <w:szCs w:val="14"/>
          <w:color w:val="auto"/>
        </w:rPr>
        <w:t>”) and [</w:t>
      </w:r>
      <w:r>
        <w:rPr>
          <w:rFonts w:ascii="Arial" w:cs="Arial" w:eastAsia="Arial" w:hAnsi="Arial"/>
          <w:sz w:val="14"/>
          <w:szCs w:val="14"/>
          <w:i w:val="1"/>
          <w:iCs w:val="1"/>
          <w:color w:val="auto"/>
        </w:rPr>
        <w:t>Insert name of Assignee</w:t>
      </w:r>
      <w:r>
        <w:rPr>
          <w:rFonts w:ascii="Arial" w:cs="Arial" w:eastAsia="Arial" w:hAnsi="Arial"/>
          <w:sz w:val="14"/>
          <w:szCs w:val="14"/>
          <w:color w:val="auto"/>
        </w:rPr>
        <w:t>] (the “</w:t>
      </w:r>
      <w:r>
        <w:rPr>
          <w:rFonts w:ascii="Arial" w:cs="Arial" w:eastAsia="Arial" w:hAnsi="Arial"/>
          <w:sz w:val="14"/>
          <w:szCs w:val="14"/>
          <w:u w:val="single" w:color="auto"/>
          <w:color w:val="auto"/>
        </w:rPr>
        <w:t>Assignee</w:t>
      </w:r>
      <w:r>
        <w:rPr>
          <w:rFonts w:ascii="Arial" w:cs="Arial" w:eastAsia="Arial" w:hAnsi="Arial"/>
          <w:sz w:val="14"/>
          <w:szCs w:val="14"/>
          <w:color w:val="auto"/>
        </w:rPr>
        <w:t>”). Capitalized terms used but not defined herein shall have the meanings given to them in the Credit Agreement</w:t>
      </w:r>
      <w:r>
        <w:rPr>
          <w:rFonts w:ascii="Arial" w:cs="Arial" w:eastAsia="Arial" w:hAnsi="Arial"/>
          <w:sz w:val="14"/>
          <w:szCs w:val="14"/>
          <w:i w:val="1"/>
          <w:iCs w:val="1"/>
          <w:color w:val="auto"/>
        </w:rPr>
        <w:t xml:space="preserve"> </w:t>
      </w:r>
      <w:r>
        <w:rPr>
          <w:rFonts w:ascii="Arial" w:cs="Arial" w:eastAsia="Arial" w:hAnsi="Arial"/>
          <w:sz w:val="14"/>
          <w:szCs w:val="14"/>
          <w:color w:val="auto"/>
        </w:rPr>
        <w:t>identified below (as amended, restated, supplemented or otherwise modified from time to time, the “</w:t>
      </w:r>
      <w:r>
        <w:rPr>
          <w:rFonts w:ascii="Arial" w:cs="Arial" w:eastAsia="Arial" w:hAnsi="Arial"/>
          <w:sz w:val="14"/>
          <w:szCs w:val="14"/>
          <w:u w:val="single" w:color="auto"/>
          <w:color w:val="auto"/>
        </w:rPr>
        <w:t>Credit Agreement</w:t>
      </w:r>
      <w:r>
        <w:rPr>
          <w:rFonts w:ascii="Arial" w:cs="Arial" w:eastAsia="Arial" w:hAnsi="Arial"/>
          <w:sz w:val="14"/>
          <w:szCs w:val="14"/>
          <w:color w:val="auto"/>
        </w:rPr>
        <w:t xml:space="preserve">”), receipt of a copy of which is hereby acknowledged by the Assignee. The Standard Terms and Conditions set forth in </w:t>
      </w:r>
      <w:r>
        <w:rPr>
          <w:rFonts w:ascii="Arial" w:cs="Arial" w:eastAsia="Arial" w:hAnsi="Arial"/>
          <w:sz w:val="14"/>
          <w:szCs w:val="14"/>
          <w:u w:val="single" w:color="auto"/>
          <w:color w:val="auto"/>
        </w:rPr>
        <w:t>Annex I</w:t>
      </w:r>
      <w:r>
        <w:rPr>
          <w:rFonts w:ascii="Arial" w:cs="Arial" w:eastAsia="Arial" w:hAnsi="Arial"/>
          <w:sz w:val="14"/>
          <w:szCs w:val="14"/>
          <w:color w:val="auto"/>
        </w:rPr>
        <w:t xml:space="preserve"> attached hereto are hereby agreed to and incorporated herein by reference and made a part of this Assignment and Assumption as if set forth herein in full.</w:t>
      </w:r>
    </w:p>
    <w:p>
      <w:pPr>
        <w:spacing w:after="0" w:line="184" w:lineRule="exact"/>
        <w:rPr>
          <w:sz w:val="20"/>
          <w:szCs w:val="20"/>
          <w:color w:val="auto"/>
        </w:rPr>
      </w:pPr>
    </w:p>
    <w:p>
      <w:pPr>
        <w:jc w:val="both"/>
        <w:ind w:firstLine="1727"/>
        <w:spacing w:after="0" w:line="244" w:lineRule="auto"/>
        <w:rPr>
          <w:sz w:val="20"/>
          <w:szCs w:val="20"/>
          <w:color w:val="auto"/>
        </w:rPr>
      </w:pPr>
      <w:r>
        <w:rPr>
          <w:rFonts w:ascii="Arial" w:cs="Arial" w:eastAsia="Arial" w:hAnsi="Arial"/>
          <w:sz w:val="13"/>
          <w:szCs w:val="13"/>
          <w:color w:val="auto"/>
        </w:rPr>
        <w:t xml:space="preserve">For an agreed consideration, the Assignor hereby irrevocably sells and assigns to the Assignee, and the Assignee hereby irrevocably purchases and assumes from the Assignor, subject to and in accordance with the Standard Terms and Conditions set forth in Annex I attached hereto and the Credit Agreement, as of the Effective Date inserted by the Administrative Agent as contemplated below: (i) all of the Assignor’s rights and obligations in its capacity as a Lender under the Credit Agreement and any other documents or instruments delivered pursuant thereto to the extent related to the amount and percentage interest identified below of all of such outstanding rights and obligations of the Assignor under the respective facilities identified below (including any letters of credit, guarantees, and swingline loans included in such facilities) and (ii) to the extent permitted to be assigned under applicable law, all claims, suits, causes of action and any other right of the Assignor (in its capacity as a Lender) against any Person, whether known or unknown, arising under or in connection with the Credit Agreement, any other documents or instruments delivered pursuant thereto or the loan transactions governed thereby or in any way based on or related to any of the foregoing, including contract claims, tort claims, malpractice claims, statutory claims and all claims at law or in equity related to the rights and obligations sold and assigned pursuant to </w:t>
      </w:r>
      <w:r>
        <w:rPr>
          <w:rFonts w:ascii="Arial" w:cs="Arial" w:eastAsia="Arial" w:hAnsi="Arial"/>
          <w:sz w:val="13"/>
          <w:szCs w:val="13"/>
          <w:u w:val="single" w:color="auto"/>
          <w:color w:val="auto"/>
        </w:rPr>
        <w:t>clause (i)</w:t>
      </w:r>
      <w:r>
        <w:rPr>
          <w:rFonts w:ascii="Arial" w:cs="Arial" w:eastAsia="Arial" w:hAnsi="Arial"/>
          <w:sz w:val="13"/>
          <w:szCs w:val="13"/>
          <w:color w:val="auto"/>
        </w:rPr>
        <w:t xml:space="preserve"> above (the rights and obligations sold and assigned pursuant to </w:t>
      </w:r>
      <w:r>
        <w:rPr>
          <w:rFonts w:ascii="Arial" w:cs="Arial" w:eastAsia="Arial" w:hAnsi="Arial"/>
          <w:sz w:val="13"/>
          <w:szCs w:val="13"/>
          <w:u w:val="single" w:color="auto"/>
          <w:color w:val="auto"/>
        </w:rPr>
        <w:t>clauses (i)</w:t>
      </w:r>
      <w:r>
        <w:rPr>
          <w:rFonts w:ascii="Arial" w:cs="Arial" w:eastAsia="Arial" w:hAnsi="Arial"/>
          <w:sz w:val="13"/>
          <w:szCs w:val="13"/>
          <w:color w:val="auto"/>
        </w:rPr>
        <w:t xml:space="preserve"> and </w:t>
      </w:r>
      <w:r>
        <w:rPr>
          <w:rFonts w:ascii="Arial" w:cs="Arial" w:eastAsia="Arial" w:hAnsi="Arial"/>
          <w:sz w:val="13"/>
          <w:szCs w:val="13"/>
          <w:u w:val="single" w:color="auto"/>
          <w:color w:val="auto"/>
        </w:rPr>
        <w:t>(ii)</w:t>
      </w:r>
      <w:r>
        <w:rPr>
          <w:rFonts w:ascii="Arial" w:cs="Arial" w:eastAsia="Arial" w:hAnsi="Arial"/>
          <w:sz w:val="13"/>
          <w:szCs w:val="13"/>
          <w:color w:val="auto"/>
        </w:rPr>
        <w:t xml:space="preserve"> above being referred to herein collectively as the “</w:t>
      </w:r>
      <w:r>
        <w:rPr>
          <w:rFonts w:ascii="Arial" w:cs="Arial" w:eastAsia="Arial" w:hAnsi="Arial"/>
          <w:sz w:val="13"/>
          <w:szCs w:val="13"/>
          <w:u w:val="single" w:color="auto"/>
          <w:color w:val="auto"/>
        </w:rPr>
        <w:t>Assigned Interest</w:t>
      </w:r>
      <w:r>
        <w:rPr>
          <w:rFonts w:ascii="Arial" w:cs="Arial" w:eastAsia="Arial" w:hAnsi="Arial"/>
          <w:sz w:val="13"/>
          <w:szCs w:val="13"/>
          <w:color w:val="auto"/>
        </w:rPr>
        <w:t>”). Such sale and assignment is without recourse to the Assignor and, except as expressly provided in this Assignment and Assumption, without representation or warranty by the Assignor.</w:t>
      </w:r>
    </w:p>
    <w:p>
      <w:pPr>
        <w:spacing w:after="0" w:line="114" w:lineRule="exact"/>
        <w:rPr>
          <w:sz w:val="20"/>
          <w:szCs w:val="20"/>
          <w:color w:val="auto"/>
        </w:rPr>
      </w:pPr>
    </w:p>
    <w:p>
      <w:pPr>
        <w:ind w:left="660" w:hanging="652"/>
        <w:spacing w:after="0"/>
        <w:tabs>
          <w:tab w:leader="none" w:pos="660" w:val="left"/>
        </w:tabs>
        <w:numPr>
          <w:ilvl w:val="0"/>
          <w:numId w:val="175"/>
        </w:numPr>
        <w:rPr>
          <w:rFonts w:ascii="Arial" w:cs="Arial" w:eastAsia="Arial" w:hAnsi="Arial"/>
          <w:sz w:val="14"/>
          <w:szCs w:val="14"/>
          <w:color w:val="auto"/>
        </w:rPr>
      </w:pPr>
      <w:r>
        <w:rPr>
          <w:rFonts w:ascii="Arial" w:cs="Arial" w:eastAsia="Arial" w:hAnsi="Arial"/>
          <w:sz w:val="14"/>
          <w:szCs w:val="14"/>
          <w:color w:val="auto"/>
        </w:rPr>
        <w:t>Assignor:</w:t>
      </w:r>
    </w:p>
    <w:p>
      <w:pPr>
        <w:spacing w:after="0" w:line="149" w:lineRule="exact"/>
        <w:rPr>
          <w:rFonts w:ascii="Arial" w:cs="Arial" w:eastAsia="Arial" w:hAnsi="Arial"/>
          <w:sz w:val="14"/>
          <w:szCs w:val="14"/>
          <w:color w:val="auto"/>
        </w:rPr>
      </w:pPr>
    </w:p>
    <w:p>
      <w:pPr>
        <w:ind w:left="660" w:hanging="652"/>
        <w:spacing w:after="0"/>
        <w:tabs>
          <w:tab w:leader="none" w:pos="660" w:val="left"/>
        </w:tabs>
        <w:numPr>
          <w:ilvl w:val="0"/>
          <w:numId w:val="175"/>
        </w:numPr>
        <w:rPr>
          <w:rFonts w:ascii="Arial" w:cs="Arial" w:eastAsia="Arial" w:hAnsi="Arial"/>
          <w:sz w:val="14"/>
          <w:szCs w:val="14"/>
          <w:color w:val="auto"/>
        </w:rPr>
      </w:pPr>
      <w:r>
        <w:rPr>
          <w:rFonts w:ascii="Arial" w:cs="Arial" w:eastAsia="Arial" w:hAnsi="Arial"/>
          <w:sz w:val="14"/>
          <w:szCs w:val="14"/>
          <w:color w:val="auto"/>
        </w:rPr>
        <w:t>Assignee: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1616710</wp:posOffset>
            </wp:positionH>
            <wp:positionV relativeFrom="paragraph">
              <wp:posOffset>3810</wp:posOffset>
            </wp:positionV>
            <wp:extent cx="3737610" cy="8890"/>
            <wp:wrapNone/>
            <wp:docPr id="254" name="Picture 2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4"/>
                    <pic:cNvPicPr>
                      <a:picLocks noChangeAspect="1" noChangeArrowheads="1"/>
                    </pic:cNvPicPr>
                  </pic:nvPicPr>
                  <pic:blipFill>
                    <a:blip r:embed="rId261">
                      <a:extLst>
                        <a:ext uri="{28A0092B-C50C-407E-A947-70E740481C1C}"/>
                      </a:extLst>
                    </a:blip>
                    <a:srcRect/>
                    <a:stretch>
                      <a:fillRect/>
                    </a:stretch>
                  </pic:blipFill>
                  <pic:spPr bwMode="auto">
                    <a:xfrm>
                      <a:off x="0" y="0"/>
                      <a:ext cx="3737610" cy="8890"/>
                    </a:xfrm>
                    <a:prstGeom prst="rect">
                      <a:avLst/>
                    </a:prstGeom>
                    <a:noFill/>
                  </pic:spPr>
                </pic:pic>
              </a:graphicData>
            </a:graphic>
          </wp:anchor>
        </w:drawing>
        <w:drawing>
          <wp:anchor simplePos="0" relativeHeight="251657728" behindDoc="1" locked="0" layoutInCell="0" allowOverlap="1">
            <wp:simplePos x="0" y="0"/>
            <wp:positionH relativeFrom="column">
              <wp:posOffset>1616710</wp:posOffset>
            </wp:positionH>
            <wp:positionV relativeFrom="paragraph">
              <wp:posOffset>-192405</wp:posOffset>
            </wp:positionV>
            <wp:extent cx="3737610" cy="8255"/>
            <wp:wrapNone/>
            <wp:docPr id="255" name="Picture 2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5"/>
                    <pic:cNvPicPr>
                      <a:picLocks noChangeAspect="1" noChangeArrowheads="1"/>
                    </pic:cNvPicPr>
                  </pic:nvPicPr>
                  <pic:blipFill>
                    <a:blip r:embed="rId262">
                      <a:extLst>
                        <a:ext uri="{28A0092B-C50C-407E-A947-70E740481C1C}"/>
                      </a:extLst>
                    </a:blip>
                    <a:srcRect/>
                    <a:stretch>
                      <a:fillRect/>
                    </a:stretch>
                  </pic:blipFill>
                  <pic:spPr bwMode="auto">
                    <a:xfrm>
                      <a:off x="0" y="0"/>
                      <a:ext cx="3737610" cy="8255"/>
                    </a:xfrm>
                    <a:prstGeom prst="rect">
                      <a:avLst/>
                    </a:prstGeom>
                    <a:noFill/>
                  </pic:spPr>
                </pic:pic>
              </a:graphicData>
            </a:graphic>
          </wp:anchor>
        </w:drawing>
      </w:r>
    </w:p>
    <w:p>
      <w:pPr>
        <w:ind w:left="2540"/>
        <w:spacing w:after="0"/>
        <w:rPr>
          <w:sz w:val="20"/>
          <w:szCs w:val="20"/>
          <w:color w:val="auto"/>
        </w:rPr>
      </w:pPr>
      <w:r>
        <w:rPr>
          <w:rFonts w:ascii="Arial" w:cs="Arial" w:eastAsia="Arial" w:hAnsi="Arial"/>
          <w:sz w:val="14"/>
          <w:szCs w:val="14"/>
          <w:color w:val="auto"/>
        </w:rPr>
        <w:t>[and is an Affiliate of [</w:t>
      </w:r>
      <w:r>
        <w:rPr>
          <w:rFonts w:ascii="Arial" w:cs="Arial" w:eastAsia="Arial" w:hAnsi="Arial"/>
          <w:sz w:val="14"/>
          <w:szCs w:val="14"/>
          <w:i w:val="1"/>
          <w:iCs w:val="1"/>
          <w:color w:val="auto"/>
        </w:rPr>
        <w:t>identify Lender</w:t>
      </w:r>
      <w:r>
        <w:rPr>
          <w:rFonts w:ascii="Arial" w:cs="Arial" w:eastAsia="Arial" w:hAnsi="Arial"/>
          <w:sz w:val="14"/>
          <w:szCs w:val="14"/>
          <w:color w:val="auto"/>
        </w:rPr>
        <w:t>]</w:t>
      </w:r>
      <w:r>
        <w:rPr>
          <w:rFonts w:ascii="Arial" w:cs="Arial" w:eastAsia="Arial" w:hAnsi="Arial"/>
          <w:sz w:val="12"/>
          <w:szCs w:val="12"/>
          <w:color w:val="auto"/>
        </w:rPr>
        <w:t>2</w:t>
      </w:r>
      <w:r>
        <w:rPr>
          <w:rFonts w:ascii="Arial" w:cs="Arial" w:eastAsia="Arial" w:hAnsi="Arial"/>
          <w:sz w:val="14"/>
          <w:szCs w:val="14"/>
          <w:color w:val="auto"/>
        </w:rPr>
        <w:t>]</w:t>
      </w:r>
    </w:p>
    <w:p>
      <w:pPr>
        <w:spacing w:after="0" w:line="124" w:lineRule="exact"/>
        <w:rPr>
          <w:sz w:val="20"/>
          <w:szCs w:val="20"/>
          <w:color w:val="auto"/>
        </w:rPr>
      </w:pPr>
    </w:p>
    <w:p>
      <w:pPr>
        <w:spacing w:after="0"/>
        <w:tabs>
          <w:tab w:leader="none" w:pos="640" w:val="left"/>
          <w:tab w:leader="none" w:pos="2520" w:val="left"/>
        </w:tabs>
        <w:rPr>
          <w:sz w:val="20"/>
          <w:szCs w:val="20"/>
          <w:color w:val="auto"/>
        </w:rPr>
      </w:pPr>
      <w:r>
        <w:rPr>
          <w:rFonts w:ascii="Arial" w:cs="Arial" w:eastAsia="Arial" w:hAnsi="Arial"/>
          <w:sz w:val="14"/>
          <w:szCs w:val="14"/>
          <w:color w:val="auto"/>
        </w:rPr>
        <w:t>3.</w:t>
      </w:r>
      <w:r>
        <w:rPr>
          <w:sz w:val="20"/>
          <w:szCs w:val="20"/>
          <w:color w:val="auto"/>
        </w:rPr>
        <w:tab/>
      </w:r>
      <w:r>
        <w:rPr>
          <w:rFonts w:ascii="Arial" w:cs="Arial" w:eastAsia="Arial" w:hAnsi="Arial"/>
          <w:sz w:val="14"/>
          <w:szCs w:val="14"/>
          <w:color w:val="auto"/>
        </w:rPr>
        <w:t>Borrower:</w:t>
      </w:r>
      <w:r>
        <w:rPr>
          <w:sz w:val="20"/>
          <w:szCs w:val="20"/>
          <w:color w:val="auto"/>
        </w:rPr>
        <w:tab/>
      </w:r>
      <w:r>
        <w:rPr>
          <w:rFonts w:ascii="Arial" w:cs="Arial" w:eastAsia="Arial" w:hAnsi="Arial"/>
          <w:sz w:val="13"/>
          <w:szCs w:val="13"/>
          <w:color w:val="auto"/>
        </w:rPr>
        <w:t>PennantPark Investment Corporation</w:t>
      </w:r>
    </w:p>
    <w:p>
      <w:pPr>
        <w:spacing w:after="0" w:line="285" w:lineRule="exact"/>
        <w:rPr>
          <w:sz w:val="20"/>
          <w:szCs w:val="20"/>
          <w:color w:val="auto"/>
        </w:rPr>
      </w:pPr>
    </w:p>
    <w:p>
      <w:pPr>
        <w:ind w:left="860" w:hanging="852"/>
        <w:spacing w:after="0"/>
        <w:tabs>
          <w:tab w:leader="none" w:pos="860" w:val="left"/>
        </w:tabs>
        <w:numPr>
          <w:ilvl w:val="0"/>
          <w:numId w:val="176"/>
        </w:numPr>
        <w:rPr>
          <w:rFonts w:ascii="Arial" w:cs="Arial" w:eastAsia="Arial" w:hAnsi="Arial"/>
          <w:sz w:val="14"/>
          <w:szCs w:val="14"/>
          <w:color w:val="auto"/>
        </w:rPr>
      </w:pPr>
      <w:r>
        <w:rPr>
          <w:rFonts w:ascii="Arial" w:cs="Arial" w:eastAsia="Arial" w:hAnsi="Arial"/>
          <w:sz w:val="14"/>
          <w:szCs w:val="14"/>
          <w:color w:val="auto"/>
        </w:rPr>
        <w:t>Administrative Agent: SunTrust Bank, as the administrative agent under the Credit Agreement.</w:t>
      </w:r>
    </w:p>
    <w:p>
      <w:pPr>
        <w:spacing w:after="0" w:line="203" w:lineRule="exact"/>
        <w:rPr>
          <w:rFonts w:ascii="Arial" w:cs="Arial" w:eastAsia="Arial" w:hAnsi="Arial"/>
          <w:sz w:val="14"/>
          <w:szCs w:val="14"/>
          <w:color w:val="auto"/>
        </w:rPr>
      </w:pPr>
    </w:p>
    <w:p>
      <w:pPr>
        <w:ind w:left="860" w:hanging="852"/>
        <w:spacing w:after="0" w:line="290" w:lineRule="auto"/>
        <w:tabs>
          <w:tab w:leader="none" w:pos="860" w:val="left"/>
        </w:tabs>
        <w:numPr>
          <w:ilvl w:val="0"/>
          <w:numId w:val="176"/>
        </w:numPr>
        <w:rPr>
          <w:rFonts w:ascii="Arial" w:cs="Arial" w:eastAsia="Arial" w:hAnsi="Arial"/>
          <w:sz w:val="13"/>
          <w:szCs w:val="13"/>
          <w:color w:val="auto"/>
        </w:rPr>
      </w:pPr>
      <w:r>
        <w:rPr>
          <w:rFonts w:ascii="Arial" w:cs="Arial" w:eastAsia="Arial" w:hAnsi="Arial"/>
          <w:sz w:val="13"/>
          <w:szCs w:val="13"/>
          <w:color w:val="auto"/>
        </w:rPr>
        <w:t>Credit Agreement: The $445,000,000 Second Amended and Restated Senior Secured Revolving Credit Agreement dated as of June 25, 2014, as amended, restated, supplemented or otherwise modified from time to time, among PennantPark Investment Corporation, the Lenders parties thereto and SunTrust Bank, as Administrative Agent</w:t>
      </w:r>
    </w:p>
    <w:p>
      <w:pPr>
        <w:spacing w:after="0" w:line="151" w:lineRule="exact"/>
        <w:rPr>
          <w:rFonts w:ascii="Arial" w:cs="Arial" w:eastAsia="Arial" w:hAnsi="Arial"/>
          <w:sz w:val="13"/>
          <w:szCs w:val="13"/>
          <w:color w:val="auto"/>
        </w:rPr>
      </w:pPr>
    </w:p>
    <w:p>
      <w:pPr>
        <w:ind w:left="860" w:hanging="852"/>
        <w:spacing w:after="0"/>
        <w:tabs>
          <w:tab w:leader="none" w:pos="860" w:val="left"/>
        </w:tabs>
        <w:numPr>
          <w:ilvl w:val="0"/>
          <w:numId w:val="176"/>
        </w:numPr>
        <w:rPr>
          <w:rFonts w:ascii="Arial" w:cs="Arial" w:eastAsia="Arial" w:hAnsi="Arial"/>
          <w:sz w:val="14"/>
          <w:szCs w:val="14"/>
          <w:color w:val="auto"/>
        </w:rPr>
      </w:pPr>
      <w:r>
        <w:rPr>
          <w:rFonts w:ascii="Arial" w:cs="Arial" w:eastAsia="Arial" w:hAnsi="Arial"/>
          <w:sz w:val="14"/>
          <w:szCs w:val="14"/>
          <w:color w:val="auto"/>
        </w:rPr>
        <w:t>Assigned Interest:</w:t>
      </w:r>
    </w:p>
    <w:p>
      <w:pPr>
        <w:spacing w:after="0" w:line="202" w:lineRule="exact"/>
        <w:rPr>
          <w:sz w:val="20"/>
          <w:szCs w:val="20"/>
          <w:color w:val="auto"/>
        </w:rPr>
      </w:pPr>
    </w:p>
    <w:tbl>
      <w:tblPr>
        <w:tblLayout w:type="fixed"/>
        <w:tblInd w:w="10" w:type="dxa"/>
        <w:tblCellMar>
          <w:top w:w="0" w:type="dxa"/>
          <w:left w:w="0" w:type="dxa"/>
          <w:bottom w:w="0" w:type="dxa"/>
          <w:right w:w="0" w:type="dxa"/>
        </w:tblCellMar>
      </w:tblPr>
      <w:tr>
        <w:trPr>
          <w:trHeight w:val="143"/>
        </w:trPr>
        <w:tc>
          <w:tcPr>
            <w:tcW w:w="2840" w:type="dxa"/>
            <w:vAlign w:val="bottom"/>
            <w:tcBorders>
              <w:top w:val="single" w:sz="8" w:color="auto"/>
              <w:left w:val="single" w:sz="8" w:color="auto"/>
              <w:right w:val="single" w:sz="8" w:color="auto"/>
            </w:tcBorders>
          </w:tcPr>
          <w:p>
            <w:pPr>
              <w:ind w:left="940"/>
              <w:spacing w:after="0" w:line="143" w:lineRule="exact"/>
              <w:rPr>
                <w:sz w:val="20"/>
                <w:szCs w:val="20"/>
                <w:color w:val="auto"/>
              </w:rPr>
            </w:pPr>
            <w:r>
              <w:rPr>
                <w:rFonts w:ascii="Arial" w:cs="Arial" w:eastAsia="Arial" w:hAnsi="Arial"/>
                <w:sz w:val="14"/>
                <w:szCs w:val="14"/>
                <w:color w:val="auto"/>
              </w:rPr>
              <w:t>Class Assigned</w:t>
            </w:r>
            <w:r>
              <w:rPr>
                <w:rFonts w:ascii="Arial" w:cs="Arial" w:eastAsia="Arial" w:hAnsi="Arial"/>
                <w:sz w:val="12"/>
                <w:szCs w:val="12"/>
                <w:color w:val="auto"/>
              </w:rPr>
              <w:t>3</w:t>
            </w:r>
          </w:p>
        </w:tc>
        <w:tc>
          <w:tcPr>
            <w:tcW w:w="420" w:type="dxa"/>
            <w:vAlign w:val="bottom"/>
            <w:tcBorders>
              <w:top w:val="single" w:sz="8" w:color="auto"/>
            </w:tcBorders>
          </w:tcPr>
          <w:p>
            <w:pPr>
              <w:spacing w:after="0"/>
              <w:rPr>
                <w:sz w:val="12"/>
                <w:szCs w:val="12"/>
                <w:color w:val="auto"/>
              </w:rPr>
            </w:pPr>
          </w:p>
        </w:tc>
        <w:tc>
          <w:tcPr>
            <w:tcW w:w="2380" w:type="dxa"/>
            <w:vAlign w:val="bottom"/>
            <w:tcBorders>
              <w:top w:val="single" w:sz="8" w:color="auto"/>
              <w:right w:val="single" w:sz="8" w:color="auto"/>
            </w:tcBorders>
          </w:tcPr>
          <w:p>
            <w:pPr>
              <w:jc w:val="center"/>
              <w:ind w:right="368"/>
              <w:spacing w:after="0" w:line="143" w:lineRule="exact"/>
              <w:rPr>
                <w:sz w:val="20"/>
                <w:szCs w:val="20"/>
                <w:color w:val="auto"/>
              </w:rPr>
            </w:pPr>
            <w:r>
              <w:rPr>
                <w:rFonts w:ascii="Arial" w:cs="Arial" w:eastAsia="Arial" w:hAnsi="Arial"/>
                <w:sz w:val="14"/>
                <w:szCs w:val="14"/>
                <w:color w:val="auto"/>
                <w:w w:val="95"/>
              </w:rPr>
              <w:t>Aggregate Amount of</w:t>
            </w:r>
          </w:p>
        </w:tc>
        <w:tc>
          <w:tcPr>
            <w:tcW w:w="480" w:type="dxa"/>
            <w:vAlign w:val="bottom"/>
            <w:tcBorders>
              <w:top w:val="single" w:sz="8" w:color="auto"/>
            </w:tcBorders>
          </w:tcPr>
          <w:p>
            <w:pPr>
              <w:spacing w:after="0"/>
              <w:rPr>
                <w:sz w:val="12"/>
                <w:szCs w:val="12"/>
                <w:color w:val="auto"/>
              </w:rPr>
            </w:pPr>
          </w:p>
        </w:tc>
        <w:tc>
          <w:tcPr>
            <w:tcW w:w="2340" w:type="dxa"/>
            <w:vAlign w:val="bottom"/>
            <w:tcBorders>
              <w:top w:val="single" w:sz="8" w:color="auto"/>
              <w:right w:val="single" w:sz="8" w:color="auto"/>
            </w:tcBorders>
          </w:tcPr>
          <w:p>
            <w:pPr>
              <w:jc w:val="center"/>
              <w:ind w:right="448"/>
              <w:spacing w:after="0" w:line="143" w:lineRule="exact"/>
              <w:rPr>
                <w:sz w:val="20"/>
                <w:szCs w:val="20"/>
                <w:color w:val="auto"/>
              </w:rPr>
            </w:pPr>
            <w:r>
              <w:rPr>
                <w:rFonts w:ascii="Arial" w:cs="Arial" w:eastAsia="Arial" w:hAnsi="Arial"/>
                <w:sz w:val="14"/>
                <w:szCs w:val="14"/>
                <w:color w:val="auto"/>
                <w:w w:val="97"/>
              </w:rPr>
              <w:t>Amount of</w:t>
            </w:r>
          </w:p>
        </w:tc>
        <w:tc>
          <w:tcPr>
            <w:tcW w:w="2780" w:type="dxa"/>
            <w:vAlign w:val="bottom"/>
            <w:tcBorders>
              <w:top w:val="single" w:sz="8" w:color="auto"/>
              <w:right w:val="single" w:sz="8" w:color="auto"/>
            </w:tcBorders>
          </w:tcPr>
          <w:p>
            <w:pPr>
              <w:jc w:val="right"/>
              <w:ind w:right="648"/>
              <w:spacing w:after="0" w:line="143" w:lineRule="exact"/>
              <w:rPr>
                <w:sz w:val="20"/>
                <w:szCs w:val="20"/>
                <w:color w:val="auto"/>
              </w:rPr>
            </w:pPr>
            <w:r>
              <w:rPr>
                <w:rFonts w:ascii="Arial" w:cs="Arial" w:eastAsia="Arial" w:hAnsi="Arial"/>
                <w:sz w:val="14"/>
                <w:szCs w:val="14"/>
                <w:color w:val="auto"/>
              </w:rPr>
              <w:t>Percentage Assigned of</w:t>
            </w:r>
          </w:p>
        </w:tc>
      </w:tr>
      <w:tr>
        <w:trPr>
          <w:trHeight w:val="148"/>
        </w:trPr>
        <w:tc>
          <w:tcPr>
            <w:tcW w:w="2840" w:type="dxa"/>
            <w:vAlign w:val="bottom"/>
            <w:tcBorders>
              <w:left w:val="single" w:sz="8" w:color="auto"/>
              <w:right w:val="single" w:sz="8" w:color="auto"/>
            </w:tcBorders>
          </w:tcPr>
          <w:p>
            <w:pPr>
              <w:spacing w:after="0"/>
              <w:rPr>
                <w:sz w:val="12"/>
                <w:szCs w:val="12"/>
                <w:color w:val="auto"/>
              </w:rPr>
            </w:pPr>
          </w:p>
        </w:tc>
        <w:tc>
          <w:tcPr>
            <w:tcW w:w="420" w:type="dxa"/>
            <w:vAlign w:val="bottom"/>
          </w:tcPr>
          <w:p>
            <w:pPr>
              <w:spacing w:after="0"/>
              <w:rPr>
                <w:sz w:val="12"/>
                <w:szCs w:val="12"/>
                <w:color w:val="auto"/>
              </w:rPr>
            </w:pPr>
          </w:p>
        </w:tc>
        <w:tc>
          <w:tcPr>
            <w:tcW w:w="2380" w:type="dxa"/>
            <w:vAlign w:val="bottom"/>
            <w:tcBorders>
              <w:right w:val="single" w:sz="8" w:color="auto"/>
            </w:tcBorders>
          </w:tcPr>
          <w:p>
            <w:pPr>
              <w:jc w:val="center"/>
              <w:ind w:right="388"/>
              <w:spacing w:after="0" w:line="149" w:lineRule="exact"/>
              <w:rPr>
                <w:sz w:val="20"/>
                <w:szCs w:val="20"/>
                <w:color w:val="auto"/>
              </w:rPr>
            </w:pPr>
            <w:r>
              <w:rPr>
                <w:rFonts w:ascii="Arial" w:cs="Arial" w:eastAsia="Arial" w:hAnsi="Arial"/>
                <w:sz w:val="14"/>
                <w:szCs w:val="14"/>
                <w:color w:val="auto"/>
                <w:w w:val="96"/>
              </w:rPr>
              <w:t>Commitment/Loans for</w:t>
            </w:r>
          </w:p>
        </w:tc>
        <w:tc>
          <w:tcPr>
            <w:tcW w:w="480" w:type="dxa"/>
            <w:vAlign w:val="bottom"/>
          </w:tcPr>
          <w:p>
            <w:pPr>
              <w:spacing w:after="0"/>
              <w:rPr>
                <w:sz w:val="12"/>
                <w:szCs w:val="12"/>
                <w:color w:val="auto"/>
              </w:rPr>
            </w:pPr>
          </w:p>
        </w:tc>
        <w:tc>
          <w:tcPr>
            <w:tcW w:w="2340" w:type="dxa"/>
            <w:vAlign w:val="bottom"/>
            <w:tcBorders>
              <w:right w:val="single" w:sz="8" w:color="auto"/>
            </w:tcBorders>
          </w:tcPr>
          <w:p>
            <w:pPr>
              <w:jc w:val="center"/>
              <w:ind w:right="428"/>
              <w:spacing w:after="0" w:line="149" w:lineRule="exact"/>
              <w:rPr>
                <w:sz w:val="20"/>
                <w:szCs w:val="20"/>
                <w:color w:val="auto"/>
              </w:rPr>
            </w:pPr>
            <w:r>
              <w:rPr>
                <w:rFonts w:ascii="Arial" w:cs="Arial" w:eastAsia="Arial" w:hAnsi="Arial"/>
                <w:sz w:val="14"/>
                <w:szCs w:val="14"/>
                <w:color w:val="auto"/>
                <w:w w:val="95"/>
              </w:rPr>
              <w:t>Commitment/Loans</w:t>
            </w:r>
          </w:p>
        </w:tc>
        <w:tc>
          <w:tcPr>
            <w:tcW w:w="2780" w:type="dxa"/>
            <w:vAlign w:val="bottom"/>
            <w:tcBorders>
              <w:right w:val="single" w:sz="8" w:color="auto"/>
            </w:tcBorders>
          </w:tcPr>
          <w:p>
            <w:pPr>
              <w:jc w:val="right"/>
              <w:ind w:right="728"/>
              <w:spacing w:after="0" w:line="149" w:lineRule="exact"/>
              <w:rPr>
                <w:sz w:val="20"/>
                <w:szCs w:val="20"/>
                <w:color w:val="auto"/>
              </w:rPr>
            </w:pPr>
            <w:r>
              <w:rPr>
                <w:rFonts w:ascii="Arial" w:cs="Arial" w:eastAsia="Arial" w:hAnsi="Arial"/>
                <w:sz w:val="14"/>
                <w:szCs w:val="14"/>
                <w:color w:val="auto"/>
              </w:rPr>
              <w:t>Commitment/Loans</w:t>
            </w:r>
            <w:r>
              <w:rPr>
                <w:rFonts w:ascii="Arial" w:cs="Arial" w:eastAsia="Arial" w:hAnsi="Arial"/>
                <w:sz w:val="12"/>
                <w:szCs w:val="12"/>
                <w:color w:val="auto"/>
              </w:rPr>
              <w:t>4</w:t>
            </w:r>
          </w:p>
        </w:tc>
      </w:tr>
      <w:tr>
        <w:trPr>
          <w:trHeight w:val="167"/>
        </w:trPr>
        <w:tc>
          <w:tcPr>
            <w:tcW w:w="2840" w:type="dxa"/>
            <w:vAlign w:val="bottom"/>
            <w:tcBorders>
              <w:left w:val="single" w:sz="8" w:color="auto"/>
              <w:bottom w:val="single" w:sz="8" w:color="auto"/>
              <w:right w:val="single" w:sz="8" w:color="auto"/>
            </w:tcBorders>
          </w:tcPr>
          <w:p>
            <w:pPr>
              <w:spacing w:after="0"/>
              <w:rPr>
                <w:sz w:val="14"/>
                <w:szCs w:val="14"/>
                <w:color w:val="auto"/>
              </w:rPr>
            </w:pPr>
          </w:p>
        </w:tc>
        <w:tc>
          <w:tcPr>
            <w:tcW w:w="420" w:type="dxa"/>
            <w:vAlign w:val="bottom"/>
            <w:tcBorders>
              <w:bottom w:val="single" w:sz="8" w:color="auto"/>
            </w:tcBorders>
          </w:tcPr>
          <w:p>
            <w:pPr>
              <w:spacing w:after="0"/>
              <w:rPr>
                <w:sz w:val="14"/>
                <w:szCs w:val="14"/>
                <w:color w:val="auto"/>
              </w:rPr>
            </w:pPr>
          </w:p>
        </w:tc>
        <w:tc>
          <w:tcPr>
            <w:tcW w:w="2380" w:type="dxa"/>
            <w:vAlign w:val="bottom"/>
            <w:tcBorders>
              <w:bottom w:val="single" w:sz="8" w:color="auto"/>
              <w:right w:val="single" w:sz="8" w:color="auto"/>
            </w:tcBorders>
          </w:tcPr>
          <w:p>
            <w:pPr>
              <w:jc w:val="center"/>
              <w:ind w:right="388"/>
              <w:spacing w:after="0"/>
              <w:rPr>
                <w:sz w:val="20"/>
                <w:szCs w:val="20"/>
                <w:color w:val="auto"/>
              </w:rPr>
            </w:pPr>
            <w:r>
              <w:rPr>
                <w:rFonts w:ascii="Arial" w:cs="Arial" w:eastAsia="Arial" w:hAnsi="Arial"/>
                <w:sz w:val="14"/>
                <w:szCs w:val="14"/>
                <w:color w:val="auto"/>
                <w:w w:val="93"/>
              </w:rPr>
              <w:t>all Lenders</w:t>
            </w:r>
          </w:p>
        </w:tc>
        <w:tc>
          <w:tcPr>
            <w:tcW w:w="480" w:type="dxa"/>
            <w:vAlign w:val="bottom"/>
            <w:tcBorders>
              <w:bottom w:val="single" w:sz="8" w:color="auto"/>
            </w:tcBorders>
          </w:tcPr>
          <w:p>
            <w:pPr>
              <w:spacing w:after="0"/>
              <w:rPr>
                <w:sz w:val="14"/>
                <w:szCs w:val="14"/>
                <w:color w:val="auto"/>
              </w:rPr>
            </w:pPr>
          </w:p>
        </w:tc>
        <w:tc>
          <w:tcPr>
            <w:tcW w:w="2340" w:type="dxa"/>
            <w:vAlign w:val="bottom"/>
            <w:tcBorders>
              <w:bottom w:val="single" w:sz="8" w:color="auto"/>
              <w:right w:val="single" w:sz="8" w:color="auto"/>
            </w:tcBorders>
          </w:tcPr>
          <w:p>
            <w:pPr>
              <w:jc w:val="center"/>
              <w:ind w:right="448"/>
              <w:spacing w:after="0"/>
              <w:rPr>
                <w:sz w:val="20"/>
                <w:szCs w:val="20"/>
                <w:color w:val="auto"/>
              </w:rPr>
            </w:pPr>
            <w:r>
              <w:rPr>
                <w:rFonts w:ascii="Arial" w:cs="Arial" w:eastAsia="Arial" w:hAnsi="Arial"/>
                <w:sz w:val="14"/>
                <w:szCs w:val="14"/>
                <w:color w:val="auto"/>
                <w:w w:val="93"/>
              </w:rPr>
              <w:t>Assigned</w:t>
            </w:r>
          </w:p>
        </w:tc>
        <w:tc>
          <w:tcPr>
            <w:tcW w:w="2780" w:type="dxa"/>
            <w:vAlign w:val="bottom"/>
            <w:tcBorders>
              <w:bottom w:val="single" w:sz="8" w:color="auto"/>
              <w:right w:val="single" w:sz="8" w:color="auto"/>
            </w:tcBorders>
          </w:tcPr>
          <w:p>
            <w:pPr>
              <w:spacing w:after="0"/>
              <w:rPr>
                <w:sz w:val="14"/>
                <w:szCs w:val="14"/>
                <w:color w:val="auto"/>
              </w:rPr>
            </w:pPr>
          </w:p>
        </w:tc>
      </w:tr>
      <w:tr>
        <w:trPr>
          <w:trHeight w:val="142"/>
        </w:trPr>
        <w:tc>
          <w:tcPr>
            <w:tcW w:w="2840" w:type="dxa"/>
            <w:vAlign w:val="bottom"/>
            <w:tcBorders>
              <w:left w:val="single" w:sz="8" w:color="auto"/>
              <w:bottom w:val="single" w:sz="8" w:color="auto"/>
              <w:right w:val="single" w:sz="8" w:color="auto"/>
            </w:tcBorders>
          </w:tcPr>
          <w:p>
            <w:pPr>
              <w:spacing w:after="0"/>
              <w:rPr>
                <w:sz w:val="12"/>
                <w:szCs w:val="12"/>
                <w:color w:val="auto"/>
              </w:rPr>
            </w:pPr>
          </w:p>
        </w:tc>
        <w:tc>
          <w:tcPr>
            <w:tcW w:w="420" w:type="dxa"/>
            <w:vAlign w:val="bottom"/>
            <w:tcBorders>
              <w:bottom w:val="single" w:sz="8" w:color="auto"/>
            </w:tcBorders>
          </w:tcPr>
          <w:p>
            <w:pPr>
              <w:jc w:val="right"/>
              <w:ind w:right="228"/>
              <w:spacing w:after="0" w:line="142" w:lineRule="exact"/>
              <w:rPr>
                <w:sz w:val="20"/>
                <w:szCs w:val="20"/>
                <w:color w:val="auto"/>
              </w:rPr>
            </w:pPr>
            <w:r>
              <w:rPr>
                <w:rFonts w:ascii="Arial" w:cs="Arial" w:eastAsia="Arial" w:hAnsi="Arial"/>
                <w:sz w:val="14"/>
                <w:szCs w:val="14"/>
                <w:color w:val="auto"/>
              </w:rPr>
              <w:t>$</w:t>
            </w:r>
          </w:p>
        </w:tc>
        <w:tc>
          <w:tcPr>
            <w:tcW w:w="2380" w:type="dxa"/>
            <w:vAlign w:val="bottom"/>
            <w:tcBorders>
              <w:bottom w:val="single" w:sz="8" w:color="auto"/>
              <w:right w:val="single" w:sz="8" w:color="auto"/>
            </w:tcBorders>
          </w:tcPr>
          <w:p>
            <w:pPr>
              <w:spacing w:after="0"/>
              <w:rPr>
                <w:sz w:val="12"/>
                <w:szCs w:val="12"/>
                <w:color w:val="auto"/>
              </w:rPr>
            </w:pPr>
          </w:p>
        </w:tc>
        <w:tc>
          <w:tcPr>
            <w:tcW w:w="480" w:type="dxa"/>
            <w:vAlign w:val="bottom"/>
            <w:tcBorders>
              <w:bottom w:val="single" w:sz="8" w:color="auto"/>
            </w:tcBorders>
          </w:tcPr>
          <w:p>
            <w:pPr>
              <w:jc w:val="right"/>
              <w:ind w:right="288"/>
              <w:spacing w:after="0" w:line="142" w:lineRule="exact"/>
              <w:rPr>
                <w:sz w:val="20"/>
                <w:szCs w:val="20"/>
                <w:color w:val="auto"/>
              </w:rPr>
            </w:pPr>
            <w:r>
              <w:rPr>
                <w:rFonts w:ascii="Arial" w:cs="Arial" w:eastAsia="Arial" w:hAnsi="Arial"/>
                <w:sz w:val="14"/>
                <w:szCs w:val="14"/>
                <w:color w:val="auto"/>
              </w:rPr>
              <w:t>$</w:t>
            </w:r>
          </w:p>
        </w:tc>
        <w:tc>
          <w:tcPr>
            <w:tcW w:w="2340" w:type="dxa"/>
            <w:vAlign w:val="bottom"/>
            <w:tcBorders>
              <w:bottom w:val="single" w:sz="8" w:color="auto"/>
              <w:right w:val="single" w:sz="8" w:color="auto"/>
            </w:tcBorders>
          </w:tcPr>
          <w:p>
            <w:pPr>
              <w:spacing w:after="0"/>
              <w:rPr>
                <w:sz w:val="12"/>
                <w:szCs w:val="12"/>
                <w:color w:val="auto"/>
              </w:rPr>
            </w:pPr>
          </w:p>
        </w:tc>
        <w:tc>
          <w:tcPr>
            <w:tcW w:w="2780" w:type="dxa"/>
            <w:vAlign w:val="bottom"/>
            <w:tcBorders>
              <w:bottom w:val="single" w:sz="8" w:color="auto"/>
              <w:right w:val="single" w:sz="8" w:color="auto"/>
            </w:tcBorders>
          </w:tcPr>
          <w:p>
            <w:pPr>
              <w:jc w:val="right"/>
              <w:spacing w:after="0" w:line="142" w:lineRule="exact"/>
              <w:rPr>
                <w:sz w:val="20"/>
                <w:szCs w:val="20"/>
                <w:color w:val="auto"/>
              </w:rPr>
            </w:pPr>
            <w:r>
              <w:rPr>
                <w:rFonts w:ascii="Arial" w:cs="Arial" w:eastAsia="Arial" w:hAnsi="Arial"/>
                <w:sz w:val="14"/>
                <w:szCs w:val="14"/>
                <w:color w:val="auto"/>
              </w:rPr>
              <w:t>%</w:t>
            </w:r>
          </w:p>
        </w:tc>
      </w:tr>
      <w:tr>
        <w:trPr>
          <w:trHeight w:val="142"/>
        </w:trPr>
        <w:tc>
          <w:tcPr>
            <w:tcW w:w="2840" w:type="dxa"/>
            <w:vAlign w:val="bottom"/>
            <w:tcBorders>
              <w:left w:val="single" w:sz="8" w:color="auto"/>
              <w:bottom w:val="single" w:sz="8" w:color="auto"/>
              <w:right w:val="single" w:sz="8" w:color="auto"/>
            </w:tcBorders>
          </w:tcPr>
          <w:p>
            <w:pPr>
              <w:spacing w:after="0"/>
              <w:rPr>
                <w:sz w:val="12"/>
                <w:szCs w:val="12"/>
                <w:color w:val="auto"/>
              </w:rPr>
            </w:pPr>
          </w:p>
        </w:tc>
        <w:tc>
          <w:tcPr>
            <w:tcW w:w="420" w:type="dxa"/>
            <w:vAlign w:val="bottom"/>
            <w:tcBorders>
              <w:bottom w:val="single" w:sz="8" w:color="auto"/>
            </w:tcBorders>
          </w:tcPr>
          <w:p>
            <w:pPr>
              <w:jc w:val="right"/>
              <w:ind w:right="228"/>
              <w:spacing w:after="0" w:line="142" w:lineRule="exact"/>
              <w:rPr>
                <w:sz w:val="20"/>
                <w:szCs w:val="20"/>
                <w:color w:val="auto"/>
              </w:rPr>
            </w:pPr>
            <w:r>
              <w:rPr>
                <w:rFonts w:ascii="Arial" w:cs="Arial" w:eastAsia="Arial" w:hAnsi="Arial"/>
                <w:sz w:val="14"/>
                <w:szCs w:val="14"/>
                <w:color w:val="auto"/>
              </w:rPr>
              <w:t>$</w:t>
            </w:r>
          </w:p>
        </w:tc>
        <w:tc>
          <w:tcPr>
            <w:tcW w:w="2380" w:type="dxa"/>
            <w:vAlign w:val="bottom"/>
            <w:tcBorders>
              <w:bottom w:val="single" w:sz="8" w:color="auto"/>
              <w:right w:val="single" w:sz="8" w:color="auto"/>
            </w:tcBorders>
          </w:tcPr>
          <w:p>
            <w:pPr>
              <w:spacing w:after="0"/>
              <w:rPr>
                <w:sz w:val="12"/>
                <w:szCs w:val="12"/>
                <w:color w:val="auto"/>
              </w:rPr>
            </w:pPr>
          </w:p>
        </w:tc>
        <w:tc>
          <w:tcPr>
            <w:tcW w:w="480" w:type="dxa"/>
            <w:vAlign w:val="bottom"/>
            <w:tcBorders>
              <w:bottom w:val="single" w:sz="8" w:color="auto"/>
            </w:tcBorders>
          </w:tcPr>
          <w:p>
            <w:pPr>
              <w:jc w:val="right"/>
              <w:ind w:right="288"/>
              <w:spacing w:after="0" w:line="142" w:lineRule="exact"/>
              <w:rPr>
                <w:sz w:val="20"/>
                <w:szCs w:val="20"/>
                <w:color w:val="auto"/>
              </w:rPr>
            </w:pPr>
            <w:r>
              <w:rPr>
                <w:rFonts w:ascii="Arial" w:cs="Arial" w:eastAsia="Arial" w:hAnsi="Arial"/>
                <w:sz w:val="14"/>
                <w:szCs w:val="14"/>
                <w:color w:val="auto"/>
              </w:rPr>
              <w:t>$</w:t>
            </w:r>
          </w:p>
        </w:tc>
        <w:tc>
          <w:tcPr>
            <w:tcW w:w="2340" w:type="dxa"/>
            <w:vAlign w:val="bottom"/>
            <w:tcBorders>
              <w:bottom w:val="single" w:sz="8" w:color="auto"/>
              <w:right w:val="single" w:sz="8" w:color="auto"/>
            </w:tcBorders>
          </w:tcPr>
          <w:p>
            <w:pPr>
              <w:spacing w:after="0"/>
              <w:rPr>
                <w:sz w:val="12"/>
                <w:szCs w:val="12"/>
                <w:color w:val="auto"/>
              </w:rPr>
            </w:pPr>
          </w:p>
        </w:tc>
        <w:tc>
          <w:tcPr>
            <w:tcW w:w="2780" w:type="dxa"/>
            <w:vAlign w:val="bottom"/>
            <w:tcBorders>
              <w:bottom w:val="single" w:sz="8" w:color="auto"/>
              <w:right w:val="single" w:sz="8" w:color="auto"/>
            </w:tcBorders>
          </w:tcPr>
          <w:p>
            <w:pPr>
              <w:jc w:val="right"/>
              <w:spacing w:after="0" w:line="142" w:lineRule="exact"/>
              <w:rPr>
                <w:sz w:val="20"/>
                <w:szCs w:val="20"/>
                <w:color w:val="auto"/>
              </w:rPr>
            </w:pPr>
            <w:r>
              <w:rPr>
                <w:rFonts w:ascii="Arial" w:cs="Arial" w:eastAsia="Arial" w:hAnsi="Arial"/>
                <w:sz w:val="14"/>
                <w:szCs w:val="14"/>
                <w:color w:val="auto"/>
              </w:rPr>
              <w:t>%</w:t>
            </w:r>
          </w:p>
        </w:tc>
      </w:tr>
      <w:tr>
        <w:trPr>
          <w:trHeight w:val="142"/>
        </w:trPr>
        <w:tc>
          <w:tcPr>
            <w:tcW w:w="2840" w:type="dxa"/>
            <w:vAlign w:val="bottom"/>
            <w:tcBorders>
              <w:left w:val="single" w:sz="8" w:color="auto"/>
              <w:bottom w:val="single" w:sz="8" w:color="auto"/>
              <w:right w:val="single" w:sz="8" w:color="auto"/>
            </w:tcBorders>
          </w:tcPr>
          <w:p>
            <w:pPr>
              <w:spacing w:after="0"/>
              <w:rPr>
                <w:sz w:val="12"/>
                <w:szCs w:val="12"/>
                <w:color w:val="auto"/>
              </w:rPr>
            </w:pPr>
          </w:p>
        </w:tc>
        <w:tc>
          <w:tcPr>
            <w:tcW w:w="420" w:type="dxa"/>
            <w:vAlign w:val="bottom"/>
            <w:tcBorders>
              <w:bottom w:val="single" w:sz="8" w:color="auto"/>
            </w:tcBorders>
          </w:tcPr>
          <w:p>
            <w:pPr>
              <w:jc w:val="right"/>
              <w:ind w:right="228"/>
              <w:spacing w:after="0" w:line="142" w:lineRule="exact"/>
              <w:rPr>
                <w:sz w:val="20"/>
                <w:szCs w:val="20"/>
                <w:color w:val="auto"/>
              </w:rPr>
            </w:pPr>
            <w:r>
              <w:rPr>
                <w:rFonts w:ascii="Arial" w:cs="Arial" w:eastAsia="Arial" w:hAnsi="Arial"/>
                <w:sz w:val="14"/>
                <w:szCs w:val="14"/>
                <w:color w:val="auto"/>
              </w:rPr>
              <w:t>$</w:t>
            </w:r>
          </w:p>
        </w:tc>
        <w:tc>
          <w:tcPr>
            <w:tcW w:w="2380" w:type="dxa"/>
            <w:vAlign w:val="bottom"/>
            <w:tcBorders>
              <w:bottom w:val="single" w:sz="8" w:color="auto"/>
              <w:right w:val="single" w:sz="8" w:color="auto"/>
            </w:tcBorders>
          </w:tcPr>
          <w:p>
            <w:pPr>
              <w:spacing w:after="0"/>
              <w:rPr>
                <w:sz w:val="12"/>
                <w:szCs w:val="12"/>
                <w:color w:val="auto"/>
              </w:rPr>
            </w:pPr>
          </w:p>
        </w:tc>
        <w:tc>
          <w:tcPr>
            <w:tcW w:w="480" w:type="dxa"/>
            <w:vAlign w:val="bottom"/>
            <w:tcBorders>
              <w:bottom w:val="single" w:sz="8" w:color="auto"/>
            </w:tcBorders>
          </w:tcPr>
          <w:p>
            <w:pPr>
              <w:jc w:val="right"/>
              <w:ind w:right="288"/>
              <w:spacing w:after="0" w:line="142" w:lineRule="exact"/>
              <w:rPr>
                <w:sz w:val="20"/>
                <w:szCs w:val="20"/>
                <w:color w:val="auto"/>
              </w:rPr>
            </w:pPr>
            <w:r>
              <w:rPr>
                <w:rFonts w:ascii="Arial" w:cs="Arial" w:eastAsia="Arial" w:hAnsi="Arial"/>
                <w:sz w:val="14"/>
                <w:szCs w:val="14"/>
                <w:color w:val="auto"/>
              </w:rPr>
              <w:t>$</w:t>
            </w:r>
          </w:p>
        </w:tc>
        <w:tc>
          <w:tcPr>
            <w:tcW w:w="2340" w:type="dxa"/>
            <w:vAlign w:val="bottom"/>
            <w:tcBorders>
              <w:bottom w:val="single" w:sz="8" w:color="auto"/>
              <w:right w:val="single" w:sz="8" w:color="auto"/>
            </w:tcBorders>
          </w:tcPr>
          <w:p>
            <w:pPr>
              <w:spacing w:after="0"/>
              <w:rPr>
                <w:sz w:val="12"/>
                <w:szCs w:val="12"/>
                <w:color w:val="auto"/>
              </w:rPr>
            </w:pPr>
          </w:p>
        </w:tc>
        <w:tc>
          <w:tcPr>
            <w:tcW w:w="2780" w:type="dxa"/>
            <w:vAlign w:val="bottom"/>
            <w:tcBorders>
              <w:bottom w:val="single" w:sz="8" w:color="auto"/>
              <w:right w:val="single" w:sz="8" w:color="auto"/>
            </w:tcBorders>
          </w:tcPr>
          <w:p>
            <w:pPr>
              <w:jc w:val="right"/>
              <w:spacing w:after="0" w:line="142" w:lineRule="exact"/>
              <w:rPr>
                <w:sz w:val="20"/>
                <w:szCs w:val="20"/>
                <w:color w:val="auto"/>
              </w:rPr>
            </w:pPr>
            <w:r>
              <w:rPr>
                <w:rFonts w:ascii="Arial" w:cs="Arial" w:eastAsia="Arial" w:hAnsi="Arial"/>
                <w:sz w:val="14"/>
                <w:szCs w:val="14"/>
                <w:color w:val="auto"/>
              </w:rPr>
              <w:t>%</w:t>
            </w:r>
          </w:p>
        </w:tc>
      </w:tr>
    </w:tbl>
    <w:p>
      <w:pPr>
        <w:spacing w:after="0" w:line="129" w:lineRule="exact"/>
        <w:rPr>
          <w:sz w:val="20"/>
          <w:szCs w:val="20"/>
          <w:color w:val="auto"/>
        </w:rPr>
      </w:pPr>
    </w:p>
    <w:p>
      <w:pPr>
        <w:spacing w:after="0"/>
        <w:rPr>
          <w:sz w:val="20"/>
          <w:szCs w:val="20"/>
          <w:color w:val="auto"/>
        </w:rPr>
      </w:pPr>
      <w:r>
        <w:rPr>
          <w:rFonts w:ascii="Arial" w:cs="Arial" w:eastAsia="Arial" w:hAnsi="Arial"/>
          <w:sz w:val="14"/>
          <w:szCs w:val="14"/>
          <w:color w:val="auto"/>
        </w:rPr>
        <w:t>Effective Date: _______________, 201__ [TO BE INSERTED BY ADMINISTRATIVE AGENT AND WHICH SHALL BE THE EFFECTIVE DATE OF RECORDATION OF TRANSFER</w:t>
      </w:r>
    </w:p>
    <w:p>
      <w:pPr>
        <w:spacing w:after="0"/>
        <w:rPr>
          <w:sz w:val="20"/>
          <w:szCs w:val="20"/>
          <w:color w:val="auto"/>
        </w:rPr>
      </w:pPr>
      <w:r>
        <w:rPr>
          <w:rFonts w:ascii="Arial" w:cs="Arial" w:eastAsia="Arial" w:hAnsi="Arial"/>
          <w:sz w:val="14"/>
          <w:szCs w:val="14"/>
          <w:color w:val="auto"/>
        </w:rPr>
        <w:t>IN THE REGISTER THEREFOR.]</w:t>
      </w:r>
    </w:p>
    <w:p>
      <w:pPr>
        <w:spacing w:after="0" w:line="192" w:lineRule="exact"/>
        <w:rPr>
          <w:sz w:val="20"/>
          <w:szCs w:val="20"/>
          <w:color w:val="auto"/>
        </w:rPr>
      </w:pPr>
    </w:p>
    <w:p>
      <w:pPr>
        <w:spacing w:after="0"/>
        <w:rPr>
          <w:sz w:val="20"/>
          <w:szCs w:val="20"/>
          <w:color w:val="auto"/>
        </w:rPr>
      </w:pPr>
      <w:r>
        <w:rPr>
          <w:rFonts w:ascii="Arial" w:cs="Arial" w:eastAsia="Arial" w:hAnsi="Arial"/>
          <w:sz w:val="14"/>
          <w:szCs w:val="14"/>
          <w:color w:val="auto"/>
        </w:rPr>
        <w:t>The terms set forth in this Assignment and Assumption are hereby agreed to:</w:t>
      </w:r>
    </w:p>
    <w:p>
      <w:pPr>
        <w:spacing w:after="0" w:line="136" w:lineRule="exact"/>
        <w:rPr>
          <w:sz w:val="20"/>
          <w:szCs w:val="20"/>
          <w:color w:val="auto"/>
        </w:rPr>
      </w:pPr>
    </w:p>
    <w:p>
      <w:pPr>
        <w:ind w:left="6080"/>
        <w:spacing w:after="0"/>
        <w:rPr>
          <w:sz w:val="20"/>
          <w:szCs w:val="20"/>
          <w:color w:val="auto"/>
        </w:rPr>
      </w:pPr>
      <w:r>
        <w:rPr>
          <w:rFonts w:ascii="Arial" w:cs="Arial" w:eastAsia="Arial" w:hAnsi="Arial"/>
          <w:sz w:val="14"/>
          <w:szCs w:val="14"/>
          <w:u w:val="single" w:color="auto"/>
          <w:color w:val="auto"/>
        </w:rPr>
        <w:t>ASSIGNOR</w:t>
      </w:r>
    </w:p>
    <w:p>
      <w:pPr>
        <w:spacing w:after="0" w:line="136" w:lineRule="exact"/>
        <w:rPr>
          <w:sz w:val="20"/>
          <w:szCs w:val="20"/>
          <w:color w:val="auto"/>
        </w:rPr>
      </w:pPr>
    </w:p>
    <w:p>
      <w:pPr>
        <w:ind w:left="6080"/>
        <w:spacing w:after="0"/>
        <w:rPr>
          <w:sz w:val="20"/>
          <w:szCs w:val="20"/>
          <w:color w:val="auto"/>
        </w:rPr>
      </w:pPr>
      <w:r>
        <w:rPr>
          <w:rFonts w:ascii="Arial" w:cs="Arial" w:eastAsia="Arial" w:hAnsi="Arial"/>
          <w:sz w:val="14"/>
          <w:szCs w:val="14"/>
          <w:color w:val="auto"/>
        </w:rPr>
        <w:t>[NAME OF ASSIGNOR]</w:t>
      </w:r>
    </w:p>
    <w:p>
      <w:pPr>
        <w:spacing w:after="0" w:line="136" w:lineRule="exact"/>
        <w:rPr>
          <w:sz w:val="20"/>
          <w:szCs w:val="20"/>
          <w:color w:val="auto"/>
        </w:rPr>
      </w:pPr>
    </w:p>
    <w:p>
      <w:pPr>
        <w:ind w:left="6080"/>
        <w:spacing w:after="0"/>
        <w:rPr>
          <w:sz w:val="20"/>
          <w:szCs w:val="20"/>
          <w:color w:val="auto"/>
        </w:rPr>
      </w:pPr>
      <w:r>
        <w:rPr>
          <w:rFonts w:ascii="Arial" w:cs="Arial" w:eastAsia="Arial" w:hAnsi="Arial"/>
          <w:sz w:val="14"/>
          <w:szCs w:val="14"/>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4359910</wp:posOffset>
            </wp:positionH>
            <wp:positionV relativeFrom="paragraph">
              <wp:posOffset>3810</wp:posOffset>
            </wp:positionV>
            <wp:extent cx="2777490" cy="8255"/>
            <wp:wrapNone/>
            <wp:docPr id="256" name="Picture 2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6"/>
                    <pic:cNvPicPr>
                      <a:picLocks noChangeAspect="1" noChangeArrowheads="1"/>
                    </pic:cNvPicPr>
                  </pic:nvPicPr>
                  <pic:blipFill>
                    <a:blip r:embed="rId263">
                      <a:extLst>
                        <a:ext uri="{28A0092B-C50C-407E-A947-70E740481C1C}"/>
                      </a:extLst>
                    </a:blip>
                    <a:srcRect/>
                    <a:stretch>
                      <a:fillRect/>
                    </a:stretch>
                  </pic:blipFill>
                  <pic:spPr bwMode="auto">
                    <a:xfrm>
                      <a:off x="0" y="0"/>
                      <a:ext cx="2777490" cy="8255"/>
                    </a:xfrm>
                    <a:prstGeom prst="rect">
                      <a:avLst/>
                    </a:prstGeom>
                    <a:noFill/>
                  </pic:spPr>
                </pic:pic>
              </a:graphicData>
            </a:graphic>
          </wp:anchor>
        </w:drawing>
      </w:r>
    </w:p>
    <w:p>
      <w:pPr>
        <w:ind w:left="6860"/>
        <w:spacing w:after="0"/>
        <w:rPr>
          <w:sz w:val="20"/>
          <w:szCs w:val="20"/>
          <w:color w:val="auto"/>
        </w:rPr>
      </w:pPr>
      <w:r>
        <w:rPr>
          <w:rFonts w:ascii="Arial" w:cs="Arial" w:eastAsia="Arial" w:hAnsi="Arial"/>
          <w:sz w:val="14"/>
          <w:szCs w:val="14"/>
          <w:color w:val="auto"/>
        </w:rPr>
        <w:t>Title:</w:t>
      </w:r>
    </w:p>
    <w:p>
      <w:pPr>
        <w:spacing w:after="0" w:line="286" w:lineRule="exact"/>
        <w:rPr>
          <w:sz w:val="20"/>
          <w:szCs w:val="20"/>
          <w:color w:val="auto"/>
        </w:rPr>
      </w:pPr>
    </w:p>
    <w:p>
      <w:pPr>
        <w:ind w:left="120" w:hanging="112"/>
        <w:spacing w:after="0"/>
        <w:tabs>
          <w:tab w:leader="none" w:pos="120" w:val="left"/>
        </w:tabs>
        <w:numPr>
          <w:ilvl w:val="0"/>
          <w:numId w:val="177"/>
        </w:numPr>
        <w:rPr>
          <w:rFonts w:ascii="Arial" w:cs="Arial" w:eastAsia="Arial" w:hAnsi="Arial"/>
          <w:sz w:val="12"/>
          <w:szCs w:val="12"/>
          <w:color w:val="auto"/>
        </w:rPr>
      </w:pPr>
      <w:r>
        <w:rPr>
          <w:rFonts w:ascii="Arial" w:cs="Arial" w:eastAsia="Arial" w:hAnsi="Arial"/>
          <w:sz w:val="14"/>
          <w:szCs w:val="14"/>
          <w:color w:val="auto"/>
        </w:rPr>
        <w:t>Select as applicable.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-97790</wp:posOffset>
            </wp:positionV>
            <wp:extent cx="1423035" cy="8890"/>
            <wp:wrapNone/>
            <wp:docPr id="257" name="Picture 2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7"/>
                    <pic:cNvPicPr>
                      <a:picLocks noChangeAspect="1" noChangeArrowheads="1"/>
                    </pic:cNvPicPr>
                  </pic:nvPicPr>
                  <pic:blipFill>
                    <a:blip r:embed="rId264">
                      <a:extLst>
                        <a:ext uri="{28A0092B-C50C-407E-A947-70E740481C1C}"/>
                      </a:extLst>
                    </a:blip>
                    <a:srcRect/>
                    <a:stretch>
                      <a:fillRect/>
                    </a:stretch>
                  </pic:blipFill>
                  <pic:spPr bwMode="auto">
                    <a:xfrm>
                      <a:off x="0" y="0"/>
                      <a:ext cx="1423035" cy="8890"/>
                    </a:xfrm>
                    <a:prstGeom prst="rect">
                      <a:avLst/>
                    </a:prstGeom>
                    <a:noFill/>
                  </pic:spPr>
                </pic:pic>
              </a:graphicData>
            </a:graphic>
          </wp:anchor>
        </w:drawing>
      </w:r>
    </w:p>
    <w:p>
      <w:pPr>
        <w:ind w:left="120" w:right="720" w:hanging="112"/>
        <w:spacing w:after="0" w:line="221" w:lineRule="auto"/>
        <w:tabs>
          <w:tab w:leader="none" w:pos="192" w:val="left"/>
        </w:tabs>
        <w:numPr>
          <w:ilvl w:val="0"/>
          <w:numId w:val="178"/>
        </w:numPr>
        <w:rPr>
          <w:rFonts w:ascii="Arial" w:cs="Arial" w:eastAsia="Arial" w:hAnsi="Arial"/>
          <w:sz w:val="12"/>
          <w:szCs w:val="12"/>
          <w:color w:val="auto"/>
        </w:rPr>
      </w:pPr>
      <w:r>
        <w:rPr>
          <w:rFonts w:ascii="Arial" w:cs="Arial" w:eastAsia="Arial" w:hAnsi="Arial"/>
          <w:sz w:val="14"/>
          <w:szCs w:val="14"/>
          <w:color w:val="auto"/>
        </w:rPr>
        <w:t>Fill in the appropriate terminology for the types of facilities under the Credit Agreement that are being assigned under this Assignment (e.g. “Dollar Commitment”, “Multicurrency Commitment”, etc.).</w:t>
      </w:r>
    </w:p>
    <w:p>
      <w:pPr>
        <w:spacing w:after="0" w:line="1" w:lineRule="exact"/>
        <w:rPr>
          <w:sz w:val="20"/>
          <w:szCs w:val="20"/>
          <w:color w:val="auto"/>
        </w:rPr>
      </w:pPr>
    </w:p>
    <w:p>
      <w:pPr>
        <w:ind w:left="180" w:hanging="172"/>
        <w:spacing w:after="0"/>
        <w:tabs>
          <w:tab w:leader="none" w:pos="180" w:val="left"/>
        </w:tabs>
        <w:numPr>
          <w:ilvl w:val="0"/>
          <w:numId w:val="179"/>
        </w:numPr>
        <w:rPr>
          <w:rFonts w:ascii="Arial" w:cs="Arial" w:eastAsia="Arial" w:hAnsi="Arial"/>
          <w:sz w:val="12"/>
          <w:szCs w:val="12"/>
          <w:color w:val="auto"/>
        </w:rPr>
      </w:pPr>
      <w:r>
        <w:rPr>
          <w:rFonts w:ascii="Arial" w:cs="Arial" w:eastAsia="Arial" w:hAnsi="Arial"/>
          <w:sz w:val="14"/>
          <w:szCs w:val="14"/>
          <w:color w:val="auto"/>
        </w:rPr>
        <w:t>Set forth, to at least 9 decimals, as a percentage of the Commitment/Loans of all Lenders thereunder.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339090</wp:posOffset>
            </wp:positionV>
            <wp:extent cx="7149465" cy="17145"/>
            <wp:wrapNone/>
            <wp:docPr id="258" name="Picture 2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8"/>
                    <pic:cNvPicPr>
                      <a:picLocks noChangeAspect="1" noChangeArrowheads="1"/>
                    </pic:cNvPicPr>
                  </pic:nvPicPr>
                  <pic:blipFill>
                    <a:blip r:embed="rId265">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333" w:right="339" w:bottom="1440" w:gutter="0" w:footer="0" w:header="0"/>
        </w:sectPr>
      </w:pPr>
    </w:p>
    <w:bookmarkStart w:id="141" w:name="page142"/>
    <w:bookmarkEnd w:id="141"/>
    <w:p>
      <w:pPr>
        <w:ind w:left="4960"/>
        <w:spacing w:after="0"/>
        <w:rPr>
          <w:sz w:val="20"/>
          <w:szCs w:val="20"/>
          <w:color w:val="auto"/>
        </w:rPr>
      </w:pPr>
      <w:r>
        <w:rPr>
          <w:rFonts w:ascii="Arial" w:cs="Arial" w:eastAsia="Arial" w:hAnsi="Arial"/>
          <w:sz w:val="14"/>
          <w:szCs w:val="14"/>
          <w:u w:val="single" w:color="auto"/>
          <w:color w:val="auto"/>
        </w:rPr>
        <w:t>ASSIGNEE</w:t>
      </w:r>
    </w:p>
    <w:p>
      <w:pPr>
        <w:spacing w:after="0" w:line="136" w:lineRule="exact"/>
        <w:rPr>
          <w:sz w:val="20"/>
          <w:szCs w:val="20"/>
          <w:color w:val="auto"/>
        </w:rPr>
      </w:pPr>
    </w:p>
    <w:p>
      <w:pPr>
        <w:ind w:left="4960"/>
        <w:spacing w:after="0"/>
        <w:rPr>
          <w:sz w:val="20"/>
          <w:szCs w:val="20"/>
          <w:color w:val="auto"/>
        </w:rPr>
      </w:pPr>
      <w:r>
        <w:rPr>
          <w:rFonts w:ascii="Arial" w:cs="Arial" w:eastAsia="Arial" w:hAnsi="Arial"/>
          <w:sz w:val="14"/>
          <w:szCs w:val="14"/>
          <w:color w:val="auto"/>
        </w:rPr>
        <w:t>[NAME OF ASSIGNEE]</w:t>
      </w:r>
    </w:p>
    <w:p>
      <w:pPr>
        <w:spacing w:after="0" w:line="136" w:lineRule="exact"/>
        <w:rPr>
          <w:sz w:val="20"/>
          <w:szCs w:val="20"/>
          <w:color w:val="auto"/>
        </w:rPr>
      </w:pPr>
    </w:p>
    <w:p>
      <w:pPr>
        <w:ind w:left="4960"/>
        <w:spacing w:after="0"/>
        <w:rPr>
          <w:sz w:val="20"/>
          <w:szCs w:val="20"/>
          <w:color w:val="auto"/>
        </w:rPr>
      </w:pPr>
      <w:r>
        <w:rPr>
          <w:rFonts w:ascii="Arial" w:cs="Arial" w:eastAsia="Arial" w:hAnsi="Arial"/>
          <w:sz w:val="14"/>
          <w:szCs w:val="14"/>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3648710</wp:posOffset>
            </wp:positionH>
            <wp:positionV relativeFrom="paragraph">
              <wp:posOffset>3810</wp:posOffset>
            </wp:positionV>
            <wp:extent cx="2777490" cy="8255"/>
            <wp:wrapNone/>
            <wp:docPr id="259" name="Picture 2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9"/>
                    <pic:cNvPicPr>
                      <a:picLocks noChangeAspect="1" noChangeArrowheads="1"/>
                    </pic:cNvPicPr>
                  </pic:nvPicPr>
                  <pic:blipFill>
                    <a:blip r:embed="rId266">
                      <a:extLst>
                        <a:ext uri="{28A0092B-C50C-407E-A947-70E740481C1C}"/>
                      </a:extLst>
                    </a:blip>
                    <a:srcRect/>
                    <a:stretch>
                      <a:fillRect/>
                    </a:stretch>
                  </pic:blipFill>
                  <pic:spPr bwMode="auto">
                    <a:xfrm>
                      <a:off x="0" y="0"/>
                      <a:ext cx="2777490" cy="8255"/>
                    </a:xfrm>
                    <a:prstGeom prst="rect">
                      <a:avLst/>
                    </a:prstGeom>
                    <a:noFill/>
                  </pic:spPr>
                </pic:pic>
              </a:graphicData>
            </a:graphic>
          </wp:anchor>
        </w:drawing>
      </w:r>
    </w:p>
    <w:p>
      <w:pPr>
        <w:ind w:left="5740"/>
        <w:spacing w:after="0"/>
        <w:rPr>
          <w:sz w:val="20"/>
          <w:szCs w:val="20"/>
          <w:color w:val="auto"/>
        </w:rPr>
      </w:pPr>
      <w:r>
        <w:rPr>
          <w:rFonts w:ascii="Arial" w:cs="Arial" w:eastAsia="Arial" w:hAnsi="Arial"/>
          <w:sz w:val="14"/>
          <w:szCs w:val="14"/>
          <w:color w:val="auto"/>
        </w:rPr>
        <w:t>Title: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2310765</wp:posOffset>
            </wp:positionV>
            <wp:extent cx="7149465" cy="17145"/>
            <wp:wrapNone/>
            <wp:docPr id="260" name="Picture 2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0"/>
                    <pic:cNvPicPr>
                      <a:picLocks noChangeAspect="1" noChangeArrowheads="1"/>
                    </pic:cNvPicPr>
                  </pic:nvPicPr>
                  <pic:blipFill>
                    <a:blip r:embed="rId267">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9019"/>
          </w:cols>
          <w:pgMar w:left="1440" w:top="337" w:right="1440" w:bottom="1440" w:gutter="0" w:footer="0" w:header="0"/>
        </w:sectPr>
      </w:pPr>
    </w:p>
    <w:bookmarkStart w:id="142" w:name="page143"/>
    <w:bookmarkEnd w:id="142"/>
    <w:p>
      <w:pPr>
        <w:spacing w:after="0"/>
        <w:rPr>
          <w:sz w:val="20"/>
          <w:szCs w:val="20"/>
          <w:color w:val="auto"/>
        </w:rPr>
      </w:pPr>
      <w:r>
        <w:rPr>
          <w:rFonts w:ascii="Arial" w:cs="Arial" w:eastAsia="Arial" w:hAnsi="Arial"/>
          <w:sz w:val="14"/>
          <w:szCs w:val="14"/>
          <w:color w:val="auto"/>
        </w:rPr>
        <w:t>[Consented to and]</w:t>
      </w:r>
      <w:r>
        <w:rPr>
          <w:rFonts w:ascii="Arial" w:cs="Arial" w:eastAsia="Arial" w:hAnsi="Arial"/>
          <w:sz w:val="12"/>
          <w:szCs w:val="12"/>
          <w:color w:val="auto"/>
        </w:rPr>
        <w:t>5</w:t>
      </w:r>
      <w:r>
        <w:rPr>
          <w:rFonts w:ascii="Arial" w:cs="Arial" w:eastAsia="Arial" w:hAnsi="Arial"/>
          <w:sz w:val="14"/>
          <w:szCs w:val="14"/>
          <w:color w:val="auto"/>
        </w:rPr>
        <w:t xml:space="preserve"> Accepted:</w:t>
      </w:r>
    </w:p>
    <w:p>
      <w:pPr>
        <w:spacing w:after="0" w:line="136" w:lineRule="exact"/>
        <w:rPr>
          <w:sz w:val="20"/>
          <w:szCs w:val="20"/>
          <w:color w:val="auto"/>
        </w:rPr>
      </w:pPr>
    </w:p>
    <w:p>
      <w:pPr>
        <w:spacing w:after="0"/>
        <w:rPr>
          <w:sz w:val="20"/>
          <w:szCs w:val="20"/>
          <w:color w:val="auto"/>
        </w:rPr>
      </w:pPr>
      <w:r>
        <w:rPr>
          <w:rFonts w:ascii="Arial" w:cs="Arial" w:eastAsia="Arial" w:hAnsi="Arial"/>
          <w:sz w:val="14"/>
          <w:szCs w:val="14"/>
          <w:color w:val="auto"/>
        </w:rPr>
        <w:t>SUNTRUST BANK, as</w:t>
      </w:r>
    </w:p>
    <w:p>
      <w:pPr>
        <w:spacing w:after="0"/>
        <w:rPr>
          <w:sz w:val="20"/>
          <w:szCs w:val="20"/>
          <w:color w:val="auto"/>
        </w:rPr>
      </w:pPr>
      <w:r>
        <w:rPr>
          <w:rFonts w:ascii="Arial" w:cs="Arial" w:eastAsia="Arial" w:hAnsi="Arial"/>
          <w:sz w:val="14"/>
          <w:szCs w:val="14"/>
          <w:color w:val="auto"/>
        </w:rPr>
        <w:t>Administrative Agent</w:t>
      </w:r>
    </w:p>
    <w:p>
      <w:pPr>
        <w:spacing w:after="0" w:line="124" w:lineRule="exact"/>
        <w:rPr>
          <w:sz w:val="20"/>
          <w:szCs w:val="20"/>
          <w:color w:val="auto"/>
        </w:rPr>
      </w:pPr>
    </w:p>
    <w:p>
      <w:pPr>
        <w:spacing w:after="0"/>
        <w:rPr>
          <w:sz w:val="20"/>
          <w:szCs w:val="20"/>
          <w:color w:val="auto"/>
        </w:rPr>
      </w:pPr>
      <w:r>
        <w:rPr>
          <w:rFonts w:ascii="Arial" w:cs="Arial" w:eastAsia="Arial" w:hAnsi="Arial"/>
          <w:sz w:val="14"/>
          <w:szCs w:val="14"/>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510540</wp:posOffset>
            </wp:positionH>
            <wp:positionV relativeFrom="paragraph">
              <wp:posOffset>3810</wp:posOffset>
            </wp:positionV>
            <wp:extent cx="2777490" cy="8255"/>
            <wp:wrapNone/>
            <wp:docPr id="261" name="Picture 2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1"/>
                    <pic:cNvPicPr>
                      <a:picLocks noChangeAspect="1" noChangeArrowheads="1"/>
                    </pic:cNvPicPr>
                  </pic:nvPicPr>
                  <pic:blipFill>
                    <a:blip r:embed="rId268">
                      <a:extLst>
                        <a:ext uri="{28A0092B-C50C-407E-A947-70E740481C1C}"/>
                      </a:extLst>
                    </a:blip>
                    <a:srcRect/>
                    <a:stretch>
                      <a:fillRect/>
                    </a:stretch>
                  </pic:blipFill>
                  <pic:spPr bwMode="auto">
                    <a:xfrm>
                      <a:off x="0" y="0"/>
                      <a:ext cx="2777490" cy="8255"/>
                    </a:xfrm>
                    <a:prstGeom prst="rect">
                      <a:avLst/>
                    </a:prstGeom>
                    <a:noFill/>
                  </pic:spPr>
                </pic:pic>
              </a:graphicData>
            </a:graphic>
          </wp:anchor>
        </w:drawing>
      </w:r>
    </w:p>
    <w:p>
      <w:pPr>
        <w:ind w:left="800"/>
        <w:spacing w:after="0"/>
        <w:rPr>
          <w:sz w:val="20"/>
          <w:szCs w:val="20"/>
          <w:color w:val="auto"/>
        </w:rPr>
      </w:pPr>
      <w:r>
        <w:rPr>
          <w:rFonts w:ascii="Arial" w:cs="Arial" w:eastAsia="Arial" w:hAnsi="Arial"/>
          <w:sz w:val="14"/>
          <w:szCs w:val="14"/>
          <w:color w:val="auto"/>
        </w:rPr>
        <w:t>Title:</w:t>
      </w:r>
    </w:p>
    <w:p>
      <w:pPr>
        <w:spacing w:after="0" w:line="124" w:lineRule="exact"/>
        <w:rPr>
          <w:sz w:val="20"/>
          <w:szCs w:val="20"/>
          <w:color w:val="auto"/>
        </w:rPr>
      </w:pPr>
    </w:p>
    <w:p>
      <w:pPr>
        <w:spacing w:after="0"/>
        <w:rPr>
          <w:sz w:val="20"/>
          <w:szCs w:val="20"/>
          <w:color w:val="auto"/>
        </w:rPr>
      </w:pPr>
      <w:r>
        <w:rPr>
          <w:rFonts w:ascii="Arial" w:cs="Arial" w:eastAsia="Arial" w:hAnsi="Arial"/>
          <w:sz w:val="14"/>
          <w:szCs w:val="14"/>
          <w:color w:val="auto"/>
        </w:rPr>
        <w:t>SUNTRUST BANK, as</w:t>
      </w:r>
    </w:p>
    <w:p>
      <w:pPr>
        <w:spacing w:after="0"/>
        <w:rPr>
          <w:sz w:val="20"/>
          <w:szCs w:val="20"/>
          <w:color w:val="auto"/>
        </w:rPr>
      </w:pPr>
      <w:r>
        <w:rPr>
          <w:rFonts w:ascii="Arial" w:cs="Arial" w:eastAsia="Arial" w:hAnsi="Arial"/>
          <w:sz w:val="14"/>
          <w:szCs w:val="14"/>
          <w:color w:val="auto"/>
        </w:rPr>
        <w:t>Issuing Bank</w:t>
      </w:r>
    </w:p>
    <w:p>
      <w:pPr>
        <w:spacing w:after="0" w:line="124" w:lineRule="exact"/>
        <w:rPr>
          <w:sz w:val="20"/>
          <w:szCs w:val="20"/>
          <w:color w:val="auto"/>
        </w:rPr>
      </w:pPr>
    </w:p>
    <w:p>
      <w:pPr>
        <w:spacing w:after="0"/>
        <w:rPr>
          <w:sz w:val="20"/>
          <w:szCs w:val="20"/>
          <w:color w:val="auto"/>
        </w:rPr>
      </w:pPr>
      <w:r>
        <w:rPr>
          <w:rFonts w:ascii="Arial" w:cs="Arial" w:eastAsia="Arial" w:hAnsi="Arial"/>
          <w:sz w:val="14"/>
          <w:szCs w:val="14"/>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510540</wp:posOffset>
            </wp:positionH>
            <wp:positionV relativeFrom="paragraph">
              <wp:posOffset>3810</wp:posOffset>
            </wp:positionV>
            <wp:extent cx="2777490" cy="8255"/>
            <wp:wrapNone/>
            <wp:docPr id="262" name="Picture 2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2"/>
                    <pic:cNvPicPr>
                      <a:picLocks noChangeAspect="1" noChangeArrowheads="1"/>
                    </pic:cNvPicPr>
                  </pic:nvPicPr>
                  <pic:blipFill>
                    <a:blip r:embed="rId269">
                      <a:extLst>
                        <a:ext uri="{28A0092B-C50C-407E-A947-70E740481C1C}"/>
                      </a:extLst>
                    </a:blip>
                    <a:srcRect/>
                    <a:stretch>
                      <a:fillRect/>
                    </a:stretch>
                  </pic:blipFill>
                  <pic:spPr bwMode="auto">
                    <a:xfrm>
                      <a:off x="0" y="0"/>
                      <a:ext cx="2777490" cy="8255"/>
                    </a:xfrm>
                    <a:prstGeom prst="rect">
                      <a:avLst/>
                    </a:prstGeom>
                    <a:noFill/>
                  </pic:spPr>
                </pic:pic>
              </a:graphicData>
            </a:graphic>
          </wp:anchor>
        </w:drawing>
      </w:r>
    </w:p>
    <w:p>
      <w:pPr>
        <w:ind w:left="800"/>
        <w:spacing w:after="0"/>
        <w:rPr>
          <w:sz w:val="20"/>
          <w:szCs w:val="20"/>
          <w:color w:val="auto"/>
        </w:rPr>
      </w:pPr>
      <w:r>
        <w:rPr>
          <w:rFonts w:ascii="Arial" w:cs="Arial" w:eastAsia="Arial" w:hAnsi="Arial"/>
          <w:sz w:val="14"/>
          <w:szCs w:val="14"/>
          <w:color w:val="auto"/>
        </w:rPr>
        <w:t>Title:</w:t>
      </w:r>
    </w:p>
    <w:p>
      <w:pPr>
        <w:spacing w:after="0" w:line="124" w:lineRule="exact"/>
        <w:rPr>
          <w:sz w:val="20"/>
          <w:szCs w:val="20"/>
          <w:color w:val="auto"/>
        </w:rPr>
      </w:pPr>
    </w:p>
    <w:p>
      <w:pPr>
        <w:spacing w:after="0"/>
        <w:rPr>
          <w:sz w:val="20"/>
          <w:szCs w:val="20"/>
          <w:color w:val="auto"/>
        </w:rPr>
      </w:pPr>
      <w:r>
        <w:rPr>
          <w:rFonts w:ascii="Arial" w:cs="Arial" w:eastAsia="Arial" w:hAnsi="Arial"/>
          <w:sz w:val="14"/>
          <w:szCs w:val="14"/>
          <w:color w:val="auto"/>
        </w:rPr>
        <w:t>[Consented to:]</w:t>
      </w:r>
      <w:r>
        <w:rPr>
          <w:rFonts w:ascii="Arial" w:cs="Arial" w:eastAsia="Arial" w:hAnsi="Arial"/>
          <w:sz w:val="12"/>
          <w:szCs w:val="12"/>
          <w:color w:val="auto"/>
        </w:rPr>
        <w:t>6</w:t>
      </w:r>
    </w:p>
    <w:p>
      <w:pPr>
        <w:spacing w:after="0" w:line="136" w:lineRule="exact"/>
        <w:rPr>
          <w:sz w:val="20"/>
          <w:szCs w:val="20"/>
          <w:color w:val="auto"/>
        </w:rPr>
      </w:pPr>
    </w:p>
    <w:p>
      <w:pPr>
        <w:spacing w:after="0"/>
        <w:rPr>
          <w:sz w:val="20"/>
          <w:szCs w:val="20"/>
          <w:color w:val="auto"/>
        </w:rPr>
      </w:pPr>
      <w:r>
        <w:rPr>
          <w:rFonts w:ascii="Arial" w:cs="Arial" w:eastAsia="Arial" w:hAnsi="Arial"/>
          <w:sz w:val="14"/>
          <w:szCs w:val="14"/>
          <w:color w:val="auto"/>
        </w:rPr>
        <w:t>PENNANTPARK INVESTMENT CORPORATION</w:t>
      </w:r>
    </w:p>
    <w:p>
      <w:pPr>
        <w:spacing w:after="0" w:line="285" w:lineRule="exact"/>
        <w:rPr>
          <w:sz w:val="20"/>
          <w:szCs w:val="20"/>
          <w:color w:val="auto"/>
        </w:rPr>
      </w:pPr>
    </w:p>
    <w:p>
      <w:pPr>
        <w:spacing w:after="0"/>
        <w:rPr>
          <w:sz w:val="20"/>
          <w:szCs w:val="20"/>
          <w:color w:val="auto"/>
        </w:rPr>
      </w:pPr>
      <w:r>
        <w:rPr>
          <w:rFonts w:ascii="Arial" w:cs="Arial" w:eastAsia="Arial" w:hAnsi="Arial"/>
          <w:sz w:val="14"/>
          <w:szCs w:val="14"/>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510540</wp:posOffset>
            </wp:positionH>
            <wp:positionV relativeFrom="paragraph">
              <wp:posOffset>3810</wp:posOffset>
            </wp:positionV>
            <wp:extent cx="2777490" cy="8255"/>
            <wp:wrapNone/>
            <wp:docPr id="263" name="Picture 2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3"/>
                    <pic:cNvPicPr>
                      <a:picLocks noChangeAspect="1" noChangeArrowheads="1"/>
                    </pic:cNvPicPr>
                  </pic:nvPicPr>
                  <pic:blipFill>
                    <a:blip r:embed="rId270">
                      <a:extLst>
                        <a:ext uri="{28A0092B-C50C-407E-A947-70E740481C1C}"/>
                      </a:extLst>
                    </a:blip>
                    <a:srcRect/>
                    <a:stretch>
                      <a:fillRect/>
                    </a:stretch>
                  </pic:blipFill>
                  <pic:spPr bwMode="auto">
                    <a:xfrm>
                      <a:off x="0" y="0"/>
                      <a:ext cx="2777490" cy="8255"/>
                    </a:xfrm>
                    <a:prstGeom prst="rect">
                      <a:avLst/>
                    </a:prstGeom>
                    <a:noFill/>
                  </pic:spPr>
                </pic:pic>
              </a:graphicData>
            </a:graphic>
          </wp:anchor>
        </w:drawing>
      </w:r>
    </w:p>
    <w:p>
      <w:pPr>
        <w:ind w:left="800"/>
        <w:spacing w:after="0"/>
        <w:rPr>
          <w:sz w:val="20"/>
          <w:szCs w:val="20"/>
          <w:color w:val="auto"/>
        </w:rPr>
      </w:pPr>
      <w:r>
        <w:rPr>
          <w:rFonts w:ascii="Arial" w:cs="Arial" w:eastAsia="Arial" w:hAnsi="Arial"/>
          <w:sz w:val="14"/>
          <w:szCs w:val="14"/>
          <w:color w:val="auto"/>
        </w:rPr>
        <w:t>Title:</w:t>
      </w:r>
    </w:p>
    <w:p>
      <w:pPr>
        <w:spacing w:after="0" w:line="200" w:lineRule="exact"/>
        <w:rPr>
          <w:sz w:val="20"/>
          <w:szCs w:val="20"/>
          <w:color w:val="auto"/>
        </w:rPr>
      </w:pPr>
    </w:p>
    <w:p>
      <w:pPr>
        <w:spacing w:after="0" w:line="383" w:lineRule="exact"/>
        <w:rPr>
          <w:sz w:val="20"/>
          <w:szCs w:val="20"/>
          <w:color w:val="auto"/>
        </w:rPr>
      </w:pPr>
    </w:p>
    <w:p>
      <w:pPr>
        <w:ind w:left="180" w:hanging="172"/>
        <w:spacing w:after="0"/>
        <w:tabs>
          <w:tab w:leader="none" w:pos="180" w:val="left"/>
        </w:tabs>
        <w:numPr>
          <w:ilvl w:val="0"/>
          <w:numId w:val="180"/>
        </w:numPr>
        <w:rPr>
          <w:rFonts w:ascii="Arial" w:cs="Arial" w:eastAsia="Arial" w:hAnsi="Arial"/>
          <w:sz w:val="11"/>
          <w:szCs w:val="11"/>
          <w:color w:val="auto"/>
        </w:rPr>
      </w:pPr>
      <w:r>
        <w:rPr>
          <w:rFonts w:ascii="Arial" w:cs="Arial" w:eastAsia="Arial" w:hAnsi="Arial"/>
          <w:sz w:val="13"/>
          <w:szCs w:val="13"/>
          <w:color w:val="auto"/>
        </w:rPr>
        <w:t>To be added only if the consent of the Administrative Agent is required by the terms of the Credit Agreement.</w:t>
      </w:r>
    </w:p>
    <w:p>
      <w:pPr>
        <w:spacing w:after="0" w:line="11" w:lineRule="exact"/>
        <w:rPr>
          <w:rFonts w:ascii="Arial" w:cs="Arial" w:eastAsia="Arial" w:hAnsi="Arial"/>
          <w:sz w:val="11"/>
          <w:szCs w:val="11"/>
          <w:color w:val="auto"/>
        </w:rPr>
      </w:pPr>
    </w:p>
    <w:p>
      <w:pPr>
        <w:spacing w:after="0"/>
        <w:rPr>
          <w:rFonts w:ascii="Arial" w:cs="Arial" w:eastAsia="Arial" w:hAnsi="Arial"/>
          <w:sz w:val="11"/>
          <w:szCs w:val="11"/>
          <w:color w:val="auto"/>
        </w:rPr>
      </w:pPr>
      <w:r>
        <w:rPr>
          <w:rFonts w:ascii="Arial" w:cs="Arial" w:eastAsia="Arial" w:hAnsi="Arial"/>
          <w:sz w:val="12"/>
          <w:szCs w:val="12"/>
          <w:color w:val="auto"/>
        </w:rPr>
        <w:t xml:space="preserve">6  </w:t>
      </w:r>
      <w:r>
        <w:rPr>
          <w:rFonts w:ascii="Arial" w:cs="Arial" w:eastAsia="Arial" w:hAnsi="Arial"/>
          <w:sz w:val="14"/>
          <w:szCs w:val="14"/>
          <w:color w:val="auto"/>
        </w:rPr>
        <w:t>To be added only when the consent of the Borrower is required by the terms of the Credit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-200025</wp:posOffset>
            </wp:positionV>
            <wp:extent cx="1423035" cy="8255"/>
            <wp:wrapNone/>
            <wp:docPr id="264" name="Picture 2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4"/>
                    <pic:cNvPicPr>
                      <a:picLocks noChangeAspect="1" noChangeArrowheads="1"/>
                    </pic:cNvPicPr>
                  </pic:nvPicPr>
                  <pic:blipFill>
                    <a:blip r:embed="rId271">
                      <a:extLst>
                        <a:ext uri="{28A0092B-C50C-407E-A947-70E740481C1C}"/>
                      </a:extLst>
                    </a:blip>
                    <a:srcRect/>
                    <a:stretch>
                      <a:fillRect/>
                    </a:stretch>
                  </pic:blipFill>
                  <pic:spPr bwMode="auto">
                    <a:xfrm>
                      <a:off x="0" y="0"/>
                      <a:ext cx="1423035"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339090</wp:posOffset>
            </wp:positionV>
            <wp:extent cx="7149465" cy="17145"/>
            <wp:wrapNone/>
            <wp:docPr id="265" name="Picture 2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5"/>
                    <pic:cNvPicPr>
                      <a:picLocks noChangeAspect="1" noChangeArrowheads="1"/>
                    </pic:cNvPicPr>
                  </pic:nvPicPr>
                  <pic:blipFill>
                    <a:blip r:embed="rId272">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0139"/>
          </w:cols>
          <w:pgMar w:left="320" w:top="337" w:right="1440" w:bottom="1440" w:gutter="0" w:footer="0" w:header="0"/>
        </w:sectPr>
      </w:pPr>
    </w:p>
    <w:bookmarkStart w:id="143" w:name="page144"/>
    <w:bookmarkEnd w:id="143"/>
    <w:p>
      <w:pPr>
        <w:jc w:val="center"/>
        <w:spacing w:after="0"/>
        <w:rPr>
          <w:sz w:val="20"/>
          <w:szCs w:val="20"/>
          <w:color w:val="auto"/>
        </w:rPr>
      </w:pPr>
      <w:r>
        <w:rPr>
          <w:rFonts w:ascii="Arial" w:cs="Arial" w:eastAsia="Arial" w:hAnsi="Arial"/>
          <w:sz w:val="14"/>
          <w:szCs w:val="14"/>
          <w:color w:val="auto"/>
        </w:rPr>
        <w:t>ANNEX 1</w:t>
      </w:r>
    </w:p>
    <w:p>
      <w:pPr>
        <w:spacing w:after="0" w:line="203"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STANDARD TERMS AND CONDITIONS FOR</w:t>
      </w:r>
    </w:p>
    <w:p>
      <w:pPr>
        <w:jc w:val="center"/>
        <w:spacing w:after="0"/>
        <w:rPr>
          <w:sz w:val="20"/>
          <w:szCs w:val="20"/>
          <w:color w:val="auto"/>
        </w:rPr>
      </w:pPr>
      <w:r>
        <w:rPr>
          <w:rFonts w:ascii="Arial" w:cs="Arial" w:eastAsia="Arial" w:hAnsi="Arial"/>
          <w:sz w:val="14"/>
          <w:szCs w:val="14"/>
          <w:color w:val="auto"/>
        </w:rPr>
        <w:t>ASSIGNMENT AND ASSUMPTION</w:t>
      </w:r>
    </w:p>
    <w:p>
      <w:pPr>
        <w:spacing w:after="0" w:line="192" w:lineRule="exact"/>
        <w:rPr>
          <w:sz w:val="20"/>
          <w:szCs w:val="20"/>
          <w:color w:val="auto"/>
        </w:rPr>
      </w:pPr>
    </w:p>
    <w:p>
      <w:pPr>
        <w:ind w:left="2500" w:hanging="765"/>
        <w:spacing w:after="0"/>
        <w:tabs>
          <w:tab w:leader="none" w:pos="2500" w:val="left"/>
        </w:tabs>
        <w:numPr>
          <w:ilvl w:val="0"/>
          <w:numId w:val="181"/>
        </w:numPr>
        <w:rPr>
          <w:rFonts w:ascii="Arial" w:cs="Arial" w:eastAsia="Arial" w:hAnsi="Arial"/>
          <w:sz w:val="14"/>
          <w:szCs w:val="14"/>
          <w:color w:val="auto"/>
        </w:rPr>
      </w:pPr>
      <w:r>
        <w:rPr>
          <w:rFonts w:ascii="Arial" w:cs="Arial" w:eastAsia="Arial" w:hAnsi="Arial"/>
          <w:sz w:val="14"/>
          <w:szCs w:val="14"/>
          <w:color w:val="auto"/>
        </w:rPr>
        <w:t>Representations and Warranties.</w:t>
      </w:r>
    </w:p>
    <w:p>
      <w:pPr>
        <w:spacing w:after="0" w:line="204" w:lineRule="exact"/>
        <w:rPr>
          <w:sz w:val="20"/>
          <w:szCs w:val="20"/>
          <w:color w:val="auto"/>
        </w:rPr>
      </w:pPr>
    </w:p>
    <w:p>
      <w:pPr>
        <w:jc w:val="both"/>
        <w:ind w:firstLine="1727"/>
        <w:spacing w:after="0" w:line="229" w:lineRule="auto"/>
        <w:rPr>
          <w:sz w:val="20"/>
          <w:szCs w:val="20"/>
          <w:color w:val="auto"/>
        </w:rPr>
      </w:pPr>
      <w:r>
        <w:rPr>
          <w:rFonts w:ascii="Arial" w:cs="Arial" w:eastAsia="Arial" w:hAnsi="Arial"/>
          <w:sz w:val="14"/>
          <w:szCs w:val="14"/>
          <w:color w:val="auto"/>
        </w:rPr>
        <w:t xml:space="preserve">1.1 </w:t>
      </w:r>
      <w:r>
        <w:rPr>
          <w:rFonts w:ascii="Arial" w:cs="Arial" w:eastAsia="Arial" w:hAnsi="Arial"/>
          <w:sz w:val="14"/>
          <w:szCs w:val="14"/>
          <w:u w:val="single" w:color="auto"/>
          <w:color w:val="auto"/>
        </w:rPr>
        <w:t>Assignor</w:t>
      </w:r>
      <w:r>
        <w:rPr>
          <w:rFonts w:ascii="Arial" w:cs="Arial" w:eastAsia="Arial" w:hAnsi="Arial"/>
          <w:sz w:val="14"/>
          <w:szCs w:val="14"/>
          <w:color w:val="auto"/>
        </w:rPr>
        <w:t>. The Assignor (a) represents and warrants that (i) it is the legal and beneficial owner of the Assigned Interest, (ii) the Assigned Interest is free and clear of any lien, encumbrance or other adverse claim and (iii) it has full power and authority, and has taken all action necessary, to execute and deliver this Assignment and Assumption and to consummate the transactions contemplated hereby; and (b) assumes no responsibility with respect to (i) any statements, warranties or representations made in or in connection with the Credit Agreement or any other Loan Document, (ii) the execution, legality, validity, enforceability, genuineness, sufficiency or value of the Loan Documents or any collateral thereunder, (iii) the financial condition of the Borrower, any of its Subsidiaries or Affiliates or any other Person obligated in respect of any Loan Document or (iv) the performance or observance by the Borrower, any of its Subsidiaries or Affiliates or any other Person of any of their respective obligations under any Loan Document.</w:t>
      </w:r>
    </w:p>
    <w:p>
      <w:pPr>
        <w:spacing w:after="0" w:line="185" w:lineRule="exact"/>
        <w:rPr>
          <w:sz w:val="20"/>
          <w:szCs w:val="20"/>
          <w:color w:val="auto"/>
        </w:rPr>
      </w:pPr>
    </w:p>
    <w:p>
      <w:pPr>
        <w:jc w:val="both"/>
        <w:ind w:firstLine="1727"/>
        <w:spacing w:after="0" w:line="225" w:lineRule="auto"/>
        <w:rPr>
          <w:sz w:val="20"/>
          <w:szCs w:val="20"/>
          <w:color w:val="auto"/>
        </w:rPr>
      </w:pPr>
      <w:r>
        <w:rPr>
          <w:rFonts w:ascii="Arial" w:cs="Arial" w:eastAsia="Arial" w:hAnsi="Arial"/>
          <w:sz w:val="14"/>
          <w:szCs w:val="14"/>
          <w:color w:val="auto"/>
        </w:rPr>
        <w:t xml:space="preserve">1.2 </w:t>
      </w:r>
      <w:r>
        <w:rPr>
          <w:rFonts w:ascii="Arial" w:cs="Arial" w:eastAsia="Arial" w:hAnsi="Arial"/>
          <w:sz w:val="14"/>
          <w:szCs w:val="14"/>
          <w:u w:val="single" w:color="auto"/>
          <w:color w:val="auto"/>
        </w:rPr>
        <w:t>Assignee</w:t>
      </w:r>
      <w:r>
        <w:rPr>
          <w:rFonts w:ascii="Arial" w:cs="Arial" w:eastAsia="Arial" w:hAnsi="Arial"/>
          <w:sz w:val="14"/>
          <w:szCs w:val="14"/>
          <w:color w:val="auto"/>
        </w:rPr>
        <w:t>. The Assignee (a) represents and warrants that (i) it has full power and authority, and has taken all action necessary, to execute and deliver this Assignment and Assumption and to consummate the transactions contemplated hereby and to become a Lender under the Credit Agreement, (ii) it satisfies the requirements, if any, specified in the Credit Agreement that are required to be satisfied by it in order to acquire the Assigned Interest and become a Lender, (iii) from and after the Effective Date, it shall be bound by the provisions of the Credit Agreement as a Lender thereunder and, to the extent of the Assigned Interest, shall have the obligations of a Lender thereunder, (iv) it has received a copy of the Credit Agreement, together with copies of the most recent financial statements delivered pursuant to Section 5.01 thereof, as applicable, and such other documents and information as it has deemed appropriate to make its own credit analysis and decision to enter into this Assignment and Assumption and to purchase the Assigned Interest on the basis of which it has made such analysis and decision independently and without reliance on the Administrative Agent or any other Lender, and (v) if it is a Foreign Lender, attached to the Assignment and Assumption is any documentation required to be delivered by it pursuant to the terms of the Credit Agreement, duly completed and executed by the Assignee; and (b) agrees that (i) it will, independently and without reliance on the Administrative Agent, the Assignor or any other Lender, and based on such documents and information as it shall deem appropriate at the time, continue to make its own credit decisions in taking or not taking action under the Loan Documents, and (ii) it will perform in accordance with their terms all of the obligations which by the terms of the Loan Documents are required to be performed by it as a Lender.</w:t>
      </w:r>
    </w:p>
    <w:p>
      <w:pPr>
        <w:spacing w:after="0" w:line="189" w:lineRule="exact"/>
        <w:rPr>
          <w:sz w:val="20"/>
          <w:szCs w:val="20"/>
          <w:color w:val="auto"/>
        </w:rPr>
      </w:pPr>
    </w:p>
    <w:p>
      <w:pPr>
        <w:jc w:val="both"/>
        <w:ind w:firstLine="1735"/>
        <w:spacing w:after="0" w:line="238" w:lineRule="auto"/>
        <w:tabs>
          <w:tab w:leader="none" w:pos="2483" w:val="left"/>
        </w:tabs>
        <w:numPr>
          <w:ilvl w:val="0"/>
          <w:numId w:val="182"/>
        </w:numPr>
        <w:rPr>
          <w:rFonts w:ascii="Arial" w:cs="Arial" w:eastAsia="Arial" w:hAnsi="Arial"/>
          <w:sz w:val="14"/>
          <w:szCs w:val="14"/>
          <w:color w:val="auto"/>
        </w:rPr>
      </w:pPr>
      <w:r>
        <w:rPr>
          <w:rFonts w:ascii="Arial" w:cs="Arial" w:eastAsia="Arial" w:hAnsi="Arial"/>
          <w:sz w:val="14"/>
          <w:szCs w:val="14"/>
          <w:u w:val="single" w:color="auto"/>
          <w:color w:val="auto"/>
        </w:rPr>
        <w:t>Payments</w:t>
      </w:r>
      <w:r>
        <w:rPr>
          <w:rFonts w:ascii="Arial" w:cs="Arial" w:eastAsia="Arial" w:hAnsi="Arial"/>
          <w:sz w:val="14"/>
          <w:szCs w:val="14"/>
          <w:color w:val="auto"/>
        </w:rPr>
        <w:t>. From and after the Effective Date, the Administrative Agent shall make all payments in respect of the Assigned Interest (including payments of principal, interest, fees and other amounts) to the Assignor for amounts which have accrued up to but excluding the Effective Date and to the Assignee for amounts which have accrued from and after the Effective Date.</w:t>
      </w:r>
    </w:p>
    <w:p>
      <w:pPr>
        <w:spacing w:after="0" w:line="182" w:lineRule="exact"/>
        <w:rPr>
          <w:rFonts w:ascii="Arial" w:cs="Arial" w:eastAsia="Arial" w:hAnsi="Arial"/>
          <w:sz w:val="14"/>
          <w:szCs w:val="14"/>
          <w:color w:val="auto"/>
        </w:rPr>
      </w:pPr>
    </w:p>
    <w:p>
      <w:pPr>
        <w:jc w:val="both"/>
        <w:ind w:firstLine="1735"/>
        <w:spacing w:after="0" w:line="255" w:lineRule="auto"/>
        <w:tabs>
          <w:tab w:leader="none" w:pos="2483" w:val="left"/>
        </w:tabs>
        <w:numPr>
          <w:ilvl w:val="0"/>
          <w:numId w:val="182"/>
        </w:numPr>
        <w:rPr>
          <w:rFonts w:ascii="Arial" w:cs="Arial" w:eastAsia="Arial" w:hAnsi="Arial"/>
          <w:sz w:val="13"/>
          <w:szCs w:val="13"/>
          <w:color w:val="auto"/>
        </w:rPr>
      </w:pPr>
      <w:r>
        <w:rPr>
          <w:rFonts w:ascii="Arial" w:cs="Arial" w:eastAsia="Arial" w:hAnsi="Arial"/>
          <w:sz w:val="13"/>
          <w:szCs w:val="13"/>
          <w:u w:val="single" w:color="auto"/>
          <w:color w:val="auto"/>
        </w:rPr>
        <w:t>General Provisions</w:t>
      </w:r>
      <w:r>
        <w:rPr>
          <w:rFonts w:ascii="Arial" w:cs="Arial" w:eastAsia="Arial" w:hAnsi="Arial"/>
          <w:sz w:val="13"/>
          <w:szCs w:val="13"/>
          <w:color w:val="auto"/>
        </w:rPr>
        <w:t>. This Assignment and Assumption shall be binding upon, and inure to the benefit of, the parties hereto and their respective successors and assigns. This Assignment and Assumption may be executed in any number of counterparts, which together shall constitute one instrument. Delivery of an executed counterpart of a signature page of this Assignment and Assumption by telecopy, email or other electronic method of transmission shall be effective as deliver of a manually executed counterpart of this Assignment and Assumption. This Assignment and Assumption shall be governed by, and construed in accordance with, the laws of the State of New York.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654050</wp:posOffset>
            </wp:positionV>
            <wp:extent cx="7149465" cy="17145"/>
            <wp:wrapNone/>
            <wp:docPr id="266" name="Picture 2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6"/>
                    <pic:cNvPicPr>
                      <a:picLocks noChangeAspect="1" noChangeArrowheads="1"/>
                    </pic:cNvPicPr>
                  </pic:nvPicPr>
                  <pic:blipFill>
                    <a:blip r:embed="rId273">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144" w:name="page145"/>
    <w:bookmarkEnd w:id="144"/>
    <w:p>
      <w:pPr>
        <w:jc w:val="center"/>
        <w:spacing w:after="0"/>
        <w:rPr>
          <w:sz w:val="20"/>
          <w:szCs w:val="20"/>
          <w:color w:val="auto"/>
        </w:rPr>
      </w:pPr>
      <w:r>
        <w:rPr>
          <w:rFonts w:ascii="Arial" w:cs="Arial" w:eastAsia="Arial" w:hAnsi="Arial"/>
          <w:sz w:val="14"/>
          <w:szCs w:val="14"/>
          <w:b w:val="1"/>
          <w:bCs w:val="1"/>
          <w:color w:val="auto"/>
        </w:rPr>
        <w:t>EXHIBIT B</w:t>
      </w:r>
    </w:p>
    <w:p>
      <w:pPr>
        <w:spacing w:after="0" w:line="204"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FORM OF BORROWING BASE CERTIFICATE</w:t>
      </w:r>
    </w:p>
    <w:p>
      <w:pPr>
        <w:spacing w:after="0" w:line="204" w:lineRule="exact"/>
        <w:rPr>
          <w:sz w:val="20"/>
          <w:szCs w:val="20"/>
          <w:color w:val="auto"/>
        </w:rPr>
      </w:pPr>
    </w:p>
    <w:p>
      <w:pPr>
        <w:ind w:left="3820"/>
        <w:spacing w:after="0"/>
        <w:rPr>
          <w:sz w:val="20"/>
          <w:szCs w:val="20"/>
          <w:color w:val="auto"/>
        </w:rPr>
      </w:pPr>
      <w:r>
        <w:rPr>
          <w:rFonts w:ascii="Arial" w:cs="Arial" w:eastAsia="Arial" w:hAnsi="Arial"/>
          <w:sz w:val="14"/>
          <w:szCs w:val="14"/>
          <w:b w:val="1"/>
          <w:bCs w:val="1"/>
          <w:color w:val="auto"/>
        </w:rPr>
        <w:t>Monthly accounting period ended _______________, 201__</w:t>
      </w:r>
    </w:p>
    <w:p>
      <w:pPr>
        <w:spacing w:after="0" w:line="208" w:lineRule="exact"/>
        <w:rPr>
          <w:sz w:val="20"/>
          <w:szCs w:val="20"/>
          <w:color w:val="auto"/>
        </w:rPr>
      </w:pPr>
    </w:p>
    <w:p>
      <w:pPr>
        <w:jc w:val="both"/>
        <w:ind w:firstLine="864"/>
        <w:spacing w:after="0" w:line="264" w:lineRule="auto"/>
        <w:rPr>
          <w:sz w:val="20"/>
          <w:szCs w:val="20"/>
          <w:color w:val="auto"/>
        </w:rPr>
      </w:pPr>
      <w:r>
        <w:rPr>
          <w:rFonts w:ascii="Arial" w:cs="Arial" w:eastAsia="Arial" w:hAnsi="Arial"/>
          <w:sz w:val="13"/>
          <w:szCs w:val="13"/>
          <w:color w:val="auto"/>
        </w:rPr>
        <w:t>Reference is made to that certain Second Amended and Restated Senior Secured Revolving Credit Agreement, dated as of June 25, 2014 (as amended, restated, supplemented or otherwise modified from time to time, the “</w:t>
      </w:r>
      <w:r>
        <w:rPr>
          <w:rFonts w:ascii="Arial" w:cs="Arial" w:eastAsia="Arial" w:hAnsi="Arial"/>
          <w:sz w:val="13"/>
          <w:szCs w:val="13"/>
          <w:u w:val="single" w:color="auto"/>
          <w:color w:val="auto"/>
        </w:rPr>
        <w:t>Credit Agreement</w:t>
      </w:r>
      <w:r>
        <w:rPr>
          <w:rFonts w:ascii="Arial" w:cs="Arial" w:eastAsia="Arial" w:hAnsi="Arial"/>
          <w:sz w:val="13"/>
          <w:szCs w:val="13"/>
          <w:color w:val="auto"/>
        </w:rPr>
        <w:t>”), by and among PENNANTPARK INVESTMENT CORPORATION, a Maryland corporation (the “</w:t>
      </w:r>
      <w:r>
        <w:rPr>
          <w:rFonts w:ascii="Arial" w:cs="Arial" w:eastAsia="Arial" w:hAnsi="Arial"/>
          <w:sz w:val="13"/>
          <w:szCs w:val="13"/>
          <w:u w:val="single" w:color="auto"/>
          <w:color w:val="auto"/>
        </w:rPr>
        <w:t>Borrower</w:t>
      </w:r>
      <w:r>
        <w:rPr>
          <w:rFonts w:ascii="Arial" w:cs="Arial" w:eastAsia="Arial" w:hAnsi="Arial"/>
          <w:sz w:val="13"/>
          <w:szCs w:val="13"/>
          <w:color w:val="auto"/>
        </w:rPr>
        <w:t>”), the financial institutions party thereto as Lenders, and SunTrust Bank, as the Administrative Agent. Capitalized terms used herein without definition are so used as defined in the Credit Agreement.</w:t>
      </w:r>
    </w:p>
    <w:p>
      <w:pPr>
        <w:spacing w:after="0" w:line="16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280" w:type="dxa"/>
            <w:vAlign w:val="bottom"/>
          </w:tcPr>
          <w:p>
            <w:pPr>
              <w:ind w:left="880"/>
              <w:spacing w:after="0"/>
              <w:rPr>
                <w:sz w:val="20"/>
                <w:szCs w:val="20"/>
                <w:color w:val="auto"/>
              </w:rPr>
            </w:pPr>
            <w:r>
              <w:rPr>
                <w:rFonts w:ascii="Arial" w:cs="Arial" w:eastAsia="Arial" w:hAnsi="Arial"/>
                <w:sz w:val="14"/>
                <w:szCs w:val="14"/>
                <w:color w:val="auto"/>
                <w:w w:val="95"/>
              </w:rPr>
              <w:t>Pursuant to Section 5.01(d) of the Credit Agreement, the undersigned, the</w:t>
            </w:r>
          </w:p>
        </w:tc>
        <w:tc>
          <w:tcPr>
            <w:tcW w:w="1020" w:type="dxa"/>
            <w:vAlign w:val="bottom"/>
            <w:tcBorders>
              <w:bottom w:val="single" w:sz="8" w:color="auto"/>
            </w:tcBorders>
          </w:tcPr>
          <w:p>
            <w:pPr>
              <w:spacing w:after="0"/>
              <w:rPr>
                <w:sz w:val="14"/>
                <w:szCs w:val="14"/>
                <w:color w:val="auto"/>
              </w:rPr>
            </w:pPr>
          </w:p>
        </w:tc>
        <w:tc>
          <w:tcPr>
            <w:tcW w:w="4920" w:type="dxa"/>
            <w:vAlign w:val="bottom"/>
            <w:gridSpan w:val="2"/>
          </w:tcPr>
          <w:p>
            <w:pPr>
              <w:jc w:val="right"/>
              <w:spacing w:after="0"/>
              <w:rPr>
                <w:sz w:val="20"/>
                <w:szCs w:val="20"/>
                <w:color w:val="auto"/>
              </w:rPr>
            </w:pPr>
            <w:r>
              <w:rPr>
                <w:rFonts w:ascii="Arial" w:cs="Arial" w:eastAsia="Arial" w:hAnsi="Arial"/>
                <w:sz w:val="14"/>
                <w:szCs w:val="14"/>
                <w:color w:val="auto"/>
                <w:w w:val="97"/>
              </w:rPr>
              <w:t>of the Borrower, and as such a Financial Officer of the Borrower, hereby certifies,</w:t>
            </w:r>
          </w:p>
        </w:tc>
      </w:tr>
      <w:tr>
        <w:trPr>
          <w:trHeight w:val="135"/>
        </w:trPr>
        <w:tc>
          <w:tcPr>
            <w:tcW w:w="5280" w:type="dxa"/>
            <w:vAlign w:val="bottom"/>
          </w:tcPr>
          <w:p>
            <w:pPr>
              <w:spacing w:after="0" w:line="135" w:lineRule="exact"/>
              <w:rPr>
                <w:sz w:val="20"/>
                <w:szCs w:val="20"/>
                <w:color w:val="auto"/>
              </w:rPr>
            </w:pPr>
            <w:r>
              <w:rPr>
                <w:rFonts w:ascii="Arial" w:cs="Arial" w:eastAsia="Arial" w:hAnsi="Arial"/>
                <w:sz w:val="14"/>
                <w:szCs w:val="14"/>
                <w:color w:val="auto"/>
                <w:w w:val="92"/>
              </w:rPr>
              <w:t xml:space="preserve">represents and warrants on behalf of the Borrower that (a) attached hereto as </w:t>
            </w:r>
            <w:r>
              <w:rPr>
                <w:rFonts w:ascii="Arial" w:cs="Arial" w:eastAsia="Arial" w:hAnsi="Arial"/>
                <w:sz w:val="14"/>
                <w:szCs w:val="14"/>
                <w:u w:val="single" w:color="auto"/>
                <w:color w:val="auto"/>
                <w:w w:val="92"/>
              </w:rPr>
              <w:t>Annex 1</w:t>
            </w:r>
            <w:r>
              <w:rPr>
                <w:rFonts w:ascii="Arial" w:cs="Arial" w:eastAsia="Arial" w:hAnsi="Arial"/>
                <w:sz w:val="14"/>
                <w:szCs w:val="14"/>
                <w:color w:val="auto"/>
                <w:w w:val="92"/>
              </w:rPr>
              <w:t xml:space="preserve"> is (i)</w:t>
            </w:r>
          </w:p>
        </w:tc>
        <w:tc>
          <w:tcPr>
            <w:tcW w:w="1020" w:type="dxa"/>
            <w:vAlign w:val="bottom"/>
          </w:tcPr>
          <w:p>
            <w:pPr>
              <w:ind w:left="40"/>
              <w:spacing w:after="0" w:line="135" w:lineRule="exact"/>
              <w:rPr>
                <w:sz w:val="20"/>
                <w:szCs w:val="20"/>
                <w:color w:val="auto"/>
              </w:rPr>
            </w:pPr>
            <w:r>
              <w:rPr>
                <w:rFonts w:ascii="Arial" w:cs="Arial" w:eastAsia="Arial" w:hAnsi="Arial"/>
                <w:sz w:val="14"/>
                <w:szCs w:val="14"/>
                <w:color w:val="auto"/>
              </w:rPr>
              <w:t>a complete and</w:t>
            </w:r>
          </w:p>
        </w:tc>
        <w:tc>
          <w:tcPr>
            <w:tcW w:w="4060" w:type="dxa"/>
            <w:vAlign w:val="bottom"/>
          </w:tcPr>
          <w:p>
            <w:pPr>
              <w:spacing w:after="0" w:line="135" w:lineRule="exact"/>
              <w:rPr>
                <w:sz w:val="20"/>
                <w:szCs w:val="20"/>
                <w:color w:val="auto"/>
              </w:rPr>
            </w:pPr>
            <w:r>
              <w:rPr>
                <w:rFonts w:ascii="Arial" w:cs="Arial" w:eastAsia="Arial" w:hAnsi="Arial"/>
                <w:sz w:val="14"/>
                <w:szCs w:val="14"/>
                <w:color w:val="auto"/>
              </w:rPr>
              <w:t>correct list as at the end of the monthly accounting period ended</w:t>
            </w:r>
          </w:p>
        </w:tc>
        <w:tc>
          <w:tcPr>
            <w:tcW w:w="860" w:type="dxa"/>
            <w:vAlign w:val="bottom"/>
          </w:tcPr>
          <w:p>
            <w:pPr>
              <w:jc w:val="right"/>
              <w:ind w:right="68"/>
              <w:spacing w:after="0" w:line="135" w:lineRule="exact"/>
              <w:rPr>
                <w:sz w:val="20"/>
                <w:szCs w:val="20"/>
                <w:color w:val="auto"/>
              </w:rPr>
            </w:pPr>
            <w:r>
              <w:rPr>
                <w:rFonts w:ascii="Arial" w:cs="Arial" w:eastAsia="Arial" w:hAnsi="Arial"/>
                <w:sz w:val="14"/>
                <w:szCs w:val="14"/>
                <w:color w:val="auto"/>
              </w:rPr>
              <w:t>, 201</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6338570</wp:posOffset>
            </wp:positionH>
            <wp:positionV relativeFrom="paragraph">
              <wp:posOffset>-3810</wp:posOffset>
            </wp:positionV>
            <wp:extent cx="796290" cy="8255"/>
            <wp:wrapNone/>
            <wp:docPr id="267" name="Picture 2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7"/>
                    <pic:cNvPicPr>
                      <a:picLocks noChangeAspect="1" noChangeArrowheads="1"/>
                    </pic:cNvPicPr>
                  </pic:nvPicPr>
                  <pic:blipFill>
                    <a:blip r:embed="rId274">
                      <a:extLst>
                        <a:ext uri="{28A0092B-C50C-407E-A947-70E740481C1C}"/>
                      </a:extLst>
                    </a:blip>
                    <a:srcRect/>
                    <a:stretch>
                      <a:fillRect/>
                    </a:stretch>
                  </pic:blipFill>
                  <pic:spPr bwMode="auto">
                    <a:xfrm>
                      <a:off x="0" y="0"/>
                      <a:ext cx="796290" cy="8255"/>
                    </a:xfrm>
                    <a:prstGeom prst="rect">
                      <a:avLst/>
                    </a:prstGeom>
                    <a:noFill/>
                  </pic:spPr>
                </pic:pic>
              </a:graphicData>
            </a:graphic>
          </wp:anchor>
        </w:drawing>
      </w:r>
    </w:p>
    <w:p>
      <w:pPr>
        <w:jc w:val="both"/>
        <w:spacing w:after="0" w:line="232" w:lineRule="auto"/>
        <w:rPr>
          <w:sz w:val="20"/>
          <w:szCs w:val="20"/>
          <w:color w:val="auto"/>
        </w:rPr>
      </w:pPr>
      <w:r>
        <w:rPr>
          <w:rFonts w:ascii="Arial" w:cs="Arial" w:eastAsia="Arial" w:hAnsi="Arial"/>
          <w:sz w:val="14"/>
          <w:szCs w:val="14"/>
          <w:color w:val="auto"/>
        </w:rPr>
        <w:t>of all Portfolio Investments included in the Collateral and (ii) a true and correct calculation of the Borrowing Base as at the end of such monthly accounting period determined in accordance with the requirements of the Credit Agreement, and (b) without limiting the generality of the foregoing, all Portfolio Investments included in the calculation of the Borrowing Base herein have been Delivered (as defined in the Guarantee and Security Agreement) to the Collateral Agent.</w:t>
      </w:r>
    </w:p>
    <w:p>
      <w:pPr>
        <w:spacing w:after="0" w:line="183" w:lineRule="exact"/>
        <w:rPr>
          <w:sz w:val="20"/>
          <w:szCs w:val="20"/>
          <w:color w:val="auto"/>
        </w:rPr>
      </w:pPr>
    </w:p>
    <w:p>
      <w:pPr>
        <w:ind w:left="880"/>
        <w:spacing w:after="0"/>
        <w:tabs>
          <w:tab w:leader="none" w:pos="7380" w:val="left"/>
          <w:tab w:leader="none" w:pos="8540" w:val="left"/>
          <w:tab w:leader="none" w:pos="8980" w:val="left"/>
        </w:tabs>
        <w:rPr>
          <w:sz w:val="20"/>
          <w:szCs w:val="20"/>
          <w:color w:val="auto"/>
        </w:rPr>
      </w:pPr>
      <w:r>
        <w:rPr>
          <w:rFonts w:ascii="Arial" w:cs="Arial" w:eastAsia="Arial" w:hAnsi="Arial"/>
          <w:sz w:val="14"/>
          <w:szCs w:val="14"/>
          <w:color w:val="auto"/>
        </w:rPr>
        <w:t>IN WITNESS WHEREOF, the undersigned has caused this certificate to be duly executed as of the</w:t>
      </w:r>
      <w:r>
        <w:rPr>
          <w:sz w:val="20"/>
          <w:szCs w:val="20"/>
          <w:color w:val="auto"/>
        </w:rPr>
        <w:tab/>
      </w:r>
      <w:r>
        <w:rPr>
          <w:rFonts w:ascii="Arial" w:cs="Arial" w:eastAsia="Arial" w:hAnsi="Arial"/>
          <w:sz w:val="14"/>
          <w:szCs w:val="14"/>
          <w:color w:val="auto"/>
        </w:rPr>
        <w:t>day of</w:t>
      </w:r>
      <w:r>
        <w:rPr>
          <w:sz w:val="20"/>
          <w:szCs w:val="20"/>
          <w:color w:val="auto"/>
        </w:rPr>
        <w:tab/>
      </w:r>
      <w:r>
        <w:rPr>
          <w:rFonts w:ascii="Arial" w:cs="Arial" w:eastAsia="Arial" w:hAnsi="Arial"/>
          <w:sz w:val="14"/>
          <w:szCs w:val="14"/>
          <w:color w:val="auto"/>
        </w:rPr>
        <w:t>, 201</w:t>
        <w:tab/>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4201795</wp:posOffset>
            </wp:positionH>
            <wp:positionV relativeFrom="paragraph">
              <wp:posOffset>-3810</wp:posOffset>
            </wp:positionV>
            <wp:extent cx="1509395" cy="8255"/>
            <wp:wrapNone/>
            <wp:docPr id="268" name="Picture 2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8"/>
                    <pic:cNvPicPr>
                      <a:picLocks noChangeAspect="1" noChangeArrowheads="1"/>
                    </pic:cNvPicPr>
                  </pic:nvPicPr>
                  <pic:blipFill>
                    <a:blip r:embed="rId275">
                      <a:extLst>
                        <a:ext uri="{28A0092B-C50C-407E-A947-70E740481C1C}"/>
                      </a:extLst>
                    </a:blip>
                    <a:srcRect/>
                    <a:stretch>
                      <a:fillRect/>
                    </a:stretch>
                  </pic:blipFill>
                  <pic:spPr bwMode="auto">
                    <a:xfrm>
                      <a:off x="0" y="0"/>
                      <a:ext cx="1509395" cy="8255"/>
                    </a:xfrm>
                    <a:prstGeom prst="rect">
                      <a:avLst/>
                    </a:prstGeom>
                    <a:noFill/>
                  </pic:spPr>
                </pic:pic>
              </a:graphicData>
            </a:graphic>
          </wp:anchor>
        </w:drawing>
      </w:r>
    </w:p>
    <w:p>
      <w:pPr>
        <w:spacing w:after="0" w:line="116" w:lineRule="exact"/>
        <w:rPr>
          <w:sz w:val="20"/>
          <w:szCs w:val="20"/>
          <w:color w:val="auto"/>
        </w:rPr>
      </w:pPr>
    </w:p>
    <w:p>
      <w:pPr>
        <w:ind w:left="6080"/>
        <w:spacing w:after="0"/>
        <w:rPr>
          <w:sz w:val="20"/>
          <w:szCs w:val="20"/>
          <w:color w:val="auto"/>
        </w:rPr>
      </w:pPr>
      <w:r>
        <w:rPr>
          <w:rFonts w:ascii="Arial" w:cs="Arial" w:eastAsia="Arial" w:hAnsi="Arial"/>
          <w:sz w:val="14"/>
          <w:szCs w:val="14"/>
          <w:color w:val="auto"/>
        </w:rPr>
        <w:t>PENNANTPARK INVESTMENT CORPORATION</w:t>
      </w:r>
    </w:p>
    <w:p>
      <w:pPr>
        <w:spacing w:after="0" w:line="136" w:lineRule="exact"/>
        <w:rPr>
          <w:sz w:val="20"/>
          <w:szCs w:val="20"/>
          <w:color w:val="auto"/>
        </w:rPr>
      </w:pPr>
    </w:p>
    <w:p>
      <w:pPr>
        <w:ind w:left="6080"/>
        <w:spacing w:after="0"/>
        <w:rPr>
          <w:sz w:val="20"/>
          <w:szCs w:val="20"/>
          <w:color w:val="auto"/>
        </w:rPr>
      </w:pPr>
      <w:r>
        <w:rPr>
          <w:rFonts w:ascii="Arial" w:cs="Arial" w:eastAsia="Arial" w:hAnsi="Arial"/>
          <w:sz w:val="14"/>
          <w:szCs w:val="14"/>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4359910</wp:posOffset>
            </wp:positionH>
            <wp:positionV relativeFrom="paragraph">
              <wp:posOffset>3810</wp:posOffset>
            </wp:positionV>
            <wp:extent cx="2777490" cy="8255"/>
            <wp:wrapNone/>
            <wp:docPr id="269" name="Picture 2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9"/>
                    <pic:cNvPicPr>
                      <a:picLocks noChangeAspect="1" noChangeArrowheads="1"/>
                    </pic:cNvPicPr>
                  </pic:nvPicPr>
                  <pic:blipFill>
                    <a:blip r:embed="rId276">
                      <a:extLst>
                        <a:ext uri="{28A0092B-C50C-407E-A947-70E740481C1C}"/>
                      </a:extLst>
                    </a:blip>
                    <a:srcRect/>
                    <a:stretch>
                      <a:fillRect/>
                    </a:stretch>
                  </pic:blipFill>
                  <pic:spPr bwMode="auto">
                    <a:xfrm>
                      <a:off x="0" y="0"/>
                      <a:ext cx="2777490" cy="8255"/>
                    </a:xfrm>
                    <a:prstGeom prst="rect">
                      <a:avLst/>
                    </a:prstGeom>
                    <a:noFill/>
                  </pic:spPr>
                </pic:pic>
              </a:graphicData>
            </a:graphic>
          </wp:anchor>
        </w:drawing>
      </w:r>
    </w:p>
    <w:p>
      <w:pPr>
        <w:ind w:left="6080"/>
        <w:spacing w:after="0"/>
        <w:rPr>
          <w:sz w:val="20"/>
          <w:szCs w:val="20"/>
          <w:color w:val="auto"/>
        </w:rPr>
      </w:pPr>
      <w:r>
        <w:rPr>
          <w:rFonts w:ascii="Arial" w:cs="Arial" w:eastAsia="Arial" w:hAnsi="Arial"/>
          <w:sz w:val="14"/>
          <w:szCs w:val="14"/>
          <w:color w:val="auto"/>
        </w:rPr>
        <w:t>Name:</w:t>
      </w:r>
    </w:p>
    <w:p>
      <w:pPr>
        <w:ind w:left="6080"/>
        <w:spacing w:after="0"/>
        <w:rPr>
          <w:sz w:val="20"/>
          <w:szCs w:val="20"/>
          <w:color w:val="auto"/>
        </w:rPr>
      </w:pPr>
      <w:r>
        <w:rPr>
          <w:rFonts w:ascii="Arial" w:cs="Arial" w:eastAsia="Arial" w:hAnsi="Arial"/>
          <w:sz w:val="14"/>
          <w:szCs w:val="14"/>
          <w:color w:val="auto"/>
        </w:rPr>
        <w:t>Title: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622300</wp:posOffset>
            </wp:positionV>
            <wp:extent cx="7149465" cy="17145"/>
            <wp:wrapNone/>
            <wp:docPr id="270" name="Picture 2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0"/>
                    <pic:cNvPicPr>
                      <a:picLocks noChangeAspect="1" noChangeArrowheads="1"/>
                    </pic:cNvPicPr>
                  </pic:nvPicPr>
                  <pic:blipFill>
                    <a:blip r:embed="rId277">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333" w:right="339" w:bottom="1440" w:gutter="0" w:footer="0" w:header="0"/>
        </w:sectPr>
      </w:pPr>
    </w:p>
    <w:bookmarkStart w:id="145" w:name="page146"/>
    <w:bookmarkEnd w:id="145"/>
    <w:p>
      <w:pPr>
        <w:jc w:val="center"/>
        <w:spacing w:after="0"/>
        <w:rPr>
          <w:sz w:val="20"/>
          <w:szCs w:val="20"/>
          <w:color w:val="auto"/>
        </w:rPr>
      </w:pPr>
      <w:r>
        <w:rPr>
          <w:rFonts w:ascii="Arial" w:cs="Arial" w:eastAsia="Arial" w:hAnsi="Arial"/>
          <w:sz w:val="14"/>
          <w:szCs w:val="14"/>
          <w:b w:val="1"/>
          <w:bCs w:val="1"/>
          <w:color w:val="auto"/>
        </w:rPr>
        <w:t>EXHIBIT C</w:t>
      </w:r>
    </w:p>
    <w:p>
      <w:pPr>
        <w:spacing w:after="0" w:line="204"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BORROWING REQUEST</w:t>
      </w:r>
    </w:p>
    <w:p>
      <w:pPr>
        <w:spacing w:after="0" w:line="208" w:lineRule="exact"/>
        <w:rPr>
          <w:sz w:val="20"/>
          <w:szCs w:val="20"/>
          <w:color w:val="auto"/>
        </w:rPr>
      </w:pPr>
    </w:p>
    <w:p>
      <w:pPr>
        <w:ind w:left="9640"/>
        <w:spacing w:after="0"/>
        <w:rPr>
          <w:sz w:val="20"/>
          <w:szCs w:val="20"/>
          <w:color w:val="auto"/>
        </w:rPr>
      </w:pPr>
      <w:r>
        <w:rPr>
          <w:rFonts w:ascii="Arial" w:cs="Arial" w:eastAsia="Arial" w:hAnsi="Arial"/>
          <w:sz w:val="12"/>
          <w:szCs w:val="12"/>
          <w:color w:val="auto"/>
        </w:rPr>
        <w:t>Date:____________, _____</w:t>
      </w:r>
    </w:p>
    <w:p>
      <w:pPr>
        <w:spacing w:after="0" w:line="227" w:lineRule="exact"/>
        <w:rPr>
          <w:sz w:val="20"/>
          <w:szCs w:val="20"/>
          <w:color w:val="auto"/>
        </w:rPr>
      </w:pPr>
    </w:p>
    <w:p>
      <w:pPr>
        <w:ind w:left="880"/>
        <w:spacing w:after="0"/>
        <w:rPr>
          <w:sz w:val="20"/>
          <w:szCs w:val="20"/>
          <w:color w:val="auto"/>
        </w:rPr>
      </w:pPr>
      <w:r>
        <w:rPr>
          <w:rFonts w:ascii="Arial" w:cs="Arial" w:eastAsia="Arial" w:hAnsi="Arial"/>
          <w:sz w:val="14"/>
          <w:szCs w:val="14"/>
          <w:color w:val="auto"/>
        </w:rPr>
        <w:t>To: SunTrust Bank, as Administrative Agent</w:t>
      </w:r>
    </w:p>
    <w:p>
      <w:pPr>
        <w:spacing w:after="0" w:line="204" w:lineRule="exact"/>
        <w:rPr>
          <w:sz w:val="20"/>
          <w:szCs w:val="20"/>
          <w:color w:val="auto"/>
        </w:rPr>
      </w:pPr>
    </w:p>
    <w:p>
      <w:pPr>
        <w:ind w:left="880"/>
        <w:spacing w:after="0"/>
        <w:rPr>
          <w:sz w:val="20"/>
          <w:szCs w:val="20"/>
          <w:color w:val="auto"/>
        </w:rPr>
      </w:pPr>
      <w:r>
        <w:rPr>
          <w:rFonts w:ascii="Arial" w:cs="Arial" w:eastAsia="Arial" w:hAnsi="Arial"/>
          <w:sz w:val="14"/>
          <w:szCs w:val="14"/>
          <w:color w:val="auto"/>
        </w:rPr>
        <w:t>Ladies and Gentlemen:</w:t>
      </w:r>
    </w:p>
    <w:p>
      <w:pPr>
        <w:spacing w:after="0" w:line="204" w:lineRule="exact"/>
        <w:rPr>
          <w:sz w:val="20"/>
          <w:szCs w:val="20"/>
          <w:color w:val="auto"/>
        </w:rPr>
      </w:pPr>
    </w:p>
    <w:p>
      <w:pPr>
        <w:jc w:val="both"/>
        <w:ind w:firstLine="864"/>
        <w:spacing w:after="0" w:line="264" w:lineRule="auto"/>
        <w:rPr>
          <w:sz w:val="20"/>
          <w:szCs w:val="20"/>
          <w:color w:val="auto"/>
        </w:rPr>
      </w:pPr>
      <w:r>
        <w:rPr>
          <w:rFonts w:ascii="Arial" w:cs="Arial" w:eastAsia="Arial" w:hAnsi="Arial"/>
          <w:sz w:val="13"/>
          <w:szCs w:val="13"/>
          <w:color w:val="auto"/>
        </w:rPr>
        <w:t>Reference is made to that certain Second Amended and Restated Senior Secured Revolving Credit Agreement, dated as of June 25, 2014 (as amended, restated, supplemented or otherwise modified from time to time, the “</w:t>
      </w:r>
      <w:r>
        <w:rPr>
          <w:rFonts w:ascii="Arial" w:cs="Arial" w:eastAsia="Arial" w:hAnsi="Arial"/>
          <w:sz w:val="13"/>
          <w:szCs w:val="13"/>
          <w:u w:val="single" w:color="auto"/>
          <w:color w:val="auto"/>
        </w:rPr>
        <w:t>Credit Agreement</w:t>
      </w:r>
      <w:r>
        <w:rPr>
          <w:rFonts w:ascii="Arial" w:cs="Arial" w:eastAsia="Arial" w:hAnsi="Arial"/>
          <w:sz w:val="13"/>
          <w:szCs w:val="13"/>
          <w:color w:val="auto"/>
        </w:rPr>
        <w:t>”), by and among PENNANTPARK INVESTMENT CORPORATION, a Maryland corporation (the “</w:t>
      </w:r>
      <w:r>
        <w:rPr>
          <w:rFonts w:ascii="Arial" w:cs="Arial" w:eastAsia="Arial" w:hAnsi="Arial"/>
          <w:sz w:val="13"/>
          <w:szCs w:val="13"/>
          <w:u w:val="single" w:color="auto"/>
          <w:color w:val="auto"/>
        </w:rPr>
        <w:t>Borrower</w:t>
      </w:r>
      <w:r>
        <w:rPr>
          <w:rFonts w:ascii="Arial" w:cs="Arial" w:eastAsia="Arial" w:hAnsi="Arial"/>
          <w:sz w:val="13"/>
          <w:szCs w:val="13"/>
          <w:color w:val="auto"/>
        </w:rPr>
        <w:t>”), the financial institutions party thereto as Lenders, and SunTrust Bank, as the Administrative Agent. Capitalized terms used herein without definition are so used as defined in the Credit Agreement.</w:t>
      </w:r>
    </w:p>
    <w:p>
      <w:pPr>
        <w:spacing w:after="0" w:line="168" w:lineRule="exact"/>
        <w:rPr>
          <w:sz w:val="20"/>
          <w:szCs w:val="20"/>
          <w:color w:val="auto"/>
        </w:rPr>
      </w:pPr>
    </w:p>
    <w:p>
      <w:pPr>
        <w:ind w:left="880"/>
        <w:spacing w:after="0"/>
        <w:rPr>
          <w:sz w:val="20"/>
          <w:szCs w:val="20"/>
          <w:color w:val="auto"/>
        </w:rPr>
      </w:pPr>
      <w:r>
        <w:rPr>
          <w:rFonts w:ascii="Arial" w:cs="Arial" w:eastAsia="Arial" w:hAnsi="Arial"/>
          <w:sz w:val="14"/>
          <w:szCs w:val="14"/>
          <w:color w:val="auto"/>
        </w:rPr>
        <w:t>The Borrower hereby requests a Borrowing of Loans:</w:t>
      </w:r>
    </w:p>
    <w:p>
      <w:pPr>
        <w:spacing w:after="0" w:line="196" w:lineRule="exact"/>
        <w:rPr>
          <w:sz w:val="20"/>
          <w:szCs w:val="20"/>
          <w:color w:val="auto"/>
        </w:rPr>
      </w:pPr>
    </w:p>
    <w:tbl>
      <w:tblPr>
        <w:tblLayout w:type="fixed"/>
        <w:tblInd w:w="860" w:type="dxa"/>
        <w:tblCellMar>
          <w:top w:w="0" w:type="dxa"/>
          <w:left w:w="0" w:type="dxa"/>
          <w:bottom w:w="0" w:type="dxa"/>
          <w:right w:w="0" w:type="dxa"/>
        </w:tblCellMar>
      </w:tblPr>
      <w:tr>
        <w:trPr>
          <w:trHeight w:val="161"/>
        </w:trPr>
        <w:tc>
          <w:tcPr>
            <w:tcW w:w="480" w:type="dxa"/>
            <w:vAlign w:val="bottom"/>
          </w:tcPr>
          <w:p>
            <w:pPr>
              <w:jc w:val="right"/>
              <w:ind w:right="313"/>
              <w:spacing w:after="0"/>
              <w:rPr>
                <w:sz w:val="20"/>
                <w:szCs w:val="20"/>
                <w:color w:val="auto"/>
              </w:rPr>
            </w:pPr>
            <w:r>
              <w:rPr>
                <w:rFonts w:ascii="Arial" w:cs="Arial" w:eastAsia="Arial" w:hAnsi="Arial"/>
                <w:sz w:val="13"/>
                <w:szCs w:val="13"/>
                <w:color w:val="auto"/>
                <w:w w:val="73"/>
              </w:rPr>
              <w:t>1.</w:t>
            </w:r>
          </w:p>
        </w:tc>
        <w:tc>
          <w:tcPr>
            <w:tcW w:w="580" w:type="dxa"/>
            <w:vAlign w:val="bottom"/>
          </w:tcPr>
          <w:p>
            <w:pPr>
              <w:ind w:left="360"/>
              <w:spacing w:after="0"/>
              <w:rPr>
                <w:sz w:val="20"/>
                <w:szCs w:val="20"/>
                <w:color w:val="auto"/>
              </w:rPr>
            </w:pPr>
            <w:r>
              <w:rPr>
                <w:rFonts w:ascii="Arial" w:cs="Arial" w:eastAsia="Arial" w:hAnsi="Arial"/>
                <w:sz w:val="14"/>
                <w:szCs w:val="14"/>
                <w:color w:val="auto"/>
              </w:rPr>
              <w:t>On</w:t>
            </w:r>
          </w:p>
        </w:tc>
        <w:tc>
          <w:tcPr>
            <w:tcW w:w="760" w:type="dxa"/>
            <w:vAlign w:val="bottom"/>
            <w:tcBorders>
              <w:bottom w:val="single" w:sz="8" w:color="auto"/>
            </w:tcBorders>
            <w:gridSpan w:val="2"/>
          </w:tcPr>
          <w:p>
            <w:pPr>
              <w:spacing w:after="0"/>
              <w:rPr>
                <w:sz w:val="14"/>
                <w:szCs w:val="14"/>
                <w:color w:val="auto"/>
              </w:rPr>
            </w:pPr>
          </w:p>
        </w:tc>
        <w:tc>
          <w:tcPr>
            <w:tcW w:w="20" w:type="dxa"/>
            <w:vAlign w:val="bottom"/>
          </w:tcPr>
          <w:p>
            <w:pPr>
              <w:spacing w:after="0"/>
              <w:rPr>
                <w:sz w:val="14"/>
                <w:szCs w:val="14"/>
                <w:color w:val="auto"/>
              </w:rPr>
            </w:pPr>
          </w:p>
        </w:tc>
        <w:tc>
          <w:tcPr>
            <w:tcW w:w="2540" w:type="dxa"/>
            <w:vAlign w:val="bottom"/>
            <w:gridSpan w:val="7"/>
          </w:tcPr>
          <w:p>
            <w:pPr>
              <w:jc w:val="right"/>
              <w:ind w:right="1428"/>
              <w:spacing w:after="0"/>
              <w:rPr>
                <w:sz w:val="20"/>
                <w:szCs w:val="20"/>
                <w:color w:val="auto"/>
              </w:rPr>
            </w:pPr>
            <w:r>
              <w:rPr>
                <w:rFonts w:ascii="Arial" w:cs="Arial" w:eastAsia="Arial" w:hAnsi="Arial"/>
                <w:sz w:val="14"/>
                <w:szCs w:val="14"/>
                <w:color w:val="auto"/>
                <w:w w:val="92"/>
              </w:rPr>
              <w:t>(a Business Day).</w:t>
            </w:r>
          </w:p>
        </w:tc>
      </w:tr>
      <w:tr>
        <w:trPr>
          <w:trHeight w:val="344"/>
        </w:trPr>
        <w:tc>
          <w:tcPr>
            <w:tcW w:w="480" w:type="dxa"/>
            <w:vAlign w:val="bottom"/>
          </w:tcPr>
          <w:p>
            <w:pPr>
              <w:jc w:val="right"/>
              <w:ind w:right="313"/>
              <w:spacing w:after="0"/>
              <w:rPr>
                <w:sz w:val="20"/>
                <w:szCs w:val="20"/>
                <w:color w:val="auto"/>
              </w:rPr>
            </w:pPr>
            <w:r>
              <w:rPr>
                <w:rFonts w:ascii="Arial" w:cs="Arial" w:eastAsia="Arial" w:hAnsi="Arial"/>
                <w:sz w:val="13"/>
                <w:szCs w:val="13"/>
                <w:color w:val="auto"/>
                <w:w w:val="73"/>
              </w:rPr>
              <w:t>2.</w:t>
            </w:r>
          </w:p>
        </w:tc>
        <w:tc>
          <w:tcPr>
            <w:tcW w:w="1340" w:type="dxa"/>
            <w:vAlign w:val="bottom"/>
            <w:gridSpan w:val="3"/>
          </w:tcPr>
          <w:p>
            <w:pPr>
              <w:ind w:left="360"/>
              <w:spacing w:after="0"/>
              <w:rPr>
                <w:sz w:val="20"/>
                <w:szCs w:val="20"/>
                <w:color w:val="auto"/>
              </w:rPr>
            </w:pPr>
            <w:r>
              <w:rPr>
                <w:rFonts w:ascii="Arial" w:cs="Arial" w:eastAsia="Arial" w:hAnsi="Arial"/>
                <w:sz w:val="14"/>
                <w:szCs w:val="14"/>
                <w:color w:val="auto"/>
                <w:w w:val="94"/>
              </w:rPr>
              <w:t>In the amount of</w:t>
            </w:r>
          </w:p>
        </w:tc>
        <w:tc>
          <w:tcPr>
            <w:tcW w:w="20" w:type="dxa"/>
            <w:vAlign w:val="bottom"/>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320" w:type="dxa"/>
            <w:vAlign w:val="bottom"/>
          </w:tcPr>
          <w:p>
            <w:pPr>
              <w:spacing w:after="0"/>
              <w:rPr>
                <w:sz w:val="20"/>
                <w:szCs w:val="20"/>
                <w:color w:val="auto"/>
              </w:rPr>
            </w:pPr>
            <w:r>
              <w:rPr>
                <w:rFonts w:ascii="Arial" w:cs="Arial" w:eastAsia="Arial" w:hAnsi="Arial"/>
                <w:sz w:val="14"/>
                <w:szCs w:val="14"/>
                <w:color w:val="auto"/>
              </w:rPr>
              <w:t>.</w:t>
            </w:r>
          </w:p>
        </w:tc>
        <w:tc>
          <w:tcPr>
            <w:tcW w:w="2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800" w:type="dxa"/>
            <w:vAlign w:val="bottom"/>
          </w:tcPr>
          <w:p>
            <w:pPr>
              <w:spacing w:after="0"/>
              <w:rPr>
                <w:sz w:val="24"/>
                <w:szCs w:val="24"/>
                <w:color w:val="auto"/>
              </w:rPr>
            </w:pPr>
          </w:p>
        </w:tc>
      </w:tr>
      <w:tr>
        <w:trPr>
          <w:trHeight w:val="345"/>
        </w:trPr>
        <w:tc>
          <w:tcPr>
            <w:tcW w:w="480" w:type="dxa"/>
            <w:vAlign w:val="bottom"/>
          </w:tcPr>
          <w:p>
            <w:pPr>
              <w:jc w:val="right"/>
              <w:ind w:right="313"/>
              <w:spacing w:after="0"/>
              <w:rPr>
                <w:sz w:val="20"/>
                <w:szCs w:val="20"/>
                <w:color w:val="auto"/>
              </w:rPr>
            </w:pPr>
            <w:r>
              <w:rPr>
                <w:rFonts w:ascii="Arial" w:cs="Arial" w:eastAsia="Arial" w:hAnsi="Arial"/>
                <w:sz w:val="13"/>
                <w:szCs w:val="13"/>
                <w:color w:val="auto"/>
                <w:w w:val="73"/>
              </w:rPr>
              <w:t>3.</w:t>
            </w:r>
          </w:p>
        </w:tc>
        <w:tc>
          <w:tcPr>
            <w:tcW w:w="1340" w:type="dxa"/>
            <w:vAlign w:val="bottom"/>
            <w:gridSpan w:val="3"/>
          </w:tcPr>
          <w:p>
            <w:pPr>
              <w:ind w:left="360"/>
              <w:spacing w:after="0"/>
              <w:rPr>
                <w:sz w:val="20"/>
                <w:szCs w:val="20"/>
                <w:color w:val="auto"/>
              </w:rPr>
            </w:pPr>
            <w:r>
              <w:rPr>
                <w:rFonts w:ascii="Arial" w:cs="Arial" w:eastAsia="Arial" w:hAnsi="Arial"/>
                <w:sz w:val="14"/>
                <w:szCs w:val="14"/>
                <w:color w:val="auto"/>
              </w:rPr>
              <w:t>Comprised of</w:t>
            </w:r>
          </w:p>
        </w:tc>
        <w:tc>
          <w:tcPr>
            <w:tcW w:w="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780" w:type="dxa"/>
            <w:vAlign w:val="bottom"/>
            <w:gridSpan w:val="4"/>
          </w:tcPr>
          <w:p>
            <w:pPr>
              <w:jc w:val="right"/>
              <w:ind w:right="628"/>
              <w:spacing w:after="0"/>
              <w:rPr>
                <w:sz w:val="20"/>
                <w:szCs w:val="20"/>
                <w:color w:val="auto"/>
              </w:rPr>
            </w:pPr>
            <w:r>
              <w:rPr>
                <w:rFonts w:ascii="Arial" w:cs="Arial" w:eastAsia="Arial" w:hAnsi="Arial"/>
                <w:sz w:val="14"/>
                <w:szCs w:val="14"/>
                <w:color w:val="auto"/>
              </w:rPr>
              <w:t>.</w:t>
            </w:r>
            <w:r>
              <w:rPr>
                <w:rFonts w:ascii="Arial" w:cs="Arial" w:eastAsia="Arial" w:hAnsi="Arial"/>
                <w:sz w:val="12"/>
                <w:szCs w:val="12"/>
                <w:color w:val="auto"/>
              </w:rPr>
              <w:t>7</w:t>
            </w:r>
          </w:p>
        </w:tc>
      </w:tr>
      <w:tr>
        <w:trPr>
          <w:trHeight w:val="176"/>
        </w:trPr>
        <w:tc>
          <w:tcPr>
            <w:tcW w:w="48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140" w:type="dxa"/>
            <w:vAlign w:val="bottom"/>
            <w:tcBorders>
              <w:top w:val="single" w:sz="8" w:color="auto"/>
            </w:tcBorders>
          </w:tcPr>
          <w:p>
            <w:pPr>
              <w:spacing w:after="0"/>
              <w:rPr>
                <w:sz w:val="15"/>
                <w:szCs w:val="15"/>
                <w:color w:val="auto"/>
              </w:rPr>
            </w:pPr>
          </w:p>
        </w:tc>
        <w:tc>
          <w:tcPr>
            <w:tcW w:w="20" w:type="dxa"/>
            <w:vAlign w:val="bottom"/>
            <w:tcBorders>
              <w:top w:val="single" w:sz="8" w:color="auto"/>
            </w:tcBorders>
          </w:tcPr>
          <w:p>
            <w:pPr>
              <w:spacing w:after="0"/>
              <w:rPr>
                <w:sz w:val="15"/>
                <w:szCs w:val="15"/>
                <w:color w:val="auto"/>
              </w:rPr>
            </w:pPr>
          </w:p>
        </w:tc>
        <w:tc>
          <w:tcPr>
            <w:tcW w:w="320" w:type="dxa"/>
            <w:vAlign w:val="bottom"/>
            <w:tcBorders>
              <w:top w:val="single" w:sz="8" w:color="auto"/>
            </w:tcBorders>
          </w:tcPr>
          <w:p>
            <w:pPr>
              <w:spacing w:after="0"/>
              <w:rPr>
                <w:sz w:val="15"/>
                <w:szCs w:val="15"/>
                <w:color w:val="auto"/>
              </w:rPr>
            </w:pPr>
          </w:p>
        </w:tc>
        <w:tc>
          <w:tcPr>
            <w:tcW w:w="240" w:type="dxa"/>
            <w:vAlign w:val="bottom"/>
            <w:tcBorders>
              <w:top w:val="single" w:sz="8" w:color="auto"/>
            </w:tcBorders>
          </w:tcPr>
          <w:p>
            <w:pPr>
              <w:spacing w:after="0"/>
              <w:rPr>
                <w:sz w:val="15"/>
                <w:szCs w:val="15"/>
                <w:color w:val="auto"/>
              </w:rPr>
            </w:pPr>
          </w:p>
        </w:tc>
        <w:tc>
          <w:tcPr>
            <w:tcW w:w="200" w:type="dxa"/>
            <w:vAlign w:val="bottom"/>
            <w:tcBorders>
              <w:top w:val="single" w:sz="8" w:color="auto"/>
            </w:tcBorders>
          </w:tcPr>
          <w:p>
            <w:pPr>
              <w:spacing w:after="0"/>
              <w:rPr>
                <w:sz w:val="15"/>
                <w:szCs w:val="15"/>
                <w:color w:val="auto"/>
              </w:rPr>
            </w:pPr>
          </w:p>
        </w:tc>
        <w:tc>
          <w:tcPr>
            <w:tcW w:w="980" w:type="dxa"/>
            <w:vAlign w:val="bottom"/>
            <w:tcBorders>
              <w:top w:val="single" w:sz="8" w:color="auto"/>
            </w:tcBorders>
            <w:gridSpan w:val="3"/>
          </w:tcPr>
          <w:p>
            <w:pPr>
              <w:spacing w:after="0"/>
              <w:rPr>
                <w:sz w:val="20"/>
                <w:szCs w:val="20"/>
                <w:color w:val="auto"/>
              </w:rPr>
            </w:pPr>
            <w:r>
              <w:rPr>
                <w:rFonts w:ascii="Arial" w:cs="Arial" w:eastAsia="Arial" w:hAnsi="Arial"/>
                <w:sz w:val="14"/>
                <w:szCs w:val="14"/>
                <w:i w:val="1"/>
                <w:iCs w:val="1"/>
                <w:color w:val="auto"/>
                <w:w w:val="81"/>
              </w:rPr>
              <w:t>[Type of Borrowing</w:t>
            </w:r>
          </w:p>
        </w:tc>
        <w:tc>
          <w:tcPr>
            <w:tcW w:w="800" w:type="dxa"/>
            <w:vAlign w:val="bottom"/>
          </w:tcPr>
          <w:p>
            <w:pPr>
              <w:jc w:val="right"/>
              <w:spacing w:after="0"/>
              <w:rPr>
                <w:sz w:val="20"/>
                <w:szCs w:val="20"/>
                <w:color w:val="auto"/>
              </w:rPr>
            </w:pPr>
            <w:r>
              <w:rPr>
                <w:rFonts w:ascii="Arial" w:cs="Arial" w:eastAsia="Arial" w:hAnsi="Arial"/>
                <w:sz w:val="14"/>
                <w:szCs w:val="14"/>
                <w:i w:val="1"/>
                <w:iCs w:val="1"/>
                <w:color w:val="auto"/>
              </w:rPr>
              <w:t>requested]</w:t>
            </w:r>
          </w:p>
        </w:tc>
      </w:tr>
      <w:tr>
        <w:trPr>
          <w:trHeight w:val="317"/>
        </w:trPr>
        <w:tc>
          <w:tcPr>
            <w:tcW w:w="480" w:type="dxa"/>
            <w:vAlign w:val="bottom"/>
          </w:tcPr>
          <w:p>
            <w:pPr>
              <w:jc w:val="right"/>
              <w:ind w:right="313"/>
              <w:spacing w:after="0"/>
              <w:rPr>
                <w:sz w:val="20"/>
                <w:szCs w:val="20"/>
                <w:color w:val="auto"/>
              </w:rPr>
            </w:pPr>
            <w:r>
              <w:rPr>
                <w:rFonts w:ascii="Arial" w:cs="Arial" w:eastAsia="Arial" w:hAnsi="Arial"/>
                <w:sz w:val="13"/>
                <w:szCs w:val="13"/>
                <w:color w:val="auto"/>
                <w:w w:val="73"/>
              </w:rPr>
              <w:t>4.</w:t>
            </w:r>
          </w:p>
        </w:tc>
        <w:tc>
          <w:tcPr>
            <w:tcW w:w="1680" w:type="dxa"/>
            <w:vAlign w:val="bottom"/>
            <w:gridSpan w:val="5"/>
          </w:tcPr>
          <w:p>
            <w:pPr>
              <w:ind w:left="360"/>
              <w:spacing w:after="0"/>
              <w:rPr>
                <w:sz w:val="20"/>
                <w:szCs w:val="20"/>
                <w:color w:val="auto"/>
              </w:rPr>
            </w:pPr>
            <w:r>
              <w:rPr>
                <w:rFonts w:ascii="Arial" w:cs="Arial" w:eastAsia="Arial" w:hAnsi="Arial"/>
                <w:sz w:val="14"/>
                <w:szCs w:val="14"/>
                <w:color w:val="auto"/>
                <w:w w:val="97"/>
              </w:rPr>
              <w:t>Type of Commitment:</w:t>
            </w:r>
          </w:p>
        </w:tc>
        <w:tc>
          <w:tcPr>
            <w:tcW w:w="440" w:type="dxa"/>
            <w:vAlign w:val="bottom"/>
            <w:gridSpan w:val="2"/>
          </w:tcPr>
          <w:p>
            <w:pPr>
              <w:spacing w:after="0"/>
              <w:rPr>
                <w:sz w:val="24"/>
                <w:szCs w:val="24"/>
                <w:color w:val="auto"/>
              </w:rPr>
            </w:pPr>
          </w:p>
        </w:tc>
        <w:tc>
          <w:tcPr>
            <w:tcW w:w="540" w:type="dxa"/>
            <w:vAlign w:val="bottom"/>
            <w:gridSpan w:val="2"/>
          </w:tcPr>
          <w:p>
            <w:pPr>
              <w:jc w:val="right"/>
              <w:ind w:right="120"/>
              <w:spacing w:after="0"/>
              <w:rPr>
                <w:sz w:val="20"/>
                <w:szCs w:val="20"/>
                <w:color w:val="auto"/>
              </w:rPr>
            </w:pPr>
            <w:r>
              <w:rPr>
                <w:rFonts w:ascii="Arial" w:cs="Arial" w:eastAsia="Arial" w:hAnsi="Arial"/>
                <w:sz w:val="14"/>
                <w:szCs w:val="14"/>
                <w:color w:val="auto"/>
              </w:rPr>
              <w:t>.</w:t>
            </w:r>
            <w:r>
              <w:rPr>
                <w:rFonts w:ascii="Arial" w:cs="Arial" w:eastAsia="Arial" w:hAnsi="Arial"/>
                <w:sz w:val="12"/>
                <w:szCs w:val="12"/>
                <w:color w:val="auto"/>
              </w:rPr>
              <w:t>8</w:t>
            </w:r>
          </w:p>
        </w:tc>
        <w:tc>
          <w:tcPr>
            <w:tcW w:w="440" w:type="dxa"/>
            <w:vAlign w:val="bottom"/>
          </w:tcPr>
          <w:p>
            <w:pPr>
              <w:spacing w:after="0"/>
              <w:rPr>
                <w:sz w:val="24"/>
                <w:szCs w:val="24"/>
                <w:color w:val="auto"/>
              </w:rPr>
            </w:pPr>
          </w:p>
        </w:tc>
        <w:tc>
          <w:tcPr>
            <w:tcW w:w="800" w:type="dxa"/>
            <w:vAlign w:val="bottom"/>
          </w:tcPr>
          <w:p>
            <w:pPr>
              <w:spacing w:after="0"/>
              <w:rPr>
                <w:sz w:val="24"/>
                <w:szCs w:val="24"/>
                <w:color w:val="auto"/>
              </w:rPr>
            </w:pPr>
          </w:p>
        </w:tc>
      </w:tr>
      <w:tr>
        <w:trPr>
          <w:trHeight w:val="20"/>
        </w:trPr>
        <w:tc>
          <w:tcPr>
            <w:tcW w:w="480" w:type="dxa"/>
            <w:vAlign w:val="bottom"/>
          </w:tcPr>
          <w:p>
            <w:pPr>
              <w:spacing w:after="0" w:line="20" w:lineRule="exact"/>
              <w:rPr>
                <w:sz w:val="1"/>
                <w:szCs w:val="1"/>
                <w:color w:val="auto"/>
              </w:rPr>
            </w:pPr>
          </w:p>
        </w:tc>
        <w:tc>
          <w:tcPr>
            <w:tcW w:w="1680" w:type="dxa"/>
            <w:vAlign w:val="bottom"/>
            <w:gridSpan w:val="5"/>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r>
      <w:tr>
        <w:trPr>
          <w:trHeight w:val="345"/>
        </w:trPr>
        <w:tc>
          <w:tcPr>
            <w:tcW w:w="480" w:type="dxa"/>
            <w:vAlign w:val="bottom"/>
          </w:tcPr>
          <w:p>
            <w:pPr>
              <w:jc w:val="right"/>
              <w:ind w:right="313"/>
              <w:spacing w:after="0"/>
              <w:rPr>
                <w:sz w:val="20"/>
                <w:szCs w:val="20"/>
                <w:color w:val="auto"/>
              </w:rPr>
            </w:pPr>
            <w:r>
              <w:rPr>
                <w:rFonts w:ascii="Arial" w:cs="Arial" w:eastAsia="Arial" w:hAnsi="Arial"/>
                <w:sz w:val="13"/>
                <w:szCs w:val="13"/>
                <w:color w:val="auto"/>
                <w:w w:val="73"/>
              </w:rPr>
              <w:t>5.</w:t>
            </w:r>
          </w:p>
        </w:tc>
        <w:tc>
          <w:tcPr>
            <w:tcW w:w="1920" w:type="dxa"/>
            <w:vAlign w:val="bottom"/>
            <w:gridSpan w:val="6"/>
          </w:tcPr>
          <w:p>
            <w:pPr>
              <w:ind w:left="360"/>
              <w:spacing w:after="0"/>
              <w:rPr>
                <w:sz w:val="20"/>
                <w:szCs w:val="20"/>
                <w:color w:val="auto"/>
              </w:rPr>
            </w:pPr>
            <w:r>
              <w:rPr>
                <w:rFonts w:ascii="Arial" w:cs="Arial" w:eastAsia="Arial" w:hAnsi="Arial"/>
                <w:sz w:val="14"/>
                <w:szCs w:val="14"/>
                <w:color w:val="auto"/>
                <w:w w:val="99"/>
              </w:rPr>
              <w:t>In the following currency:</w:t>
            </w:r>
          </w:p>
        </w:tc>
        <w:tc>
          <w:tcPr>
            <w:tcW w:w="200" w:type="dxa"/>
            <w:vAlign w:val="bottom"/>
            <w:tcBorders>
              <w:bottom w:val="single" w:sz="8" w:color="auto"/>
            </w:tcBorders>
          </w:tcPr>
          <w:p>
            <w:pPr>
              <w:spacing w:after="0"/>
              <w:rPr>
                <w:sz w:val="24"/>
                <w:szCs w:val="24"/>
                <w:color w:val="auto"/>
              </w:rPr>
            </w:pPr>
          </w:p>
        </w:tc>
        <w:tc>
          <w:tcPr>
            <w:tcW w:w="540" w:type="dxa"/>
            <w:vAlign w:val="bottom"/>
            <w:tcBorders>
              <w:bottom w:val="single" w:sz="8" w:color="auto"/>
            </w:tcBorders>
            <w:gridSpan w:val="2"/>
          </w:tcPr>
          <w:p>
            <w:pPr>
              <w:spacing w:after="0"/>
              <w:rPr>
                <w:sz w:val="24"/>
                <w:szCs w:val="24"/>
                <w:color w:val="auto"/>
              </w:rPr>
            </w:pPr>
          </w:p>
        </w:tc>
        <w:tc>
          <w:tcPr>
            <w:tcW w:w="440" w:type="dxa"/>
            <w:vAlign w:val="bottom"/>
          </w:tcPr>
          <w:p>
            <w:pPr>
              <w:jc w:val="right"/>
              <w:ind w:right="349"/>
              <w:spacing w:after="0"/>
              <w:rPr>
                <w:sz w:val="20"/>
                <w:szCs w:val="20"/>
                <w:color w:val="auto"/>
              </w:rPr>
            </w:pPr>
            <w:r>
              <w:rPr>
                <w:rFonts w:ascii="Arial" w:cs="Arial" w:eastAsia="Arial" w:hAnsi="Arial"/>
                <w:sz w:val="10"/>
                <w:szCs w:val="10"/>
                <w:color w:val="auto"/>
                <w:w w:val="70"/>
              </w:rPr>
              <w:t>.</w:t>
            </w:r>
          </w:p>
        </w:tc>
        <w:tc>
          <w:tcPr>
            <w:tcW w:w="800" w:type="dxa"/>
            <w:vAlign w:val="bottom"/>
          </w:tcPr>
          <w:p>
            <w:pPr>
              <w:spacing w:after="0"/>
              <w:rPr>
                <w:sz w:val="24"/>
                <w:szCs w:val="24"/>
                <w:color w:val="auto"/>
              </w:rPr>
            </w:pPr>
          </w:p>
        </w:tc>
      </w:tr>
    </w:tbl>
    <w:p>
      <w:pPr>
        <w:spacing w:after="0" w:line="197" w:lineRule="exact"/>
        <w:rPr>
          <w:sz w:val="20"/>
          <w:szCs w:val="20"/>
          <w:color w:val="auto"/>
        </w:rPr>
      </w:pPr>
    </w:p>
    <w:p>
      <w:pPr>
        <w:ind w:left="1700" w:right="6220" w:hanging="842"/>
        <w:spacing w:after="0" w:line="253" w:lineRule="auto"/>
        <w:tabs>
          <w:tab w:leader="none" w:pos="1700" w:val="left"/>
        </w:tabs>
        <w:numPr>
          <w:ilvl w:val="0"/>
          <w:numId w:val="183"/>
        </w:numPr>
        <w:rPr>
          <w:rFonts w:ascii="Arial" w:cs="Arial" w:eastAsia="Arial" w:hAnsi="Arial"/>
          <w:sz w:val="14"/>
          <w:szCs w:val="14"/>
          <w:color w:val="auto"/>
        </w:rPr>
      </w:pPr>
      <w:r>
        <w:rPr>
          <w:rFonts w:ascii="Arial" w:cs="Arial" w:eastAsia="Arial" w:hAnsi="Arial"/>
          <w:sz w:val="14"/>
          <w:szCs w:val="14"/>
          <w:color w:val="auto"/>
        </w:rPr>
        <w:t>[For Eurocurrency Borrowings: with an Interest Period of months.]</w:t>
      </w:r>
      <w:r>
        <w:rPr>
          <w:rFonts w:ascii="Arial" w:cs="Arial" w:eastAsia="Arial" w:hAnsi="Arial"/>
          <w:sz w:val="12"/>
          <w:szCs w:val="12"/>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3216275</wp:posOffset>
            </wp:positionH>
            <wp:positionV relativeFrom="paragraph">
              <wp:posOffset>-117475</wp:posOffset>
            </wp:positionV>
            <wp:extent cx="479425" cy="8255"/>
            <wp:wrapNone/>
            <wp:docPr id="271" name="Picture 2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1"/>
                    <pic:cNvPicPr>
                      <a:picLocks noChangeAspect="1" noChangeArrowheads="1"/>
                    </pic:cNvPicPr>
                  </pic:nvPicPr>
                  <pic:blipFill>
                    <a:blip r:embed="rId278">
                      <a:extLst>
                        <a:ext uri="{28A0092B-C50C-407E-A947-70E740481C1C}"/>
                      </a:extLst>
                    </a:blip>
                    <a:srcRect/>
                    <a:stretch>
                      <a:fillRect/>
                    </a:stretch>
                  </pic:blipFill>
                  <pic:spPr bwMode="auto">
                    <a:xfrm>
                      <a:off x="0" y="0"/>
                      <a:ext cx="479425" cy="8255"/>
                    </a:xfrm>
                    <a:prstGeom prst="rect">
                      <a:avLst/>
                    </a:prstGeom>
                    <a:noFill/>
                  </pic:spPr>
                </pic:pic>
              </a:graphicData>
            </a:graphic>
          </wp:anchor>
        </w:drawing>
      </w:r>
    </w:p>
    <w:p>
      <w:pPr>
        <w:spacing w:after="0" w:line="154" w:lineRule="exact"/>
        <w:rPr>
          <w:sz w:val="20"/>
          <w:szCs w:val="20"/>
          <w:color w:val="auto"/>
        </w:rPr>
      </w:pPr>
    </w:p>
    <w:p>
      <w:pPr>
        <w:ind w:left="860"/>
        <w:spacing w:after="0"/>
        <w:tabs>
          <w:tab w:leader="none" w:pos="1680" w:val="left"/>
          <w:tab w:leader="none" w:pos="4320" w:val="left"/>
          <w:tab w:leader="none" w:pos="5660" w:val="left"/>
        </w:tabs>
        <w:rPr>
          <w:sz w:val="20"/>
          <w:szCs w:val="20"/>
          <w:color w:val="auto"/>
        </w:rPr>
      </w:pPr>
      <w:r>
        <w:rPr>
          <w:rFonts w:ascii="Arial" w:cs="Arial" w:eastAsia="Arial" w:hAnsi="Arial"/>
          <w:sz w:val="14"/>
          <w:szCs w:val="14"/>
          <w:color w:val="auto"/>
        </w:rPr>
        <w:t>7.</w:t>
      </w:r>
      <w:r>
        <w:rPr>
          <w:sz w:val="20"/>
          <w:szCs w:val="20"/>
          <w:color w:val="auto"/>
        </w:rPr>
        <w:tab/>
      </w:r>
      <w:r>
        <w:rPr>
          <w:rFonts w:ascii="Arial" w:cs="Arial" w:eastAsia="Arial" w:hAnsi="Arial"/>
          <w:sz w:val="14"/>
          <w:szCs w:val="14"/>
          <w:color w:val="auto"/>
        </w:rPr>
        <w:t>To Borrower’s account number</w:t>
      </w:r>
      <w:r>
        <w:rPr>
          <w:sz w:val="20"/>
          <w:szCs w:val="20"/>
          <w:color w:val="auto"/>
        </w:rPr>
        <w:tab/>
      </w:r>
      <w:r>
        <w:rPr>
          <w:rFonts w:ascii="Arial" w:cs="Arial" w:eastAsia="Arial" w:hAnsi="Arial"/>
          <w:sz w:val="14"/>
          <w:szCs w:val="14"/>
          <w:color w:val="auto"/>
        </w:rPr>
        <w:t>located at</w:t>
      </w:r>
      <w:r>
        <w:rPr>
          <w:sz w:val="20"/>
          <w:szCs w:val="20"/>
          <w:color w:val="auto"/>
        </w:rPr>
        <w:tab/>
      </w:r>
      <w:r>
        <w:rPr>
          <w:rFonts w:ascii="Arial" w:cs="Arial" w:eastAsia="Arial" w:hAnsi="Arial"/>
          <w:sz w:val="14"/>
          <w:szCs w:val="14"/>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2249170</wp:posOffset>
            </wp:positionH>
            <wp:positionV relativeFrom="paragraph">
              <wp:posOffset>-3810</wp:posOffset>
            </wp:positionV>
            <wp:extent cx="479425" cy="8890"/>
            <wp:wrapNone/>
            <wp:docPr id="272" name="Picture 2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2"/>
                    <pic:cNvPicPr>
                      <a:picLocks noChangeAspect="1" noChangeArrowheads="1"/>
                    </pic:cNvPicPr>
                  </pic:nvPicPr>
                  <pic:blipFill>
                    <a:blip r:embed="rId279">
                      <a:extLst>
                        <a:ext uri="{28A0092B-C50C-407E-A947-70E740481C1C}"/>
                      </a:extLst>
                    </a:blip>
                    <a:srcRect/>
                    <a:stretch>
                      <a:fillRect/>
                    </a:stretch>
                  </pic:blipFill>
                  <pic:spPr bwMode="auto">
                    <a:xfrm>
                      <a:off x="0" y="0"/>
                      <a:ext cx="479425" cy="8890"/>
                    </a:xfrm>
                    <a:prstGeom prst="rect">
                      <a:avLst/>
                    </a:prstGeom>
                    <a:noFill/>
                  </pic:spPr>
                </pic:pic>
              </a:graphicData>
            </a:graphic>
          </wp:anchor>
        </w:drawing>
        <w:drawing>
          <wp:anchor simplePos="0" relativeHeight="251657728" behindDoc="1" locked="0" layoutInCell="0" allowOverlap="1">
            <wp:simplePos x="0" y="0"/>
            <wp:positionH relativeFrom="column">
              <wp:posOffset>3126740</wp:posOffset>
            </wp:positionH>
            <wp:positionV relativeFrom="paragraph">
              <wp:posOffset>-3810</wp:posOffset>
            </wp:positionV>
            <wp:extent cx="479425" cy="8890"/>
            <wp:wrapNone/>
            <wp:docPr id="273" name="Picture 2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3"/>
                    <pic:cNvPicPr>
                      <a:picLocks noChangeAspect="1" noChangeArrowheads="1"/>
                    </pic:cNvPicPr>
                  </pic:nvPicPr>
                  <pic:blipFill>
                    <a:blip r:embed="rId280">
                      <a:extLst>
                        <a:ext uri="{28A0092B-C50C-407E-A947-70E740481C1C}"/>
                      </a:extLst>
                    </a:blip>
                    <a:srcRect/>
                    <a:stretch>
                      <a:fillRect/>
                    </a:stretch>
                  </pic:blipFill>
                  <pic:spPr bwMode="auto">
                    <a:xfrm>
                      <a:off x="0" y="0"/>
                      <a:ext cx="479425" cy="8890"/>
                    </a:xfrm>
                    <a:prstGeom prst="rect">
                      <a:avLst/>
                    </a:prstGeom>
                    <a:noFill/>
                  </pic:spPr>
                </pic:pic>
              </a:graphicData>
            </a:graphic>
          </wp:anchor>
        </w:drawing>
      </w:r>
    </w:p>
    <w:p>
      <w:pPr>
        <w:spacing w:after="0" w:line="184" w:lineRule="exact"/>
        <w:rPr>
          <w:sz w:val="20"/>
          <w:szCs w:val="20"/>
          <w:color w:val="auto"/>
        </w:rPr>
      </w:pPr>
    </w:p>
    <w:p>
      <w:pPr>
        <w:ind w:left="5400"/>
        <w:spacing w:after="0"/>
        <w:rPr>
          <w:sz w:val="20"/>
          <w:szCs w:val="20"/>
          <w:color w:val="auto"/>
        </w:rPr>
      </w:pPr>
      <w:r>
        <w:rPr>
          <w:rFonts w:ascii="Arial" w:cs="Arial" w:eastAsia="Arial" w:hAnsi="Arial"/>
          <w:sz w:val="14"/>
          <w:szCs w:val="14"/>
          <w:color w:val="auto"/>
        </w:rPr>
        <w:t>[Signature Page Follows]</w:t>
      </w:r>
    </w:p>
    <w:p>
      <w:pPr>
        <w:spacing w:after="0" w:line="298" w:lineRule="exact"/>
        <w:rPr>
          <w:sz w:val="20"/>
          <w:szCs w:val="20"/>
          <w:color w:val="auto"/>
        </w:rPr>
      </w:pPr>
    </w:p>
    <w:p>
      <w:pPr>
        <w:ind w:left="180" w:hanging="172"/>
        <w:spacing w:after="0"/>
        <w:tabs>
          <w:tab w:leader="none" w:pos="180" w:val="left"/>
        </w:tabs>
        <w:numPr>
          <w:ilvl w:val="0"/>
          <w:numId w:val="184"/>
        </w:numPr>
        <w:rPr>
          <w:rFonts w:ascii="Arial" w:cs="Arial" w:eastAsia="Arial" w:hAnsi="Arial"/>
          <w:sz w:val="12"/>
          <w:szCs w:val="12"/>
          <w:color w:val="auto"/>
        </w:rPr>
      </w:pPr>
      <w:r>
        <w:rPr>
          <w:rFonts w:ascii="Arial" w:cs="Arial" w:eastAsia="Arial" w:hAnsi="Arial"/>
          <w:sz w:val="14"/>
          <w:szCs w:val="14"/>
          <w:color w:val="auto"/>
        </w:rPr>
        <w:t>In the case of a Syndicated Borrowing denominated in Dollars, specify whether such Borrowing is to be an ABR Borrowing or a Eurocurrency Borrowing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-97790</wp:posOffset>
            </wp:positionV>
            <wp:extent cx="1423035" cy="8890"/>
            <wp:wrapNone/>
            <wp:docPr id="274" name="Picture 2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4"/>
                    <pic:cNvPicPr>
                      <a:picLocks noChangeAspect="1" noChangeArrowheads="1"/>
                    </pic:cNvPicPr>
                  </pic:nvPicPr>
                  <pic:blipFill>
                    <a:blip r:embed="rId281">
                      <a:extLst>
                        <a:ext uri="{28A0092B-C50C-407E-A947-70E740481C1C}"/>
                      </a:extLst>
                    </a:blip>
                    <a:srcRect/>
                    <a:stretch>
                      <a:fillRect/>
                    </a:stretch>
                  </pic:blipFill>
                  <pic:spPr bwMode="auto">
                    <a:xfrm>
                      <a:off x="0" y="0"/>
                      <a:ext cx="1423035" cy="8890"/>
                    </a:xfrm>
                    <a:prstGeom prst="rect">
                      <a:avLst/>
                    </a:prstGeom>
                    <a:noFill/>
                  </pic:spPr>
                </pic:pic>
              </a:graphicData>
            </a:graphic>
          </wp:anchor>
        </w:drawing>
      </w:r>
    </w:p>
    <w:p>
      <w:pPr>
        <w:ind w:left="120" w:right="20" w:hanging="112"/>
        <w:spacing w:after="0" w:line="221" w:lineRule="auto"/>
        <w:tabs>
          <w:tab w:leader="none" w:pos="192" w:val="left"/>
        </w:tabs>
        <w:numPr>
          <w:ilvl w:val="0"/>
          <w:numId w:val="185"/>
        </w:numPr>
        <w:rPr>
          <w:rFonts w:ascii="Arial" w:cs="Arial" w:eastAsia="Arial" w:hAnsi="Arial"/>
          <w:sz w:val="12"/>
          <w:szCs w:val="12"/>
          <w:color w:val="auto"/>
        </w:rPr>
      </w:pPr>
      <w:r>
        <w:rPr>
          <w:rFonts w:ascii="Arial" w:cs="Arial" w:eastAsia="Arial" w:hAnsi="Arial"/>
          <w:sz w:val="14"/>
          <w:szCs w:val="14"/>
          <w:color w:val="auto"/>
        </w:rPr>
        <w:t xml:space="preserve">Specify whether the Borrowing is to be made under the Dollar Commitments or the Multicurrency Commitments; </w:t>
      </w:r>
      <w:r>
        <w:rPr>
          <w:rFonts w:ascii="Arial" w:cs="Arial" w:eastAsia="Arial" w:hAnsi="Arial"/>
          <w:sz w:val="14"/>
          <w:szCs w:val="14"/>
          <w:u w:val="single" w:color="auto"/>
          <w:color w:val="auto"/>
        </w:rPr>
        <w:t>provided</w:t>
      </w:r>
      <w:r>
        <w:rPr>
          <w:rFonts w:ascii="Arial" w:cs="Arial" w:eastAsia="Arial" w:hAnsi="Arial"/>
          <w:sz w:val="14"/>
          <w:szCs w:val="14"/>
          <w:color w:val="auto"/>
        </w:rPr>
        <w:t xml:space="preserve"> that any Borrowing in Dollars shall be allocated between the Dollar Commitments and the Multicurrency Commitments on a pro rata basis.</w:t>
      </w:r>
    </w:p>
    <w:p>
      <w:pPr>
        <w:spacing w:after="0" w:line="1" w:lineRule="exact"/>
        <w:rPr>
          <w:sz w:val="20"/>
          <w:szCs w:val="20"/>
          <w:color w:val="auto"/>
        </w:rPr>
      </w:pPr>
    </w:p>
    <w:p>
      <w:pPr>
        <w:ind w:left="180" w:hanging="172"/>
        <w:spacing w:after="0"/>
        <w:tabs>
          <w:tab w:leader="none" w:pos="180" w:val="left"/>
        </w:tabs>
        <w:numPr>
          <w:ilvl w:val="0"/>
          <w:numId w:val="186"/>
        </w:numPr>
        <w:rPr>
          <w:rFonts w:ascii="Arial" w:cs="Arial" w:eastAsia="Arial" w:hAnsi="Arial"/>
          <w:sz w:val="12"/>
          <w:szCs w:val="12"/>
          <w:color w:val="auto"/>
        </w:rPr>
      </w:pPr>
      <w:r>
        <w:rPr>
          <w:rFonts w:ascii="Arial" w:cs="Arial" w:eastAsia="Arial" w:hAnsi="Arial"/>
          <w:sz w:val="14"/>
          <w:szCs w:val="14"/>
          <w:color w:val="auto"/>
        </w:rPr>
        <w:t>Include for Eurocurrency Borrowings only; to be one, two or three months or, subject to availability to all the Lenders, six or twelve months.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339090</wp:posOffset>
            </wp:positionV>
            <wp:extent cx="7149465" cy="17145"/>
            <wp:wrapNone/>
            <wp:docPr id="275" name="Picture 2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5"/>
                    <pic:cNvPicPr>
                      <a:picLocks noChangeAspect="1" noChangeArrowheads="1"/>
                    </pic:cNvPicPr>
                  </pic:nvPicPr>
                  <pic:blipFill>
                    <a:blip r:embed="rId282">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333" w:right="339" w:bottom="1440" w:gutter="0" w:footer="0" w:header="0"/>
        </w:sectPr>
      </w:pPr>
    </w:p>
    <w:bookmarkStart w:id="146" w:name="page147"/>
    <w:bookmarkEnd w:id="146"/>
    <w:p>
      <w:pPr>
        <w:spacing w:after="0"/>
        <w:rPr>
          <w:sz w:val="20"/>
          <w:szCs w:val="20"/>
          <w:color w:val="auto"/>
        </w:rPr>
      </w:pPr>
      <w:r>
        <w:rPr>
          <w:rFonts w:ascii="Arial" w:cs="Arial" w:eastAsia="Arial" w:hAnsi="Arial"/>
          <w:sz w:val="14"/>
          <w:szCs w:val="14"/>
          <w:color w:val="auto"/>
        </w:rPr>
        <w:t>IN WITNESS WHEREOF, this Borrowing Request has been executed by the undersigned as of the date first written above.</w:t>
      </w:r>
    </w:p>
    <w:p>
      <w:pPr>
        <w:spacing w:after="0" w:line="132" w:lineRule="exact"/>
        <w:rPr>
          <w:sz w:val="20"/>
          <w:szCs w:val="20"/>
          <w:color w:val="auto"/>
        </w:rPr>
      </w:pPr>
    </w:p>
    <w:p>
      <w:pPr>
        <w:jc w:val="right"/>
        <w:ind w:right="839"/>
        <w:spacing w:after="0"/>
        <w:rPr>
          <w:sz w:val="20"/>
          <w:szCs w:val="20"/>
          <w:color w:val="auto"/>
        </w:rPr>
      </w:pPr>
      <w:r>
        <w:rPr>
          <w:rFonts w:ascii="Arial" w:cs="Arial" w:eastAsia="Arial" w:hAnsi="Arial"/>
          <w:sz w:val="14"/>
          <w:szCs w:val="14"/>
          <w:b w:val="1"/>
          <w:bCs w:val="1"/>
          <w:color w:val="auto"/>
        </w:rPr>
        <w:t>PENNANTPARK INVESTMENT CORPORATION</w:t>
      </w:r>
    </w:p>
    <w:p>
      <w:pPr>
        <w:spacing w:after="0" w:line="140" w:lineRule="exact"/>
        <w:rPr>
          <w:sz w:val="20"/>
          <w:szCs w:val="20"/>
          <w:color w:val="auto"/>
        </w:rPr>
      </w:pPr>
    </w:p>
    <w:p>
      <w:pPr>
        <w:ind w:left="5420"/>
        <w:spacing w:after="0"/>
        <w:rPr>
          <w:sz w:val="20"/>
          <w:szCs w:val="20"/>
          <w:color w:val="auto"/>
        </w:rPr>
      </w:pPr>
      <w:r>
        <w:rPr>
          <w:rFonts w:ascii="Arial" w:cs="Arial" w:eastAsia="Arial" w:hAnsi="Arial"/>
          <w:sz w:val="14"/>
          <w:szCs w:val="14"/>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3940810</wp:posOffset>
            </wp:positionH>
            <wp:positionV relativeFrom="paragraph">
              <wp:posOffset>3810</wp:posOffset>
            </wp:positionV>
            <wp:extent cx="2777490" cy="8255"/>
            <wp:wrapNone/>
            <wp:docPr id="276" name="Picture 2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6"/>
                    <pic:cNvPicPr>
                      <a:picLocks noChangeAspect="1" noChangeArrowheads="1"/>
                    </pic:cNvPicPr>
                  </pic:nvPicPr>
                  <pic:blipFill>
                    <a:blip r:embed="rId283">
                      <a:extLst>
                        <a:ext uri="{28A0092B-C50C-407E-A947-70E740481C1C}"/>
                      </a:extLst>
                    </a:blip>
                    <a:srcRect/>
                    <a:stretch>
                      <a:fillRect/>
                    </a:stretch>
                  </pic:blipFill>
                  <pic:spPr bwMode="auto">
                    <a:xfrm>
                      <a:off x="0" y="0"/>
                      <a:ext cx="2777490" cy="8255"/>
                    </a:xfrm>
                    <a:prstGeom prst="rect">
                      <a:avLst/>
                    </a:prstGeom>
                    <a:noFill/>
                  </pic:spPr>
                </pic:pic>
              </a:graphicData>
            </a:graphic>
          </wp:anchor>
        </w:drawing>
      </w:r>
    </w:p>
    <w:p>
      <w:pPr>
        <w:ind w:left="5420"/>
        <w:spacing w:after="0"/>
        <w:rPr>
          <w:sz w:val="20"/>
          <w:szCs w:val="20"/>
          <w:color w:val="auto"/>
        </w:rPr>
      </w:pPr>
      <w:r>
        <w:rPr>
          <w:rFonts w:ascii="Arial" w:cs="Arial" w:eastAsia="Arial" w:hAnsi="Arial"/>
          <w:sz w:val="14"/>
          <w:szCs w:val="14"/>
          <w:color w:val="auto"/>
        </w:rPr>
        <w:t>Name:</w:t>
      </w:r>
    </w:p>
    <w:p>
      <w:pPr>
        <w:ind w:left="5420"/>
        <w:spacing w:after="0"/>
        <w:rPr>
          <w:sz w:val="20"/>
          <w:szCs w:val="20"/>
          <w:color w:val="auto"/>
        </w:rPr>
      </w:pPr>
      <w:r>
        <w:rPr>
          <w:rFonts w:ascii="Arial" w:cs="Arial" w:eastAsia="Arial" w:hAnsi="Arial"/>
          <w:sz w:val="14"/>
          <w:szCs w:val="14"/>
          <w:color w:val="auto"/>
        </w:rPr>
        <w:t>Title:</w:t>
      </w:r>
    </w:p>
    <w:p>
      <w:pPr>
        <w:sectPr>
          <w:pgSz w:w="11900" w:h="16838" w:orient="portrait"/>
          <w:cols w:equalWidth="0" w:num="1">
            <w:col w:w="9479"/>
          </w:cols>
          <w:pgMar w:left="980" w:top="337" w:right="1440" w:bottom="1440" w:gutter="0" w:footer="0" w:header="0"/>
        </w:sectPr>
      </w:pPr>
    </w:p>
    <w:bookmarkStart w:id="147" w:name="page148"/>
    <w:bookmarkEnd w:id="147"/>
    <w:p>
      <w:pPr>
        <w:ind w:left="4100"/>
        <w:spacing w:after="0"/>
        <w:rPr>
          <w:sz w:val="20"/>
          <w:szCs w:val="20"/>
          <w:color w:val="auto"/>
        </w:rPr>
      </w:pPr>
      <w:r>
        <w:rPr>
          <w:rFonts w:ascii="Arial" w:cs="Arial" w:eastAsia="Arial" w:hAnsi="Arial"/>
          <w:sz w:val="14"/>
          <w:szCs w:val="14"/>
          <w:b w:val="1"/>
          <w:bCs w:val="1"/>
          <w:color w:val="auto"/>
        </w:rPr>
        <w:t>CERTIFICATION PURSUANT TO SECTION 302</w:t>
      </w:r>
    </w:p>
    <w:p>
      <w:pPr>
        <w:ind w:left="4060"/>
        <w:spacing w:after="0" w:line="226" w:lineRule="auto"/>
        <w:rPr>
          <w:sz w:val="20"/>
          <w:szCs w:val="20"/>
          <w:color w:val="auto"/>
        </w:rPr>
      </w:pPr>
      <w:r>
        <w:rPr>
          <w:rFonts w:ascii="Arial" w:cs="Arial" w:eastAsia="Arial" w:hAnsi="Arial"/>
          <w:sz w:val="14"/>
          <w:szCs w:val="14"/>
          <w:b w:val="1"/>
          <w:bCs w:val="1"/>
          <w:color w:val="auto"/>
        </w:rPr>
        <w:t>CHIEF EXECUTIVE OFFICER CERTIFICATION</w:t>
      </w:r>
    </w:p>
    <w:p>
      <w:pPr>
        <w:jc w:val="right"/>
        <w:spacing w:after="0"/>
        <w:rPr>
          <w:sz w:val="20"/>
          <w:szCs w:val="20"/>
          <w:color w:val="auto"/>
        </w:rPr>
      </w:pPr>
      <w:r>
        <w:rPr>
          <w:rFonts w:ascii="Arial" w:cs="Arial" w:eastAsia="Arial" w:hAnsi="Arial"/>
          <w:sz w:val="14"/>
          <w:szCs w:val="14"/>
          <w:b w:val="1"/>
          <w:bCs w:val="1"/>
          <w:color w:val="auto"/>
        </w:rPr>
        <w:t>Exhibit 31.1</w:t>
      </w:r>
    </w:p>
    <w:p>
      <w:pPr>
        <w:spacing w:after="0" w:line="124" w:lineRule="exact"/>
        <w:rPr>
          <w:sz w:val="20"/>
          <w:szCs w:val="20"/>
          <w:color w:val="auto"/>
        </w:rPr>
      </w:pPr>
    </w:p>
    <w:p>
      <w:pPr>
        <w:spacing w:after="0"/>
        <w:rPr>
          <w:sz w:val="20"/>
          <w:szCs w:val="20"/>
          <w:color w:val="auto"/>
        </w:rPr>
      </w:pPr>
      <w:r>
        <w:rPr>
          <w:rFonts w:ascii="Arial" w:cs="Arial" w:eastAsia="Arial" w:hAnsi="Arial"/>
          <w:sz w:val="14"/>
          <w:szCs w:val="14"/>
          <w:color w:val="auto"/>
        </w:rPr>
        <w:t>I, Arthur H. Penn, Chief Executive Officer of PennantPark Investment Corporation, certify that:</w:t>
      </w:r>
    </w:p>
    <w:p>
      <w:pPr>
        <w:spacing w:after="0" w:line="123" w:lineRule="exact"/>
        <w:rPr>
          <w:sz w:val="20"/>
          <w:szCs w:val="20"/>
          <w:color w:val="auto"/>
        </w:rPr>
      </w:pPr>
    </w:p>
    <w:p>
      <w:pPr>
        <w:ind w:left="600" w:hanging="145"/>
        <w:spacing w:after="0"/>
        <w:tabs>
          <w:tab w:leader="none" w:pos="600" w:val="left"/>
        </w:tabs>
        <w:numPr>
          <w:ilvl w:val="1"/>
          <w:numId w:val="187"/>
        </w:numPr>
        <w:rPr>
          <w:rFonts w:ascii="Arial" w:cs="Arial" w:eastAsia="Arial" w:hAnsi="Arial"/>
          <w:sz w:val="14"/>
          <w:szCs w:val="14"/>
          <w:color w:val="auto"/>
        </w:rPr>
      </w:pPr>
      <w:r>
        <w:rPr>
          <w:rFonts w:ascii="Arial" w:cs="Arial" w:eastAsia="Arial" w:hAnsi="Arial"/>
          <w:sz w:val="14"/>
          <w:szCs w:val="14"/>
          <w:color w:val="auto"/>
        </w:rPr>
        <w:t>I have reviewed this Report on Form 10-Q of PennantPark Investment Corporation;</w:t>
      </w:r>
    </w:p>
    <w:p>
      <w:pPr>
        <w:spacing w:after="0" w:line="163" w:lineRule="exact"/>
        <w:rPr>
          <w:rFonts w:ascii="Arial" w:cs="Arial" w:eastAsia="Arial" w:hAnsi="Arial"/>
          <w:sz w:val="14"/>
          <w:szCs w:val="14"/>
          <w:color w:val="auto"/>
        </w:rPr>
      </w:pPr>
    </w:p>
    <w:p>
      <w:pPr>
        <w:ind w:right="480" w:firstLine="441"/>
        <w:spacing w:after="0" w:line="313" w:lineRule="auto"/>
        <w:tabs>
          <w:tab w:leader="none" w:pos="577" w:val="left"/>
        </w:tabs>
        <w:numPr>
          <w:ilvl w:val="0"/>
          <w:numId w:val="188"/>
        </w:numPr>
        <w:rPr>
          <w:rFonts w:ascii="Arial" w:cs="Arial" w:eastAsia="Arial" w:hAnsi="Arial"/>
          <w:sz w:val="14"/>
          <w:szCs w:val="14"/>
          <w:color w:val="auto"/>
        </w:rPr>
      </w:pPr>
      <w:r>
        <w:rPr>
          <w:rFonts w:ascii="Arial" w:cs="Arial" w:eastAsia="Arial" w:hAnsi="Arial"/>
          <w:sz w:val="14"/>
          <w:szCs w:val="14"/>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79" w:lineRule="exact"/>
        <w:rPr>
          <w:rFonts w:ascii="Arial" w:cs="Arial" w:eastAsia="Arial" w:hAnsi="Arial"/>
          <w:sz w:val="14"/>
          <w:szCs w:val="14"/>
          <w:color w:val="auto"/>
        </w:rPr>
      </w:pPr>
    </w:p>
    <w:p>
      <w:pPr>
        <w:ind w:right="580" w:firstLine="448"/>
        <w:spacing w:after="0" w:line="253" w:lineRule="auto"/>
        <w:tabs>
          <w:tab w:leader="none" w:pos="584" w:val="left"/>
        </w:tabs>
        <w:numPr>
          <w:ilvl w:val="0"/>
          <w:numId w:val="188"/>
        </w:numPr>
        <w:rPr>
          <w:rFonts w:ascii="Arial" w:cs="Arial" w:eastAsia="Arial" w:hAnsi="Arial"/>
          <w:sz w:val="14"/>
          <w:szCs w:val="14"/>
          <w:color w:val="auto"/>
        </w:rPr>
      </w:pPr>
      <w:r>
        <w:rPr>
          <w:rFonts w:ascii="Arial" w:cs="Arial" w:eastAsia="Arial" w:hAnsi="Arial"/>
          <w:sz w:val="14"/>
          <w:szCs w:val="14"/>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92" w:lineRule="exact"/>
        <w:rPr>
          <w:rFonts w:ascii="Arial" w:cs="Arial" w:eastAsia="Arial" w:hAnsi="Arial"/>
          <w:sz w:val="14"/>
          <w:szCs w:val="14"/>
          <w:color w:val="auto"/>
        </w:rPr>
      </w:pPr>
    </w:p>
    <w:p>
      <w:pPr>
        <w:ind w:right="200" w:firstLine="455"/>
        <w:spacing w:after="0" w:line="253" w:lineRule="auto"/>
        <w:tabs>
          <w:tab w:leader="none" w:pos="591" w:val="left"/>
        </w:tabs>
        <w:numPr>
          <w:ilvl w:val="1"/>
          <w:numId w:val="188"/>
        </w:numPr>
        <w:rPr>
          <w:rFonts w:ascii="Arial" w:cs="Arial" w:eastAsia="Arial" w:hAnsi="Arial"/>
          <w:sz w:val="14"/>
          <w:szCs w:val="14"/>
          <w:color w:val="auto"/>
        </w:rPr>
      </w:pPr>
      <w:r>
        <w:rPr>
          <w:rFonts w:ascii="Arial" w:cs="Arial" w:eastAsia="Arial" w:hAnsi="Arial"/>
          <w:sz w:val="14"/>
          <w:szCs w:val="14"/>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06" w:lineRule="exact"/>
        <w:rPr>
          <w:rFonts w:ascii="Arial" w:cs="Arial" w:eastAsia="Arial" w:hAnsi="Arial"/>
          <w:sz w:val="14"/>
          <w:szCs w:val="14"/>
          <w:color w:val="auto"/>
        </w:rPr>
      </w:pPr>
    </w:p>
    <w:p>
      <w:pPr>
        <w:ind w:right="440" w:firstLine="695"/>
        <w:spacing w:after="0" w:line="405" w:lineRule="auto"/>
        <w:tabs>
          <w:tab w:leader="none" w:pos="832" w:val="left"/>
        </w:tabs>
        <w:numPr>
          <w:ilvl w:val="2"/>
          <w:numId w:val="188"/>
        </w:numPr>
        <w:rPr>
          <w:rFonts w:ascii="Arial" w:cs="Arial" w:eastAsia="Arial" w:hAnsi="Arial"/>
          <w:sz w:val="12"/>
          <w:szCs w:val="12"/>
          <w:color w:val="auto"/>
        </w:rPr>
      </w:pPr>
      <w:r>
        <w:rPr>
          <w:rFonts w:ascii="Arial" w:cs="Arial" w:eastAsia="Arial" w:hAnsi="Arial"/>
          <w:sz w:val="12"/>
          <w:szCs w:val="12"/>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74" w:lineRule="exact"/>
        <w:rPr>
          <w:rFonts w:ascii="Arial" w:cs="Arial" w:eastAsia="Arial" w:hAnsi="Arial"/>
          <w:sz w:val="12"/>
          <w:szCs w:val="12"/>
          <w:color w:val="auto"/>
        </w:rPr>
      </w:pPr>
    </w:p>
    <w:p>
      <w:pPr>
        <w:ind w:right="620" w:firstLine="692"/>
        <w:spacing w:after="0" w:line="405" w:lineRule="auto"/>
        <w:tabs>
          <w:tab w:leader="none" w:pos="838" w:val="left"/>
        </w:tabs>
        <w:numPr>
          <w:ilvl w:val="2"/>
          <w:numId w:val="188"/>
        </w:numPr>
        <w:rPr>
          <w:rFonts w:ascii="Arial" w:cs="Arial" w:eastAsia="Arial" w:hAnsi="Arial"/>
          <w:sz w:val="12"/>
          <w:szCs w:val="12"/>
          <w:color w:val="auto"/>
        </w:rPr>
      </w:pPr>
      <w:r>
        <w:rPr>
          <w:rFonts w:ascii="Arial" w:cs="Arial" w:eastAsia="Arial" w:hAnsi="Arial"/>
          <w:sz w:val="12"/>
          <w:szCs w:val="12"/>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74" w:lineRule="exact"/>
        <w:rPr>
          <w:rFonts w:ascii="Arial" w:cs="Arial" w:eastAsia="Arial" w:hAnsi="Arial"/>
          <w:sz w:val="12"/>
          <w:szCs w:val="12"/>
          <w:color w:val="auto"/>
        </w:rPr>
      </w:pPr>
    </w:p>
    <w:p>
      <w:pPr>
        <w:ind w:right="340" w:firstLine="719"/>
        <w:spacing w:after="0" w:line="313" w:lineRule="auto"/>
        <w:tabs>
          <w:tab w:leader="none" w:pos="856" w:val="left"/>
        </w:tabs>
        <w:numPr>
          <w:ilvl w:val="3"/>
          <w:numId w:val="188"/>
        </w:numPr>
        <w:rPr>
          <w:rFonts w:ascii="Arial" w:cs="Arial" w:eastAsia="Arial" w:hAnsi="Arial"/>
          <w:sz w:val="14"/>
          <w:szCs w:val="14"/>
          <w:color w:val="auto"/>
        </w:rPr>
      </w:pPr>
      <w:r>
        <w:rPr>
          <w:rFonts w:ascii="Arial" w:cs="Arial" w:eastAsia="Arial" w:hAnsi="Arial"/>
          <w:sz w:val="14"/>
          <w:szCs w:val="14"/>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20" w:lineRule="exact"/>
        <w:rPr>
          <w:rFonts w:ascii="Arial" w:cs="Arial" w:eastAsia="Arial" w:hAnsi="Arial"/>
          <w:sz w:val="14"/>
          <w:szCs w:val="14"/>
          <w:color w:val="auto"/>
        </w:rPr>
      </w:pPr>
    </w:p>
    <w:p>
      <w:pPr>
        <w:ind w:right="480" w:firstLine="705"/>
        <w:spacing w:after="0" w:line="355" w:lineRule="auto"/>
        <w:tabs>
          <w:tab w:leader="none" w:pos="850" w:val="left"/>
        </w:tabs>
        <w:numPr>
          <w:ilvl w:val="3"/>
          <w:numId w:val="188"/>
        </w:numPr>
        <w:rPr>
          <w:rFonts w:ascii="Arial" w:cs="Arial" w:eastAsia="Arial" w:hAnsi="Arial"/>
          <w:sz w:val="13"/>
          <w:szCs w:val="13"/>
          <w:color w:val="auto"/>
        </w:rPr>
      </w:pPr>
      <w:r>
        <w:rPr>
          <w:rFonts w:ascii="Arial" w:cs="Arial" w:eastAsia="Arial" w:hAnsi="Arial"/>
          <w:sz w:val="13"/>
          <w:szCs w:val="13"/>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97" w:lineRule="exact"/>
        <w:rPr>
          <w:rFonts w:ascii="Arial" w:cs="Arial" w:eastAsia="Arial" w:hAnsi="Arial"/>
          <w:sz w:val="13"/>
          <w:szCs w:val="13"/>
          <w:color w:val="auto"/>
        </w:rPr>
      </w:pPr>
    </w:p>
    <w:p>
      <w:pPr>
        <w:ind w:right="380" w:firstLine="447"/>
        <w:spacing w:after="0" w:line="313" w:lineRule="auto"/>
        <w:tabs>
          <w:tab w:leader="none" w:pos="583" w:val="left"/>
        </w:tabs>
        <w:numPr>
          <w:ilvl w:val="1"/>
          <w:numId w:val="188"/>
        </w:numPr>
        <w:rPr>
          <w:rFonts w:ascii="Arial" w:cs="Arial" w:eastAsia="Arial" w:hAnsi="Arial"/>
          <w:sz w:val="14"/>
          <w:szCs w:val="14"/>
          <w:color w:val="auto"/>
        </w:rPr>
      </w:pPr>
      <w:r>
        <w:rPr>
          <w:rFonts w:ascii="Arial" w:cs="Arial" w:eastAsia="Arial" w:hAnsi="Arial"/>
          <w:sz w:val="14"/>
          <w:szCs w:val="14"/>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20" w:lineRule="exact"/>
        <w:rPr>
          <w:rFonts w:ascii="Arial" w:cs="Arial" w:eastAsia="Arial" w:hAnsi="Arial"/>
          <w:sz w:val="14"/>
          <w:szCs w:val="14"/>
          <w:color w:val="auto"/>
        </w:rPr>
      </w:pPr>
    </w:p>
    <w:p>
      <w:pPr>
        <w:ind w:right="100" w:firstLine="719"/>
        <w:spacing w:after="0" w:line="313" w:lineRule="auto"/>
        <w:tabs>
          <w:tab w:leader="none" w:pos="856" w:val="left"/>
        </w:tabs>
        <w:numPr>
          <w:ilvl w:val="3"/>
          <w:numId w:val="189"/>
        </w:numPr>
        <w:rPr>
          <w:rFonts w:ascii="Arial" w:cs="Arial" w:eastAsia="Arial" w:hAnsi="Arial"/>
          <w:sz w:val="14"/>
          <w:szCs w:val="14"/>
          <w:color w:val="auto"/>
        </w:rPr>
      </w:pPr>
      <w:r>
        <w:rPr>
          <w:rFonts w:ascii="Arial" w:cs="Arial" w:eastAsia="Arial" w:hAnsi="Arial"/>
          <w:sz w:val="14"/>
          <w:szCs w:val="14"/>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93" w:lineRule="exact"/>
        <w:rPr>
          <w:rFonts w:ascii="Arial" w:cs="Arial" w:eastAsia="Arial" w:hAnsi="Arial"/>
          <w:sz w:val="14"/>
          <w:szCs w:val="14"/>
          <w:color w:val="auto"/>
        </w:rPr>
      </w:pPr>
    </w:p>
    <w:p>
      <w:pPr>
        <w:ind w:left="860" w:hanging="161"/>
        <w:spacing w:after="0"/>
        <w:tabs>
          <w:tab w:leader="none" w:pos="860" w:val="left"/>
        </w:tabs>
        <w:numPr>
          <w:ilvl w:val="3"/>
          <w:numId w:val="189"/>
        </w:numPr>
        <w:rPr>
          <w:rFonts w:ascii="Arial" w:cs="Arial" w:eastAsia="Arial" w:hAnsi="Arial"/>
          <w:sz w:val="14"/>
          <w:szCs w:val="14"/>
          <w:color w:val="auto"/>
        </w:rPr>
      </w:pPr>
      <w:r>
        <w:rPr>
          <w:rFonts w:ascii="Arial" w:cs="Arial" w:eastAsia="Arial" w:hAnsi="Arial"/>
          <w:sz w:val="14"/>
          <w:szCs w:val="14"/>
          <w:color w:val="auto"/>
        </w:rPr>
        <w:t>Any fraud, whether or not material, that involves management or other employees who have a significant role in the registrant’s internal control over financial reporting.</w:t>
      </w:r>
    </w:p>
    <w:p>
      <w:pPr>
        <w:spacing w:after="0" w:line="163" w:lineRule="exact"/>
        <w:rPr>
          <w:sz w:val="20"/>
          <w:szCs w:val="20"/>
          <w:color w:val="auto"/>
        </w:rPr>
      </w:pPr>
    </w:p>
    <w:p>
      <w:pPr>
        <w:spacing w:after="0"/>
        <w:rPr>
          <w:sz w:val="20"/>
          <w:szCs w:val="20"/>
          <w:color w:val="auto"/>
        </w:rPr>
      </w:pPr>
      <w:r>
        <w:rPr>
          <w:rFonts w:ascii="Arial" w:cs="Arial" w:eastAsia="Arial" w:hAnsi="Arial"/>
          <w:sz w:val="14"/>
          <w:szCs w:val="14"/>
          <w:color w:val="auto"/>
        </w:rPr>
        <w:t>Dated: August 7, 2017</w:t>
      </w:r>
    </w:p>
    <w:p>
      <w:pPr>
        <w:spacing w:after="0" w:line="298" w:lineRule="exact"/>
        <w:rPr>
          <w:sz w:val="20"/>
          <w:szCs w:val="20"/>
          <w:color w:val="auto"/>
        </w:rPr>
      </w:pPr>
    </w:p>
    <w:p>
      <w:pPr>
        <w:spacing w:after="0"/>
        <w:rPr>
          <w:sz w:val="20"/>
          <w:szCs w:val="20"/>
          <w:color w:val="auto"/>
        </w:rPr>
      </w:pPr>
      <w:r>
        <w:rPr>
          <w:rFonts w:ascii="Arial" w:cs="Arial" w:eastAsia="Arial" w:hAnsi="Arial"/>
          <w:sz w:val="14"/>
          <w:szCs w:val="14"/>
          <w:color w:val="auto"/>
        </w:rPr>
        <w:t>/s/ Arthur H. Penn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wp:posOffset>
            </wp:positionV>
            <wp:extent cx="2468880" cy="8890"/>
            <wp:wrapNone/>
            <wp:docPr id="277" name="Picture 2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7"/>
                    <pic:cNvPicPr>
                      <a:picLocks noChangeAspect="1" noChangeArrowheads="1"/>
                    </pic:cNvPicPr>
                  </pic:nvPicPr>
                  <pic:blipFill>
                    <a:blip r:embed="rId284">
                      <a:extLst>
                        <a:ext uri="{28A0092B-C50C-407E-A947-70E740481C1C}"/>
                      </a:extLst>
                    </a:blip>
                    <a:srcRect/>
                    <a:stretch>
                      <a:fillRect/>
                    </a:stretch>
                  </pic:blipFill>
                  <pic:spPr bwMode="auto">
                    <a:xfrm>
                      <a:off x="0" y="0"/>
                      <a:ext cx="2468880" cy="8890"/>
                    </a:xfrm>
                    <a:prstGeom prst="rect">
                      <a:avLst/>
                    </a:prstGeom>
                    <a:noFill/>
                  </pic:spPr>
                </pic:pic>
              </a:graphicData>
            </a:graphic>
          </wp:anchor>
        </w:drawing>
      </w:r>
    </w:p>
    <w:p>
      <w:pPr>
        <w:spacing w:after="0" w:line="49" w:lineRule="exact"/>
        <w:rPr>
          <w:sz w:val="20"/>
          <w:szCs w:val="20"/>
          <w:color w:val="auto"/>
        </w:rPr>
      </w:pPr>
    </w:p>
    <w:p>
      <w:pPr>
        <w:spacing w:after="0"/>
        <w:rPr>
          <w:sz w:val="20"/>
          <w:szCs w:val="20"/>
          <w:color w:val="auto"/>
        </w:rPr>
      </w:pPr>
      <w:r>
        <w:rPr>
          <w:rFonts w:ascii="Arial" w:cs="Arial" w:eastAsia="Arial" w:hAnsi="Arial"/>
          <w:sz w:val="14"/>
          <w:szCs w:val="14"/>
          <w:color w:val="auto"/>
        </w:rPr>
        <w:t>Name: Arthur H. Penn</w:t>
      </w:r>
    </w:p>
    <w:p>
      <w:pPr>
        <w:spacing w:after="0" w:line="28" w:lineRule="exact"/>
        <w:rPr>
          <w:sz w:val="20"/>
          <w:szCs w:val="20"/>
          <w:color w:val="auto"/>
        </w:rPr>
      </w:pPr>
    </w:p>
    <w:p>
      <w:pPr>
        <w:spacing w:after="0"/>
        <w:tabs>
          <w:tab w:leader="none" w:pos="440" w:val="left"/>
        </w:tabs>
        <w:rPr>
          <w:sz w:val="20"/>
          <w:szCs w:val="20"/>
          <w:color w:val="auto"/>
        </w:rPr>
      </w:pPr>
      <w:r>
        <w:rPr>
          <w:rFonts w:ascii="Arial" w:cs="Arial" w:eastAsia="Arial" w:hAnsi="Arial"/>
          <w:sz w:val="14"/>
          <w:szCs w:val="14"/>
          <w:color w:val="auto"/>
        </w:rPr>
        <w:t>Title:</w:t>
      </w:r>
      <w:r>
        <w:rPr>
          <w:sz w:val="20"/>
          <w:szCs w:val="20"/>
          <w:color w:val="auto"/>
        </w:rPr>
        <w:tab/>
      </w:r>
      <w:r>
        <w:rPr>
          <w:rFonts w:ascii="Arial" w:cs="Arial" w:eastAsia="Arial" w:hAnsi="Arial"/>
          <w:sz w:val="13"/>
          <w:szCs w:val="13"/>
          <w:color w:val="auto"/>
        </w:rPr>
        <w:t>Chief Executive Officer</w:t>
      </w:r>
    </w:p>
    <w:p>
      <w:pPr>
        <w:sectPr>
          <w:pgSz w:w="11900" w:h="16838" w:orient="portrait"/>
          <w:cols w:equalWidth="0" w:num="1">
            <w:col w:w="11240"/>
          </w:cols>
          <w:pgMar w:left="320" w:top="346" w:right="339" w:bottom="1440" w:gutter="0" w:footer="0" w:header="0"/>
        </w:sectPr>
      </w:pPr>
    </w:p>
    <w:bookmarkStart w:id="148" w:name="page149"/>
    <w:bookmarkEnd w:id="148"/>
    <w:p>
      <w:pPr>
        <w:ind w:left="4100"/>
        <w:spacing w:after="0"/>
        <w:rPr>
          <w:sz w:val="20"/>
          <w:szCs w:val="20"/>
          <w:color w:val="auto"/>
        </w:rPr>
      </w:pPr>
      <w:r>
        <w:rPr>
          <w:rFonts w:ascii="Arial" w:cs="Arial" w:eastAsia="Arial" w:hAnsi="Arial"/>
          <w:sz w:val="14"/>
          <w:szCs w:val="14"/>
          <w:b w:val="1"/>
          <w:bCs w:val="1"/>
          <w:color w:val="auto"/>
        </w:rPr>
        <w:t>CERTIFICATION PURSUANT TO SECTION 302</w:t>
      </w:r>
    </w:p>
    <w:p>
      <w:pPr>
        <w:spacing w:after="0" w:line="16" w:lineRule="exact"/>
        <w:rPr>
          <w:sz w:val="20"/>
          <w:szCs w:val="20"/>
          <w:color w:val="auto"/>
        </w:rPr>
      </w:pPr>
    </w:p>
    <w:p>
      <w:pPr>
        <w:ind w:left="4080"/>
        <w:spacing w:after="0"/>
        <w:rPr>
          <w:sz w:val="20"/>
          <w:szCs w:val="20"/>
          <w:color w:val="auto"/>
        </w:rPr>
      </w:pPr>
      <w:r>
        <w:rPr>
          <w:rFonts w:ascii="Arial" w:cs="Arial" w:eastAsia="Arial" w:hAnsi="Arial"/>
          <w:sz w:val="14"/>
          <w:szCs w:val="14"/>
          <w:b w:val="1"/>
          <w:bCs w:val="1"/>
          <w:color w:val="auto"/>
        </w:rPr>
        <w:t>CHIEF FINANCIAL OFFICER CERTIFICATION</w:t>
      </w:r>
    </w:p>
    <w:p>
      <w:pPr>
        <w:spacing w:after="0" w:line="1" w:lineRule="exact"/>
        <w:rPr>
          <w:sz w:val="20"/>
          <w:szCs w:val="20"/>
          <w:color w:val="auto"/>
        </w:rPr>
      </w:pPr>
    </w:p>
    <w:p>
      <w:pPr>
        <w:jc w:val="right"/>
        <w:spacing w:after="0"/>
        <w:rPr>
          <w:sz w:val="20"/>
          <w:szCs w:val="20"/>
          <w:color w:val="auto"/>
        </w:rPr>
      </w:pPr>
      <w:r>
        <w:rPr>
          <w:rFonts w:ascii="Arial" w:cs="Arial" w:eastAsia="Arial" w:hAnsi="Arial"/>
          <w:sz w:val="14"/>
          <w:szCs w:val="14"/>
          <w:b w:val="1"/>
          <w:bCs w:val="1"/>
          <w:color w:val="auto"/>
        </w:rPr>
        <w:t>Exhibit 31.2</w:t>
      </w:r>
    </w:p>
    <w:p>
      <w:pPr>
        <w:spacing w:after="0" w:line="313" w:lineRule="exact"/>
        <w:rPr>
          <w:sz w:val="20"/>
          <w:szCs w:val="20"/>
          <w:color w:val="auto"/>
        </w:rPr>
      </w:pPr>
    </w:p>
    <w:p>
      <w:pPr>
        <w:spacing w:after="0"/>
        <w:rPr>
          <w:sz w:val="20"/>
          <w:szCs w:val="20"/>
          <w:color w:val="auto"/>
        </w:rPr>
      </w:pPr>
      <w:r>
        <w:rPr>
          <w:rFonts w:ascii="Arial" w:cs="Arial" w:eastAsia="Arial" w:hAnsi="Arial"/>
          <w:sz w:val="14"/>
          <w:szCs w:val="14"/>
          <w:color w:val="auto"/>
        </w:rPr>
        <w:t>I, Aviv Efrat, Chief Financial Officer of PennantPark Investment Corporation, certify that:</w:t>
      </w:r>
    </w:p>
    <w:p>
      <w:pPr>
        <w:spacing w:after="0" w:line="123" w:lineRule="exact"/>
        <w:rPr>
          <w:sz w:val="20"/>
          <w:szCs w:val="20"/>
          <w:color w:val="auto"/>
        </w:rPr>
      </w:pPr>
    </w:p>
    <w:p>
      <w:pPr>
        <w:ind w:left="600" w:hanging="145"/>
        <w:spacing w:after="0"/>
        <w:tabs>
          <w:tab w:leader="none" w:pos="600" w:val="left"/>
        </w:tabs>
        <w:numPr>
          <w:ilvl w:val="1"/>
          <w:numId w:val="190"/>
        </w:numPr>
        <w:rPr>
          <w:rFonts w:ascii="Arial" w:cs="Arial" w:eastAsia="Arial" w:hAnsi="Arial"/>
          <w:sz w:val="14"/>
          <w:szCs w:val="14"/>
          <w:color w:val="auto"/>
        </w:rPr>
      </w:pPr>
      <w:r>
        <w:rPr>
          <w:rFonts w:ascii="Arial" w:cs="Arial" w:eastAsia="Arial" w:hAnsi="Arial"/>
          <w:sz w:val="14"/>
          <w:szCs w:val="14"/>
          <w:color w:val="auto"/>
        </w:rPr>
        <w:t>I have reviewed this Report on Form 10-Q of PennantPark Investment Corporation;</w:t>
      </w:r>
    </w:p>
    <w:p>
      <w:pPr>
        <w:spacing w:after="0" w:line="163" w:lineRule="exact"/>
        <w:rPr>
          <w:rFonts w:ascii="Arial" w:cs="Arial" w:eastAsia="Arial" w:hAnsi="Arial"/>
          <w:sz w:val="14"/>
          <w:szCs w:val="14"/>
          <w:color w:val="auto"/>
        </w:rPr>
      </w:pPr>
    </w:p>
    <w:p>
      <w:pPr>
        <w:ind w:right="480" w:firstLine="441"/>
        <w:spacing w:after="0" w:line="313" w:lineRule="auto"/>
        <w:tabs>
          <w:tab w:leader="none" w:pos="577" w:val="left"/>
        </w:tabs>
        <w:numPr>
          <w:ilvl w:val="0"/>
          <w:numId w:val="191"/>
        </w:numPr>
        <w:rPr>
          <w:rFonts w:ascii="Arial" w:cs="Arial" w:eastAsia="Arial" w:hAnsi="Arial"/>
          <w:sz w:val="14"/>
          <w:szCs w:val="14"/>
          <w:color w:val="auto"/>
        </w:rPr>
      </w:pPr>
      <w:r>
        <w:rPr>
          <w:rFonts w:ascii="Arial" w:cs="Arial" w:eastAsia="Arial" w:hAnsi="Arial"/>
          <w:sz w:val="14"/>
          <w:szCs w:val="14"/>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79" w:lineRule="exact"/>
        <w:rPr>
          <w:rFonts w:ascii="Arial" w:cs="Arial" w:eastAsia="Arial" w:hAnsi="Arial"/>
          <w:sz w:val="14"/>
          <w:szCs w:val="14"/>
          <w:color w:val="auto"/>
        </w:rPr>
      </w:pPr>
    </w:p>
    <w:p>
      <w:pPr>
        <w:ind w:right="580" w:firstLine="448"/>
        <w:spacing w:after="0" w:line="253" w:lineRule="auto"/>
        <w:tabs>
          <w:tab w:leader="none" w:pos="584" w:val="left"/>
        </w:tabs>
        <w:numPr>
          <w:ilvl w:val="0"/>
          <w:numId w:val="191"/>
        </w:numPr>
        <w:rPr>
          <w:rFonts w:ascii="Arial" w:cs="Arial" w:eastAsia="Arial" w:hAnsi="Arial"/>
          <w:sz w:val="14"/>
          <w:szCs w:val="14"/>
          <w:color w:val="auto"/>
        </w:rPr>
      </w:pPr>
      <w:r>
        <w:rPr>
          <w:rFonts w:ascii="Arial" w:cs="Arial" w:eastAsia="Arial" w:hAnsi="Arial"/>
          <w:sz w:val="14"/>
          <w:szCs w:val="14"/>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92" w:lineRule="exact"/>
        <w:rPr>
          <w:rFonts w:ascii="Arial" w:cs="Arial" w:eastAsia="Arial" w:hAnsi="Arial"/>
          <w:sz w:val="14"/>
          <w:szCs w:val="14"/>
          <w:color w:val="auto"/>
        </w:rPr>
      </w:pPr>
    </w:p>
    <w:p>
      <w:pPr>
        <w:ind w:left="580" w:hanging="139"/>
        <w:spacing w:after="0"/>
        <w:tabs>
          <w:tab w:leader="none" w:pos="580" w:val="left"/>
        </w:tabs>
        <w:numPr>
          <w:ilvl w:val="0"/>
          <w:numId w:val="191"/>
        </w:numPr>
        <w:rPr>
          <w:rFonts w:ascii="Arial" w:cs="Arial" w:eastAsia="Arial" w:hAnsi="Arial"/>
          <w:sz w:val="13"/>
          <w:szCs w:val="13"/>
          <w:color w:val="auto"/>
        </w:rPr>
      </w:pPr>
      <w:r>
        <w:rPr>
          <w:rFonts w:ascii="Arial" w:cs="Arial" w:eastAsia="Arial" w:hAnsi="Arial"/>
          <w:sz w:val="13"/>
          <w:szCs w:val="13"/>
          <w:color w:val="auto"/>
        </w:rPr>
        <w:t>The registrant’s other certifying officer and I are responsible for establishing and maintaining disclosure controls and procedures (as defined in Exchange Act Rules 13a-15(e) and</w:t>
      </w:r>
    </w:p>
    <w:p>
      <w:pPr>
        <w:spacing w:after="0" w:line="11" w:lineRule="exact"/>
        <w:rPr>
          <w:rFonts w:ascii="Arial" w:cs="Arial" w:eastAsia="Arial" w:hAnsi="Arial"/>
          <w:sz w:val="13"/>
          <w:szCs w:val="13"/>
          <w:color w:val="auto"/>
        </w:rPr>
      </w:pPr>
    </w:p>
    <w:p>
      <w:pPr>
        <w:spacing w:after="0"/>
        <w:rPr>
          <w:rFonts w:ascii="Arial" w:cs="Arial" w:eastAsia="Arial" w:hAnsi="Arial"/>
          <w:sz w:val="13"/>
          <w:szCs w:val="13"/>
          <w:color w:val="auto"/>
        </w:rPr>
      </w:pPr>
      <w:r>
        <w:rPr>
          <w:rFonts w:ascii="Arial" w:cs="Arial" w:eastAsia="Arial" w:hAnsi="Arial"/>
          <w:sz w:val="14"/>
          <w:szCs w:val="14"/>
          <w:color w:val="auto"/>
        </w:rPr>
        <w:t>15d-15(e)) and internal control over financial reporting (as defined in Exchange Act Rules 13a-15(f) and 15d-15(f)) for the registrant and have:</w:t>
      </w:r>
    </w:p>
    <w:p>
      <w:pPr>
        <w:spacing w:after="0" w:line="151" w:lineRule="exact"/>
        <w:rPr>
          <w:rFonts w:ascii="Arial" w:cs="Arial" w:eastAsia="Arial" w:hAnsi="Arial"/>
          <w:sz w:val="13"/>
          <w:szCs w:val="13"/>
          <w:color w:val="auto"/>
        </w:rPr>
      </w:pPr>
    </w:p>
    <w:p>
      <w:pPr>
        <w:ind w:right="440" w:firstLine="695"/>
        <w:spacing w:after="0" w:line="405" w:lineRule="auto"/>
        <w:tabs>
          <w:tab w:leader="none" w:pos="832" w:val="left"/>
        </w:tabs>
        <w:numPr>
          <w:ilvl w:val="2"/>
          <w:numId w:val="191"/>
        </w:numPr>
        <w:rPr>
          <w:rFonts w:ascii="Arial" w:cs="Arial" w:eastAsia="Arial" w:hAnsi="Arial"/>
          <w:sz w:val="12"/>
          <w:szCs w:val="12"/>
          <w:color w:val="auto"/>
        </w:rPr>
      </w:pPr>
      <w:r>
        <w:rPr>
          <w:rFonts w:ascii="Arial" w:cs="Arial" w:eastAsia="Arial" w:hAnsi="Arial"/>
          <w:sz w:val="12"/>
          <w:szCs w:val="12"/>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74" w:lineRule="exact"/>
        <w:rPr>
          <w:rFonts w:ascii="Arial" w:cs="Arial" w:eastAsia="Arial" w:hAnsi="Arial"/>
          <w:sz w:val="12"/>
          <w:szCs w:val="12"/>
          <w:color w:val="auto"/>
        </w:rPr>
      </w:pPr>
    </w:p>
    <w:p>
      <w:pPr>
        <w:ind w:right="620" w:firstLine="692"/>
        <w:spacing w:after="0" w:line="405" w:lineRule="auto"/>
        <w:tabs>
          <w:tab w:leader="none" w:pos="838" w:val="left"/>
        </w:tabs>
        <w:numPr>
          <w:ilvl w:val="2"/>
          <w:numId w:val="191"/>
        </w:numPr>
        <w:rPr>
          <w:rFonts w:ascii="Arial" w:cs="Arial" w:eastAsia="Arial" w:hAnsi="Arial"/>
          <w:sz w:val="12"/>
          <w:szCs w:val="12"/>
          <w:color w:val="auto"/>
        </w:rPr>
      </w:pPr>
      <w:r>
        <w:rPr>
          <w:rFonts w:ascii="Arial" w:cs="Arial" w:eastAsia="Arial" w:hAnsi="Arial"/>
          <w:sz w:val="12"/>
          <w:szCs w:val="12"/>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74" w:lineRule="exact"/>
        <w:rPr>
          <w:rFonts w:ascii="Arial" w:cs="Arial" w:eastAsia="Arial" w:hAnsi="Arial"/>
          <w:sz w:val="12"/>
          <w:szCs w:val="12"/>
          <w:color w:val="auto"/>
        </w:rPr>
      </w:pPr>
    </w:p>
    <w:p>
      <w:pPr>
        <w:ind w:right="340" w:firstLine="719"/>
        <w:spacing w:after="0" w:line="313" w:lineRule="auto"/>
        <w:tabs>
          <w:tab w:leader="none" w:pos="856" w:val="left"/>
        </w:tabs>
        <w:numPr>
          <w:ilvl w:val="3"/>
          <w:numId w:val="191"/>
        </w:numPr>
        <w:rPr>
          <w:rFonts w:ascii="Arial" w:cs="Arial" w:eastAsia="Arial" w:hAnsi="Arial"/>
          <w:sz w:val="14"/>
          <w:szCs w:val="14"/>
          <w:color w:val="auto"/>
        </w:rPr>
      </w:pPr>
      <w:r>
        <w:rPr>
          <w:rFonts w:ascii="Arial" w:cs="Arial" w:eastAsia="Arial" w:hAnsi="Arial"/>
          <w:sz w:val="14"/>
          <w:szCs w:val="14"/>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20" w:lineRule="exact"/>
        <w:rPr>
          <w:rFonts w:ascii="Arial" w:cs="Arial" w:eastAsia="Arial" w:hAnsi="Arial"/>
          <w:sz w:val="14"/>
          <w:szCs w:val="14"/>
          <w:color w:val="auto"/>
        </w:rPr>
      </w:pPr>
    </w:p>
    <w:p>
      <w:pPr>
        <w:ind w:right="480" w:firstLine="705"/>
        <w:spacing w:after="0" w:line="355" w:lineRule="auto"/>
        <w:tabs>
          <w:tab w:leader="none" w:pos="850" w:val="left"/>
        </w:tabs>
        <w:numPr>
          <w:ilvl w:val="3"/>
          <w:numId w:val="191"/>
        </w:numPr>
        <w:rPr>
          <w:rFonts w:ascii="Arial" w:cs="Arial" w:eastAsia="Arial" w:hAnsi="Arial"/>
          <w:sz w:val="13"/>
          <w:szCs w:val="13"/>
          <w:color w:val="auto"/>
        </w:rPr>
      </w:pPr>
      <w:r>
        <w:rPr>
          <w:rFonts w:ascii="Arial" w:cs="Arial" w:eastAsia="Arial" w:hAnsi="Arial"/>
          <w:sz w:val="13"/>
          <w:szCs w:val="13"/>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97" w:lineRule="exact"/>
        <w:rPr>
          <w:rFonts w:ascii="Arial" w:cs="Arial" w:eastAsia="Arial" w:hAnsi="Arial"/>
          <w:sz w:val="13"/>
          <w:szCs w:val="13"/>
          <w:color w:val="auto"/>
        </w:rPr>
      </w:pPr>
    </w:p>
    <w:p>
      <w:pPr>
        <w:ind w:right="380" w:firstLine="447"/>
        <w:spacing w:after="0" w:line="313" w:lineRule="auto"/>
        <w:tabs>
          <w:tab w:leader="none" w:pos="583" w:val="left"/>
        </w:tabs>
        <w:numPr>
          <w:ilvl w:val="1"/>
          <w:numId w:val="191"/>
        </w:numPr>
        <w:rPr>
          <w:rFonts w:ascii="Arial" w:cs="Arial" w:eastAsia="Arial" w:hAnsi="Arial"/>
          <w:sz w:val="14"/>
          <w:szCs w:val="14"/>
          <w:color w:val="auto"/>
        </w:rPr>
      </w:pPr>
      <w:r>
        <w:rPr>
          <w:rFonts w:ascii="Arial" w:cs="Arial" w:eastAsia="Arial" w:hAnsi="Arial"/>
          <w:sz w:val="14"/>
          <w:szCs w:val="14"/>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20" w:lineRule="exact"/>
        <w:rPr>
          <w:rFonts w:ascii="Arial" w:cs="Arial" w:eastAsia="Arial" w:hAnsi="Arial"/>
          <w:sz w:val="14"/>
          <w:szCs w:val="14"/>
          <w:color w:val="auto"/>
        </w:rPr>
      </w:pPr>
    </w:p>
    <w:p>
      <w:pPr>
        <w:ind w:right="100" w:firstLine="719"/>
        <w:spacing w:after="0" w:line="313" w:lineRule="auto"/>
        <w:tabs>
          <w:tab w:leader="none" w:pos="856" w:val="left"/>
        </w:tabs>
        <w:numPr>
          <w:ilvl w:val="3"/>
          <w:numId w:val="192"/>
        </w:numPr>
        <w:rPr>
          <w:rFonts w:ascii="Arial" w:cs="Arial" w:eastAsia="Arial" w:hAnsi="Arial"/>
          <w:sz w:val="14"/>
          <w:szCs w:val="14"/>
          <w:color w:val="auto"/>
        </w:rPr>
      </w:pPr>
      <w:r>
        <w:rPr>
          <w:rFonts w:ascii="Arial" w:cs="Arial" w:eastAsia="Arial" w:hAnsi="Arial"/>
          <w:sz w:val="14"/>
          <w:szCs w:val="14"/>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93" w:lineRule="exact"/>
        <w:rPr>
          <w:rFonts w:ascii="Arial" w:cs="Arial" w:eastAsia="Arial" w:hAnsi="Arial"/>
          <w:sz w:val="14"/>
          <w:szCs w:val="14"/>
          <w:color w:val="auto"/>
        </w:rPr>
      </w:pPr>
    </w:p>
    <w:p>
      <w:pPr>
        <w:ind w:left="860" w:hanging="161"/>
        <w:spacing w:after="0"/>
        <w:tabs>
          <w:tab w:leader="none" w:pos="860" w:val="left"/>
        </w:tabs>
        <w:numPr>
          <w:ilvl w:val="3"/>
          <w:numId w:val="192"/>
        </w:numPr>
        <w:rPr>
          <w:rFonts w:ascii="Arial" w:cs="Arial" w:eastAsia="Arial" w:hAnsi="Arial"/>
          <w:sz w:val="14"/>
          <w:szCs w:val="14"/>
          <w:color w:val="auto"/>
        </w:rPr>
      </w:pPr>
      <w:r>
        <w:rPr>
          <w:rFonts w:ascii="Arial" w:cs="Arial" w:eastAsia="Arial" w:hAnsi="Arial"/>
          <w:sz w:val="14"/>
          <w:szCs w:val="14"/>
          <w:color w:val="auto"/>
        </w:rPr>
        <w:t>Any fraud, whether or not material, that involves management or other employees who have a significant role in the registrant’s internal control over financial reporting.</w:t>
      </w:r>
    </w:p>
    <w:p>
      <w:pPr>
        <w:spacing w:after="0" w:line="163" w:lineRule="exact"/>
        <w:rPr>
          <w:sz w:val="20"/>
          <w:szCs w:val="20"/>
          <w:color w:val="auto"/>
        </w:rPr>
      </w:pPr>
    </w:p>
    <w:p>
      <w:pPr>
        <w:spacing w:after="0"/>
        <w:rPr>
          <w:sz w:val="20"/>
          <w:szCs w:val="20"/>
          <w:color w:val="auto"/>
        </w:rPr>
      </w:pPr>
      <w:r>
        <w:rPr>
          <w:rFonts w:ascii="Arial" w:cs="Arial" w:eastAsia="Arial" w:hAnsi="Arial"/>
          <w:sz w:val="14"/>
          <w:szCs w:val="14"/>
          <w:color w:val="auto"/>
        </w:rPr>
        <w:t>Dated: August 7, 2017</w:t>
      </w:r>
    </w:p>
    <w:p>
      <w:pPr>
        <w:spacing w:after="0" w:line="352" w:lineRule="exact"/>
        <w:rPr>
          <w:sz w:val="20"/>
          <w:szCs w:val="20"/>
          <w:color w:val="auto"/>
        </w:rPr>
      </w:pPr>
    </w:p>
    <w:p>
      <w:pPr>
        <w:spacing w:after="0"/>
        <w:rPr>
          <w:sz w:val="20"/>
          <w:szCs w:val="20"/>
          <w:color w:val="auto"/>
        </w:rPr>
      </w:pPr>
      <w:r>
        <w:rPr>
          <w:rFonts w:ascii="Arial" w:cs="Arial" w:eastAsia="Arial" w:hAnsi="Arial"/>
          <w:sz w:val="14"/>
          <w:szCs w:val="14"/>
          <w:color w:val="auto"/>
        </w:rPr>
        <w:t>/s/ Aviv Efrat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wp:posOffset>
            </wp:positionV>
            <wp:extent cx="2468880" cy="8890"/>
            <wp:wrapNone/>
            <wp:docPr id="278" name="Picture 2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8"/>
                    <pic:cNvPicPr>
                      <a:picLocks noChangeAspect="1" noChangeArrowheads="1"/>
                    </pic:cNvPicPr>
                  </pic:nvPicPr>
                  <pic:blipFill>
                    <a:blip r:embed="rId285">
                      <a:extLst>
                        <a:ext uri="{28A0092B-C50C-407E-A947-70E740481C1C}"/>
                      </a:extLst>
                    </a:blip>
                    <a:srcRect/>
                    <a:stretch>
                      <a:fillRect/>
                    </a:stretch>
                  </pic:blipFill>
                  <pic:spPr bwMode="auto">
                    <a:xfrm>
                      <a:off x="0" y="0"/>
                      <a:ext cx="2468880" cy="8890"/>
                    </a:xfrm>
                    <a:prstGeom prst="rect">
                      <a:avLst/>
                    </a:prstGeom>
                    <a:noFill/>
                  </pic:spPr>
                </pic:pic>
              </a:graphicData>
            </a:graphic>
          </wp:anchor>
        </w:drawing>
      </w:r>
    </w:p>
    <w:p>
      <w:pPr>
        <w:spacing w:after="0" w:line="49" w:lineRule="exact"/>
        <w:rPr>
          <w:sz w:val="20"/>
          <w:szCs w:val="20"/>
          <w:color w:val="auto"/>
        </w:rPr>
      </w:pPr>
    </w:p>
    <w:p>
      <w:pPr>
        <w:spacing w:after="0"/>
        <w:rPr>
          <w:sz w:val="20"/>
          <w:szCs w:val="20"/>
          <w:color w:val="auto"/>
        </w:rPr>
      </w:pPr>
      <w:r>
        <w:rPr>
          <w:rFonts w:ascii="Arial" w:cs="Arial" w:eastAsia="Arial" w:hAnsi="Arial"/>
          <w:sz w:val="14"/>
          <w:szCs w:val="14"/>
          <w:color w:val="auto"/>
        </w:rPr>
        <w:t>Name: Aviv Efrat</w:t>
      </w:r>
    </w:p>
    <w:p>
      <w:pPr>
        <w:spacing w:after="0" w:line="28" w:lineRule="exact"/>
        <w:rPr>
          <w:sz w:val="20"/>
          <w:szCs w:val="20"/>
          <w:color w:val="auto"/>
        </w:rPr>
      </w:pPr>
    </w:p>
    <w:p>
      <w:pPr>
        <w:spacing w:after="0"/>
        <w:tabs>
          <w:tab w:leader="none" w:pos="440" w:val="left"/>
        </w:tabs>
        <w:rPr>
          <w:sz w:val="20"/>
          <w:szCs w:val="20"/>
          <w:color w:val="auto"/>
        </w:rPr>
      </w:pPr>
      <w:r>
        <w:rPr>
          <w:rFonts w:ascii="Arial" w:cs="Arial" w:eastAsia="Arial" w:hAnsi="Arial"/>
          <w:sz w:val="14"/>
          <w:szCs w:val="14"/>
          <w:color w:val="auto"/>
        </w:rPr>
        <w:t>Title:</w:t>
      </w:r>
      <w:r>
        <w:rPr>
          <w:sz w:val="20"/>
          <w:szCs w:val="20"/>
          <w:color w:val="auto"/>
        </w:rPr>
        <w:tab/>
      </w:r>
      <w:r>
        <w:rPr>
          <w:rFonts w:ascii="Arial" w:cs="Arial" w:eastAsia="Arial" w:hAnsi="Arial"/>
          <w:sz w:val="13"/>
          <w:szCs w:val="13"/>
          <w:color w:val="auto"/>
        </w:rPr>
        <w:t>Chief Financial Officer</w:t>
      </w:r>
    </w:p>
    <w:p>
      <w:pPr>
        <w:sectPr>
          <w:pgSz w:w="11900" w:h="16838" w:orient="portrait"/>
          <w:cols w:equalWidth="0" w:num="1">
            <w:col w:w="11240"/>
          </w:cols>
          <w:pgMar w:left="320" w:top="118" w:right="339" w:bottom="1440" w:gutter="0" w:footer="0" w:header="0"/>
        </w:sectPr>
      </w:pPr>
    </w:p>
    <w:bookmarkStart w:id="149" w:name="page150"/>
    <w:bookmarkEnd w:id="149"/>
    <w:p>
      <w:pPr>
        <w:ind w:left="3940"/>
        <w:spacing w:after="0"/>
        <w:rPr>
          <w:sz w:val="20"/>
          <w:szCs w:val="20"/>
          <w:color w:val="auto"/>
        </w:rPr>
      </w:pPr>
      <w:r>
        <w:rPr>
          <w:rFonts w:ascii="Arial" w:cs="Arial" w:eastAsia="Arial" w:hAnsi="Arial"/>
          <w:sz w:val="14"/>
          <w:szCs w:val="14"/>
          <w:b w:val="1"/>
          <w:bCs w:val="1"/>
          <w:color w:val="auto"/>
        </w:rPr>
        <w:t>CERTIFICATION OF CHIEF EXECUTIVE OFFICER</w:t>
      </w:r>
    </w:p>
    <w:p>
      <w:pPr>
        <w:spacing w:after="0" w:line="69" w:lineRule="exact"/>
        <w:rPr>
          <w:sz w:val="20"/>
          <w:szCs w:val="20"/>
          <w:color w:val="auto"/>
        </w:rPr>
      </w:pPr>
    </w:p>
    <w:p>
      <w:pPr>
        <w:ind w:left="5140"/>
        <w:spacing w:after="0"/>
        <w:rPr>
          <w:sz w:val="20"/>
          <w:szCs w:val="20"/>
          <w:color w:val="auto"/>
        </w:rPr>
      </w:pPr>
      <w:r>
        <w:rPr>
          <w:rFonts w:ascii="Arial" w:cs="Arial" w:eastAsia="Arial" w:hAnsi="Arial"/>
          <w:sz w:val="14"/>
          <w:szCs w:val="14"/>
          <w:b w:val="1"/>
          <w:bCs w:val="1"/>
          <w:color w:val="auto"/>
        </w:rPr>
        <w:t>PURSUANT TO</w:t>
      </w:r>
    </w:p>
    <w:p>
      <w:pPr>
        <w:spacing w:after="0" w:line="28" w:lineRule="exact"/>
        <w:rPr>
          <w:sz w:val="20"/>
          <w:szCs w:val="20"/>
          <w:color w:val="auto"/>
        </w:rPr>
      </w:pPr>
    </w:p>
    <w:p>
      <w:pPr>
        <w:jc w:val="center"/>
        <w:ind w:right="-19"/>
        <w:spacing w:after="0"/>
        <w:rPr>
          <w:sz w:val="20"/>
          <w:szCs w:val="20"/>
          <w:color w:val="auto"/>
        </w:rPr>
      </w:pPr>
      <w:r>
        <w:rPr>
          <w:rFonts w:ascii="Arial" w:cs="Arial" w:eastAsia="Arial" w:hAnsi="Arial"/>
          <w:sz w:val="14"/>
          <w:szCs w:val="14"/>
          <w:b w:val="1"/>
          <w:bCs w:val="1"/>
          <w:color w:val="auto"/>
        </w:rPr>
        <w:t>SECTION 906 OF THE SARBANES-OXLEY ACT OF 2002 (18 U.S.C. 1350)</w:t>
      </w:r>
    </w:p>
    <w:p>
      <w:pPr>
        <w:spacing w:after="0" w:line="28" w:lineRule="exact"/>
        <w:rPr>
          <w:sz w:val="20"/>
          <w:szCs w:val="20"/>
          <w:color w:val="auto"/>
        </w:rPr>
      </w:pPr>
    </w:p>
    <w:p>
      <w:pPr>
        <w:jc w:val="right"/>
        <w:spacing w:after="0"/>
        <w:rPr>
          <w:sz w:val="20"/>
          <w:szCs w:val="20"/>
          <w:color w:val="auto"/>
        </w:rPr>
      </w:pPr>
      <w:r>
        <w:rPr>
          <w:rFonts w:ascii="Arial" w:cs="Arial" w:eastAsia="Arial" w:hAnsi="Arial"/>
          <w:sz w:val="14"/>
          <w:szCs w:val="14"/>
          <w:b w:val="1"/>
          <w:bCs w:val="1"/>
          <w:color w:val="auto"/>
        </w:rPr>
        <w:t>Exhibit 32.1</w:t>
      </w:r>
    </w:p>
    <w:p>
      <w:pPr>
        <w:spacing w:after="0" w:line="370" w:lineRule="exact"/>
        <w:rPr>
          <w:sz w:val="20"/>
          <w:szCs w:val="20"/>
          <w:color w:val="auto"/>
        </w:rPr>
      </w:pPr>
    </w:p>
    <w:p>
      <w:pPr>
        <w:ind w:left="120" w:right="440" w:firstLine="408"/>
        <w:spacing w:after="0" w:line="290" w:lineRule="auto"/>
        <w:rPr>
          <w:sz w:val="20"/>
          <w:szCs w:val="20"/>
          <w:color w:val="auto"/>
        </w:rPr>
      </w:pPr>
      <w:r>
        <w:rPr>
          <w:rFonts w:ascii="Arial" w:cs="Arial" w:eastAsia="Arial" w:hAnsi="Arial"/>
          <w:sz w:val="13"/>
          <w:szCs w:val="13"/>
          <w:color w:val="auto"/>
        </w:rPr>
        <w:t>In connection with this Report on Form 10-Q for the three and nine months ended June 30, 2017 (the “Report”) of PennantPark Investment Corporation (the “Registrant”), as filed with the Securities and Exchange Commission on the date hereof, I, Arthur H. Penn, Chief Executive Officer of the Registrant, hereby certify, to the best of my knowledge, that:</w:t>
      </w:r>
    </w:p>
    <w:p>
      <w:pPr>
        <w:spacing w:after="0" w:line="84" w:lineRule="exact"/>
        <w:rPr>
          <w:sz w:val="20"/>
          <w:szCs w:val="20"/>
          <w:color w:val="auto"/>
        </w:rPr>
      </w:pPr>
    </w:p>
    <w:p>
      <w:pPr>
        <w:ind w:left="920" w:hanging="318"/>
        <w:spacing w:after="0"/>
        <w:tabs>
          <w:tab w:leader="none" w:pos="920" w:val="left"/>
        </w:tabs>
        <w:numPr>
          <w:ilvl w:val="0"/>
          <w:numId w:val="193"/>
        </w:numPr>
        <w:rPr>
          <w:rFonts w:ascii="Arial" w:cs="Arial" w:eastAsia="Arial" w:hAnsi="Arial"/>
          <w:sz w:val="14"/>
          <w:szCs w:val="14"/>
          <w:color w:val="auto"/>
        </w:rPr>
      </w:pPr>
      <w:r>
        <w:rPr>
          <w:rFonts w:ascii="Arial" w:cs="Arial" w:eastAsia="Arial" w:hAnsi="Arial"/>
          <w:sz w:val="14"/>
          <w:szCs w:val="14"/>
          <w:color w:val="auto"/>
        </w:rPr>
        <w:t>The Report fully complies with the requirements of Section 13(a) or 15(d) of the Securities Exchange Act of 1934, as amended; and</w:t>
      </w:r>
    </w:p>
    <w:p>
      <w:pPr>
        <w:spacing w:after="0" w:line="136" w:lineRule="exact"/>
        <w:rPr>
          <w:rFonts w:ascii="Arial" w:cs="Arial" w:eastAsia="Arial" w:hAnsi="Arial"/>
          <w:sz w:val="14"/>
          <w:szCs w:val="14"/>
          <w:color w:val="auto"/>
        </w:rPr>
      </w:pPr>
    </w:p>
    <w:p>
      <w:pPr>
        <w:ind w:left="920" w:hanging="316"/>
        <w:spacing w:after="0"/>
        <w:tabs>
          <w:tab w:leader="none" w:pos="920" w:val="left"/>
        </w:tabs>
        <w:numPr>
          <w:ilvl w:val="0"/>
          <w:numId w:val="193"/>
        </w:numPr>
        <w:rPr>
          <w:rFonts w:ascii="Arial" w:cs="Arial" w:eastAsia="Arial" w:hAnsi="Arial"/>
          <w:sz w:val="14"/>
          <w:szCs w:val="14"/>
          <w:color w:val="auto"/>
        </w:rPr>
      </w:pPr>
      <w:r>
        <w:rPr>
          <w:rFonts w:ascii="Arial" w:cs="Arial" w:eastAsia="Arial" w:hAnsi="Arial"/>
          <w:sz w:val="14"/>
          <w:szCs w:val="14"/>
          <w:color w:val="auto"/>
        </w:rPr>
        <w:t>The information contained in the Report fairly presents, in all material respects, the financial condition and results of operations of the Registrant.</w:t>
      </w:r>
    </w:p>
    <w:p>
      <w:pPr>
        <w:spacing w:after="0" w:line="312" w:lineRule="exact"/>
        <w:rPr>
          <w:sz w:val="20"/>
          <w:szCs w:val="20"/>
          <w:color w:val="auto"/>
        </w:rPr>
      </w:pPr>
    </w:p>
    <w:p>
      <w:pPr>
        <w:spacing w:after="0"/>
        <w:rPr>
          <w:sz w:val="20"/>
          <w:szCs w:val="20"/>
          <w:color w:val="auto"/>
        </w:rPr>
      </w:pPr>
      <w:r>
        <w:rPr>
          <w:rFonts w:ascii="Arial" w:cs="Arial" w:eastAsia="Arial" w:hAnsi="Arial"/>
          <w:sz w:val="14"/>
          <w:szCs w:val="14"/>
          <w:color w:val="auto"/>
        </w:rPr>
        <w:t>/s/ Arthur H. Penn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wp:posOffset>
            </wp:positionV>
            <wp:extent cx="2468880" cy="8255"/>
            <wp:wrapNone/>
            <wp:docPr id="279" name="Picture 2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9"/>
                    <pic:cNvPicPr>
                      <a:picLocks noChangeAspect="1" noChangeArrowheads="1"/>
                    </pic:cNvPicPr>
                  </pic:nvPicPr>
                  <pic:blipFill>
                    <a:blip r:embed="rId286">
                      <a:extLst>
                        <a:ext uri="{28A0092B-C50C-407E-A947-70E740481C1C}"/>
                      </a:extLst>
                    </a:blip>
                    <a:srcRect/>
                    <a:stretch>
                      <a:fillRect/>
                    </a:stretch>
                  </pic:blipFill>
                  <pic:spPr bwMode="auto">
                    <a:xfrm>
                      <a:off x="0" y="0"/>
                      <a:ext cx="2468880" cy="8255"/>
                    </a:xfrm>
                    <a:prstGeom prst="rect">
                      <a:avLst/>
                    </a:prstGeom>
                    <a:noFill/>
                  </pic:spPr>
                </pic:pic>
              </a:graphicData>
            </a:graphic>
          </wp:anchor>
        </w:drawing>
      </w:r>
    </w:p>
    <w:p>
      <w:pPr>
        <w:spacing w:after="0" w:line="49" w:lineRule="exact"/>
        <w:rPr>
          <w:sz w:val="20"/>
          <w:szCs w:val="20"/>
          <w:color w:val="auto"/>
        </w:rPr>
      </w:pPr>
    </w:p>
    <w:p>
      <w:pPr>
        <w:spacing w:after="0"/>
        <w:rPr>
          <w:sz w:val="20"/>
          <w:szCs w:val="20"/>
          <w:color w:val="auto"/>
        </w:rPr>
      </w:pPr>
      <w:r>
        <w:rPr>
          <w:rFonts w:ascii="Arial" w:cs="Arial" w:eastAsia="Arial" w:hAnsi="Arial"/>
          <w:sz w:val="14"/>
          <w:szCs w:val="14"/>
          <w:color w:val="auto"/>
        </w:rPr>
        <w:t>Name: Arthur H. Penn</w:t>
      </w:r>
    </w:p>
    <w:p>
      <w:pPr>
        <w:spacing w:after="0" w:line="28" w:lineRule="exact"/>
        <w:rPr>
          <w:sz w:val="20"/>
          <w:szCs w:val="20"/>
          <w:color w:val="auto"/>
        </w:rPr>
      </w:pPr>
    </w:p>
    <w:p>
      <w:pPr>
        <w:spacing w:after="0"/>
        <w:tabs>
          <w:tab w:leader="none" w:pos="440" w:val="left"/>
        </w:tabs>
        <w:rPr>
          <w:sz w:val="20"/>
          <w:szCs w:val="20"/>
          <w:color w:val="auto"/>
        </w:rPr>
      </w:pPr>
      <w:r>
        <w:rPr>
          <w:rFonts w:ascii="Arial" w:cs="Arial" w:eastAsia="Arial" w:hAnsi="Arial"/>
          <w:sz w:val="14"/>
          <w:szCs w:val="14"/>
          <w:color w:val="auto"/>
        </w:rPr>
        <w:t>Title:</w:t>
      </w:r>
      <w:r>
        <w:rPr>
          <w:sz w:val="20"/>
          <w:szCs w:val="20"/>
          <w:color w:val="auto"/>
        </w:rPr>
        <w:tab/>
      </w:r>
      <w:r>
        <w:rPr>
          <w:rFonts w:ascii="Arial" w:cs="Arial" w:eastAsia="Arial" w:hAnsi="Arial"/>
          <w:sz w:val="13"/>
          <w:szCs w:val="13"/>
          <w:color w:val="auto"/>
        </w:rPr>
        <w:t>Chief Executive Officer</w:t>
      </w:r>
    </w:p>
    <w:p>
      <w:pPr>
        <w:spacing w:after="0" w:line="28" w:lineRule="exact"/>
        <w:rPr>
          <w:sz w:val="20"/>
          <w:szCs w:val="20"/>
          <w:color w:val="auto"/>
        </w:rPr>
      </w:pPr>
    </w:p>
    <w:p>
      <w:pPr>
        <w:spacing w:after="0"/>
        <w:tabs>
          <w:tab w:leader="none" w:pos="440" w:val="left"/>
        </w:tabs>
        <w:rPr>
          <w:sz w:val="20"/>
          <w:szCs w:val="20"/>
          <w:color w:val="auto"/>
        </w:rPr>
      </w:pPr>
      <w:r>
        <w:rPr>
          <w:rFonts w:ascii="Arial" w:cs="Arial" w:eastAsia="Arial" w:hAnsi="Arial"/>
          <w:sz w:val="14"/>
          <w:szCs w:val="14"/>
          <w:color w:val="auto"/>
        </w:rPr>
        <w:t>Date:</w:t>
      </w:r>
      <w:r>
        <w:rPr>
          <w:sz w:val="20"/>
          <w:szCs w:val="20"/>
          <w:color w:val="auto"/>
        </w:rPr>
        <w:tab/>
      </w:r>
      <w:r>
        <w:rPr>
          <w:rFonts w:ascii="Arial" w:cs="Arial" w:eastAsia="Arial" w:hAnsi="Arial"/>
          <w:sz w:val="13"/>
          <w:szCs w:val="13"/>
          <w:color w:val="auto"/>
        </w:rPr>
        <w:t>August 7, 2017</w:t>
      </w:r>
    </w:p>
    <w:p>
      <w:pPr>
        <w:sectPr>
          <w:pgSz w:w="11900" w:h="16838" w:orient="portrait"/>
          <w:cols w:equalWidth="0" w:num="1">
            <w:col w:w="11240"/>
          </w:cols>
          <w:pgMar w:left="320" w:top="130" w:right="339" w:bottom="1440" w:gutter="0" w:footer="0" w:header="0"/>
        </w:sectPr>
      </w:pPr>
    </w:p>
    <w:bookmarkStart w:id="150" w:name="page151"/>
    <w:bookmarkEnd w:id="150"/>
    <w:p>
      <w:pPr>
        <w:jc w:val="center"/>
        <w:spacing w:after="0"/>
        <w:rPr>
          <w:sz w:val="20"/>
          <w:szCs w:val="20"/>
          <w:color w:val="auto"/>
        </w:rPr>
      </w:pPr>
      <w:r>
        <w:rPr>
          <w:rFonts w:ascii="Arial" w:cs="Arial" w:eastAsia="Arial" w:hAnsi="Arial"/>
          <w:sz w:val="14"/>
          <w:szCs w:val="14"/>
          <w:b w:val="1"/>
          <w:bCs w:val="1"/>
          <w:color w:val="auto"/>
        </w:rPr>
        <w:t>CERTIFICATION OF CHIEF FINANCIAL OFFICER</w:t>
      </w:r>
    </w:p>
    <w:p>
      <w:pPr>
        <w:jc w:val="center"/>
        <w:spacing w:after="0" w:line="226" w:lineRule="auto"/>
        <w:rPr>
          <w:sz w:val="20"/>
          <w:szCs w:val="20"/>
          <w:color w:val="auto"/>
        </w:rPr>
      </w:pPr>
      <w:r>
        <w:rPr>
          <w:rFonts w:ascii="Arial" w:cs="Arial" w:eastAsia="Arial" w:hAnsi="Arial"/>
          <w:sz w:val="14"/>
          <w:szCs w:val="14"/>
          <w:b w:val="1"/>
          <w:bCs w:val="1"/>
          <w:color w:val="auto"/>
        </w:rPr>
        <w:t>PURSUANT TO</w:t>
      </w:r>
    </w:p>
    <w:p>
      <w:pPr>
        <w:jc w:val="center"/>
        <w:spacing w:after="0"/>
        <w:rPr>
          <w:sz w:val="20"/>
          <w:szCs w:val="20"/>
          <w:color w:val="auto"/>
        </w:rPr>
      </w:pPr>
      <w:r>
        <w:rPr>
          <w:rFonts w:ascii="Arial" w:cs="Arial" w:eastAsia="Arial" w:hAnsi="Arial"/>
          <w:sz w:val="14"/>
          <w:szCs w:val="14"/>
          <w:b w:val="1"/>
          <w:bCs w:val="1"/>
          <w:color w:val="auto"/>
        </w:rPr>
        <w:t>SECTION 906 OF THE SARBANES-OXLEY ACT OF 2002 (18 U.S.C. 1350)</w:t>
      </w:r>
    </w:p>
    <w:p>
      <w:pPr>
        <w:spacing w:after="0" w:line="1" w:lineRule="exact"/>
        <w:rPr>
          <w:sz w:val="20"/>
          <w:szCs w:val="20"/>
          <w:color w:val="auto"/>
        </w:rPr>
      </w:pPr>
    </w:p>
    <w:p>
      <w:pPr>
        <w:jc w:val="right"/>
        <w:spacing w:after="0"/>
        <w:rPr>
          <w:sz w:val="20"/>
          <w:szCs w:val="20"/>
          <w:color w:val="auto"/>
        </w:rPr>
      </w:pPr>
      <w:r>
        <w:rPr>
          <w:rFonts w:ascii="Arial" w:cs="Arial" w:eastAsia="Arial" w:hAnsi="Arial"/>
          <w:sz w:val="14"/>
          <w:szCs w:val="14"/>
          <w:b w:val="1"/>
          <w:bCs w:val="1"/>
          <w:color w:val="auto"/>
        </w:rPr>
        <w:t>Exhibit 32.2</w:t>
      </w:r>
    </w:p>
    <w:p>
      <w:pPr>
        <w:spacing w:after="0" w:line="300" w:lineRule="exact"/>
        <w:rPr>
          <w:sz w:val="20"/>
          <w:szCs w:val="20"/>
          <w:color w:val="auto"/>
        </w:rPr>
      </w:pPr>
    </w:p>
    <w:p>
      <w:pPr>
        <w:ind w:left="460"/>
        <w:spacing w:after="0"/>
        <w:rPr>
          <w:sz w:val="20"/>
          <w:szCs w:val="20"/>
          <w:color w:val="auto"/>
        </w:rPr>
      </w:pPr>
      <w:r>
        <w:rPr>
          <w:rFonts w:ascii="Arial" w:cs="Arial" w:eastAsia="Arial" w:hAnsi="Arial"/>
          <w:sz w:val="13"/>
          <w:szCs w:val="13"/>
          <w:color w:val="auto"/>
        </w:rPr>
        <w:t>In connection with this Report on Form 10-Q for the three and nine months ended June 30, 2017 (the “Report”) of PennantPark Investment Corporation (the “Registrant”), as filed with the</w:t>
      </w:r>
    </w:p>
    <w:p>
      <w:pPr>
        <w:spacing w:after="0" w:line="11" w:lineRule="exact"/>
        <w:rPr>
          <w:sz w:val="20"/>
          <w:szCs w:val="20"/>
          <w:color w:val="auto"/>
        </w:rPr>
      </w:pPr>
    </w:p>
    <w:p>
      <w:pPr>
        <w:spacing w:after="0"/>
        <w:rPr>
          <w:sz w:val="20"/>
          <w:szCs w:val="20"/>
          <w:color w:val="auto"/>
        </w:rPr>
      </w:pPr>
      <w:r>
        <w:rPr>
          <w:rFonts w:ascii="Arial" w:cs="Arial" w:eastAsia="Arial" w:hAnsi="Arial"/>
          <w:sz w:val="14"/>
          <w:szCs w:val="14"/>
          <w:color w:val="auto"/>
        </w:rPr>
        <w:t>Securities and Exchange Commission on the date hereof, I, Aviv Efrat, Chief Financial Officer of the Registrant, hereby certify, to the best of my knowledge, that:</w:t>
      </w:r>
    </w:p>
    <w:p>
      <w:pPr>
        <w:spacing w:after="0" w:line="124" w:lineRule="exact"/>
        <w:rPr>
          <w:sz w:val="20"/>
          <w:szCs w:val="20"/>
          <w:color w:val="auto"/>
        </w:rPr>
      </w:pPr>
    </w:p>
    <w:p>
      <w:pPr>
        <w:ind w:left="920" w:hanging="318"/>
        <w:spacing w:after="0"/>
        <w:tabs>
          <w:tab w:leader="none" w:pos="920" w:val="left"/>
        </w:tabs>
        <w:numPr>
          <w:ilvl w:val="0"/>
          <w:numId w:val="194"/>
        </w:numPr>
        <w:rPr>
          <w:rFonts w:ascii="Arial" w:cs="Arial" w:eastAsia="Arial" w:hAnsi="Arial"/>
          <w:sz w:val="14"/>
          <w:szCs w:val="14"/>
          <w:color w:val="auto"/>
        </w:rPr>
      </w:pPr>
      <w:r>
        <w:rPr>
          <w:rFonts w:ascii="Arial" w:cs="Arial" w:eastAsia="Arial" w:hAnsi="Arial"/>
          <w:sz w:val="14"/>
          <w:szCs w:val="14"/>
          <w:color w:val="auto"/>
        </w:rPr>
        <w:t>The Report fully complies with the requirements of Section 13(a) or 15(d) of the Securities Exchange Act of 1934, as amended; and</w:t>
      </w:r>
    </w:p>
    <w:p>
      <w:pPr>
        <w:spacing w:after="0" w:line="136" w:lineRule="exact"/>
        <w:rPr>
          <w:rFonts w:ascii="Arial" w:cs="Arial" w:eastAsia="Arial" w:hAnsi="Arial"/>
          <w:sz w:val="14"/>
          <w:szCs w:val="14"/>
          <w:color w:val="auto"/>
        </w:rPr>
      </w:pPr>
    </w:p>
    <w:p>
      <w:pPr>
        <w:ind w:left="920" w:hanging="316"/>
        <w:spacing w:after="0"/>
        <w:tabs>
          <w:tab w:leader="none" w:pos="920" w:val="left"/>
        </w:tabs>
        <w:numPr>
          <w:ilvl w:val="0"/>
          <w:numId w:val="194"/>
        </w:numPr>
        <w:rPr>
          <w:rFonts w:ascii="Arial" w:cs="Arial" w:eastAsia="Arial" w:hAnsi="Arial"/>
          <w:sz w:val="14"/>
          <w:szCs w:val="14"/>
          <w:color w:val="auto"/>
        </w:rPr>
      </w:pPr>
      <w:r>
        <w:rPr>
          <w:rFonts w:ascii="Arial" w:cs="Arial" w:eastAsia="Arial" w:hAnsi="Arial"/>
          <w:sz w:val="14"/>
          <w:szCs w:val="14"/>
          <w:color w:val="auto"/>
        </w:rPr>
        <w:t>The information contained in the Report fairly presents, in all material respects, the financial condition and results of operations of the Registrant.</w:t>
      </w:r>
    </w:p>
    <w:p>
      <w:pPr>
        <w:spacing w:after="0" w:line="312" w:lineRule="exact"/>
        <w:rPr>
          <w:sz w:val="20"/>
          <w:szCs w:val="20"/>
          <w:color w:val="auto"/>
        </w:rPr>
      </w:pPr>
    </w:p>
    <w:p>
      <w:pPr>
        <w:spacing w:after="0"/>
        <w:rPr>
          <w:sz w:val="20"/>
          <w:szCs w:val="20"/>
          <w:color w:val="auto"/>
        </w:rPr>
      </w:pPr>
      <w:r>
        <w:rPr>
          <w:rFonts w:ascii="Arial" w:cs="Arial" w:eastAsia="Arial" w:hAnsi="Arial"/>
          <w:sz w:val="14"/>
          <w:szCs w:val="14"/>
          <w:color w:val="auto"/>
        </w:rPr>
        <w:t>/s/ Aviv Efrat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wp:posOffset>
            </wp:positionV>
            <wp:extent cx="1268730" cy="8890"/>
            <wp:wrapNone/>
            <wp:docPr id="280" name="Picture 2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0"/>
                    <pic:cNvPicPr>
                      <a:picLocks noChangeAspect="1" noChangeArrowheads="1"/>
                    </pic:cNvPicPr>
                  </pic:nvPicPr>
                  <pic:blipFill>
                    <a:blip r:embed="rId287">
                      <a:extLst>
                        <a:ext uri="{28A0092B-C50C-407E-A947-70E740481C1C}"/>
                      </a:extLst>
                    </a:blip>
                    <a:srcRect/>
                    <a:stretch>
                      <a:fillRect/>
                    </a:stretch>
                  </pic:blipFill>
                  <pic:spPr bwMode="auto">
                    <a:xfrm>
                      <a:off x="0" y="0"/>
                      <a:ext cx="1268730" cy="8890"/>
                    </a:xfrm>
                    <a:prstGeom prst="rect">
                      <a:avLst/>
                    </a:prstGeom>
                    <a:noFill/>
                  </pic:spPr>
                </pic:pic>
              </a:graphicData>
            </a:graphic>
          </wp:anchor>
        </w:drawing>
      </w:r>
    </w:p>
    <w:p>
      <w:pPr>
        <w:spacing w:after="0" w:line="76" w:lineRule="exact"/>
        <w:rPr>
          <w:sz w:val="20"/>
          <w:szCs w:val="20"/>
          <w:color w:val="auto"/>
        </w:rPr>
      </w:pPr>
    </w:p>
    <w:p>
      <w:pPr>
        <w:spacing w:after="0"/>
        <w:rPr>
          <w:sz w:val="20"/>
          <w:szCs w:val="20"/>
          <w:color w:val="auto"/>
        </w:rPr>
      </w:pPr>
      <w:r>
        <w:rPr>
          <w:rFonts w:ascii="Arial" w:cs="Arial" w:eastAsia="Arial" w:hAnsi="Arial"/>
          <w:sz w:val="14"/>
          <w:szCs w:val="14"/>
          <w:color w:val="auto"/>
        </w:rPr>
        <w:t>Name: Aviv Efrat</w:t>
      </w:r>
    </w:p>
    <w:p>
      <w:pPr>
        <w:spacing w:after="0" w:line="42" w:lineRule="exact"/>
        <w:rPr>
          <w:sz w:val="20"/>
          <w:szCs w:val="20"/>
          <w:color w:val="auto"/>
        </w:rPr>
      </w:pPr>
    </w:p>
    <w:p>
      <w:pPr>
        <w:spacing w:after="0"/>
        <w:rPr>
          <w:sz w:val="20"/>
          <w:szCs w:val="20"/>
          <w:color w:val="auto"/>
        </w:rPr>
      </w:pPr>
      <w:r>
        <w:rPr>
          <w:rFonts w:ascii="Arial" w:cs="Arial" w:eastAsia="Arial" w:hAnsi="Arial"/>
          <w:sz w:val="14"/>
          <w:szCs w:val="14"/>
          <w:color w:val="auto"/>
        </w:rPr>
        <w:t>Title:  Chief Financial Officer</w:t>
      </w:r>
    </w:p>
    <w:p>
      <w:pPr>
        <w:spacing w:after="0" w:line="42" w:lineRule="exact"/>
        <w:rPr>
          <w:sz w:val="20"/>
          <w:szCs w:val="20"/>
          <w:color w:val="auto"/>
        </w:rPr>
      </w:pPr>
    </w:p>
    <w:p>
      <w:pPr>
        <w:spacing w:after="0"/>
        <w:rPr>
          <w:sz w:val="20"/>
          <w:szCs w:val="20"/>
          <w:color w:val="auto"/>
        </w:rPr>
      </w:pPr>
      <w:r>
        <w:rPr>
          <w:rFonts w:ascii="Arial" w:cs="Arial" w:eastAsia="Arial" w:hAnsi="Arial"/>
          <w:sz w:val="14"/>
          <w:szCs w:val="14"/>
          <w:color w:val="auto"/>
        </w:rPr>
        <w:t>Date:  August 7, 2017</w:t>
      </w:r>
    </w:p>
    <w:sectPr>
      <w:pgSz w:w="11900" w:h="16838" w:orient="portrait"/>
      <w:cols w:equalWidth="0" w:num="1">
        <w:col w:w="11240"/>
      </w:cols>
      <w:pgMar w:left="320" w:top="508"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488AC1A"/>
    <w:multiLevelType w:val="hybridMultilevel"/>
    <w:lvl w:ilvl="0">
      <w:lvlJc w:val="left"/>
      <w:lvlText w:val="☒"/>
      <w:numFmt w:val="bullet"/>
      <w:start w:val="1"/>
    </w:lvl>
  </w:abstractNum>
  <w:abstractNum w:abstractNumId="1">
    <w:nsid w:val="5FB8011C"/>
    <w:multiLevelType w:val="hybridMultilevel"/>
    <w:lvl w:ilvl="0">
      <w:lvlJc w:val="left"/>
      <w:lvlText w:val="☐"/>
      <w:numFmt w:val="bullet"/>
      <w:start w:val="1"/>
    </w:lvl>
  </w:abstractNum>
  <w:abstractNum w:abstractNumId="2">
    <w:nsid w:val="6AA78F7F"/>
    <w:multiLevelType w:val="hybridMultilevel"/>
    <w:lvl w:ilvl="0">
      <w:lvlJc w:val="left"/>
      <w:lvlText w:val="(%1)"/>
      <w:numFmt w:val="decimal"/>
      <w:start w:val="1"/>
    </w:lvl>
  </w:abstractNum>
  <w:abstractNum w:abstractNumId="3">
    <w:nsid w:val="7672BD23"/>
    <w:multiLevelType w:val="hybridMultilevel"/>
    <w:lvl w:ilvl="0">
      <w:lvlJc w:val="left"/>
      <w:lvlText w:val="(%1)"/>
      <w:numFmt w:val="decimal"/>
      <w:start w:val="1"/>
    </w:lvl>
  </w:abstractNum>
  <w:abstractNum w:abstractNumId="4">
    <w:nsid w:val="6FC75AF8"/>
    <w:multiLevelType w:val="hybridMultilevel"/>
    <w:lvl w:ilvl="0">
      <w:lvlJc w:val="left"/>
      <w:lvlText w:val="(%1)"/>
      <w:numFmt w:val="lowerLetter"/>
      <w:start w:val="1"/>
    </w:lvl>
  </w:abstractNum>
  <w:abstractNum w:abstractNumId="5">
    <w:nsid w:val="6A5F7029"/>
    <w:multiLevelType w:val="hybridMultilevel"/>
    <w:lvl w:ilvl="0">
      <w:lvlJc w:val="left"/>
      <w:lvlText w:val="(%1)"/>
      <w:numFmt w:val="decimal"/>
      <w:start w:val="1"/>
    </w:lvl>
  </w:abstractNum>
  <w:abstractNum w:abstractNumId="6">
    <w:nsid w:val="7D5E18F8"/>
    <w:multiLevelType w:val="hybridMultilevel"/>
    <w:lvl w:ilvl="0">
      <w:lvlJc w:val="left"/>
      <w:lvlText w:val="(%1)"/>
      <w:numFmt w:val="lowerLetter"/>
      <w:start w:val="2"/>
    </w:lvl>
  </w:abstractNum>
  <w:abstractNum w:abstractNumId="7">
    <w:nsid w:val="5F3534A4"/>
    <w:multiLevelType w:val="hybridMultilevel"/>
    <w:lvl w:ilvl="0">
      <w:lvlJc w:val="left"/>
      <w:lvlText w:val="(%1)"/>
      <w:numFmt w:val="lowerLetter"/>
      <w:start w:val="3"/>
    </w:lvl>
  </w:abstractNum>
  <w:abstractNum w:abstractNumId="8">
    <w:nsid w:val="73A1821B"/>
    <w:multiLevelType w:val="hybridMultilevel"/>
    <w:lvl w:ilvl="0">
      <w:lvlJc w:val="left"/>
      <w:lvlText w:val="(%1)"/>
      <w:numFmt w:val="lowerLetter"/>
      <w:start w:val="4"/>
    </w:lvl>
  </w:abstractNum>
  <w:abstractNum w:abstractNumId="9">
    <w:nsid w:val="7DE67713"/>
    <w:multiLevelType w:val="hybridMultilevel"/>
    <w:lvl w:ilvl="0">
      <w:lvlJc w:val="left"/>
      <w:lvlText w:val="(%1)"/>
      <w:numFmt w:val="lowerLetter"/>
      <w:start w:val="5"/>
    </w:lvl>
  </w:abstractNum>
  <w:abstractNum w:abstractNumId="10">
    <w:nsid w:val="555C55B5"/>
    <w:multiLevelType w:val="hybridMultilevel"/>
    <w:lvl w:ilvl="0">
      <w:lvlJc w:val="left"/>
      <w:lvlText w:val="%1."/>
      <w:numFmt w:val="decimal"/>
      <w:start w:val="1"/>
    </w:lvl>
  </w:abstractNum>
  <w:abstractNum w:abstractNumId="11">
    <w:nsid w:val="3FA62ACA"/>
    <w:multiLevelType w:val="hybridMultilevel"/>
    <w:lvl w:ilvl="0">
      <w:lvlJc w:val="left"/>
      <w:lvlText w:val="(%1)"/>
      <w:numFmt w:val="lowerLetter"/>
      <w:start w:val="6"/>
    </w:lvl>
  </w:abstractNum>
  <w:abstractNum w:abstractNumId="12">
    <w:nsid w:val="14FCE74E"/>
    <w:multiLevelType w:val="hybridMultilevel"/>
    <w:lvl w:ilvl="0">
      <w:lvlJc w:val="left"/>
      <w:lvlText w:val="(%1)"/>
      <w:numFmt w:val="decimal"/>
      <w:start w:val="2"/>
    </w:lvl>
  </w:abstractNum>
  <w:abstractNum w:abstractNumId="13">
    <w:nsid w:val="6A3DD3E8"/>
    <w:multiLevelType w:val="hybridMultilevel"/>
    <w:lvl w:ilvl="0">
      <w:lvlJc w:val="left"/>
      <w:lvlText w:val="(%1)"/>
      <w:numFmt w:val="decimal"/>
      <w:start w:val="1"/>
    </w:lvl>
  </w:abstractNum>
  <w:abstractNum w:abstractNumId="14">
    <w:nsid w:val="71C91298"/>
    <w:multiLevelType w:val="hybridMultilevel"/>
    <w:lvl w:ilvl="0">
      <w:lvlJc w:val="left"/>
      <w:lvlText w:val="(%1)"/>
      <w:numFmt w:val="decimal"/>
      <w:start w:val="1"/>
    </w:lvl>
  </w:abstractNum>
  <w:abstractNum w:abstractNumId="15">
    <w:nsid w:val="9DAF632"/>
    <w:multiLevelType w:val="hybridMultilevel"/>
    <w:lvl w:ilvl="0">
      <w:lvlJc w:val="left"/>
      <w:lvlText w:val="*"/>
      <w:numFmt w:val="bullet"/>
      <w:start w:val="1"/>
    </w:lvl>
  </w:abstractNum>
  <w:abstractNum w:abstractNumId="16">
    <w:nsid w:val="53299938"/>
    <w:multiLevelType w:val="hybridMultilevel"/>
    <w:lvl w:ilvl="0">
      <w:lvlJc w:val="left"/>
      <w:lvlText w:val="(%1)"/>
      <w:numFmt w:val="decimal"/>
      <w:start w:val="1"/>
    </w:lvl>
  </w:abstractNum>
  <w:abstractNum w:abstractNumId="17">
    <w:nsid w:val="1FBFE8E0"/>
    <w:multiLevelType w:val="hybridMultilevel"/>
    <w:lvl w:ilvl="0">
      <w:lvlJc w:val="left"/>
      <w:lvlText w:val="(%1)"/>
      <w:numFmt w:val="decimal"/>
      <w:start w:val="1"/>
    </w:lvl>
  </w:abstractNum>
  <w:abstractNum w:abstractNumId="18">
    <w:nsid w:val="5092CA79"/>
    <w:multiLevelType w:val="hybridMultilevel"/>
    <w:lvl w:ilvl="0">
      <w:lvlJc w:val="left"/>
      <w:lvlText w:val="•"/>
      <w:numFmt w:val="bullet"/>
      <w:start w:val="1"/>
    </w:lvl>
  </w:abstractNum>
  <w:abstractNum w:abstractNumId="19">
    <w:nsid w:val="1D545C4D"/>
    <w:multiLevelType w:val="hybridMultilevel"/>
    <w:lvl w:ilvl="0">
      <w:lvlJc w:val="left"/>
      <w:lvlText w:val="•"/>
      <w:numFmt w:val="bullet"/>
      <w:start w:val="1"/>
    </w:lvl>
  </w:abstractNum>
  <w:abstractNum w:abstractNumId="20">
    <w:nsid w:val="59ADEA3D"/>
    <w:multiLevelType w:val="hybridMultilevel"/>
    <w:lvl w:ilvl="0">
      <w:lvlJc w:val="left"/>
      <w:lvlText w:val="(%1)"/>
      <w:numFmt w:val="decimal"/>
      <w:start w:val="1"/>
    </w:lvl>
  </w:abstractNum>
  <w:abstractNum w:abstractNumId="21">
    <w:nsid w:val="288F1A34"/>
    <w:multiLevelType w:val="hybridMultilevel"/>
    <w:lvl w:ilvl="0">
      <w:lvlJc w:val="left"/>
      <w:lvlText w:val="%1."/>
      <w:numFmt w:val="decimal"/>
      <w:start w:val="1"/>
    </w:lvl>
  </w:abstractNum>
  <w:abstractNum w:abstractNumId="22">
    <w:nsid w:val="2A155DBC"/>
    <w:multiLevelType w:val="hybridMultilevel"/>
    <w:lvl w:ilvl="0">
      <w:lvlJc w:val="left"/>
      <w:lvlText w:val="(%1)"/>
      <w:numFmt w:val="decimal"/>
      <w:start w:val="1"/>
    </w:lvl>
  </w:abstractNum>
  <w:abstractNum w:abstractNumId="23">
    <w:nsid w:val="1D9F6E5F"/>
    <w:multiLevelType w:val="hybridMultilevel"/>
    <w:lvl w:ilvl="0">
      <w:lvlJc w:val="left"/>
      <w:lvlText w:val="(%1)"/>
      <w:numFmt w:val="decimal"/>
      <w:start w:val="1"/>
    </w:lvl>
  </w:abstractNum>
  <w:abstractNum w:abstractNumId="24">
    <w:nsid w:val="97E1B4E"/>
    <w:multiLevelType w:val="hybridMultilevel"/>
    <w:lvl w:ilvl="0">
      <w:lvlJc w:val="left"/>
      <w:lvlText w:val="%1"/>
      <w:numFmt w:val="decimal"/>
      <w:start w:val="11"/>
    </w:lvl>
  </w:abstractNum>
  <w:abstractNum w:abstractNumId="25">
    <w:nsid w:val="51088277"/>
    <w:multiLevelType w:val="hybridMultilevel"/>
    <w:lvl w:ilvl="0">
      <w:lvlJc w:val="left"/>
      <w:lvlText w:val="(%1)"/>
      <w:numFmt w:val="lowerLetter"/>
      <w:start w:val="1"/>
    </w:lvl>
  </w:abstractNum>
  <w:abstractNum w:abstractNumId="26">
    <w:nsid w:val="1CA0C5FA"/>
    <w:multiLevelType w:val="hybridMultilevel"/>
    <w:lvl w:ilvl="0">
      <w:lvlJc w:val="left"/>
      <w:lvlText w:val="(%1)"/>
      <w:numFmt w:val="lowerLetter"/>
      <w:start w:val="1"/>
    </w:lvl>
  </w:abstractNum>
  <w:abstractNum w:abstractNumId="27">
    <w:nsid w:val="53584BCB"/>
    <w:multiLevelType w:val="hybridMultilevel"/>
    <w:lvl w:ilvl="0">
      <w:lvlJc w:val="left"/>
      <w:lvlText w:val="(%1)"/>
      <w:numFmt w:val="lowerRoman"/>
      <w:start w:val="3"/>
    </w:lvl>
  </w:abstractNum>
  <w:abstractNum w:abstractNumId="28">
    <w:nsid w:val="415E286C"/>
    <w:multiLevelType w:val="hybridMultilevel"/>
    <w:lvl w:ilvl="0">
      <w:lvlJc w:val="left"/>
      <w:lvlText w:val="(%1)"/>
      <w:numFmt w:val="lowerLetter"/>
      <w:start w:val="1"/>
    </w:lvl>
    <w:lvl w:ilvl="1">
      <w:lvlJc w:val="left"/>
      <w:lvlText w:val="(%2)"/>
      <w:numFmt w:val="lowerRoman"/>
      <w:start w:val="1"/>
    </w:lvl>
  </w:abstractNum>
  <w:abstractNum w:abstractNumId="29">
    <w:nsid w:val="7C58FD05"/>
    <w:multiLevelType w:val="hybridMultilevel"/>
    <w:lvl w:ilvl="0">
      <w:lvlJc w:val="left"/>
      <w:lvlText w:val="(%1)"/>
      <w:numFmt w:val="lowerLetter"/>
      <w:start w:val="1"/>
    </w:lvl>
  </w:abstractNum>
  <w:abstractNum w:abstractNumId="30">
    <w:nsid w:val="23D86AAC"/>
    <w:multiLevelType w:val="hybridMultilevel"/>
    <w:lvl w:ilvl="0">
      <w:lvlJc w:val="left"/>
      <w:lvlText w:val="(%1)"/>
      <w:numFmt w:val="lowerRoman"/>
      <w:start w:val="3"/>
    </w:lvl>
  </w:abstractNum>
  <w:abstractNum w:abstractNumId="31">
    <w:nsid w:val="45E6D486"/>
    <w:multiLevelType w:val="hybridMultilevel"/>
    <w:lvl w:ilvl="0">
      <w:lvlJc w:val="left"/>
      <w:lvlText w:val="(%1)"/>
      <w:numFmt w:val="lowerLetter"/>
      <w:start w:val="2"/>
    </w:lvl>
  </w:abstractNum>
  <w:abstractNum w:abstractNumId="32">
    <w:nsid w:val="5C10FE21"/>
    <w:multiLevelType w:val="hybridMultilevel"/>
    <w:lvl w:ilvl="0">
      <w:lvlJc w:val="left"/>
      <w:lvlText w:val="(%1)"/>
      <w:numFmt w:val="lowerLetter"/>
      <w:start w:val="1"/>
    </w:lvl>
  </w:abstractNum>
  <w:abstractNum w:abstractNumId="33">
    <w:nsid w:val="E7FFA2B"/>
    <w:multiLevelType w:val="hybridMultilevel"/>
    <w:lvl w:ilvl="0">
      <w:lvlJc w:val="left"/>
      <w:lvlText w:val="(%1)"/>
      <w:numFmt w:val="lowerLetter"/>
      <w:start w:val="2"/>
    </w:lvl>
  </w:abstractNum>
  <w:abstractNum w:abstractNumId="34">
    <w:nsid w:val="3C5991AA"/>
    <w:multiLevelType w:val="hybridMultilevel"/>
    <w:lvl w:ilvl="0">
      <w:lvlJc w:val="left"/>
      <w:lvlText w:val="1"/>
      <w:numFmt w:val="bullet"/>
      <w:start w:val="1"/>
    </w:lvl>
  </w:abstractNum>
  <w:abstractNum w:abstractNumId="35">
    <w:nsid w:val="4BD8591A"/>
    <w:multiLevelType w:val="hybridMultilevel"/>
    <w:lvl w:ilvl="0">
      <w:lvlJc w:val="left"/>
      <w:lvlText w:val="(%1)"/>
      <w:numFmt w:val="lowerLetter"/>
      <w:start w:val="2"/>
    </w:lvl>
  </w:abstractNum>
  <w:abstractNum w:abstractNumId="36">
    <w:nsid w:val="78DF6A55"/>
    <w:multiLevelType w:val="hybridMultilevel"/>
    <w:lvl w:ilvl="0">
      <w:lvlJc w:val="left"/>
      <w:lvlText w:val="(%1)"/>
      <w:numFmt w:val="lowerLetter"/>
      <w:start w:val="2"/>
    </w:lvl>
  </w:abstractNum>
  <w:abstractNum w:abstractNumId="37">
    <w:nsid w:val="39B7AAA2"/>
    <w:multiLevelType w:val="hybridMultilevel"/>
    <w:lvl w:ilvl="0">
      <w:lvlJc w:val="left"/>
      <w:lvlText w:val="%1"/>
      <w:numFmt w:val="lowerLetter"/>
      <w:start w:val="1"/>
    </w:lvl>
    <w:lvl w:ilvl="1">
      <w:lvlJc w:val="left"/>
      <w:lvlText w:val="(%2)"/>
      <w:numFmt w:val="lowerLetter"/>
      <w:start w:val="1"/>
    </w:lvl>
  </w:abstractNum>
  <w:abstractNum w:abstractNumId="38">
    <w:nsid w:val="2B0D8DBE"/>
    <w:multiLevelType w:val="hybridMultilevel"/>
    <w:lvl w:ilvl="0">
      <w:lvlJc w:val="left"/>
      <w:lvlText w:val="(%1)"/>
      <w:numFmt w:val="lowerLetter"/>
      <w:start w:val="22"/>
    </w:lvl>
    <w:lvl w:ilvl="1">
      <w:lvlJc w:val="left"/>
      <w:lvlText w:val="(%2)"/>
      <w:numFmt w:val="lowerLetter"/>
      <w:start w:val="2"/>
    </w:lvl>
  </w:abstractNum>
  <w:abstractNum w:abstractNumId="39">
    <w:nsid w:val="6C80EC70"/>
    <w:multiLevelType w:val="hybridMultilevel"/>
    <w:lvl w:ilvl="0">
      <w:lvlJc w:val="left"/>
      <w:lvlText w:val="(%1)"/>
      <w:numFmt w:val="lowerLetter"/>
      <w:start w:val="1"/>
    </w:lvl>
  </w:abstractNum>
  <w:abstractNum w:abstractNumId="40">
    <w:nsid w:val="379E21B5"/>
    <w:multiLevelType w:val="hybridMultilevel"/>
    <w:lvl w:ilvl="0">
      <w:lvlJc w:val="left"/>
      <w:lvlText w:val="(%1)"/>
      <w:numFmt w:val="lowerLetter"/>
      <w:start w:val="2"/>
    </w:lvl>
  </w:abstractNum>
  <w:abstractNum w:abstractNumId="41">
    <w:nsid w:val="69E373"/>
    <w:multiLevelType w:val="hybridMultilevel"/>
    <w:lvl w:ilvl="0">
      <w:lvlJc w:val="left"/>
      <w:lvlText w:val="(%1)"/>
      <w:numFmt w:val="lowerLetter"/>
      <w:start w:val="5"/>
    </w:lvl>
  </w:abstractNum>
  <w:abstractNum w:abstractNumId="42">
    <w:nsid w:val="2C27173B"/>
    <w:multiLevelType w:val="hybridMultilevel"/>
    <w:lvl w:ilvl="0">
      <w:lvlJc w:val="left"/>
      <w:lvlText w:val="(%1)"/>
      <w:numFmt w:val="lowerLetter"/>
      <w:start w:val="1"/>
    </w:lvl>
  </w:abstractNum>
  <w:abstractNum w:abstractNumId="43">
    <w:nsid w:val="4C9B0904"/>
    <w:multiLevelType w:val="hybridMultilevel"/>
    <w:lvl w:ilvl="0">
      <w:lvlJc w:val="left"/>
      <w:lvlText w:val="(%1)"/>
      <w:numFmt w:val="lowerLetter"/>
      <w:start w:val="1"/>
    </w:lvl>
  </w:abstractNum>
  <w:abstractNum w:abstractNumId="44">
    <w:nsid w:val="6AA7B75C"/>
    <w:multiLevelType w:val="hybridMultilevel"/>
    <w:lvl w:ilvl="0">
      <w:lvlJc w:val="left"/>
      <w:lvlText w:val="(%1)"/>
      <w:numFmt w:val="lowerLetter"/>
      <w:start w:val="2"/>
    </w:lvl>
  </w:abstractNum>
  <w:abstractNum w:abstractNumId="45">
    <w:nsid w:val="1DF029D3"/>
    <w:multiLevelType w:val="hybridMultilevel"/>
    <w:lvl w:ilvl="0">
      <w:lvlJc w:val="left"/>
      <w:lvlText w:val="(%1)"/>
      <w:numFmt w:val="lowerLetter"/>
      <w:start w:val="1"/>
    </w:lvl>
  </w:abstractNum>
  <w:abstractNum w:abstractNumId="46">
    <w:nsid w:val="5675FF36"/>
    <w:multiLevelType w:val="hybridMultilevel"/>
    <w:lvl w:ilvl="0">
      <w:lvlJc w:val="left"/>
      <w:lvlText w:val="%1"/>
      <w:numFmt w:val="lowerRoman"/>
      <w:start w:val="1"/>
    </w:lvl>
    <w:lvl w:ilvl="1">
      <w:lvlJc w:val="left"/>
      <w:lvlText w:val="(%2)"/>
      <w:numFmt w:val="lowerLetter"/>
      <w:start w:val="1"/>
    </w:lvl>
  </w:abstractNum>
  <w:abstractNum w:abstractNumId="47">
    <w:nsid w:val="3DD15094"/>
    <w:multiLevelType w:val="hybridMultilevel"/>
    <w:lvl w:ilvl="0">
      <w:lvlJc w:val="left"/>
      <w:lvlText w:val="(%1)"/>
      <w:numFmt w:val="lowerRoman"/>
      <w:start w:val="1"/>
    </w:lvl>
    <w:lvl w:ilvl="1">
      <w:lvlJc w:val="left"/>
      <w:lvlText w:val="%2"/>
      <w:numFmt w:val="lowerLetter"/>
      <w:start w:val="1"/>
    </w:lvl>
  </w:abstractNum>
  <w:abstractNum w:abstractNumId="48">
    <w:nsid w:val="3DB012B3"/>
    <w:multiLevelType w:val="hybridMultilevel"/>
    <w:lvl w:ilvl="0">
      <w:lvlJc w:val="left"/>
      <w:lvlText w:val="(%1)"/>
      <w:numFmt w:val="lowerRoman"/>
      <w:start w:val="6"/>
    </w:lvl>
    <w:lvl w:ilvl="1">
      <w:lvlJc w:val="left"/>
      <w:lvlText w:val="(%2)"/>
      <w:numFmt w:val="lowerLetter"/>
      <w:start w:val="3"/>
    </w:lvl>
  </w:abstractNum>
  <w:abstractNum w:abstractNumId="49">
    <w:nsid w:val="2708C9AF"/>
    <w:multiLevelType w:val="hybridMultilevel"/>
    <w:lvl w:ilvl="0">
      <w:lvlJc w:val="left"/>
      <w:lvlText w:val="(%1)"/>
      <w:numFmt w:val="lowerLetter"/>
      <w:start w:val="1"/>
    </w:lvl>
  </w:abstractNum>
  <w:abstractNum w:abstractNumId="50">
    <w:nsid w:val="5B25ACE2"/>
    <w:multiLevelType w:val="hybridMultilevel"/>
    <w:lvl w:ilvl="0">
      <w:lvlJc w:val="left"/>
      <w:lvlText w:val="(%1)"/>
      <w:numFmt w:val="lowerLetter"/>
      <w:start w:val="4"/>
    </w:lvl>
  </w:abstractNum>
  <w:abstractNum w:abstractNumId="51">
    <w:nsid w:val="175DFCF0"/>
    <w:multiLevelType w:val="hybridMultilevel"/>
    <w:lvl w:ilvl="0">
      <w:lvlJc w:val="left"/>
      <w:lvlText w:val="(%1)"/>
      <w:numFmt w:val="lowerLetter"/>
      <w:start w:val="1"/>
    </w:lvl>
  </w:abstractNum>
  <w:abstractNum w:abstractNumId="52">
    <w:nsid w:val="4F97E3E4"/>
    <w:multiLevelType w:val="hybridMultilevel"/>
    <w:lvl w:ilvl="0">
      <w:lvlJc w:val="left"/>
      <w:lvlText w:val="(%1)"/>
      <w:numFmt w:val="lowerLetter"/>
      <w:start w:val="6"/>
    </w:lvl>
  </w:abstractNum>
  <w:abstractNum w:abstractNumId="53">
    <w:nsid w:val="53B0A9E"/>
    <w:multiLevelType w:val="hybridMultilevel"/>
    <w:lvl w:ilvl="0">
      <w:lvlJc w:val="left"/>
      <w:lvlText w:val="(%1)"/>
      <w:numFmt w:val="lowerLetter"/>
      <w:start w:val="7"/>
    </w:lvl>
  </w:abstractNum>
  <w:abstractNum w:abstractNumId="54">
    <w:nsid w:val="34FD6B4F"/>
    <w:multiLevelType w:val="hybridMultilevel"/>
    <w:lvl w:ilvl="0">
      <w:lvlJc w:val="left"/>
      <w:lvlText w:val="(%1)"/>
      <w:numFmt w:val="lowerRoman"/>
      <w:start w:val="1"/>
    </w:lvl>
    <w:lvl w:ilvl="1">
      <w:lvlJc w:val="left"/>
      <w:lvlText w:val="(%2)"/>
      <w:numFmt w:val="lowerLetter"/>
      <w:start w:val="8"/>
    </w:lvl>
  </w:abstractNum>
  <w:abstractNum w:abstractNumId="55">
    <w:nsid w:val="5915FF32"/>
    <w:multiLevelType w:val="hybridMultilevel"/>
    <w:lvl w:ilvl="0">
      <w:lvlJc w:val="left"/>
      <w:lvlText w:val="(%1)"/>
      <w:numFmt w:val="lowerLetter"/>
      <w:start w:val="10"/>
    </w:lvl>
  </w:abstractNum>
  <w:abstractNum w:abstractNumId="56">
    <w:nsid w:val="56438D15"/>
    <w:multiLevelType w:val="hybridMultilevel"/>
    <w:lvl w:ilvl="0">
      <w:lvlJc w:val="left"/>
      <w:lvlText w:val="(%1)"/>
      <w:numFmt w:val="lowerLetter"/>
      <w:start w:val="1"/>
    </w:lvl>
  </w:abstractNum>
  <w:abstractNum w:abstractNumId="57">
    <w:nsid w:val="519E3149"/>
    <w:multiLevelType w:val="hybridMultilevel"/>
    <w:lvl w:ilvl="0">
      <w:lvlJc w:val="left"/>
      <w:lvlText w:val="(%1)"/>
      <w:numFmt w:val="lowerLetter"/>
      <w:start w:val="1"/>
    </w:lvl>
  </w:abstractNum>
  <w:abstractNum w:abstractNumId="58">
    <w:nsid w:val="2C6E4AFD"/>
    <w:multiLevelType w:val="hybridMultilevel"/>
    <w:lvl w:ilvl="0">
      <w:lvlJc w:val="left"/>
      <w:lvlText w:val="(%1)"/>
      <w:numFmt w:val="lowerLetter"/>
      <w:start w:val="3"/>
    </w:lvl>
  </w:abstractNum>
  <w:abstractNum w:abstractNumId="59">
    <w:nsid w:val="17A1B582"/>
    <w:multiLevelType w:val="hybridMultilevel"/>
    <w:lvl w:ilvl="0">
      <w:lvlJc w:val="left"/>
      <w:lvlText w:val="(%1)"/>
      <w:numFmt w:val="lowerRoman"/>
      <w:start w:val="1"/>
    </w:lvl>
    <w:lvl w:ilvl="1">
      <w:lvlJc w:val="left"/>
      <w:lvlText w:val="(%2)"/>
      <w:numFmt w:val="lowerLetter"/>
      <w:start w:val="4"/>
    </w:lvl>
  </w:abstractNum>
  <w:abstractNum w:abstractNumId="60">
    <w:nsid w:val="4DF72E4E"/>
    <w:multiLevelType w:val="hybridMultilevel"/>
    <w:lvl w:ilvl="0">
      <w:lvlJc w:val="left"/>
      <w:lvlText w:val="%1"/>
      <w:numFmt w:val="lowerLetter"/>
      <w:start w:val="1"/>
    </w:lvl>
    <w:lvl w:ilvl="1">
      <w:lvlJc w:val="left"/>
      <w:lvlText w:val="(%2)"/>
      <w:numFmt w:val="lowerLetter"/>
      <w:start w:val="1"/>
    </w:lvl>
  </w:abstractNum>
  <w:abstractNum w:abstractNumId="61">
    <w:nsid w:val="5046B5A9"/>
    <w:multiLevelType w:val="hybridMultilevel"/>
    <w:lvl w:ilvl="0">
      <w:lvlJc w:val="left"/>
      <w:lvlText w:val="(%1)"/>
      <w:numFmt w:val="lowerLetter"/>
      <w:start w:val="9"/>
    </w:lvl>
    <w:lvl w:ilvl="1">
      <w:lvlJc w:val="left"/>
      <w:lvlText w:val="%2"/>
      <w:numFmt w:val="lowerLetter"/>
      <w:start w:val="1"/>
    </w:lvl>
  </w:abstractNum>
  <w:abstractNum w:abstractNumId="62">
    <w:nsid w:val="5D888A08"/>
    <w:multiLevelType w:val="hybridMultilevel"/>
    <w:lvl w:ilvl="0">
      <w:lvlJc w:val="left"/>
      <w:lvlText w:val="(%1)"/>
      <w:numFmt w:val="upperLetter"/>
      <w:start w:val="1"/>
    </w:lvl>
  </w:abstractNum>
  <w:abstractNum w:abstractNumId="63">
    <w:nsid w:val="2A082C70"/>
    <w:multiLevelType w:val="hybridMultilevel"/>
    <w:lvl w:ilvl="0">
      <w:lvlJc w:val="left"/>
      <w:lvlText w:val="(%1)"/>
      <w:numFmt w:val="lowerRoman"/>
      <w:start w:val="2"/>
    </w:lvl>
  </w:abstractNum>
  <w:abstractNum w:abstractNumId="64">
    <w:nsid w:val="5EC6AFD4"/>
    <w:multiLevelType w:val="hybridMultilevel"/>
    <w:lvl w:ilvl="0">
      <w:lvlJc w:val="left"/>
      <w:lvlText w:val="(%1)"/>
      <w:numFmt w:val="lowerLetter"/>
      <w:start w:val="24"/>
    </w:lvl>
  </w:abstractNum>
  <w:abstractNum w:abstractNumId="65">
    <w:nsid w:val="19E21BB2"/>
    <w:multiLevelType w:val="hybridMultilevel"/>
    <w:lvl w:ilvl="0">
      <w:lvlJc w:val="left"/>
      <w:lvlText w:val="(%1)"/>
      <w:numFmt w:val="lowerRoman"/>
      <w:start w:val="3"/>
    </w:lvl>
  </w:abstractNum>
  <w:abstractNum w:abstractNumId="66">
    <w:nsid w:val="75E0858A"/>
    <w:multiLevelType w:val="hybridMultilevel"/>
    <w:lvl w:ilvl="0">
      <w:lvlJc w:val="left"/>
      <w:lvlText w:val="(%1)"/>
      <w:numFmt w:val="lowerLetter"/>
      <w:start w:val="1"/>
    </w:lvl>
  </w:abstractNum>
  <w:abstractNum w:abstractNumId="67">
    <w:nsid w:val="57A61A29"/>
    <w:multiLevelType w:val="hybridMultilevel"/>
    <w:lvl w:ilvl="0">
      <w:lvlJc w:val="left"/>
      <w:lvlText w:val="(%1)"/>
      <w:numFmt w:val="lowerRoman"/>
      <w:start w:val="1"/>
    </w:lvl>
  </w:abstractNum>
  <w:abstractNum w:abstractNumId="68">
    <w:nsid w:val="5399C654"/>
    <w:multiLevelType w:val="hybridMultilevel"/>
    <w:lvl w:ilvl="0">
      <w:lvlJc w:val="left"/>
      <w:lvlText w:val="(%1)"/>
      <w:numFmt w:val="lowerLetter"/>
      <w:start w:val="2"/>
    </w:lvl>
  </w:abstractNum>
  <w:abstractNum w:abstractNumId="69">
    <w:nsid w:val="20EE1348"/>
    <w:multiLevelType w:val="hybridMultilevel"/>
    <w:lvl w:ilvl="0">
      <w:lvlJc w:val="left"/>
      <w:lvlText w:val="%1"/>
      <w:numFmt w:val="lowerRoman"/>
      <w:start w:val="1"/>
    </w:lvl>
    <w:lvl w:ilvl="1">
      <w:lvlJc w:val="left"/>
      <w:lvlText w:val="(%2)"/>
      <w:numFmt w:val="lowerLetter"/>
      <w:start w:val="1"/>
    </w:lvl>
  </w:abstractNum>
  <w:abstractNum w:abstractNumId="70">
    <w:nsid w:val="4427069A"/>
    <w:multiLevelType w:val="hybridMultilevel"/>
    <w:lvl w:ilvl="0">
      <w:lvlJc w:val="left"/>
      <w:lvlText w:val="(%1)"/>
      <w:numFmt w:val="lowerRoman"/>
      <w:start w:val="1"/>
    </w:lvl>
    <w:lvl w:ilvl="1">
      <w:lvlJc w:val="left"/>
      <w:lvlText w:val="%2"/>
      <w:numFmt w:val="lowerLetter"/>
      <w:start w:val="1"/>
    </w:lvl>
  </w:abstractNum>
  <w:abstractNum w:abstractNumId="71">
    <w:nsid w:val="B37E80A"/>
    <w:multiLevelType w:val="hybridMultilevel"/>
    <w:lvl w:ilvl="0">
      <w:lvlJc w:val="left"/>
      <w:lvlText w:val="%1"/>
      <w:numFmt w:val="lowerRoman"/>
      <w:start w:val="1"/>
    </w:lvl>
    <w:lvl w:ilvl="1">
      <w:lvlJc w:val="left"/>
      <w:lvlText w:val="(%2)"/>
      <w:numFmt w:val="lowerLetter"/>
      <w:start w:val="3"/>
    </w:lvl>
  </w:abstractNum>
  <w:abstractNum w:abstractNumId="72">
    <w:nsid w:val="2157F6BC"/>
    <w:multiLevelType w:val="hybridMultilevel"/>
    <w:lvl w:ilvl="0">
      <w:lvlJc w:val="left"/>
      <w:lvlText w:val="(%1)"/>
      <w:numFmt w:val="lowerRoman"/>
      <w:start w:val="1"/>
    </w:lvl>
    <w:lvl w:ilvl="1">
      <w:lvlJc w:val="left"/>
      <w:lvlText w:val="%2"/>
      <w:numFmt w:val="lowerLetter"/>
      <w:start w:val="1"/>
    </w:lvl>
  </w:abstractNum>
  <w:abstractNum w:abstractNumId="73">
    <w:nsid w:val="704E1DD5"/>
    <w:multiLevelType w:val="hybridMultilevel"/>
    <w:lvl w:ilvl="0">
      <w:lvlJc w:val="left"/>
      <w:lvlText w:val="(%1)"/>
      <w:numFmt w:val="upperLetter"/>
      <w:start w:val="3"/>
    </w:lvl>
  </w:abstractNum>
  <w:abstractNum w:abstractNumId="74">
    <w:nsid w:val="57D2F10E"/>
    <w:multiLevelType w:val="hybridMultilevel"/>
    <w:lvl w:ilvl="0">
      <w:lvlJc w:val="left"/>
      <w:lvlText w:val="(%1)"/>
      <w:numFmt w:val="lowerLetter"/>
      <w:start w:val="6"/>
    </w:lvl>
  </w:abstractNum>
  <w:abstractNum w:abstractNumId="75">
    <w:nsid w:val="BFFAE18"/>
    <w:multiLevelType w:val="hybridMultilevel"/>
    <w:lvl w:ilvl="0">
      <w:lvlJc w:val="left"/>
      <w:lvlText w:val="(%1)"/>
      <w:numFmt w:val="lowerLetter"/>
      <w:start w:val="1"/>
    </w:lvl>
  </w:abstractNum>
  <w:abstractNum w:abstractNumId="76">
    <w:nsid w:val="E3E47A8"/>
    <w:multiLevelType w:val="hybridMultilevel"/>
    <w:lvl w:ilvl="0">
      <w:lvlJc w:val="left"/>
      <w:lvlText w:val="(%1)"/>
      <w:numFmt w:val="lowerLetter"/>
      <w:start w:val="4"/>
    </w:lvl>
  </w:abstractNum>
  <w:abstractNum w:abstractNumId="77">
    <w:nsid w:val="2E48F044"/>
    <w:multiLevelType w:val="hybridMultilevel"/>
    <w:lvl w:ilvl="0">
      <w:lvlJc w:val="left"/>
      <w:lvlText w:val="(%1)"/>
      <w:numFmt w:val="lowerLetter"/>
      <w:start w:val="1"/>
    </w:lvl>
  </w:abstractNum>
  <w:abstractNum w:abstractNumId="78">
    <w:nsid w:val="49D0FEAC"/>
    <w:multiLevelType w:val="hybridMultilevel"/>
    <w:lvl w:ilvl="0">
      <w:lvlJc w:val="left"/>
      <w:lvlText w:val="(%1)"/>
      <w:numFmt w:val="lowerLetter"/>
      <w:start w:val="1"/>
    </w:lvl>
  </w:abstractNum>
  <w:abstractNum w:abstractNumId="79">
    <w:nsid w:val="4BEE5A5B"/>
    <w:multiLevelType w:val="hybridMultilevel"/>
    <w:lvl w:ilvl="0">
      <w:lvlJc w:val="left"/>
      <w:lvlText w:val="%1"/>
      <w:numFmt w:val="lowerLetter"/>
      <w:start w:val="1"/>
    </w:lvl>
    <w:lvl w:ilvl="1">
      <w:lvlJc w:val="left"/>
      <w:lvlText w:val="(%2)"/>
      <w:numFmt w:val="lowerLetter"/>
      <w:start w:val="1"/>
    </w:lvl>
  </w:abstractNum>
  <w:abstractNum w:abstractNumId="80">
    <w:nsid w:val="5551B9F3"/>
    <w:multiLevelType w:val="hybridMultilevel"/>
    <w:lvl w:ilvl="0">
      <w:lvlJc w:val="left"/>
      <w:lvlText w:val="(%1)"/>
      <w:numFmt w:val="lowerLetter"/>
      <w:start w:val="9"/>
    </w:lvl>
    <w:lvl w:ilvl="1">
      <w:lvlJc w:val="left"/>
      <w:lvlText w:val="%2"/>
      <w:numFmt w:val="lowerLetter"/>
      <w:start w:val="1"/>
    </w:lvl>
  </w:abstractNum>
  <w:abstractNum w:abstractNumId="81">
    <w:nsid w:val="24F6AB8E"/>
    <w:multiLevelType w:val="hybridMultilevel"/>
    <w:lvl w:ilvl="0">
      <w:lvlJc w:val="left"/>
      <w:lvlText w:val="(%1)"/>
      <w:numFmt w:val="lowerRoman"/>
      <w:start w:val="2"/>
    </w:lvl>
  </w:abstractNum>
  <w:abstractNum w:abstractNumId="82">
    <w:nsid w:val="634C574C"/>
    <w:multiLevelType w:val="hybridMultilevel"/>
    <w:lvl w:ilvl="0">
      <w:lvlJc w:val="left"/>
      <w:lvlText w:val="(%1)"/>
      <w:numFmt w:val="lowerLetter"/>
      <w:start w:val="2"/>
    </w:lvl>
  </w:abstractNum>
  <w:abstractNum w:abstractNumId="83">
    <w:nsid w:val="24E99DD7"/>
    <w:multiLevelType w:val="hybridMultilevel"/>
    <w:lvl w:ilvl="0">
      <w:lvlJc w:val="left"/>
      <w:lvlText w:val="(%1)"/>
      <w:numFmt w:val="lowerRoman"/>
      <w:start w:val="1"/>
    </w:lvl>
  </w:abstractNum>
  <w:abstractNum w:abstractNumId="84">
    <w:nsid w:val="2A31B62D"/>
    <w:multiLevelType w:val="hybridMultilevel"/>
    <w:lvl w:ilvl="0">
      <w:lvlJc w:val="left"/>
      <w:lvlText w:val="%1"/>
      <w:numFmt w:val="lowerLetter"/>
      <w:start w:val="1"/>
    </w:lvl>
    <w:lvl w:ilvl="1">
      <w:lvlJc w:val="left"/>
      <w:lvlText w:val="%2"/>
      <w:numFmt w:val="lowerLetter"/>
      <w:start w:val="1"/>
    </w:lvl>
    <w:lvl w:ilvl="2">
      <w:lvlJc w:val="left"/>
      <w:lvlText w:val="(%3)"/>
      <w:numFmt w:val="lowerLetter"/>
      <w:start w:val="1"/>
    </w:lvl>
    <w:lvl w:ilvl="3">
      <w:lvlJc w:val="left"/>
      <w:lvlText w:val="%4"/>
      <w:numFmt w:val="upperLetter"/>
      <w:start w:val="1"/>
    </w:lvl>
  </w:abstractNum>
  <w:abstractNum w:abstractNumId="85">
    <w:nsid w:val="1849C29B"/>
    <w:multiLevelType w:val="hybridMultilevel"/>
    <w:lvl w:ilvl="0">
      <w:lvlJc w:val="left"/>
      <w:lvlText w:val="(%1)"/>
      <w:numFmt w:val="lowerLetter"/>
      <w:start w:val="9"/>
    </w:lvl>
    <w:lvl w:ilvl="1">
      <w:lvlJc w:val="left"/>
      <w:lvlText w:val="(%2)"/>
      <w:numFmt w:val="lowerLetter"/>
      <w:start w:val="34"/>
    </w:lvl>
    <w:lvl w:ilvl="2">
      <w:lvlJc w:val="left"/>
      <w:lvlText w:val="(%3)"/>
      <w:numFmt w:val="lowerLetter"/>
      <w:start w:val="2"/>
    </w:lvl>
    <w:lvl w:ilvl="3">
      <w:lvlJc w:val="left"/>
      <w:lvlText w:val="(%4)"/>
      <w:numFmt w:val="upperLetter"/>
      <w:start w:val="1"/>
    </w:lvl>
  </w:abstractNum>
  <w:abstractNum w:abstractNumId="86">
    <w:nsid w:val="7DFF9D09"/>
    <w:multiLevelType w:val="hybridMultilevel"/>
    <w:lvl w:ilvl="0">
      <w:lvlJc w:val="left"/>
      <w:lvlText w:val="%1"/>
      <w:numFmt w:val="lowerLetter"/>
      <w:start w:val="1"/>
    </w:lvl>
    <w:lvl w:ilvl="1">
      <w:lvlJc w:val="left"/>
      <w:lvlText w:val="%2"/>
      <w:numFmt w:val="lowerLetter"/>
      <w:start w:val="1"/>
    </w:lvl>
    <w:lvl w:ilvl="2">
      <w:lvlJc w:val="left"/>
      <w:lvlText w:val="%3"/>
      <w:numFmt w:val="upperLetter"/>
      <w:start w:val="1"/>
    </w:lvl>
    <w:lvl w:ilvl="3">
      <w:lvlJc w:val="left"/>
      <w:lvlText w:val="(%4)"/>
      <w:numFmt w:val="lowerLetter"/>
      <w:start w:val="23"/>
    </w:lvl>
  </w:abstractNum>
  <w:abstractNum w:abstractNumId="87">
    <w:nsid w:val="754342"/>
    <w:multiLevelType w:val="hybridMultilevel"/>
    <w:lvl w:ilvl="0">
      <w:lvlJc w:val="left"/>
      <w:lvlText w:val="%1"/>
      <w:numFmt w:val="lowerLetter"/>
      <w:start w:val="1"/>
    </w:lvl>
    <w:lvl w:ilvl="1">
      <w:lvlJc w:val="left"/>
      <w:lvlText w:val="%2"/>
      <w:numFmt w:val="lowerLetter"/>
      <w:start w:val="1"/>
    </w:lvl>
    <w:lvl w:ilvl="2">
      <w:lvlJc w:val="left"/>
      <w:lvlText w:val="(%3)"/>
      <w:numFmt w:val="upperLetter"/>
      <w:start w:val="3"/>
    </w:lvl>
    <w:lvl w:ilvl="3">
      <w:lvlJc w:val="left"/>
      <w:lvlText w:val="%4"/>
      <w:numFmt w:val="lowerLetter"/>
      <w:start w:val="1"/>
    </w:lvl>
  </w:abstractNum>
  <w:abstractNum w:abstractNumId="88">
    <w:nsid w:val="69E7F3E5"/>
    <w:multiLevelType w:val="hybridMultilevel"/>
    <w:lvl w:ilvl="0">
      <w:lvlJc w:val="left"/>
      <w:lvlText w:val="(%1)"/>
      <w:numFmt w:val="lowerLetter"/>
      <w:start w:val="61"/>
    </w:lvl>
    <w:lvl w:ilvl="1">
      <w:lvlJc w:val="left"/>
      <w:lvlText w:val="(%2)"/>
      <w:numFmt w:val="lowerLetter"/>
      <w:start w:val="7"/>
    </w:lvl>
    <w:lvl w:ilvl="2">
      <w:lvlJc w:val="left"/>
      <w:lvlText w:val="%3"/>
      <w:numFmt w:val="upperLetter"/>
      <w:start w:val="1"/>
    </w:lvl>
    <w:lvl w:ilvl="3">
      <w:lvlJc w:val="left"/>
      <w:lvlText w:val="%4"/>
      <w:numFmt w:val="lowerLetter"/>
      <w:start w:val="1"/>
    </w:lvl>
  </w:abstractNum>
  <w:abstractNum w:abstractNumId="89">
    <w:nsid w:val="2A6DE806"/>
    <w:multiLevelType w:val="hybridMultilevel"/>
    <w:lvl w:ilvl="0">
      <w:lvlJc w:val="left"/>
      <w:lvlText w:val="(%1)"/>
      <w:numFmt w:val="lowerLetter"/>
      <w:start w:val="1"/>
    </w:lvl>
  </w:abstractNum>
  <w:abstractNum w:abstractNumId="90">
    <w:nsid w:val="1816F8C4"/>
    <w:multiLevelType w:val="hybridMultilevel"/>
    <w:lvl w:ilvl="0">
      <w:lvlJc w:val="left"/>
      <w:lvlText w:val="%1"/>
      <w:numFmt w:val="lowerLetter"/>
      <w:start w:val="1"/>
    </w:lvl>
    <w:lvl w:ilvl="1">
      <w:lvlJc w:val="left"/>
      <w:lvlText w:val="(%2)"/>
      <w:numFmt w:val="lowerLetter"/>
      <w:start w:val="2"/>
    </w:lvl>
  </w:abstractNum>
  <w:abstractNum w:abstractNumId="91">
    <w:nsid w:val="37DF2233"/>
    <w:multiLevelType w:val="hybridMultilevel"/>
    <w:lvl w:ilvl="0">
      <w:lvlJc w:val="left"/>
      <w:lvlText w:val="(%1)"/>
      <w:numFmt w:val="lowerLetter"/>
      <w:start w:val="35"/>
    </w:lvl>
    <w:lvl w:ilvl="1">
      <w:lvlJc w:val="left"/>
      <w:lvlText w:val="(%2)"/>
      <w:numFmt w:val="lowerLetter"/>
      <w:start w:val="4"/>
    </w:lvl>
  </w:abstractNum>
  <w:abstractNum w:abstractNumId="92">
    <w:nsid w:val="7AB49DAF"/>
    <w:multiLevelType w:val="hybridMultilevel"/>
    <w:lvl w:ilvl="0">
      <w:lvlJc w:val="left"/>
      <w:lvlText w:val="(%1)"/>
      <w:numFmt w:val="lowerLetter"/>
      <w:start w:val="5"/>
    </w:lvl>
  </w:abstractNum>
  <w:abstractNum w:abstractNumId="93">
    <w:nsid w:val="759F82CD"/>
    <w:multiLevelType w:val="hybridMultilevel"/>
    <w:lvl w:ilvl="0">
      <w:lvlJc w:val="left"/>
      <w:lvlText w:val="(%1)"/>
      <w:numFmt w:val="lowerLetter"/>
      <w:start w:val="1"/>
    </w:lvl>
  </w:abstractNum>
  <w:abstractNum w:abstractNumId="94">
    <w:nsid w:val="61E74EA3"/>
    <w:multiLevelType w:val="hybridMultilevel"/>
    <w:lvl w:ilvl="0">
      <w:lvlJc w:val="left"/>
      <w:lvlText w:val="%1"/>
      <w:numFmt w:val="lowerLetter"/>
      <w:start w:val="1"/>
    </w:lvl>
    <w:lvl w:ilvl="1">
      <w:lvlJc w:val="left"/>
      <w:lvlText w:val="(%2)"/>
      <w:numFmt w:val="lowerLetter"/>
      <w:start w:val="1"/>
    </w:lvl>
  </w:abstractNum>
  <w:abstractNum w:abstractNumId="95">
    <w:nsid w:val="597B4D84"/>
    <w:multiLevelType w:val="hybridMultilevel"/>
    <w:lvl w:ilvl="0">
      <w:lvlJc w:val="left"/>
      <w:lvlText w:val="(%1)"/>
      <w:numFmt w:val="lowerLetter"/>
      <w:start w:val="9"/>
    </w:lvl>
    <w:lvl w:ilvl="1">
      <w:lvlJc w:val="left"/>
      <w:lvlText w:val="%2"/>
      <w:numFmt w:val="lowerLetter"/>
      <w:start w:val="1"/>
    </w:lvl>
  </w:abstractNum>
  <w:abstractNum w:abstractNumId="96">
    <w:nsid w:val="F819E7F"/>
    <w:multiLevelType w:val="hybridMultilevel"/>
    <w:lvl w:ilvl="0">
      <w:lvlJc w:val="left"/>
      <w:lvlText w:val="(%1)"/>
      <w:numFmt w:val="lowerLetter"/>
      <w:start w:val="35"/>
    </w:lvl>
    <w:lvl w:ilvl="1">
      <w:lvlJc w:val="left"/>
      <w:lvlText w:val="(%2)"/>
      <w:numFmt w:val="lowerLetter"/>
      <w:start w:val="23"/>
    </w:lvl>
    <w:lvl w:ilvl="2">
      <w:lvlJc w:val="left"/>
      <w:lvlText w:val="(%3)"/>
      <w:numFmt w:val="upperLetter"/>
      <w:start w:val="1"/>
    </w:lvl>
  </w:abstractNum>
  <w:abstractNum w:abstractNumId="97">
    <w:nsid w:val="57C7D42D"/>
    <w:multiLevelType w:val="hybridMultilevel"/>
    <w:lvl w:ilvl="0">
      <w:lvlJc w:val="left"/>
      <w:lvlText w:val="%1"/>
      <w:numFmt w:val="lowerLetter"/>
      <w:start w:val="1"/>
    </w:lvl>
    <w:lvl w:ilvl="1">
      <w:lvlJc w:val="left"/>
      <w:lvlText w:val="(%2)"/>
      <w:numFmt w:val="lowerLetter"/>
      <w:start w:val="26"/>
    </w:lvl>
    <w:lvl w:ilvl="2">
      <w:lvlJc w:val="left"/>
      <w:lvlText w:val="%3"/>
      <w:numFmt w:val="upperLetter"/>
      <w:start w:val="1"/>
    </w:lvl>
  </w:abstractNum>
  <w:abstractNum w:abstractNumId="98">
    <w:nsid w:val="312167AD"/>
    <w:multiLevelType w:val="hybridMultilevel"/>
    <w:lvl w:ilvl="0">
      <w:lvlJc w:val="left"/>
      <w:lvlText w:val="(%1)"/>
      <w:numFmt w:val="lowerRoman"/>
      <w:start w:val="3"/>
    </w:lvl>
    <w:lvl w:ilvl="1">
      <w:lvlJc w:val="left"/>
      <w:lvlText w:val="(%2)"/>
      <w:numFmt w:val="lowerLetter"/>
      <w:start w:val="2"/>
    </w:lvl>
  </w:abstractNum>
  <w:abstractNum w:abstractNumId="99">
    <w:nsid w:val="631B64D4"/>
    <w:multiLevelType w:val="hybridMultilevel"/>
    <w:lvl w:ilvl="0">
      <w:lvlJc w:val="left"/>
      <w:lvlText w:val="%1"/>
      <w:numFmt w:val="lowerLetter"/>
      <w:start w:val="1"/>
    </w:lvl>
    <w:lvl w:ilvl="1">
      <w:lvlJc w:val="left"/>
      <w:lvlText w:val="%2"/>
      <w:numFmt w:val="lowerRoman"/>
      <w:start w:val="1"/>
    </w:lvl>
    <w:lvl w:ilvl="2">
      <w:lvlJc w:val="left"/>
      <w:lvlText w:val="(%3)"/>
      <w:numFmt w:val="lowerLetter"/>
      <w:start w:val="3"/>
    </w:lvl>
  </w:abstractNum>
  <w:abstractNum w:abstractNumId="100">
    <w:nsid w:val="78B5E776"/>
    <w:multiLevelType w:val="hybridMultilevel"/>
    <w:lvl w:ilvl="0">
      <w:lvlJc w:val="left"/>
      <w:lvlText w:val="(%1)"/>
      <w:numFmt w:val="lowerLetter"/>
      <w:start w:val="61"/>
    </w:lvl>
    <w:lvl w:ilvl="1">
      <w:lvlJc w:val="left"/>
      <w:lvlText w:val="(%2)"/>
      <w:numFmt w:val="lowerRoman"/>
    </w:lvl>
    <w:lvl w:ilvl="2">
      <w:lvlJc w:val="left"/>
      <w:lvlText w:val="(%3)"/>
      <w:numFmt w:val="lowerLetter"/>
      <w:start w:val="4"/>
    </w:lvl>
  </w:abstractNum>
  <w:abstractNum w:abstractNumId="101">
    <w:nsid w:val="75486E47"/>
    <w:multiLevelType w:val="hybridMultilevel"/>
    <w:lvl w:ilvl="0">
      <w:lvlJc w:val="left"/>
      <w:lvlText w:val="(%1)"/>
      <w:numFmt w:val="lowerLetter"/>
      <w:start w:val="1"/>
    </w:lvl>
  </w:abstractNum>
  <w:abstractNum w:abstractNumId="102">
    <w:nsid w:val="6E534CDE"/>
    <w:multiLevelType w:val="hybridMultilevel"/>
    <w:lvl w:ilvl="0">
      <w:lvlJc w:val="left"/>
      <w:lvlText w:val="(%1)"/>
      <w:numFmt w:val="lowerLetter"/>
      <w:start w:val="1"/>
    </w:lvl>
  </w:abstractNum>
  <w:abstractNum w:abstractNumId="103">
    <w:nsid w:val="1A0DDE32"/>
    <w:multiLevelType w:val="hybridMultilevel"/>
    <w:lvl w:ilvl="0">
      <w:lvlJc w:val="left"/>
      <w:lvlText w:val="(%1)"/>
      <w:numFmt w:val="lowerLetter"/>
      <w:start w:val="1"/>
    </w:lvl>
  </w:abstractNum>
  <w:abstractNum w:abstractNumId="104">
    <w:nsid w:val="65968C1C"/>
    <w:multiLevelType w:val="hybridMultilevel"/>
    <w:lvl w:ilvl="0">
      <w:lvlJc w:val="left"/>
      <w:lvlText w:val="(%1)"/>
      <w:numFmt w:val="lowerLetter"/>
      <w:start w:val="1"/>
    </w:lvl>
  </w:abstractNum>
  <w:abstractNum w:abstractNumId="105">
    <w:nsid w:val="46263DEC"/>
    <w:multiLevelType w:val="hybridMultilevel"/>
    <w:lvl w:ilvl="0">
      <w:lvlJc w:val="left"/>
      <w:lvlText w:val="(%1)"/>
      <w:numFmt w:val="lowerLetter"/>
      <w:start w:val="1"/>
    </w:lvl>
  </w:abstractNum>
  <w:abstractNum w:abstractNumId="106">
    <w:nsid w:val="260D8C4A"/>
    <w:multiLevelType w:val="hybridMultilevel"/>
    <w:lvl w:ilvl="0">
      <w:lvlJc w:val="left"/>
      <w:lvlText w:val="(%1)"/>
      <w:numFmt w:val="lowerLetter"/>
      <w:start w:val="1"/>
    </w:lvl>
  </w:abstractNum>
  <w:abstractNum w:abstractNumId="107">
    <w:nsid w:val="73D4D3C4"/>
    <w:multiLevelType w:val="hybridMultilevel"/>
    <w:lvl w:ilvl="0">
      <w:lvlJc w:val="left"/>
      <w:lvlText w:val="%1"/>
      <w:numFmt w:val="lowerRoman"/>
      <w:start w:val="1"/>
    </w:lvl>
    <w:lvl w:ilvl="1">
      <w:lvlJc w:val="left"/>
      <w:lvlText w:val="(%2)"/>
      <w:numFmt w:val="lowerLetter"/>
      <w:start w:val="1"/>
    </w:lvl>
  </w:abstractNum>
  <w:abstractNum w:abstractNumId="108">
    <w:nsid w:val="746F2E30"/>
    <w:multiLevelType w:val="hybridMultilevel"/>
    <w:lvl w:ilvl="0">
      <w:lvlJc w:val="left"/>
      <w:lvlText w:val="(%1)"/>
      <w:numFmt w:val="lowerRoman"/>
      <w:start w:val="1"/>
    </w:lvl>
    <w:lvl w:ilvl="1">
      <w:lvlJc w:val="left"/>
      <w:lvlText w:val="(%2)"/>
      <w:numFmt w:val="lowerLetter"/>
      <w:start w:val="2"/>
    </w:lvl>
  </w:abstractNum>
  <w:abstractNum w:abstractNumId="109">
    <w:nsid w:val="6FDE8AF6"/>
    <w:multiLevelType w:val="hybridMultilevel"/>
    <w:lvl w:ilvl="0">
      <w:lvlJc w:val="left"/>
      <w:lvlText w:val="(%1)"/>
      <w:numFmt w:val="lowerLetter"/>
      <w:start w:val="1"/>
    </w:lvl>
  </w:abstractNum>
  <w:abstractNum w:abstractNumId="110">
    <w:nsid w:val="3FC32E20"/>
    <w:multiLevelType w:val="hybridMultilevel"/>
    <w:lvl w:ilvl="0">
      <w:lvlJc w:val="left"/>
      <w:lvlText w:val="(%1)"/>
      <w:numFmt w:val="lowerLetter"/>
      <w:start w:val="2"/>
    </w:lvl>
  </w:abstractNum>
  <w:abstractNum w:abstractNumId="111">
    <w:nsid w:val="49C0E823"/>
    <w:multiLevelType w:val="hybridMultilevel"/>
    <w:lvl w:ilvl="0">
      <w:lvlJc w:val="left"/>
      <w:lvlText w:val="%1"/>
      <w:numFmt w:val="lowerLetter"/>
      <w:start w:val="1"/>
    </w:lvl>
    <w:lvl w:ilvl="1">
      <w:lvlJc w:val="left"/>
      <w:lvlText w:val="(%2)"/>
      <w:numFmt w:val="lowerLetter"/>
      <w:start w:val="1"/>
    </w:lvl>
  </w:abstractNum>
  <w:abstractNum w:abstractNumId="112">
    <w:nsid w:val="14D53685"/>
    <w:multiLevelType w:val="hybridMultilevel"/>
    <w:lvl w:ilvl="0">
      <w:lvlJc w:val="left"/>
      <w:lvlText w:val="(%1)"/>
      <w:numFmt w:val="lowerLetter"/>
      <w:start w:val="9"/>
    </w:lvl>
    <w:lvl w:ilvl="1">
      <w:lvlJc w:val="left"/>
      <w:lvlText w:val="%2"/>
      <w:numFmt w:val="lowerLetter"/>
      <w:start w:val="1"/>
    </w:lvl>
  </w:abstractNum>
  <w:abstractNum w:abstractNumId="113">
    <w:nsid w:val="230F856C"/>
    <w:multiLevelType w:val="hybridMultilevel"/>
    <w:lvl w:ilvl="0">
      <w:lvlJc w:val="left"/>
      <w:lvlText w:val="(%1)"/>
      <w:numFmt w:val="lowerLetter"/>
      <w:start w:val="61"/>
    </w:lvl>
    <w:lvl w:ilvl="1">
      <w:lvlJc w:val="left"/>
      <w:lvlText w:val="(%2)"/>
      <w:numFmt w:val="lowerLetter"/>
      <w:start w:val="4"/>
    </w:lvl>
  </w:abstractNum>
  <w:abstractNum w:abstractNumId="114">
    <w:nsid w:val="6EAA85FB"/>
    <w:multiLevelType w:val="hybridMultilevel"/>
    <w:lvl w:ilvl="0">
      <w:lvlJc w:val="left"/>
      <w:lvlText w:val="(%1)"/>
      <w:numFmt w:val="lowerLetter"/>
      <w:start w:val="7"/>
    </w:lvl>
  </w:abstractNum>
  <w:abstractNum w:abstractNumId="115">
    <w:nsid w:val="3F06ECB2"/>
    <w:multiLevelType w:val="hybridMultilevel"/>
    <w:lvl w:ilvl="0">
      <w:lvlJc w:val="left"/>
      <w:lvlText w:val="(%1)"/>
      <w:numFmt w:val="lowerLetter"/>
      <w:start w:val="1"/>
    </w:lvl>
  </w:abstractNum>
  <w:abstractNum w:abstractNumId="116">
    <w:nsid w:val="3B594807"/>
    <w:multiLevelType w:val="hybridMultilevel"/>
    <w:lvl w:ilvl="0">
      <w:lvlJc w:val="left"/>
      <w:lvlText w:val="(%1)"/>
      <w:numFmt w:val="lowerLetter"/>
      <w:start w:val="1"/>
    </w:lvl>
  </w:abstractNum>
  <w:abstractNum w:abstractNumId="117">
    <w:nsid w:val="6CAA2304"/>
    <w:multiLevelType w:val="hybridMultilevel"/>
    <w:lvl w:ilvl="0">
      <w:lvlJc w:val="left"/>
      <w:lvlText w:val="(%1)"/>
      <w:numFmt w:val="lowerLetter"/>
      <w:start w:val="1"/>
    </w:lvl>
  </w:abstractNum>
  <w:abstractNum w:abstractNumId="118">
    <w:nsid w:val="3F7C2FF4"/>
    <w:multiLevelType w:val="hybridMultilevel"/>
    <w:lvl w:ilvl="0">
      <w:lvlJc w:val="left"/>
      <w:lvlText w:val="%1"/>
      <w:numFmt w:val="lowerRoman"/>
      <w:start w:val="1"/>
    </w:lvl>
    <w:lvl w:ilvl="1">
      <w:lvlJc w:val="left"/>
      <w:lvlText w:val="(%2)"/>
      <w:numFmt w:val="lowerLetter"/>
      <w:start w:val="1"/>
    </w:lvl>
    <w:lvl w:ilvl="2">
      <w:lvlJc w:val="left"/>
      <w:lvlText w:val="%3"/>
      <w:numFmt w:val="upperLetter"/>
      <w:start w:val="1"/>
    </w:lvl>
    <w:lvl w:ilvl="3">
      <w:lvlJc w:val="left"/>
      <w:lvlText w:val="%4"/>
      <w:numFmt w:val="lowerLetter"/>
      <w:start w:val="1"/>
    </w:lvl>
  </w:abstractNum>
  <w:abstractNum w:abstractNumId="119">
    <w:nsid w:val="25413BEC"/>
    <w:multiLevelType w:val="hybridMultilevel"/>
    <w:lvl w:ilvl="0">
      <w:lvlJc w:val="left"/>
      <w:lvlText w:val="(%1)"/>
      <w:numFmt w:val="lowerRoman"/>
      <w:start w:val="1"/>
    </w:lvl>
    <w:lvl w:ilvl="1">
      <w:lvlJc w:val="left"/>
      <w:lvlText w:val="%2"/>
      <w:numFmt w:val="lowerLetter"/>
      <w:start w:val="1"/>
    </w:lvl>
    <w:lvl w:ilvl="2">
      <w:lvlJc w:val="left"/>
      <w:lvlText w:val="(%3)"/>
      <w:numFmt w:val="upperLetter"/>
      <w:start w:val="1"/>
    </w:lvl>
    <w:lvl w:ilvl="3">
      <w:lvlJc w:val="left"/>
      <w:lvlText w:val="(%4)"/>
      <w:numFmt w:val="lowerLetter"/>
      <w:start w:val="23"/>
    </w:lvl>
  </w:abstractNum>
  <w:abstractNum w:abstractNumId="120">
    <w:nsid w:val="17180B0B"/>
    <w:multiLevelType w:val="hybridMultilevel"/>
    <w:lvl w:ilvl="0">
      <w:lvlJc w:val="left"/>
      <w:lvlText w:val="%1"/>
      <w:numFmt w:val="upperLetter"/>
      <w:start w:val="1"/>
    </w:lvl>
    <w:lvl w:ilvl="1">
      <w:lvlJc w:val="left"/>
      <w:lvlText w:val="(%2)"/>
      <w:numFmt w:val="lowerLetter"/>
      <w:start w:val="24"/>
    </w:lvl>
  </w:abstractNum>
  <w:abstractNum w:abstractNumId="121">
    <w:nsid w:val="579328B9"/>
    <w:multiLevelType w:val="hybridMultilevel"/>
    <w:lvl w:ilvl="0">
      <w:lvlJc w:val="left"/>
      <w:lvlText w:val="(%1)"/>
      <w:numFmt w:val="upperLetter"/>
      <w:start w:val="3"/>
    </w:lvl>
    <w:lvl w:ilvl="1">
      <w:lvlJc w:val="left"/>
      <w:lvlText w:val="(%2)"/>
      <w:numFmt w:val="lowerLetter"/>
      <w:start w:val="24"/>
    </w:lvl>
  </w:abstractNum>
  <w:abstractNum w:abstractNumId="122">
    <w:nsid w:val="5D205E20"/>
    <w:multiLevelType w:val="hybridMultilevel"/>
    <w:lvl w:ilvl="0">
      <w:lvlJc w:val="left"/>
      <w:lvlText w:val="%1"/>
      <w:numFmt w:val="lowerLetter"/>
      <w:start w:val="1"/>
    </w:lvl>
    <w:lvl w:ilvl="1">
      <w:lvlJc w:val="left"/>
      <w:lvlText w:val="(%2)"/>
      <w:numFmt w:val="upperLetter"/>
      <w:start w:val="6"/>
    </w:lvl>
  </w:abstractNum>
  <w:abstractNum w:abstractNumId="123">
    <w:nsid w:val="11CCA8BA"/>
    <w:multiLevelType w:val="hybridMultilevel"/>
    <w:lvl w:ilvl="0">
      <w:lvlJc w:val="left"/>
      <w:lvlText w:val="(%1)"/>
      <w:numFmt w:val="lowerLetter"/>
      <w:start w:val="3"/>
    </w:lvl>
    <w:lvl w:ilvl="1">
      <w:lvlJc w:val="left"/>
      <w:lvlText w:val="%2"/>
      <w:numFmt w:val="upperLetter"/>
      <w:start w:val="1"/>
    </w:lvl>
  </w:abstractNum>
  <w:abstractNum w:abstractNumId="124">
    <w:nsid w:val="4D32AB86"/>
    <w:multiLevelType w:val="hybridMultilevel"/>
    <w:lvl w:ilvl="0">
      <w:lvlJc w:val="left"/>
      <w:lvlText w:val="(%1)"/>
      <w:numFmt w:val="lowerLetter"/>
      <w:start w:val="1"/>
    </w:lvl>
  </w:abstractNum>
  <w:abstractNum w:abstractNumId="125">
    <w:nsid w:val="3F07ACC3"/>
    <w:multiLevelType w:val="hybridMultilevel"/>
    <w:lvl w:ilvl="0">
      <w:lvlJc w:val="left"/>
      <w:lvlText w:val="(%1)"/>
      <w:numFmt w:val="lowerLetter"/>
      <w:start w:val="6"/>
    </w:lvl>
  </w:abstractNum>
  <w:abstractNum w:abstractNumId="126">
    <w:nsid w:val="6B47F63E"/>
    <w:multiLevelType w:val="hybridMultilevel"/>
    <w:lvl w:ilvl="0">
      <w:lvlJc w:val="left"/>
      <w:lvlText w:val="(%1)"/>
      <w:numFmt w:val="lowerRoman"/>
      <w:start w:val="1"/>
    </w:lvl>
  </w:abstractNum>
  <w:abstractNum w:abstractNumId="127">
    <w:nsid w:val="5CB44A05"/>
    <w:multiLevelType w:val="hybridMultilevel"/>
    <w:lvl w:ilvl="0">
      <w:lvlJc w:val="left"/>
      <w:lvlText w:val="(%1)"/>
      <w:numFmt w:val="lowerLetter"/>
      <w:start w:val="1"/>
    </w:lvl>
  </w:abstractNum>
  <w:abstractNum w:abstractNumId="128">
    <w:nsid w:val="16CF80F1"/>
    <w:multiLevelType w:val="hybridMultilevel"/>
    <w:lvl w:ilvl="0">
      <w:lvlJc w:val="left"/>
      <w:lvlText w:val="(%1)"/>
      <w:numFmt w:val="lowerLetter"/>
      <w:start w:val="7"/>
    </w:lvl>
  </w:abstractNum>
  <w:abstractNum w:abstractNumId="129">
    <w:nsid w:val="1C695DEC"/>
    <w:multiLevelType w:val="hybridMultilevel"/>
    <w:lvl w:ilvl="0">
      <w:lvlJc w:val="left"/>
      <w:lvlText w:val="(%1)"/>
      <w:numFmt w:val="lowerLetter"/>
      <w:start w:val="1"/>
    </w:lvl>
  </w:abstractNum>
  <w:abstractNum w:abstractNumId="130">
    <w:nsid w:val="3FCFAED9"/>
    <w:multiLevelType w:val="hybridMultilevel"/>
    <w:lvl w:ilvl="0">
      <w:lvlJc w:val="left"/>
      <w:lvlText w:val="(%1)"/>
      <w:numFmt w:val="lowerRoman"/>
      <w:start w:val="1"/>
    </w:lvl>
  </w:abstractNum>
  <w:abstractNum w:abstractNumId="131">
    <w:nsid w:val="F856867"/>
    <w:multiLevelType w:val="hybridMultilevel"/>
    <w:lvl w:ilvl="0">
      <w:lvlJc w:val="left"/>
      <w:lvlText w:val="(%1)"/>
      <w:numFmt w:val="lowerLetter"/>
      <w:start w:val="1"/>
    </w:lvl>
  </w:abstractNum>
  <w:abstractNum w:abstractNumId="132">
    <w:nsid w:val="11B1CC33"/>
    <w:multiLevelType w:val="hybridMultilevel"/>
    <w:lvl w:ilvl="0">
      <w:lvlJc w:val="left"/>
      <w:lvlText w:val="(%1)"/>
      <w:numFmt w:val="lowerLetter"/>
      <w:start w:val="2"/>
    </w:lvl>
  </w:abstractNum>
  <w:abstractNum w:abstractNumId="133">
    <w:nsid w:val="2E22FBB7"/>
    <w:multiLevelType w:val="hybridMultilevel"/>
    <w:lvl w:ilvl="0">
      <w:lvlJc w:val="left"/>
      <w:lvlText w:val="(%1)"/>
      <w:numFmt w:val="lowerLetter"/>
      <w:start w:val="1"/>
    </w:lvl>
  </w:abstractNum>
  <w:abstractNum w:abstractNumId="134">
    <w:nsid w:val="29934699"/>
    <w:multiLevelType w:val="hybridMultilevel"/>
    <w:lvl w:ilvl="0">
      <w:lvlJc w:val="left"/>
      <w:lvlText w:val="(%1)"/>
      <w:numFmt w:val="lowerLetter"/>
      <w:start w:val="4"/>
    </w:lvl>
  </w:abstractNum>
  <w:abstractNum w:abstractNumId="135">
    <w:nsid w:val="77485850"/>
    <w:multiLevelType w:val="hybridMultilevel"/>
    <w:lvl w:ilvl="0">
      <w:lvlJc w:val="left"/>
      <w:lvlText w:val="%1"/>
      <w:numFmt w:val="lowerLetter"/>
      <w:start w:val="1"/>
    </w:lvl>
    <w:lvl w:ilvl="1">
      <w:lvlJc w:val="left"/>
      <w:lvlText w:val="%2"/>
      <w:numFmt w:val="lowerRoman"/>
      <w:start w:val="1"/>
    </w:lvl>
    <w:lvl w:ilvl="2">
      <w:lvlJc w:val="left"/>
      <w:lvlText w:val="(%3)"/>
      <w:numFmt w:val="lowerLetter"/>
      <w:start w:val="1"/>
    </w:lvl>
  </w:abstractNum>
  <w:abstractNum w:abstractNumId="136">
    <w:nsid w:val="744939A3"/>
    <w:multiLevelType w:val="hybridMultilevel"/>
    <w:lvl w:ilvl="0">
      <w:lvlJc w:val="left"/>
      <w:lvlText w:val="%1"/>
      <w:numFmt w:val="lowerLetter"/>
      <w:start w:val="1"/>
    </w:lvl>
    <w:lvl w:ilvl="1">
      <w:lvlJc w:val="left"/>
      <w:lvlText w:val="(%2)"/>
      <w:numFmt w:val="lowerRoman"/>
      <w:start w:val="1"/>
    </w:lvl>
    <w:lvl w:ilvl="2">
      <w:lvlJc w:val="left"/>
      <w:lvlText w:val="%3"/>
      <w:numFmt w:val="lowerLetter"/>
      <w:start w:val="1"/>
    </w:lvl>
  </w:abstractNum>
  <w:abstractNum w:abstractNumId="137">
    <w:nsid w:val="4FA0D2E3"/>
    <w:multiLevelType w:val="hybridMultilevel"/>
    <w:lvl w:ilvl="0">
      <w:lvlJc w:val="left"/>
      <w:lvlText w:val="(%1)"/>
      <w:numFmt w:val="lowerLetter"/>
      <w:start w:val="9"/>
    </w:lvl>
    <w:lvl w:ilvl="1">
      <w:lvlJc w:val="left"/>
      <w:lvlText w:val="%2"/>
      <w:numFmt w:val="lowerRoman"/>
      <w:start w:val="1"/>
    </w:lvl>
    <w:lvl w:ilvl="2">
      <w:lvlJc w:val="left"/>
      <w:lvlText w:val="(%3)"/>
      <w:numFmt w:val="lowerLetter"/>
      <w:start w:val="4"/>
    </w:lvl>
  </w:abstractNum>
  <w:abstractNum w:abstractNumId="138">
    <w:nsid w:val="6B1D2C14"/>
    <w:multiLevelType w:val="hybridMultilevel"/>
    <w:lvl w:ilvl="0">
      <w:lvlJc w:val="left"/>
      <w:lvlText w:val="(%1)"/>
      <w:numFmt w:val="lowerLetter"/>
      <w:start w:val="1"/>
    </w:lvl>
  </w:abstractNum>
  <w:abstractNum w:abstractNumId="139">
    <w:nsid w:val="68B867D3"/>
    <w:multiLevelType w:val="hybridMultilevel"/>
    <w:lvl w:ilvl="0">
      <w:lvlJc w:val="left"/>
      <w:lvlText w:val="(%1)"/>
      <w:numFmt w:val="lowerLetter"/>
      <w:start w:val="1"/>
    </w:lvl>
  </w:abstractNum>
  <w:abstractNum w:abstractNumId="140">
    <w:nsid w:val="3F7F5DD9"/>
    <w:multiLevelType w:val="hybridMultilevel"/>
    <w:lvl w:ilvl="0">
      <w:lvlJc w:val="left"/>
      <w:lvlText w:val="(%1)"/>
      <w:numFmt w:val="lowerLetter"/>
      <w:start w:val="2"/>
    </w:lvl>
  </w:abstractNum>
  <w:abstractNum w:abstractNumId="141">
    <w:nsid w:val="2AE05A34"/>
    <w:multiLevelType w:val="hybridMultilevel"/>
    <w:lvl w:ilvl="0">
      <w:lvlJc w:val="left"/>
      <w:lvlText w:val="%1"/>
      <w:numFmt w:val="lowerLetter"/>
      <w:start w:val="1"/>
    </w:lvl>
    <w:lvl w:ilvl="1">
      <w:lvlJc w:val="left"/>
      <w:lvlText w:val="(%2)"/>
      <w:numFmt w:val="lowerLetter"/>
      <w:start w:val="1"/>
    </w:lvl>
  </w:abstractNum>
  <w:abstractNum w:abstractNumId="142">
    <w:nsid w:val="32794FF7"/>
    <w:multiLevelType w:val="hybridMultilevel"/>
    <w:lvl w:ilvl="0">
      <w:lvlJc w:val="left"/>
      <w:lvlText w:val="(%1)"/>
      <w:numFmt w:val="lowerLetter"/>
      <w:start w:val="35"/>
    </w:lvl>
    <w:lvl w:ilvl="1">
      <w:lvlJc w:val="left"/>
      <w:lvlText w:val="(%2)"/>
      <w:numFmt w:val="lowerLetter"/>
      <w:start w:val="5"/>
    </w:lvl>
  </w:abstractNum>
  <w:abstractNum w:abstractNumId="143">
    <w:nsid w:val="5454945E"/>
    <w:multiLevelType w:val="hybridMultilevel"/>
    <w:lvl w:ilvl="0">
      <w:lvlJc w:val="left"/>
      <w:lvlText w:val="(%1)"/>
      <w:numFmt w:val="lowerLetter"/>
      <w:start w:val="6"/>
    </w:lvl>
  </w:abstractNum>
  <w:abstractNum w:abstractNumId="144">
    <w:nsid w:val="4DEFDFA0"/>
    <w:multiLevelType w:val="hybridMultilevel"/>
    <w:lvl w:ilvl="0">
      <w:lvlJc w:val="left"/>
      <w:lvlText w:val="(%1)"/>
      <w:numFmt w:val="lowerLetter"/>
      <w:start w:val="19"/>
    </w:lvl>
  </w:abstractNum>
  <w:abstractNum w:abstractNumId="145">
    <w:nsid w:val="2123D5F2"/>
    <w:multiLevelType w:val="hybridMultilevel"/>
    <w:lvl w:ilvl="0">
      <w:lvlJc w:val="left"/>
      <w:lvlText w:val="%1"/>
      <w:numFmt w:val="lowerLetter"/>
      <w:start w:val="1"/>
    </w:lvl>
    <w:lvl w:ilvl="1">
      <w:lvlJc w:val="left"/>
      <w:lvlText w:val="(%2)"/>
      <w:numFmt w:val="lowerLetter"/>
      <w:start w:val="1"/>
    </w:lvl>
  </w:abstractNum>
  <w:abstractNum w:abstractNumId="146">
    <w:nsid w:val="135B8110"/>
    <w:multiLevelType w:val="hybridMultilevel"/>
    <w:lvl w:ilvl="0">
      <w:lvlJc w:val="left"/>
      <w:lvlText w:val="(%1)"/>
      <w:numFmt w:val="lowerLetter"/>
      <w:start w:val="9"/>
    </w:lvl>
    <w:lvl w:ilvl="1">
      <w:lvlJc w:val="left"/>
      <w:lvlText w:val="%2"/>
      <w:numFmt w:val="lowerLetter"/>
      <w:start w:val="1"/>
    </w:lvl>
  </w:abstractNum>
  <w:abstractNum w:abstractNumId="147">
    <w:nsid w:val="94927A8"/>
    <w:multiLevelType w:val="hybridMultilevel"/>
    <w:lvl w:ilvl="0">
      <w:lvlJc w:val="left"/>
      <w:lvlText w:val="(%1)"/>
      <w:numFmt w:val="lowerRoman"/>
      <w:start w:val="2"/>
    </w:lvl>
  </w:abstractNum>
  <w:abstractNum w:abstractNumId="148">
    <w:nsid w:val="DCDF8F6"/>
    <w:multiLevelType w:val="hybridMultilevel"/>
    <w:lvl w:ilvl="0">
      <w:lvlJc w:val="left"/>
      <w:lvlText w:val="(%1)"/>
      <w:numFmt w:val="lowerRoman"/>
      <w:start w:val="3"/>
    </w:lvl>
  </w:abstractNum>
  <w:abstractNum w:abstractNumId="149">
    <w:nsid w:val="52D7B105"/>
    <w:multiLevelType w:val="hybridMultilevel"/>
    <w:lvl w:ilvl="0">
      <w:lvlJc w:val="left"/>
      <w:lvlText w:val="(%1)"/>
      <w:numFmt w:val="lowerRoman"/>
      <w:start w:val="4"/>
    </w:lvl>
  </w:abstractNum>
  <w:abstractNum w:abstractNumId="150">
    <w:nsid w:val="2E8A6394"/>
    <w:multiLevelType w:val="hybridMultilevel"/>
    <w:lvl w:ilvl="0">
      <w:lvlJc w:val="left"/>
      <w:lvlText w:val="(%1)"/>
      <w:numFmt w:val="lowerLetter"/>
      <w:start w:val="2"/>
    </w:lvl>
  </w:abstractNum>
  <w:abstractNum w:abstractNumId="151">
    <w:nsid w:val="24E60401"/>
    <w:multiLevelType w:val="hybridMultilevel"/>
    <w:lvl w:ilvl="0">
      <w:lvlJc w:val="left"/>
      <w:lvlText w:val="%1"/>
      <w:numFmt w:val="lowerRoman"/>
      <w:start w:val="1"/>
    </w:lvl>
    <w:lvl w:ilvl="1">
      <w:lvlJc w:val="left"/>
      <w:lvlText w:val="(%2)"/>
      <w:numFmt w:val="lowerRoman"/>
      <w:start w:val="1"/>
    </w:lvl>
  </w:abstractNum>
  <w:abstractNum w:abstractNumId="152">
    <w:nsid w:val="2A6AD9BE"/>
    <w:multiLevelType w:val="hybridMultilevel"/>
    <w:lvl w:ilvl="0">
      <w:lvlJc w:val="left"/>
      <w:lvlText w:val="(%1)"/>
      <w:numFmt w:val="lowerRoman"/>
      <w:start w:val="1"/>
    </w:lvl>
    <w:lvl w:ilvl="1">
      <w:lvlJc w:val="left"/>
      <w:lvlText w:val="%2"/>
      <w:numFmt w:val="lowerRoman"/>
      <w:start w:val="1"/>
    </w:lvl>
  </w:abstractNum>
  <w:abstractNum w:abstractNumId="153">
    <w:nsid w:val="BAAC1B4"/>
    <w:multiLevelType w:val="hybridMultilevel"/>
    <w:lvl w:ilvl="0">
      <w:lvlJc w:val="left"/>
      <w:lvlText w:val="(%1)"/>
      <w:numFmt w:val="lowerLetter"/>
      <w:start w:val="3"/>
    </w:lvl>
  </w:abstractNum>
  <w:abstractNum w:abstractNumId="154">
    <w:nsid w:val="36B2ACBC"/>
    <w:multiLevelType w:val="hybridMultilevel"/>
    <w:lvl w:ilvl="0">
      <w:lvlJc w:val="left"/>
      <w:lvlText w:val="%1"/>
      <w:numFmt w:val="lowerRoman"/>
      <w:start w:val="1"/>
    </w:lvl>
    <w:lvl w:ilvl="1">
      <w:lvlJc w:val="left"/>
      <w:lvlText w:val="(%2)"/>
      <w:numFmt w:val="lowerLetter"/>
      <w:start w:val="1"/>
    </w:lvl>
  </w:abstractNum>
  <w:abstractNum w:abstractNumId="155">
    <w:nsid w:val="779D8544"/>
    <w:multiLevelType w:val="hybridMultilevel"/>
    <w:lvl w:ilvl="0">
      <w:lvlJc w:val="left"/>
      <w:lvlText w:val="(%1)"/>
      <w:numFmt w:val="lowerRoman"/>
      <w:start w:val="1"/>
    </w:lvl>
    <w:lvl w:ilvl="1">
      <w:lvlJc w:val="left"/>
      <w:lvlText w:val="%2"/>
      <w:numFmt w:val="lowerLetter"/>
      <w:start w:val="1"/>
    </w:lvl>
  </w:abstractNum>
  <w:abstractNum w:abstractNumId="156">
    <w:nsid w:val="4AB26E78"/>
    <w:multiLevelType w:val="hybridMultilevel"/>
    <w:lvl w:ilvl="0">
      <w:lvlJc w:val="left"/>
      <w:lvlText w:val="(%1)"/>
      <w:numFmt w:val="lowerRoman"/>
      <w:start w:val="3"/>
    </w:lvl>
  </w:abstractNum>
  <w:abstractNum w:abstractNumId="157">
    <w:nsid w:val="21FAA2FA"/>
    <w:multiLevelType w:val="hybridMultilevel"/>
    <w:lvl w:ilvl="0">
      <w:lvlJc w:val="left"/>
      <w:lvlText w:val="(%1)"/>
      <w:numFmt w:val="lowerLetter"/>
      <w:start w:val="3"/>
    </w:lvl>
  </w:abstractNum>
  <w:abstractNum w:abstractNumId="158">
    <w:nsid w:val="5451CF49"/>
    <w:multiLevelType w:val="hybridMultilevel"/>
    <w:lvl w:ilvl="0">
      <w:lvlJc w:val="left"/>
      <w:lvlText w:val="(%1)"/>
      <w:numFmt w:val="lowerLetter"/>
      <w:start w:val="1"/>
    </w:lvl>
  </w:abstractNum>
  <w:abstractNum w:abstractNumId="159">
    <w:nsid w:val="6181EF69"/>
    <w:multiLevelType w:val="hybridMultilevel"/>
    <w:lvl w:ilvl="0">
      <w:lvlJc w:val="left"/>
      <w:lvlText w:val="(%1)"/>
      <w:numFmt w:val="lowerLetter"/>
      <w:start w:val="2"/>
    </w:lvl>
  </w:abstractNum>
  <w:abstractNum w:abstractNumId="160">
    <w:nsid w:val="3E6400E6"/>
    <w:multiLevelType w:val="hybridMultilevel"/>
    <w:lvl w:ilvl="0">
      <w:lvlJc w:val="left"/>
      <w:lvlText w:val="(%1)"/>
      <w:numFmt w:val="lowerLetter"/>
      <w:start w:val="1"/>
    </w:lvl>
  </w:abstractNum>
  <w:abstractNum w:abstractNumId="161">
    <w:nsid w:val="14217E23"/>
    <w:multiLevelType w:val="hybridMultilevel"/>
    <w:lvl w:ilvl="0">
      <w:lvlJc w:val="left"/>
      <w:lvlText w:val="%1"/>
      <w:numFmt w:val="lowerRoman"/>
      <w:start w:val="1"/>
    </w:lvl>
    <w:lvl w:ilvl="1">
      <w:lvlJc w:val="left"/>
      <w:lvlText w:val="(%2)"/>
      <w:numFmt w:val="lowerLetter"/>
      <w:start w:val="2"/>
    </w:lvl>
    <w:lvl w:ilvl="2">
      <w:lvlJc w:val="left"/>
      <w:lvlText w:val="%3"/>
      <w:numFmt w:val="upperLetter"/>
      <w:start w:val="1"/>
    </w:lvl>
  </w:abstractNum>
  <w:abstractNum w:abstractNumId="162">
    <w:nsid w:val="710757D0"/>
    <w:multiLevelType w:val="hybridMultilevel"/>
    <w:lvl w:ilvl="0">
      <w:lvlJc w:val="left"/>
      <w:lvlText w:val="(%1)"/>
      <w:numFmt w:val="lowerRoman"/>
      <w:start w:val="1"/>
    </w:lvl>
    <w:lvl w:ilvl="1">
      <w:lvlJc w:val="left"/>
      <w:lvlText w:val="(%2)"/>
      <w:numFmt w:val="lowerLetter"/>
      <w:start w:val="3"/>
    </w:lvl>
    <w:lvl w:ilvl="2">
      <w:lvlJc w:val="left"/>
      <w:lvlText w:val="(%3)"/>
      <w:numFmt w:val="upperLetter"/>
      <w:start w:val="1"/>
    </w:lvl>
  </w:abstractNum>
  <w:abstractNum w:abstractNumId="163">
    <w:nsid w:val="5015CD1A"/>
    <w:multiLevelType w:val="hybridMultilevel"/>
    <w:lvl w:ilvl="0">
      <w:lvlJc w:val="left"/>
      <w:lvlText w:val="(%1)"/>
      <w:numFmt w:val="lowerLetter"/>
      <w:start w:val="4"/>
    </w:lvl>
  </w:abstractNum>
  <w:abstractNum w:abstractNumId="164">
    <w:nsid w:val="424479DA"/>
    <w:multiLevelType w:val="hybridMultilevel"/>
    <w:lvl w:ilvl="0">
      <w:lvlJc w:val="left"/>
      <w:lvlText w:val="(%1)"/>
      <w:numFmt w:val="lowerLetter"/>
      <w:start w:val="6"/>
    </w:lvl>
  </w:abstractNum>
  <w:abstractNum w:abstractNumId="165">
    <w:nsid w:val="1A9A9E69"/>
    <w:multiLevelType w:val="hybridMultilevel"/>
    <w:lvl w:ilvl="0">
      <w:lvlJc w:val="left"/>
      <w:lvlText w:val="(%1)"/>
      <w:numFmt w:val="lowerLetter"/>
      <w:start w:val="7"/>
    </w:lvl>
  </w:abstractNum>
  <w:abstractNum w:abstractNumId="166">
    <w:nsid w:val="475E256A"/>
    <w:multiLevelType w:val="hybridMultilevel"/>
    <w:lvl w:ilvl="0">
      <w:lvlJc w:val="left"/>
      <w:lvlText w:val="(%1)"/>
      <w:numFmt w:val="lowerLetter"/>
      <w:start w:val="1"/>
    </w:lvl>
  </w:abstractNum>
  <w:abstractNum w:abstractNumId="167">
    <w:nsid w:val="368DB37E"/>
    <w:multiLevelType w:val="hybridMultilevel"/>
    <w:lvl w:ilvl="0">
      <w:lvlJc w:val="left"/>
      <w:lvlText w:val="%1"/>
      <w:numFmt w:val="lowerLetter"/>
      <w:start w:val="1"/>
    </w:lvl>
    <w:lvl w:ilvl="1">
      <w:lvlJc w:val="left"/>
      <w:lvlText w:val="(%2)"/>
      <w:numFmt w:val="lowerLetter"/>
      <w:start w:val="1"/>
    </w:lvl>
  </w:abstractNum>
  <w:abstractNum w:abstractNumId="168">
    <w:nsid w:val="6A3B714C"/>
    <w:multiLevelType w:val="hybridMultilevel"/>
    <w:lvl w:ilvl="0">
      <w:lvlJc w:val="left"/>
      <w:lvlText w:val="(%1)"/>
      <w:numFmt w:val="lowerLetter"/>
      <w:start w:val="35"/>
    </w:lvl>
    <w:lvl w:ilvl="1">
      <w:lvlJc w:val="left"/>
      <w:lvlText w:val="%2"/>
      <w:numFmt w:val="lowerLetter"/>
      <w:start w:val="1"/>
    </w:lvl>
  </w:abstractNum>
  <w:abstractNum w:abstractNumId="169">
    <w:nsid w:val="327B517E"/>
    <w:multiLevelType w:val="hybridMultilevel"/>
    <w:lvl w:ilvl="0">
      <w:lvlJc w:val="left"/>
      <w:lvlText w:val="(%1)"/>
      <w:numFmt w:val="upperLetter"/>
      <w:start w:val="1"/>
    </w:lvl>
  </w:abstractNum>
  <w:abstractNum w:abstractNumId="170">
    <w:nsid w:val="1F461B51"/>
    <w:multiLevelType w:val="hybridMultilevel"/>
    <w:lvl w:ilvl="0">
      <w:lvlJc w:val="left"/>
      <w:lvlText w:val="(%1)"/>
      <w:numFmt w:val="lowerLetter"/>
      <w:start w:val="1"/>
    </w:lvl>
  </w:abstractNum>
  <w:abstractNum w:abstractNumId="171">
    <w:nsid w:val="29BACF25"/>
    <w:multiLevelType w:val="hybridMultilevel"/>
    <w:lvl w:ilvl="0">
      <w:lvlJc w:val="left"/>
      <w:lvlText w:val="(%1)"/>
      <w:numFmt w:val="lowerLetter"/>
      <w:start w:val="1"/>
    </w:lvl>
    <w:lvl w:ilvl="1">
      <w:lvlJc w:val="left"/>
      <w:lvlText w:val="(%2)"/>
      <w:numFmt w:val="lowerRoman"/>
      <w:start w:val="1"/>
    </w:lvl>
  </w:abstractNum>
  <w:abstractNum w:abstractNumId="172">
    <w:nsid w:val="5D5BABB3"/>
    <w:multiLevelType w:val="hybridMultilevel"/>
    <w:lvl w:ilvl="0">
      <w:lvlJc w:val="left"/>
      <w:lvlText w:val="%1."/>
      <w:numFmt w:val="decimal"/>
      <w:start w:val="1"/>
    </w:lvl>
  </w:abstractNum>
  <w:abstractNum w:abstractNumId="173">
    <w:nsid w:val="51BF6B48"/>
    <w:multiLevelType w:val="hybridMultilevel"/>
    <w:lvl w:ilvl="0">
      <w:lvlJc w:val="left"/>
      <w:lvlText w:val="%1."/>
      <w:numFmt w:val="decimal"/>
      <w:start w:val="1"/>
    </w:lvl>
  </w:abstractNum>
  <w:abstractNum w:abstractNumId="174">
    <w:nsid w:val="7E0F6384"/>
    <w:multiLevelType w:val="hybridMultilevel"/>
    <w:lvl w:ilvl="0">
      <w:lvlJc w:val="left"/>
      <w:lvlText w:val="%1."/>
      <w:numFmt w:val="decimal"/>
      <w:start w:val="1"/>
    </w:lvl>
  </w:abstractNum>
  <w:abstractNum w:abstractNumId="175">
    <w:nsid w:val="2B4B8B53"/>
    <w:multiLevelType w:val="hybridMultilevel"/>
    <w:lvl w:ilvl="0">
      <w:lvlJc w:val="left"/>
      <w:lvlText w:val="%1."/>
      <w:numFmt w:val="decimal"/>
      <w:start w:val="4"/>
    </w:lvl>
  </w:abstractNum>
  <w:abstractNum w:abstractNumId="176">
    <w:nsid w:val="72E3413A"/>
    <w:multiLevelType w:val="hybridMultilevel"/>
    <w:lvl w:ilvl="0">
      <w:lvlJc w:val="left"/>
      <w:lvlText w:val="2"/>
      <w:numFmt w:val="bullet"/>
      <w:start w:val="1"/>
    </w:lvl>
  </w:abstractNum>
  <w:abstractNum w:abstractNumId="177">
    <w:nsid w:val="116AE494"/>
    <w:multiLevelType w:val="hybridMultilevel"/>
    <w:lvl w:ilvl="0">
      <w:lvlJc w:val="left"/>
      <w:lvlText w:val="3"/>
      <w:numFmt w:val="bullet"/>
      <w:start w:val="1"/>
    </w:lvl>
  </w:abstractNum>
  <w:abstractNum w:abstractNumId="178">
    <w:nsid w:val="3494B2FB"/>
    <w:multiLevelType w:val="hybridMultilevel"/>
    <w:lvl w:ilvl="0">
      <w:lvlJc w:val="left"/>
      <w:lvlText w:val="4"/>
      <w:numFmt w:val="bullet"/>
      <w:start w:val="1"/>
    </w:lvl>
  </w:abstractNum>
  <w:abstractNum w:abstractNumId="179">
    <w:nsid w:val="B13A31"/>
    <w:multiLevelType w:val="hybridMultilevel"/>
    <w:lvl w:ilvl="0">
      <w:lvlJc w:val="left"/>
      <w:lvlText w:val="5"/>
      <w:numFmt w:val="bullet"/>
      <w:start w:val="1"/>
    </w:lvl>
  </w:abstractNum>
  <w:abstractNum w:abstractNumId="180">
    <w:nsid w:val="64429599"/>
    <w:multiLevelType w:val="hybridMultilevel"/>
    <w:lvl w:ilvl="0">
      <w:lvlJc w:val="left"/>
      <w:lvlText w:val="%1."/>
      <w:numFmt w:val="decimal"/>
      <w:start w:val="1"/>
    </w:lvl>
  </w:abstractNum>
  <w:abstractNum w:abstractNumId="181">
    <w:nsid w:val="631F1690"/>
    <w:multiLevelType w:val="hybridMultilevel"/>
    <w:lvl w:ilvl="0">
      <w:lvlJc w:val="left"/>
      <w:lvlText w:val="%1."/>
      <w:numFmt w:val="decimal"/>
      <w:start w:val="2"/>
    </w:lvl>
  </w:abstractNum>
  <w:abstractNum w:abstractNumId="182">
    <w:nsid w:val="25973E32"/>
    <w:multiLevelType w:val="hybridMultilevel"/>
    <w:lvl w:ilvl="0">
      <w:lvlJc w:val="left"/>
      <w:lvlText w:val="%1."/>
      <w:numFmt w:val="decimal"/>
      <w:start w:val="6"/>
    </w:lvl>
  </w:abstractNum>
  <w:abstractNum w:abstractNumId="183">
    <w:nsid w:val="EAD6F57"/>
    <w:multiLevelType w:val="hybridMultilevel"/>
    <w:lvl w:ilvl="0">
      <w:lvlJc w:val="left"/>
      <w:lvlText w:val="7"/>
      <w:numFmt w:val="bullet"/>
      <w:start w:val="1"/>
    </w:lvl>
  </w:abstractNum>
  <w:abstractNum w:abstractNumId="184">
    <w:nsid w:val="6EC9D844"/>
    <w:multiLevelType w:val="hybridMultilevel"/>
    <w:lvl w:ilvl="0">
      <w:lvlJc w:val="left"/>
      <w:lvlText w:val="8"/>
      <w:numFmt w:val="bullet"/>
      <w:start w:val="1"/>
    </w:lvl>
  </w:abstractNum>
  <w:abstractNum w:abstractNumId="185">
    <w:nsid w:val="5C49EAEE"/>
    <w:multiLevelType w:val="hybridMultilevel"/>
    <w:lvl w:ilvl="0">
      <w:lvlJc w:val="left"/>
      <w:lvlText w:val="9"/>
      <w:numFmt w:val="bullet"/>
      <w:start w:val="1"/>
    </w:lvl>
  </w:abstractNum>
  <w:abstractNum w:abstractNumId="186">
    <w:nsid w:val="64AF49B"/>
    <w:multiLevelType w:val="hybridMultilevel"/>
    <w:lvl w:ilvl="0">
      <w:lvlJc w:val="left"/>
      <w:lvlText w:val="%1"/>
      <w:numFmt w:val="decimal"/>
      <w:start w:val="1"/>
    </w:lvl>
    <w:lvl w:ilvl="1">
      <w:lvlJc w:val="left"/>
      <w:lvlText w:val="%2."/>
      <w:numFmt w:val="decimal"/>
      <w:start w:val="1"/>
    </w:lvl>
    <w:lvl w:ilvl="2">
      <w:lvlJc w:val="left"/>
      <w:lvlText w:val="%3"/>
      <w:numFmt w:val="lowerLetter"/>
      <w:start w:val="1"/>
    </w:lvl>
    <w:lvl w:ilvl="3">
      <w:lvlJc w:val="left"/>
      <w:lvlText w:val="%4"/>
      <w:numFmt w:val="lowerLetter"/>
      <w:start w:val="1"/>
    </w:lvl>
  </w:abstractNum>
  <w:abstractNum w:abstractNumId="187">
    <w:nsid w:val="397C46BC"/>
    <w:multiLevelType w:val="hybridMultilevel"/>
    <w:lvl w:ilvl="0">
      <w:lvlJc w:val="left"/>
      <w:lvlText w:val="%1."/>
      <w:numFmt w:val="decimal"/>
      <w:start w:val="2"/>
    </w:lvl>
    <w:lvl w:ilvl="1">
      <w:lvlJc w:val="left"/>
      <w:lvlText w:val="%2."/>
      <w:numFmt w:val="decimal"/>
      <w:start w:val="4"/>
    </w:lvl>
    <w:lvl w:ilvl="2">
      <w:lvlJc w:val="left"/>
      <w:lvlText w:val="%3)"/>
      <w:numFmt w:val="lowerLetter"/>
      <w:start w:val="1"/>
    </w:lvl>
    <w:lvl w:ilvl="3">
      <w:lvlJc w:val="left"/>
      <w:lvlText w:val="%4)"/>
      <w:numFmt w:val="lowerLetter"/>
      <w:start w:val="3"/>
    </w:lvl>
  </w:abstractNum>
  <w:abstractNum w:abstractNumId="188">
    <w:nsid w:val="7E448DE9"/>
    <w:multiLevelType w:val="hybridMultilevel"/>
    <w:lvl w:ilvl="0">
      <w:lvlJc w:val="left"/>
      <w:lvlText w:val="%1"/>
      <w:numFmt w:val="decimal"/>
      <w:start w:val="1"/>
    </w:lvl>
    <w:lvl w:ilvl="1">
      <w:lvlJc w:val="left"/>
      <w:lvlText w:val="%2"/>
      <w:numFmt w:val="decimal"/>
      <w:start w:val="1"/>
    </w:lvl>
    <w:lvl w:ilvl="2">
      <w:lvlJc w:val="left"/>
      <w:lvlText w:val="%3"/>
      <w:numFmt w:val="lowerLetter"/>
      <w:start w:val="1"/>
    </w:lvl>
    <w:lvl w:ilvl="3">
      <w:lvlJc w:val="left"/>
      <w:lvlText w:val="%4)"/>
      <w:numFmt w:val="lowerLetter"/>
      <w:start w:val="1"/>
    </w:lvl>
  </w:abstractNum>
  <w:abstractNum w:abstractNumId="189">
    <w:nsid w:val="5A9CC3E5"/>
    <w:multiLevelType w:val="hybridMultilevel"/>
    <w:lvl w:ilvl="0">
      <w:lvlJc w:val="left"/>
      <w:lvlText w:val="%1"/>
      <w:numFmt w:val="decimal"/>
      <w:start w:val="1"/>
    </w:lvl>
    <w:lvl w:ilvl="1">
      <w:lvlJc w:val="left"/>
      <w:lvlText w:val="%2."/>
      <w:numFmt w:val="decimal"/>
      <w:start w:val="1"/>
    </w:lvl>
    <w:lvl w:ilvl="2">
      <w:lvlJc w:val="left"/>
      <w:lvlText w:val="%3"/>
      <w:numFmt w:val="lowerLetter"/>
      <w:start w:val="1"/>
    </w:lvl>
    <w:lvl w:ilvl="3">
      <w:lvlJc w:val="left"/>
      <w:lvlText w:val="%4"/>
      <w:numFmt w:val="lowerLetter"/>
      <w:start w:val="1"/>
    </w:lvl>
  </w:abstractNum>
  <w:abstractNum w:abstractNumId="190">
    <w:nsid w:val="1AFE3625"/>
    <w:multiLevelType w:val="hybridMultilevel"/>
    <w:lvl w:ilvl="0">
      <w:lvlJc w:val="left"/>
      <w:lvlText w:val="%1."/>
      <w:numFmt w:val="decimal"/>
      <w:start w:val="2"/>
    </w:lvl>
    <w:lvl w:ilvl="1">
      <w:lvlJc w:val="left"/>
      <w:lvlText w:val="%2."/>
      <w:numFmt w:val="decimal"/>
      <w:start w:val="4"/>
    </w:lvl>
    <w:lvl w:ilvl="2">
      <w:lvlJc w:val="left"/>
      <w:lvlText w:val="%3)"/>
      <w:numFmt w:val="lowerLetter"/>
      <w:start w:val="1"/>
    </w:lvl>
    <w:lvl w:ilvl="3">
      <w:lvlJc w:val="left"/>
      <w:lvlText w:val="%4)"/>
      <w:numFmt w:val="lowerLetter"/>
      <w:start w:val="3"/>
    </w:lvl>
  </w:abstractNum>
  <w:abstractNum w:abstractNumId="191">
    <w:nsid w:val="3CA88ECF"/>
    <w:multiLevelType w:val="hybridMultilevel"/>
    <w:lvl w:ilvl="0">
      <w:lvlJc w:val="left"/>
      <w:lvlText w:val="%1"/>
      <w:numFmt w:val="decimal"/>
      <w:start w:val="1"/>
    </w:lvl>
    <w:lvl w:ilvl="1">
      <w:lvlJc w:val="left"/>
      <w:lvlText w:val="%2"/>
      <w:numFmt w:val="decimal"/>
      <w:start w:val="1"/>
    </w:lvl>
    <w:lvl w:ilvl="2">
      <w:lvlJc w:val="left"/>
      <w:lvlText w:val="%3"/>
      <w:numFmt w:val="lowerLetter"/>
      <w:start w:val="1"/>
    </w:lvl>
    <w:lvl w:ilvl="3">
      <w:lvlJc w:val="left"/>
      <w:lvlText w:val="%4)"/>
      <w:numFmt w:val="lowerLetter"/>
      <w:start w:val="1"/>
    </w:lvl>
  </w:abstractNum>
  <w:abstractNum w:abstractNumId="192">
    <w:nsid w:val="6EBE4208"/>
    <w:multiLevelType w:val="hybridMultilevel"/>
    <w:lvl w:ilvl="0">
      <w:lvlJc w:val="left"/>
      <w:lvlText w:val="(%1)"/>
      <w:numFmt w:val="decimal"/>
      <w:start w:val="1"/>
    </w:lvl>
  </w:abstractNum>
  <w:abstractNum w:abstractNumId="193">
    <w:nsid w:val="C058DF5"/>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 w:numId="80">
    <w:abstractNumId w:val="79"/>
  </w:num>
  <w:num w:numId="81">
    <w:abstractNumId w:val="80"/>
  </w:num>
  <w:num w:numId="82">
    <w:abstractNumId w:val="81"/>
  </w:num>
  <w:num w:numId="83">
    <w:abstractNumId w:val="82"/>
  </w:num>
  <w:num w:numId="84">
    <w:abstractNumId w:val="83"/>
  </w:num>
  <w:num w:numId="85">
    <w:abstractNumId w:val="84"/>
  </w:num>
  <w:num w:numId="86">
    <w:abstractNumId w:val="85"/>
  </w:num>
  <w:num w:numId="87">
    <w:abstractNumId w:val="86"/>
  </w:num>
  <w:num w:numId="88">
    <w:abstractNumId w:val="87"/>
  </w:num>
  <w:num w:numId="89">
    <w:abstractNumId w:val="88"/>
  </w:num>
  <w:num w:numId="90">
    <w:abstractNumId w:val="89"/>
  </w:num>
  <w:num w:numId="91">
    <w:abstractNumId w:val="90"/>
  </w:num>
  <w:num w:numId="92">
    <w:abstractNumId w:val="91"/>
  </w:num>
  <w:num w:numId="93">
    <w:abstractNumId w:val="92"/>
  </w:num>
  <w:num w:numId="94">
    <w:abstractNumId w:val="93"/>
  </w:num>
  <w:num w:numId="95">
    <w:abstractNumId w:val="94"/>
  </w:num>
  <w:num w:numId="96">
    <w:abstractNumId w:val="95"/>
  </w:num>
  <w:num w:numId="97">
    <w:abstractNumId w:val="96"/>
  </w:num>
  <w:num w:numId="98">
    <w:abstractNumId w:val="97"/>
  </w:num>
  <w:num w:numId="99">
    <w:abstractNumId w:val="98"/>
  </w:num>
  <w:num w:numId="100">
    <w:abstractNumId w:val="99"/>
  </w:num>
  <w:num w:numId="101">
    <w:abstractNumId w:val="100"/>
  </w:num>
  <w:num w:numId="102">
    <w:abstractNumId w:val="101"/>
  </w:num>
  <w:num w:numId="103">
    <w:abstractNumId w:val="102"/>
  </w:num>
  <w:num w:numId="104">
    <w:abstractNumId w:val="103"/>
  </w:num>
  <w:num w:numId="105">
    <w:abstractNumId w:val="104"/>
  </w:num>
  <w:num w:numId="106">
    <w:abstractNumId w:val="105"/>
  </w:num>
  <w:num w:numId="107">
    <w:abstractNumId w:val="106"/>
  </w:num>
  <w:num w:numId="108">
    <w:abstractNumId w:val="107"/>
  </w:num>
  <w:num w:numId="109">
    <w:abstractNumId w:val="108"/>
  </w:num>
  <w:num w:numId="110">
    <w:abstractNumId w:val="109"/>
  </w:num>
  <w:num w:numId="111">
    <w:abstractNumId w:val="110"/>
  </w:num>
  <w:num w:numId="112">
    <w:abstractNumId w:val="111"/>
  </w:num>
  <w:num w:numId="113">
    <w:abstractNumId w:val="112"/>
  </w:num>
  <w:num w:numId="114">
    <w:abstractNumId w:val="113"/>
  </w:num>
  <w:num w:numId="115">
    <w:abstractNumId w:val="114"/>
  </w:num>
  <w:num w:numId="116">
    <w:abstractNumId w:val="115"/>
  </w:num>
  <w:num w:numId="117">
    <w:abstractNumId w:val="116"/>
  </w:num>
  <w:num w:numId="118">
    <w:abstractNumId w:val="117"/>
  </w:num>
  <w:num w:numId="119">
    <w:abstractNumId w:val="118"/>
  </w:num>
  <w:num w:numId="120">
    <w:abstractNumId w:val="119"/>
  </w:num>
  <w:num w:numId="121">
    <w:abstractNumId w:val="120"/>
  </w:num>
  <w:num w:numId="122">
    <w:abstractNumId w:val="121"/>
  </w:num>
  <w:num w:numId="123">
    <w:abstractNumId w:val="122"/>
  </w:num>
  <w:num w:numId="124">
    <w:abstractNumId w:val="123"/>
  </w:num>
  <w:num w:numId="125">
    <w:abstractNumId w:val="124"/>
  </w:num>
  <w:num w:numId="126">
    <w:abstractNumId w:val="125"/>
  </w:num>
  <w:num w:numId="127">
    <w:abstractNumId w:val="126"/>
  </w:num>
  <w:num w:numId="128">
    <w:abstractNumId w:val="127"/>
  </w:num>
  <w:num w:numId="129">
    <w:abstractNumId w:val="128"/>
  </w:num>
  <w:num w:numId="130">
    <w:abstractNumId w:val="129"/>
  </w:num>
  <w:num w:numId="131">
    <w:abstractNumId w:val="130"/>
  </w:num>
  <w:num w:numId="132">
    <w:abstractNumId w:val="131"/>
  </w:num>
  <w:num w:numId="133">
    <w:abstractNumId w:val="132"/>
  </w:num>
  <w:num w:numId="134">
    <w:abstractNumId w:val="133"/>
  </w:num>
  <w:num w:numId="135">
    <w:abstractNumId w:val="134"/>
  </w:num>
  <w:num w:numId="136">
    <w:abstractNumId w:val="135"/>
  </w:num>
  <w:num w:numId="137">
    <w:abstractNumId w:val="136"/>
  </w:num>
  <w:num w:numId="138">
    <w:abstractNumId w:val="137"/>
  </w:num>
  <w:num w:numId="139">
    <w:abstractNumId w:val="138"/>
  </w:num>
  <w:num w:numId="140">
    <w:abstractNumId w:val="139"/>
  </w:num>
  <w:num w:numId="141">
    <w:abstractNumId w:val="140"/>
  </w:num>
  <w:num w:numId="142">
    <w:abstractNumId w:val="141"/>
  </w:num>
  <w:num w:numId="143">
    <w:abstractNumId w:val="142"/>
  </w:num>
  <w:num w:numId="144">
    <w:abstractNumId w:val="143"/>
  </w:num>
  <w:num w:numId="145">
    <w:abstractNumId w:val="144"/>
  </w:num>
  <w:num w:numId="146">
    <w:abstractNumId w:val="145"/>
  </w:num>
  <w:num w:numId="147">
    <w:abstractNumId w:val="146"/>
  </w:num>
  <w:num w:numId="148">
    <w:abstractNumId w:val="147"/>
  </w:num>
  <w:num w:numId="149">
    <w:abstractNumId w:val="148"/>
  </w:num>
  <w:num w:numId="150">
    <w:abstractNumId w:val="149"/>
  </w:num>
  <w:num w:numId="151">
    <w:abstractNumId w:val="150"/>
  </w:num>
  <w:num w:numId="152">
    <w:abstractNumId w:val="151"/>
  </w:num>
  <w:num w:numId="153">
    <w:abstractNumId w:val="152"/>
  </w:num>
  <w:num w:numId="154">
    <w:abstractNumId w:val="153"/>
  </w:num>
  <w:num w:numId="155">
    <w:abstractNumId w:val="154"/>
  </w:num>
  <w:num w:numId="156">
    <w:abstractNumId w:val="155"/>
  </w:num>
  <w:num w:numId="157">
    <w:abstractNumId w:val="156"/>
  </w:num>
  <w:num w:numId="158">
    <w:abstractNumId w:val="157"/>
  </w:num>
  <w:num w:numId="159">
    <w:abstractNumId w:val="158"/>
  </w:num>
  <w:num w:numId="160">
    <w:abstractNumId w:val="159"/>
  </w:num>
  <w:num w:numId="161">
    <w:abstractNumId w:val="160"/>
  </w:num>
  <w:num w:numId="162">
    <w:abstractNumId w:val="161"/>
  </w:num>
  <w:num w:numId="163">
    <w:abstractNumId w:val="162"/>
  </w:num>
  <w:num w:numId="164">
    <w:abstractNumId w:val="163"/>
  </w:num>
  <w:num w:numId="165">
    <w:abstractNumId w:val="164"/>
  </w:num>
  <w:num w:numId="166">
    <w:abstractNumId w:val="165"/>
  </w:num>
  <w:num w:numId="167">
    <w:abstractNumId w:val="166"/>
  </w:num>
  <w:num w:numId="168">
    <w:abstractNumId w:val="167"/>
  </w:num>
  <w:num w:numId="169">
    <w:abstractNumId w:val="168"/>
  </w:num>
  <w:num w:numId="170">
    <w:abstractNumId w:val="169"/>
  </w:num>
  <w:num w:numId="171">
    <w:abstractNumId w:val="170"/>
  </w:num>
  <w:num w:numId="172">
    <w:abstractNumId w:val="171"/>
  </w:num>
  <w:num w:numId="173">
    <w:abstractNumId w:val="172"/>
  </w:num>
  <w:num w:numId="174">
    <w:abstractNumId w:val="173"/>
  </w:num>
  <w:num w:numId="175">
    <w:abstractNumId w:val="174"/>
  </w:num>
  <w:num w:numId="176">
    <w:abstractNumId w:val="175"/>
  </w:num>
  <w:num w:numId="177">
    <w:abstractNumId w:val="176"/>
  </w:num>
  <w:num w:numId="178">
    <w:abstractNumId w:val="177"/>
  </w:num>
  <w:num w:numId="179">
    <w:abstractNumId w:val="178"/>
  </w:num>
  <w:num w:numId="180">
    <w:abstractNumId w:val="179"/>
  </w:num>
  <w:num w:numId="181">
    <w:abstractNumId w:val="180"/>
  </w:num>
  <w:num w:numId="182">
    <w:abstractNumId w:val="181"/>
  </w:num>
  <w:num w:numId="183">
    <w:abstractNumId w:val="182"/>
  </w:num>
  <w:num w:numId="184">
    <w:abstractNumId w:val="183"/>
  </w:num>
  <w:num w:numId="185">
    <w:abstractNumId w:val="184"/>
  </w:num>
  <w:num w:numId="186">
    <w:abstractNumId w:val="185"/>
  </w:num>
  <w:num w:numId="187">
    <w:abstractNumId w:val="186"/>
  </w:num>
  <w:num w:numId="188">
    <w:abstractNumId w:val="187"/>
  </w:num>
  <w:num w:numId="189">
    <w:abstractNumId w:val="188"/>
  </w:num>
  <w:num w:numId="190">
    <w:abstractNumId w:val="189"/>
  </w:num>
  <w:num w:numId="191">
    <w:abstractNumId w:val="190"/>
  </w:num>
  <w:num w:numId="192">
    <w:abstractNumId w:val="191"/>
  </w:num>
  <w:num w:numId="193">
    <w:abstractNumId w:val="192"/>
  </w:num>
  <w:num w:numId="194">
    <w:abstractNumId w:val="19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png"/><Relationship Id="rId123" Type="http://schemas.openxmlformats.org/officeDocument/2006/relationships/image" Target="media/image116.png"/><Relationship Id="rId124" Type="http://schemas.openxmlformats.org/officeDocument/2006/relationships/image" Target="media/image117.png"/><Relationship Id="rId125" Type="http://schemas.openxmlformats.org/officeDocument/2006/relationships/image" Target="media/image118.png"/><Relationship Id="rId126" Type="http://schemas.openxmlformats.org/officeDocument/2006/relationships/image" Target="media/image119.png"/><Relationship Id="rId127" Type="http://schemas.openxmlformats.org/officeDocument/2006/relationships/image" Target="media/image120.png"/><Relationship Id="rId128" Type="http://schemas.openxmlformats.org/officeDocument/2006/relationships/image" Target="media/image121.png"/><Relationship Id="rId129" Type="http://schemas.openxmlformats.org/officeDocument/2006/relationships/image" Target="media/image122.png"/><Relationship Id="rId130" Type="http://schemas.openxmlformats.org/officeDocument/2006/relationships/image" Target="media/image123.png"/><Relationship Id="rId131" Type="http://schemas.openxmlformats.org/officeDocument/2006/relationships/image" Target="media/image124.png"/><Relationship Id="rId132" Type="http://schemas.openxmlformats.org/officeDocument/2006/relationships/image" Target="media/image125.png"/><Relationship Id="rId133" Type="http://schemas.openxmlformats.org/officeDocument/2006/relationships/image" Target="media/image126.png"/><Relationship Id="rId134" Type="http://schemas.openxmlformats.org/officeDocument/2006/relationships/image" Target="media/image127.png"/><Relationship Id="rId135" Type="http://schemas.openxmlformats.org/officeDocument/2006/relationships/image" Target="media/image128.png"/><Relationship Id="rId136" Type="http://schemas.openxmlformats.org/officeDocument/2006/relationships/image" Target="media/image129.png"/><Relationship Id="rId137" Type="http://schemas.openxmlformats.org/officeDocument/2006/relationships/image" Target="media/image130.png"/><Relationship Id="rId138" Type="http://schemas.openxmlformats.org/officeDocument/2006/relationships/image" Target="media/image131.png"/><Relationship Id="rId139" Type="http://schemas.openxmlformats.org/officeDocument/2006/relationships/image" Target="media/image132.png"/><Relationship Id="rId140" Type="http://schemas.openxmlformats.org/officeDocument/2006/relationships/image" Target="media/image133.png"/><Relationship Id="rId141" Type="http://schemas.openxmlformats.org/officeDocument/2006/relationships/image" Target="media/image134.png"/><Relationship Id="rId142" Type="http://schemas.openxmlformats.org/officeDocument/2006/relationships/image" Target="media/image135.png"/><Relationship Id="rId143" Type="http://schemas.openxmlformats.org/officeDocument/2006/relationships/image" Target="media/image136.png"/><Relationship Id="rId144" Type="http://schemas.openxmlformats.org/officeDocument/2006/relationships/image" Target="media/image137.png"/><Relationship Id="rId145" Type="http://schemas.openxmlformats.org/officeDocument/2006/relationships/image" Target="media/image138.png"/><Relationship Id="rId146" Type="http://schemas.openxmlformats.org/officeDocument/2006/relationships/image" Target="media/image139.png"/><Relationship Id="rId147" Type="http://schemas.openxmlformats.org/officeDocument/2006/relationships/image" Target="media/image140.png"/><Relationship Id="rId148" Type="http://schemas.openxmlformats.org/officeDocument/2006/relationships/image" Target="media/image141.png"/><Relationship Id="rId149" Type="http://schemas.openxmlformats.org/officeDocument/2006/relationships/image" Target="media/image142.png"/><Relationship Id="rId150" Type="http://schemas.openxmlformats.org/officeDocument/2006/relationships/image" Target="media/image143.png"/><Relationship Id="rId151" Type="http://schemas.openxmlformats.org/officeDocument/2006/relationships/image" Target="media/image144.png"/><Relationship Id="rId152" Type="http://schemas.openxmlformats.org/officeDocument/2006/relationships/image" Target="media/image145.png"/><Relationship Id="rId153" Type="http://schemas.openxmlformats.org/officeDocument/2006/relationships/image" Target="media/image146.png"/><Relationship Id="rId154" Type="http://schemas.openxmlformats.org/officeDocument/2006/relationships/image" Target="media/image147.png"/><Relationship Id="rId155" Type="http://schemas.openxmlformats.org/officeDocument/2006/relationships/image" Target="media/image148.png"/><Relationship Id="rId156" Type="http://schemas.openxmlformats.org/officeDocument/2006/relationships/image" Target="media/image149.png"/><Relationship Id="rId157" Type="http://schemas.openxmlformats.org/officeDocument/2006/relationships/image" Target="media/image150.png"/><Relationship Id="rId158" Type="http://schemas.openxmlformats.org/officeDocument/2006/relationships/image" Target="media/image151.png"/><Relationship Id="rId159" Type="http://schemas.openxmlformats.org/officeDocument/2006/relationships/image" Target="media/image152.png"/><Relationship Id="rId160" Type="http://schemas.openxmlformats.org/officeDocument/2006/relationships/image" Target="media/image153.png"/><Relationship Id="rId161" Type="http://schemas.openxmlformats.org/officeDocument/2006/relationships/image" Target="media/image154.png"/><Relationship Id="rId162" Type="http://schemas.openxmlformats.org/officeDocument/2006/relationships/image" Target="media/image155.png"/><Relationship Id="rId163" Type="http://schemas.openxmlformats.org/officeDocument/2006/relationships/image" Target="media/image156.png"/><Relationship Id="rId164" Type="http://schemas.openxmlformats.org/officeDocument/2006/relationships/image" Target="media/image157.png"/><Relationship Id="rId165" Type="http://schemas.openxmlformats.org/officeDocument/2006/relationships/image" Target="media/image158.png"/><Relationship Id="rId166" Type="http://schemas.openxmlformats.org/officeDocument/2006/relationships/image" Target="media/image159.png"/><Relationship Id="rId167" Type="http://schemas.openxmlformats.org/officeDocument/2006/relationships/image" Target="media/image160.png"/><Relationship Id="rId168" Type="http://schemas.openxmlformats.org/officeDocument/2006/relationships/image" Target="media/image161.png"/><Relationship Id="rId169" Type="http://schemas.openxmlformats.org/officeDocument/2006/relationships/image" Target="media/image162.png"/><Relationship Id="rId170" Type="http://schemas.openxmlformats.org/officeDocument/2006/relationships/image" Target="media/image163.png"/><Relationship Id="rId171" Type="http://schemas.openxmlformats.org/officeDocument/2006/relationships/image" Target="media/image164.png"/><Relationship Id="rId172" Type="http://schemas.openxmlformats.org/officeDocument/2006/relationships/image" Target="media/image165.png"/><Relationship Id="rId173" Type="http://schemas.openxmlformats.org/officeDocument/2006/relationships/image" Target="media/image166.png"/><Relationship Id="rId174" Type="http://schemas.openxmlformats.org/officeDocument/2006/relationships/image" Target="media/image167.png"/><Relationship Id="rId175" Type="http://schemas.openxmlformats.org/officeDocument/2006/relationships/image" Target="media/image168.png"/><Relationship Id="rId176" Type="http://schemas.openxmlformats.org/officeDocument/2006/relationships/image" Target="media/image169.png"/><Relationship Id="rId177" Type="http://schemas.openxmlformats.org/officeDocument/2006/relationships/image" Target="media/image170.png"/><Relationship Id="rId178" Type="http://schemas.openxmlformats.org/officeDocument/2006/relationships/image" Target="media/image171.png"/><Relationship Id="rId179" Type="http://schemas.openxmlformats.org/officeDocument/2006/relationships/image" Target="media/image172.png"/><Relationship Id="rId180" Type="http://schemas.openxmlformats.org/officeDocument/2006/relationships/image" Target="media/image173.png"/><Relationship Id="rId181" Type="http://schemas.openxmlformats.org/officeDocument/2006/relationships/image" Target="media/image174.png"/><Relationship Id="rId182" Type="http://schemas.openxmlformats.org/officeDocument/2006/relationships/image" Target="media/image175.png"/><Relationship Id="rId183" Type="http://schemas.openxmlformats.org/officeDocument/2006/relationships/image" Target="media/image176.png"/><Relationship Id="rId184" Type="http://schemas.openxmlformats.org/officeDocument/2006/relationships/image" Target="media/image177.png"/><Relationship Id="rId185" Type="http://schemas.openxmlformats.org/officeDocument/2006/relationships/image" Target="media/image178.png"/><Relationship Id="rId186" Type="http://schemas.openxmlformats.org/officeDocument/2006/relationships/image" Target="media/image179.png"/><Relationship Id="rId187" Type="http://schemas.openxmlformats.org/officeDocument/2006/relationships/image" Target="media/image180.png"/><Relationship Id="rId188" Type="http://schemas.openxmlformats.org/officeDocument/2006/relationships/image" Target="media/image181.png"/><Relationship Id="rId189" Type="http://schemas.openxmlformats.org/officeDocument/2006/relationships/image" Target="media/image182.png"/><Relationship Id="rId190" Type="http://schemas.openxmlformats.org/officeDocument/2006/relationships/image" Target="media/image183.png"/><Relationship Id="rId191" Type="http://schemas.openxmlformats.org/officeDocument/2006/relationships/image" Target="media/image184.png"/><Relationship Id="rId192" Type="http://schemas.openxmlformats.org/officeDocument/2006/relationships/image" Target="media/image185.png"/><Relationship Id="rId193" Type="http://schemas.openxmlformats.org/officeDocument/2006/relationships/image" Target="media/image186.png"/><Relationship Id="rId194" Type="http://schemas.openxmlformats.org/officeDocument/2006/relationships/image" Target="media/image187.png"/><Relationship Id="rId195" Type="http://schemas.openxmlformats.org/officeDocument/2006/relationships/image" Target="media/image188.png"/><Relationship Id="rId196" Type="http://schemas.openxmlformats.org/officeDocument/2006/relationships/image" Target="media/image189.png"/><Relationship Id="rId197" Type="http://schemas.openxmlformats.org/officeDocument/2006/relationships/image" Target="media/image190.png"/><Relationship Id="rId198" Type="http://schemas.openxmlformats.org/officeDocument/2006/relationships/image" Target="media/image191.png"/><Relationship Id="rId199" Type="http://schemas.openxmlformats.org/officeDocument/2006/relationships/image" Target="media/image192.png"/><Relationship Id="rId200" Type="http://schemas.openxmlformats.org/officeDocument/2006/relationships/image" Target="media/image193.png"/><Relationship Id="rId201" Type="http://schemas.openxmlformats.org/officeDocument/2006/relationships/image" Target="media/image194.png"/><Relationship Id="rId202" Type="http://schemas.openxmlformats.org/officeDocument/2006/relationships/image" Target="media/image195.png"/><Relationship Id="rId203" Type="http://schemas.openxmlformats.org/officeDocument/2006/relationships/image" Target="media/image196.png"/><Relationship Id="rId204" Type="http://schemas.openxmlformats.org/officeDocument/2006/relationships/image" Target="media/image197.png"/><Relationship Id="rId205" Type="http://schemas.openxmlformats.org/officeDocument/2006/relationships/image" Target="media/image198.png"/><Relationship Id="rId206" Type="http://schemas.openxmlformats.org/officeDocument/2006/relationships/image" Target="media/image199.png"/><Relationship Id="rId207" Type="http://schemas.openxmlformats.org/officeDocument/2006/relationships/image" Target="media/image200.png"/><Relationship Id="rId208" Type="http://schemas.openxmlformats.org/officeDocument/2006/relationships/image" Target="media/image201.png"/><Relationship Id="rId209" Type="http://schemas.openxmlformats.org/officeDocument/2006/relationships/image" Target="media/image202.png"/><Relationship Id="rId210" Type="http://schemas.openxmlformats.org/officeDocument/2006/relationships/image" Target="media/image203.png"/><Relationship Id="rId211" Type="http://schemas.openxmlformats.org/officeDocument/2006/relationships/image" Target="media/image204.png"/><Relationship Id="rId212" Type="http://schemas.openxmlformats.org/officeDocument/2006/relationships/image" Target="media/image205.png"/><Relationship Id="rId213" Type="http://schemas.openxmlformats.org/officeDocument/2006/relationships/image" Target="media/image206.png"/><Relationship Id="rId214" Type="http://schemas.openxmlformats.org/officeDocument/2006/relationships/image" Target="media/image207.png"/><Relationship Id="rId215" Type="http://schemas.openxmlformats.org/officeDocument/2006/relationships/image" Target="media/image208.png"/><Relationship Id="rId216" Type="http://schemas.openxmlformats.org/officeDocument/2006/relationships/image" Target="media/image209.png"/><Relationship Id="rId217" Type="http://schemas.openxmlformats.org/officeDocument/2006/relationships/image" Target="media/image210.png"/><Relationship Id="rId218" Type="http://schemas.openxmlformats.org/officeDocument/2006/relationships/image" Target="media/image211.png"/><Relationship Id="rId219" Type="http://schemas.openxmlformats.org/officeDocument/2006/relationships/image" Target="media/image212.png"/><Relationship Id="rId220" Type="http://schemas.openxmlformats.org/officeDocument/2006/relationships/image" Target="media/image213.png"/><Relationship Id="rId221" Type="http://schemas.openxmlformats.org/officeDocument/2006/relationships/image" Target="media/image214.png"/><Relationship Id="rId222" Type="http://schemas.openxmlformats.org/officeDocument/2006/relationships/image" Target="media/image215.png"/><Relationship Id="rId223" Type="http://schemas.openxmlformats.org/officeDocument/2006/relationships/image" Target="media/image216.png"/><Relationship Id="rId224" Type="http://schemas.openxmlformats.org/officeDocument/2006/relationships/image" Target="media/image217.png"/><Relationship Id="rId225" Type="http://schemas.openxmlformats.org/officeDocument/2006/relationships/image" Target="media/image218.png"/><Relationship Id="rId226" Type="http://schemas.openxmlformats.org/officeDocument/2006/relationships/image" Target="media/image219.png"/><Relationship Id="rId227" Type="http://schemas.openxmlformats.org/officeDocument/2006/relationships/image" Target="media/image220.png"/><Relationship Id="rId228" Type="http://schemas.openxmlformats.org/officeDocument/2006/relationships/image" Target="media/image221.png"/><Relationship Id="rId229" Type="http://schemas.openxmlformats.org/officeDocument/2006/relationships/image" Target="media/image222.png"/><Relationship Id="rId230" Type="http://schemas.openxmlformats.org/officeDocument/2006/relationships/image" Target="media/image223.png"/><Relationship Id="rId231" Type="http://schemas.openxmlformats.org/officeDocument/2006/relationships/image" Target="media/image224.png"/><Relationship Id="rId232" Type="http://schemas.openxmlformats.org/officeDocument/2006/relationships/image" Target="media/image225.png"/><Relationship Id="rId233" Type="http://schemas.openxmlformats.org/officeDocument/2006/relationships/image" Target="media/image226.png"/><Relationship Id="rId234" Type="http://schemas.openxmlformats.org/officeDocument/2006/relationships/image" Target="media/image227.png"/><Relationship Id="rId235" Type="http://schemas.openxmlformats.org/officeDocument/2006/relationships/image" Target="media/image228.png"/><Relationship Id="rId236" Type="http://schemas.openxmlformats.org/officeDocument/2006/relationships/image" Target="media/image229.png"/><Relationship Id="rId237" Type="http://schemas.openxmlformats.org/officeDocument/2006/relationships/image" Target="media/image230.png"/><Relationship Id="rId238" Type="http://schemas.openxmlformats.org/officeDocument/2006/relationships/image" Target="media/image231.png"/><Relationship Id="rId239" Type="http://schemas.openxmlformats.org/officeDocument/2006/relationships/image" Target="media/image232.png"/><Relationship Id="rId240" Type="http://schemas.openxmlformats.org/officeDocument/2006/relationships/image" Target="media/image233.png"/><Relationship Id="rId241" Type="http://schemas.openxmlformats.org/officeDocument/2006/relationships/image" Target="media/image234.png"/><Relationship Id="rId242" Type="http://schemas.openxmlformats.org/officeDocument/2006/relationships/image" Target="media/image235.png"/><Relationship Id="rId243" Type="http://schemas.openxmlformats.org/officeDocument/2006/relationships/image" Target="media/image236.png"/><Relationship Id="rId244" Type="http://schemas.openxmlformats.org/officeDocument/2006/relationships/image" Target="media/image237.png"/><Relationship Id="rId245" Type="http://schemas.openxmlformats.org/officeDocument/2006/relationships/image" Target="media/image238.png"/><Relationship Id="rId246" Type="http://schemas.openxmlformats.org/officeDocument/2006/relationships/image" Target="media/image239.png"/><Relationship Id="rId247" Type="http://schemas.openxmlformats.org/officeDocument/2006/relationships/image" Target="media/image240.png"/><Relationship Id="rId248" Type="http://schemas.openxmlformats.org/officeDocument/2006/relationships/image" Target="media/image241.png"/><Relationship Id="rId249" Type="http://schemas.openxmlformats.org/officeDocument/2006/relationships/image" Target="media/image242.png"/><Relationship Id="rId250" Type="http://schemas.openxmlformats.org/officeDocument/2006/relationships/image" Target="media/image243.png"/><Relationship Id="rId251" Type="http://schemas.openxmlformats.org/officeDocument/2006/relationships/image" Target="media/image244.png"/><Relationship Id="rId252" Type="http://schemas.openxmlformats.org/officeDocument/2006/relationships/image" Target="media/image245.png"/><Relationship Id="rId253" Type="http://schemas.openxmlformats.org/officeDocument/2006/relationships/image" Target="media/image246.png"/><Relationship Id="rId254" Type="http://schemas.openxmlformats.org/officeDocument/2006/relationships/image" Target="media/image247.png"/><Relationship Id="rId255" Type="http://schemas.openxmlformats.org/officeDocument/2006/relationships/image" Target="media/image248.png"/><Relationship Id="rId256" Type="http://schemas.openxmlformats.org/officeDocument/2006/relationships/image" Target="media/image249.png"/><Relationship Id="rId257" Type="http://schemas.openxmlformats.org/officeDocument/2006/relationships/image" Target="media/image250.png"/><Relationship Id="rId258" Type="http://schemas.openxmlformats.org/officeDocument/2006/relationships/image" Target="media/image251.png"/><Relationship Id="rId259" Type="http://schemas.openxmlformats.org/officeDocument/2006/relationships/image" Target="media/image252.png"/><Relationship Id="rId260" Type="http://schemas.openxmlformats.org/officeDocument/2006/relationships/image" Target="media/image253.png"/><Relationship Id="rId261" Type="http://schemas.openxmlformats.org/officeDocument/2006/relationships/image" Target="media/image254.png"/><Relationship Id="rId262" Type="http://schemas.openxmlformats.org/officeDocument/2006/relationships/image" Target="media/image255.png"/><Relationship Id="rId263" Type="http://schemas.openxmlformats.org/officeDocument/2006/relationships/image" Target="media/image256.png"/><Relationship Id="rId264" Type="http://schemas.openxmlformats.org/officeDocument/2006/relationships/image" Target="media/image257.png"/><Relationship Id="rId265" Type="http://schemas.openxmlformats.org/officeDocument/2006/relationships/image" Target="media/image258.png"/><Relationship Id="rId266" Type="http://schemas.openxmlformats.org/officeDocument/2006/relationships/image" Target="media/image259.png"/><Relationship Id="rId267" Type="http://schemas.openxmlformats.org/officeDocument/2006/relationships/image" Target="media/image260.png"/><Relationship Id="rId268" Type="http://schemas.openxmlformats.org/officeDocument/2006/relationships/image" Target="media/image261.png"/><Relationship Id="rId269" Type="http://schemas.openxmlformats.org/officeDocument/2006/relationships/image" Target="media/image262.png"/><Relationship Id="rId270" Type="http://schemas.openxmlformats.org/officeDocument/2006/relationships/image" Target="media/image263.png"/><Relationship Id="rId271" Type="http://schemas.openxmlformats.org/officeDocument/2006/relationships/image" Target="media/image264.png"/><Relationship Id="rId272" Type="http://schemas.openxmlformats.org/officeDocument/2006/relationships/image" Target="media/image265.png"/><Relationship Id="rId273" Type="http://schemas.openxmlformats.org/officeDocument/2006/relationships/image" Target="media/image266.png"/><Relationship Id="rId274" Type="http://schemas.openxmlformats.org/officeDocument/2006/relationships/image" Target="media/image267.png"/><Relationship Id="rId275" Type="http://schemas.openxmlformats.org/officeDocument/2006/relationships/image" Target="media/image268.png"/><Relationship Id="rId276" Type="http://schemas.openxmlformats.org/officeDocument/2006/relationships/image" Target="media/image269.png"/><Relationship Id="rId277" Type="http://schemas.openxmlformats.org/officeDocument/2006/relationships/image" Target="media/image270.png"/><Relationship Id="rId278" Type="http://schemas.openxmlformats.org/officeDocument/2006/relationships/image" Target="media/image271.png"/><Relationship Id="rId279" Type="http://schemas.openxmlformats.org/officeDocument/2006/relationships/image" Target="media/image272.png"/><Relationship Id="rId280" Type="http://schemas.openxmlformats.org/officeDocument/2006/relationships/image" Target="media/image273.png"/><Relationship Id="rId281" Type="http://schemas.openxmlformats.org/officeDocument/2006/relationships/image" Target="media/image274.png"/><Relationship Id="rId282" Type="http://schemas.openxmlformats.org/officeDocument/2006/relationships/image" Target="media/image275.png"/><Relationship Id="rId283" Type="http://schemas.openxmlformats.org/officeDocument/2006/relationships/image" Target="media/image276.png"/><Relationship Id="rId284" Type="http://schemas.openxmlformats.org/officeDocument/2006/relationships/image" Target="media/image277.png"/><Relationship Id="rId285" Type="http://schemas.openxmlformats.org/officeDocument/2006/relationships/image" Target="media/image278.png"/><Relationship Id="rId286" Type="http://schemas.openxmlformats.org/officeDocument/2006/relationships/image" Target="media/image279.png"/><Relationship Id="rId287" Type="http://schemas.openxmlformats.org/officeDocument/2006/relationships/image" Target="media/image280.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2020-05-05T15:12:47Z</dcterms:created>
  <dcterms:modified xsi:type="dcterms:W3CDTF">2020-05-05T15:12:47Z</dcterms:modified>
</cp:coreProperties>
</file>