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4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 10-K</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7" w:lineRule="exact"/>
        <w:rPr>
          <w:sz w:val="24"/>
          <w:szCs w:val="24"/>
          <w:color w:val="auto"/>
        </w:rPr>
      </w:pPr>
    </w:p>
    <w:p>
      <w:pPr>
        <w:ind w:left="600" w:hanging="376"/>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5"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SEPTEMBER 30, 2011</w:t>
      </w:r>
    </w:p>
    <w:p>
      <w:pPr>
        <w:spacing w:after="0" w:line="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440" w:right="3260" w:hanging="216"/>
        <w:spacing w:after="0" w:line="339" w:lineRule="auto"/>
        <w:tabs>
          <w:tab w:leader="none" w:pos="60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 TO ___________</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814-00736</w:t>
      </w:r>
    </w:p>
    <w:p>
      <w:pPr>
        <w:spacing w:after="0" w:line="25"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_____________________</w:t>
      </w:r>
    </w:p>
    <w:p>
      <w:pPr>
        <w:jc w:val="center"/>
        <w:ind w:right="-59"/>
        <w:spacing w:after="0" w:line="238" w:lineRule="auto"/>
        <w:rPr>
          <w:sz w:val="20"/>
          <w:szCs w:val="20"/>
          <w:color w:val="auto"/>
        </w:rPr>
      </w:pPr>
      <w:r>
        <w:rPr>
          <w:rFonts w:ascii="Arial" w:cs="Arial" w:eastAsia="Arial" w:hAnsi="Arial"/>
          <w:sz w:val="22"/>
          <w:szCs w:val="22"/>
          <w:b w:val="1"/>
          <w:bCs w:val="1"/>
          <w:color w:val="auto"/>
        </w:rPr>
        <w:t>PENNANTPARK INVESTMENT CORPORATION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40" w:type="dxa"/>
        <w:tblCellMar>
          <w:top w:w="0" w:type="dxa"/>
          <w:left w:w="0" w:type="dxa"/>
          <w:bottom w:w="0" w:type="dxa"/>
          <w:right w:w="0" w:type="dxa"/>
        </w:tblCellMar>
      </w:tblPr>
      <w:tr>
        <w:trPr>
          <w:trHeight w:val="186"/>
        </w:trPr>
        <w:tc>
          <w:tcPr>
            <w:tcW w:w="4280" w:type="dxa"/>
            <w:vAlign w:val="bottom"/>
          </w:tcPr>
          <w:p>
            <w:pPr>
              <w:jc w:val="center"/>
              <w:ind w:right="1848"/>
              <w:spacing w:after="0"/>
              <w:rPr>
                <w:sz w:val="20"/>
                <w:szCs w:val="20"/>
                <w:color w:val="auto"/>
              </w:rPr>
            </w:pPr>
            <w:r>
              <w:rPr>
                <w:rFonts w:ascii="Arial" w:cs="Arial" w:eastAsia="Arial" w:hAnsi="Arial"/>
                <w:sz w:val="14"/>
                <w:szCs w:val="14"/>
                <w:b w:val="1"/>
                <w:bCs w:val="1"/>
                <w:color w:val="auto"/>
              </w:rPr>
              <w:t>MARYLAND</w:t>
            </w:r>
          </w:p>
        </w:tc>
        <w:tc>
          <w:tcPr>
            <w:tcW w:w="3040" w:type="dxa"/>
            <w:vAlign w:val="bottom"/>
          </w:tcPr>
          <w:p>
            <w:pPr>
              <w:jc w:val="right"/>
              <w:ind w:right="128"/>
              <w:spacing w:after="0"/>
              <w:rPr>
                <w:sz w:val="20"/>
                <w:szCs w:val="20"/>
                <w:color w:val="auto"/>
              </w:rPr>
            </w:pPr>
            <w:r>
              <w:rPr>
                <w:rFonts w:ascii="Arial" w:cs="Arial" w:eastAsia="Arial" w:hAnsi="Arial"/>
                <w:sz w:val="14"/>
                <w:szCs w:val="14"/>
                <w:b w:val="1"/>
                <w:bCs w:val="1"/>
                <w:color w:val="auto"/>
              </w:rPr>
              <w:t>20-8250744</w:t>
            </w:r>
          </w:p>
        </w:tc>
      </w:tr>
      <w:tr>
        <w:trPr>
          <w:trHeight w:val="165"/>
        </w:trPr>
        <w:tc>
          <w:tcPr>
            <w:tcW w:w="42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8"/>
              <w:spacing w:after="0"/>
              <w:rPr>
                <w:sz w:val="20"/>
                <w:szCs w:val="20"/>
                <w:color w:val="auto"/>
              </w:rPr>
            </w:pPr>
            <w:r>
              <w:rPr>
                <w:rFonts w:ascii="Arial" w:cs="Arial" w:eastAsia="Arial" w:hAnsi="Arial"/>
                <w:sz w:val="14"/>
                <w:szCs w:val="14"/>
                <w:b w:val="1"/>
                <w:bCs w:val="1"/>
                <w:color w:val="auto"/>
                <w:w w:val="94"/>
              </w:rPr>
              <w:t>Identification No.)</w:t>
            </w:r>
          </w:p>
        </w:tc>
      </w:tr>
      <w:tr>
        <w:trPr>
          <w:trHeight w:val="178"/>
        </w:trPr>
        <w:tc>
          <w:tcPr>
            <w:tcW w:w="42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2"/>
              </w:rPr>
              <w:t>590 Madison Avenue,</w:t>
            </w:r>
          </w:p>
        </w:tc>
        <w:tc>
          <w:tcPr>
            <w:tcW w:w="3040" w:type="dxa"/>
            <w:vAlign w:val="bottom"/>
          </w:tcPr>
          <w:p>
            <w:pPr>
              <w:spacing w:after="0"/>
              <w:rPr>
                <w:sz w:val="15"/>
                <w:szCs w:val="15"/>
                <w:color w:val="auto"/>
              </w:rPr>
            </w:pPr>
          </w:p>
        </w:tc>
      </w:tr>
      <w:tr>
        <w:trPr>
          <w:trHeight w:val="200"/>
        </w:trPr>
        <w:tc>
          <w:tcPr>
            <w:tcW w:w="42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6"/>
              </w:rPr>
              <w:t>15</w:t>
            </w:r>
            <w:r>
              <w:rPr>
                <w:rFonts w:ascii="Arial" w:cs="Arial" w:eastAsia="Arial" w:hAnsi="Arial"/>
                <w:sz w:val="8"/>
                <w:szCs w:val="8"/>
                <w:b w:val="1"/>
                <w:bCs w:val="1"/>
                <w:color w:val="auto"/>
                <w:w w:val="96"/>
              </w:rPr>
              <w:t>th</w:t>
            </w:r>
            <w:r>
              <w:rPr>
                <w:rFonts w:ascii="Arial" w:cs="Arial" w:eastAsia="Arial" w:hAnsi="Arial"/>
                <w:sz w:val="14"/>
                <w:szCs w:val="14"/>
                <w:b w:val="1"/>
                <w:bCs w:val="1"/>
                <w:color w:val="auto"/>
                <w:w w:val="96"/>
              </w:rPr>
              <w:t>Floor New York, N.Y.</w:t>
            </w:r>
          </w:p>
        </w:tc>
        <w:tc>
          <w:tcPr>
            <w:tcW w:w="3040" w:type="dxa"/>
            <w:vAlign w:val="bottom"/>
          </w:tcPr>
          <w:p>
            <w:pPr>
              <w:jc w:val="right"/>
              <w:ind w:right="308"/>
              <w:spacing w:after="0"/>
              <w:rPr>
                <w:sz w:val="20"/>
                <w:szCs w:val="20"/>
                <w:color w:val="auto"/>
              </w:rPr>
            </w:pPr>
            <w:r>
              <w:rPr>
                <w:rFonts w:ascii="Arial" w:cs="Arial" w:eastAsia="Arial" w:hAnsi="Arial"/>
                <w:sz w:val="14"/>
                <w:szCs w:val="14"/>
                <w:b w:val="1"/>
                <w:bCs w:val="1"/>
                <w:color w:val="auto"/>
              </w:rPr>
              <w:t>10022</w:t>
            </w:r>
          </w:p>
        </w:tc>
      </w:tr>
      <w:tr>
        <w:trPr>
          <w:trHeight w:val="203"/>
        </w:trPr>
        <w:tc>
          <w:tcPr>
            <w:tcW w:w="4280" w:type="dxa"/>
            <w:vAlign w:val="bottom"/>
          </w:tcPr>
          <w:p>
            <w:pPr>
              <w:jc w:val="center"/>
              <w:ind w:right="18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68"/>
              <w:spacing w:after="0"/>
              <w:rPr>
                <w:sz w:val="20"/>
                <w:szCs w:val="20"/>
                <w:color w:val="auto"/>
              </w:rPr>
            </w:pPr>
            <w:r>
              <w:rPr>
                <w:rFonts w:ascii="Arial" w:cs="Arial" w:eastAsia="Arial" w:hAnsi="Arial"/>
                <w:sz w:val="14"/>
                <w:szCs w:val="14"/>
                <w:b w:val="1"/>
                <w:bCs w:val="1"/>
                <w:color w:val="auto"/>
                <w:w w:val="95"/>
              </w:rPr>
              <w:t>(Zip Code)</w:t>
            </w:r>
          </w:p>
        </w:tc>
      </w:tr>
    </w:tbl>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(212)-905-1000</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44"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42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1"/>
              </w:rPr>
              <w:t>Title of Each Class</w:t>
            </w:r>
          </w:p>
        </w:tc>
        <w:tc>
          <w:tcPr>
            <w:tcW w:w="442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1"/>
        </w:trPr>
        <w:tc>
          <w:tcPr>
            <w:tcW w:w="4100" w:type="dxa"/>
            <w:vAlign w:val="bottom"/>
            <w:gridSpan w:val="3"/>
          </w:tcPr>
          <w:p>
            <w:pPr>
              <w:jc w:val="center"/>
              <w:ind w:right="1600"/>
              <w:spacing w:after="0"/>
              <w:rPr>
                <w:sz w:val="20"/>
                <w:szCs w:val="20"/>
                <w:color w:val="auto"/>
              </w:rPr>
            </w:pPr>
            <w:r>
              <w:rPr>
                <w:rFonts w:ascii="Arial" w:cs="Arial" w:eastAsia="Arial" w:hAnsi="Arial"/>
                <w:sz w:val="14"/>
                <w:szCs w:val="14"/>
                <w:color w:val="auto"/>
                <w:w w:val="92"/>
              </w:rPr>
              <w:t>Common Stock, par value $0.001 per share</w:t>
            </w:r>
          </w:p>
        </w:tc>
        <w:tc>
          <w:tcPr>
            <w:tcW w:w="16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w:t>
            </w:r>
          </w:p>
        </w:tc>
      </w:tr>
    </w:tbl>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1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____________________________________________________</w:t>
      </w:r>
    </w:p>
    <w:p>
      <w:pPr>
        <w:sectPr>
          <w:pgSz w:w="11900" w:h="16838" w:orient="portrait"/>
          <w:cols w:equalWidth="0" w:num="1">
            <w:col w:w="11180"/>
          </w:cols>
          <w:pgMar w:left="320" w:top="229" w:right="399" w:bottom="1440" w:gutter="0" w:footer="0" w:header="0"/>
        </w:sectPr>
      </w:pPr>
    </w:p>
    <w:p>
      <w:pPr>
        <w:spacing w:after="0" w:line="15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87" w:lineRule="exact"/>
        <w:rPr>
          <w:sz w:val="24"/>
          <w:szCs w:val="24"/>
          <w:color w:val="auto"/>
        </w:rPr>
      </w:pPr>
    </w:p>
    <w:p>
      <w:pPr>
        <w:sectPr>
          <w:pgSz w:w="11900" w:h="16838" w:orient="portrait"/>
          <w:cols w:equalWidth="0" w:num="5">
            <w:col w:w="7080" w:space="140"/>
            <w:col w:w="220" w:space="60"/>
            <w:col w:w="140" w:space="140"/>
            <w:col w:w="180" w:space="80"/>
            <w:col w:w="3140"/>
          </w:cols>
          <w:pgMar w:left="320" w:top="229" w:right="39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3" w:lineRule="exact"/>
        <w:rPr>
          <w:sz w:val="24"/>
          <w:szCs w:val="24"/>
          <w:color w:val="auto"/>
        </w:rPr>
      </w:pPr>
    </w:p>
    <w:p>
      <w:pPr>
        <w:sectPr>
          <w:pgSz w:w="11900" w:h="16838" w:orient="portrait"/>
          <w:cols w:equalWidth="0" w:num="5">
            <w:col w:w="7220" w:space="140"/>
            <w:col w:w="200" w:space="80"/>
            <w:col w:w="120" w:space="160"/>
            <w:col w:w="160" w:space="80"/>
            <w:col w:w="3020"/>
          </w:cols>
          <w:pgMar w:left="320" w:top="229" w:right="399" w:bottom="1440" w:gutter="0" w:footer="0" w:header="0"/>
          <w:type w:val="continuous"/>
        </w:sect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8" w:lineRule="exact"/>
        <w:rPr>
          <w:sz w:val="24"/>
          <w:szCs w:val="24"/>
          <w:color w:val="auto"/>
        </w:r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 w:lineRule="exact"/>
        <w:rPr>
          <w:sz w:val="24"/>
          <w:szCs w:val="24"/>
          <w:color w:val="auto"/>
        </w:rPr>
      </w:pPr>
    </w:p>
    <w:p>
      <w:pPr>
        <w:ind w:firstLine="324"/>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pacing w:after="0" w:line="1" w:lineRule="exact"/>
        <w:rPr>
          <w:sz w:val="24"/>
          <w:szCs w:val="24"/>
          <w:color w:val="auto"/>
        </w:rPr>
      </w:pPr>
    </w:p>
    <w:p>
      <w:pPr>
        <w:ind w:left="2440"/>
        <w:spacing w:after="0" w:line="161" w:lineRule="exact"/>
        <w:tabs>
          <w:tab w:leader="none" w:pos="4120" w:val="left"/>
          <w:tab w:leader="none" w:pos="54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w:t>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65"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3" w:lineRule="exact"/>
        <w:rPr>
          <w:sz w:val="24"/>
          <w:szCs w:val="24"/>
          <w:color w:val="auto"/>
        </w:rPr>
      </w:pPr>
    </w:p>
    <w:p>
      <w:pPr>
        <w:ind w:right="340" w:firstLine="324"/>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257" w:lineRule="auto"/>
        <w:rPr>
          <w:sz w:val="20"/>
          <w:szCs w:val="20"/>
          <w:color w:val="auto"/>
        </w:rPr>
      </w:pPr>
      <w:r>
        <w:rPr>
          <w:rFonts w:ascii="Arial" w:cs="Arial" w:eastAsia="Arial" w:hAnsi="Arial"/>
          <w:sz w:val="14"/>
          <w:szCs w:val="14"/>
          <w:color w:val="auto"/>
        </w:rPr>
        <w:t>The aggregate market value of common stock held by non-affiliates of the Registrant on September 30, 2011 based on the closing price on that date of $8.92 on the NASDAQ Global Select Market was approximately $400.0 million. For the purposes of calculating this amount only, all directors and executive officers of the Registrant have been treated as affiliates. There were 45,689,781 shares of the Registrant’s common stock outstanding as of November 16, 2011.</w:t>
      </w:r>
    </w:p>
    <w:p>
      <w:pPr>
        <w:spacing w:after="0" w:line="23" w:lineRule="exact"/>
        <w:rPr>
          <w:sz w:val="24"/>
          <w:szCs w:val="24"/>
          <w:color w:val="auto"/>
        </w:rPr>
      </w:pPr>
    </w:p>
    <w:p>
      <w:pPr>
        <w:ind w:right="220" w:firstLine="324"/>
        <w:spacing w:after="0" w:line="27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2012 Annual Meeting of Stockholders to be filed not later than 120 days after the end of the fiscal year covered by this Annual Report on Form 10-K are incorporated by reference into Part III of this Report.</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80" w:type="dxa"/>
            <w:vAlign w:val="bottom"/>
          </w:tcPr>
          <w:p>
            <w:pPr>
              <w:jc w:val="center"/>
              <w:ind w:right="528"/>
              <w:spacing w:after="0"/>
              <w:rPr>
                <w:sz w:val="20"/>
                <w:szCs w:val="20"/>
                <w:color w:val="auto"/>
              </w:rPr>
            </w:pPr>
            <w:r>
              <w:rPr>
                <w:rFonts w:ascii="Arial" w:cs="Arial" w:eastAsia="Arial" w:hAnsi="Arial"/>
                <w:sz w:val="14"/>
                <w:szCs w:val="14"/>
                <w:b w:val="1"/>
                <w:bCs w:val="1"/>
                <w:color w:val="auto"/>
              </w:rPr>
              <w:t>PENNANTPARK INVESTMENT CORPORATION</w:t>
            </w:r>
          </w:p>
        </w:tc>
        <w:tc>
          <w:tcPr>
            <w:tcW w:w="1900" w:type="dxa"/>
            <w:vAlign w:val="bottom"/>
          </w:tcPr>
          <w:p>
            <w:pPr>
              <w:spacing w:after="0"/>
              <w:rPr>
                <w:sz w:val="16"/>
                <w:szCs w:val="16"/>
                <w:color w:val="auto"/>
              </w:rPr>
            </w:pPr>
          </w:p>
        </w:tc>
      </w:tr>
      <w:tr>
        <w:trPr>
          <w:trHeight w:val="219"/>
        </w:trPr>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780" w:type="dxa"/>
            <w:vAlign w:val="bottom"/>
          </w:tcPr>
          <w:p>
            <w:pPr>
              <w:jc w:val="center"/>
              <w:ind w:right="528"/>
              <w:spacing w:after="0"/>
              <w:rPr>
                <w:sz w:val="20"/>
                <w:szCs w:val="20"/>
                <w:color w:val="auto"/>
              </w:rPr>
            </w:pPr>
            <w:r>
              <w:rPr>
                <w:rFonts w:ascii="Arial" w:cs="Arial" w:eastAsia="Arial" w:hAnsi="Arial"/>
                <w:sz w:val="14"/>
                <w:szCs w:val="14"/>
                <w:b w:val="1"/>
                <w:bCs w:val="1"/>
                <w:color w:val="auto"/>
              </w:rPr>
              <w:t>FORM 10-K</w:t>
            </w:r>
          </w:p>
        </w:tc>
        <w:tc>
          <w:tcPr>
            <w:tcW w:w="1900" w:type="dxa"/>
            <w:vAlign w:val="bottom"/>
          </w:tcPr>
          <w:p>
            <w:pPr>
              <w:spacing w:after="0"/>
              <w:rPr>
                <w:sz w:val="19"/>
                <w:szCs w:val="19"/>
                <w:color w:val="auto"/>
              </w:rPr>
            </w:pPr>
          </w:p>
        </w:tc>
      </w:tr>
      <w:tr>
        <w:trPr>
          <w:trHeight w:val="186"/>
        </w:trPr>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80" w:type="dxa"/>
            <w:vAlign w:val="bottom"/>
          </w:tcPr>
          <w:p>
            <w:pPr>
              <w:jc w:val="center"/>
              <w:ind w:right="548"/>
              <w:spacing w:after="0"/>
              <w:rPr>
                <w:sz w:val="20"/>
                <w:szCs w:val="20"/>
                <w:color w:val="auto"/>
              </w:rPr>
            </w:pPr>
            <w:r>
              <w:rPr>
                <w:rFonts w:ascii="Arial" w:cs="Arial" w:eastAsia="Arial" w:hAnsi="Arial"/>
                <w:sz w:val="14"/>
                <w:szCs w:val="14"/>
                <w:b w:val="1"/>
                <w:bCs w:val="1"/>
                <w:color w:val="auto"/>
              </w:rPr>
              <w:t>FOR THE FISCAL YEAR ENDED SEPTEMBER 30, 2011</w:t>
            </w:r>
          </w:p>
        </w:tc>
        <w:tc>
          <w:tcPr>
            <w:tcW w:w="1900" w:type="dxa"/>
            <w:vAlign w:val="bottom"/>
          </w:tcPr>
          <w:p>
            <w:pPr>
              <w:spacing w:after="0"/>
              <w:rPr>
                <w:sz w:val="16"/>
                <w:szCs w:val="16"/>
                <w:color w:val="auto"/>
              </w:rPr>
            </w:pPr>
          </w:p>
        </w:tc>
      </w:tr>
      <w:tr>
        <w:trPr>
          <w:trHeight w:val="324"/>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80" w:type="dxa"/>
            <w:vAlign w:val="bottom"/>
          </w:tcPr>
          <w:p>
            <w:pPr>
              <w:jc w:val="center"/>
              <w:ind w:right="528"/>
              <w:spacing w:after="0"/>
              <w:rPr>
                <w:sz w:val="20"/>
                <w:szCs w:val="20"/>
                <w:color w:val="auto"/>
              </w:rPr>
            </w:pPr>
            <w:r>
              <w:rPr>
                <w:rFonts w:ascii="Arial" w:cs="Arial" w:eastAsia="Arial" w:hAnsi="Arial"/>
                <w:sz w:val="14"/>
                <w:szCs w:val="14"/>
                <w:b w:val="1"/>
                <w:bCs w:val="1"/>
                <w:color w:val="auto"/>
              </w:rPr>
              <w:t>TABLE OF CONTENTS</w:t>
            </w:r>
          </w:p>
        </w:tc>
        <w:tc>
          <w:tcPr>
            <w:tcW w:w="1900" w:type="dxa"/>
            <w:vAlign w:val="bottom"/>
          </w:tcPr>
          <w:p>
            <w:pPr>
              <w:spacing w:after="0"/>
              <w:rPr>
                <w:sz w:val="24"/>
                <w:szCs w:val="24"/>
                <w:color w:val="auto"/>
              </w:rPr>
            </w:pPr>
          </w:p>
        </w:tc>
      </w:tr>
      <w:tr>
        <w:trPr>
          <w:trHeight w:val="553"/>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80" w:type="dxa"/>
            <w:vAlign w:val="bottom"/>
          </w:tcPr>
          <w:p>
            <w:pPr>
              <w:jc w:val="center"/>
              <w:ind w:right="408"/>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PART I</w:t>
              </w:r>
            </w:hyperlink>
          </w:p>
        </w:tc>
        <w:tc>
          <w:tcPr>
            <w:tcW w:w="1900" w:type="dxa"/>
            <w:vAlign w:val="bottom"/>
          </w:tcPr>
          <w:p>
            <w:pPr>
              <w:spacing w:after="0"/>
              <w:rPr>
                <w:sz w:val="24"/>
                <w:szCs w:val="24"/>
                <w:color w:val="auto"/>
              </w:rPr>
            </w:pPr>
          </w:p>
        </w:tc>
      </w:tr>
      <w:tr>
        <w:trPr>
          <w:trHeight w:val="203"/>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160" w:type="dxa"/>
            <w:vAlign w:val="bottom"/>
            <w:gridSpan w:val="2"/>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Business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3">
              <w:r>
                <w:rPr>
                  <w:rFonts w:ascii="Arial" w:cs="Arial" w:eastAsia="Arial" w:hAnsi="Arial"/>
                  <w:sz w:val="14"/>
                  <w:szCs w:val="14"/>
                  <w:b w:val="1"/>
                  <w:bCs w:val="1"/>
                  <w:u w:val="single" w:color="auto"/>
                  <w:color w:val="0000FF"/>
                </w:rPr>
                <w:t>3</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160" w:type="dxa"/>
            <w:vAlign w:val="bottom"/>
            <w:gridSpan w:val="2"/>
          </w:tcPr>
          <w:p>
            <w:pPr>
              <w:spacing w:after="0"/>
              <w:rPr>
                <w:rFonts w:ascii="Arial" w:cs="Arial" w:eastAsia="Arial" w:hAnsi="Arial"/>
                <w:sz w:val="14"/>
                <w:szCs w:val="14"/>
                <w:u w:val="single" w:color="auto"/>
                <w:color w:val="0000FF"/>
              </w:rPr>
            </w:pPr>
            <w:hyperlink w:anchor="page24">
              <w:r>
                <w:rPr>
                  <w:rFonts w:ascii="Arial" w:cs="Arial" w:eastAsia="Arial" w:hAnsi="Arial"/>
                  <w:sz w:val="14"/>
                  <w:szCs w:val="14"/>
                  <w:u w:val="single" w:color="auto"/>
                  <w:color w:val="0000FF"/>
                </w:rPr>
                <w:t>Risk Factors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24">
              <w:r>
                <w:rPr>
                  <w:rFonts w:ascii="Arial" w:cs="Arial" w:eastAsia="Arial" w:hAnsi="Arial"/>
                  <w:sz w:val="14"/>
                  <w:szCs w:val="14"/>
                  <w:b w:val="1"/>
                  <w:bCs w:val="1"/>
                  <w:u w:val="single" w:color="auto"/>
                  <w:color w:val="0000FF"/>
                </w:rPr>
                <w:t>25</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160" w:type="dxa"/>
            <w:vAlign w:val="bottom"/>
            <w:gridSpan w:val="2"/>
          </w:tcPr>
          <w:p>
            <w:pPr>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Unresolved Staff Comments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4">
              <w:r>
                <w:rPr>
                  <w:rFonts w:ascii="Arial" w:cs="Arial" w:eastAsia="Arial" w:hAnsi="Arial"/>
                  <w:sz w:val="14"/>
                  <w:szCs w:val="14"/>
                  <w:b w:val="1"/>
                  <w:bCs w:val="1"/>
                  <w:u w:val="single" w:color="auto"/>
                  <w:color w:val="0000FF"/>
                </w:rPr>
                <w:t>45</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160" w:type="dxa"/>
            <w:vAlign w:val="bottom"/>
            <w:gridSpan w:val="2"/>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Properties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5">
              <w:r>
                <w:rPr>
                  <w:rFonts w:ascii="Arial" w:cs="Arial" w:eastAsia="Arial" w:hAnsi="Arial"/>
                  <w:sz w:val="14"/>
                  <w:szCs w:val="14"/>
                  <w:b w:val="1"/>
                  <w:bCs w:val="1"/>
                  <w:u w:val="single" w:color="auto"/>
                  <w:color w:val="0000FF"/>
                </w:rPr>
                <w:t>45</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160" w:type="dxa"/>
            <w:vAlign w:val="bottom"/>
            <w:gridSpan w:val="2"/>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Legal Proceedings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5">
              <w:r>
                <w:rPr>
                  <w:rFonts w:ascii="Arial" w:cs="Arial" w:eastAsia="Arial" w:hAnsi="Arial"/>
                  <w:sz w:val="14"/>
                  <w:szCs w:val="14"/>
                  <w:b w:val="1"/>
                  <w:bCs w:val="1"/>
                  <w:u w:val="single" w:color="auto"/>
                  <w:color w:val="0000FF"/>
                </w:rPr>
                <w:t>45</w:t>
              </w:r>
            </w:hyperlink>
          </w:p>
        </w:tc>
      </w:tr>
      <w:tr>
        <w:trPr>
          <w:trHeight w:val="296"/>
        </w:trPr>
        <w:tc>
          <w:tcPr>
            <w:tcW w:w="112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160" w:type="dxa"/>
            <w:vAlign w:val="bottom"/>
            <w:gridSpan w:val="2"/>
          </w:tcPr>
          <w:p>
            <w:pPr>
              <w:spacing w:after="0"/>
              <w:rPr>
                <w:sz w:val="20"/>
                <w:szCs w:val="20"/>
                <w:color w:val="auto"/>
              </w:rPr>
            </w:pPr>
            <w:r>
              <w:rPr>
                <w:rFonts w:ascii="Arial" w:cs="Arial" w:eastAsia="Arial" w:hAnsi="Arial"/>
                <w:sz w:val="14"/>
                <w:szCs w:val="14"/>
                <w:color w:val="0000FF"/>
              </w:rPr>
              <w:t>Removed and Reserved</w:t>
            </w:r>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5">
              <w:r>
                <w:rPr>
                  <w:rFonts w:ascii="Arial" w:cs="Arial" w:eastAsia="Arial" w:hAnsi="Arial"/>
                  <w:sz w:val="14"/>
                  <w:szCs w:val="14"/>
                  <w:b w:val="1"/>
                  <w:bCs w:val="1"/>
                  <w:u w:val="single" w:color="auto"/>
                  <w:color w:val="0000FF"/>
                </w:rPr>
                <w:t>45</w:t>
              </w:r>
            </w:hyperlink>
          </w:p>
        </w:tc>
      </w:tr>
      <w:tr>
        <w:trPr>
          <w:trHeight w:val="400"/>
        </w:trPr>
        <w:tc>
          <w:tcPr>
            <w:tcW w:w="1120" w:type="dxa"/>
            <w:vAlign w:val="bottom"/>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780" w:type="dxa"/>
            <w:vAlign w:val="bottom"/>
          </w:tcPr>
          <w:p>
            <w:pPr>
              <w:jc w:val="center"/>
              <w:ind w:right="408"/>
              <w:spacing w:after="0"/>
              <w:rPr>
                <w:rFonts w:ascii="Arial" w:cs="Arial" w:eastAsia="Arial" w:hAnsi="Arial"/>
                <w:sz w:val="14"/>
                <w:szCs w:val="14"/>
                <w:b w:val="1"/>
                <w:bCs w:val="1"/>
                <w:u w:val="single" w:color="auto"/>
                <w:color w:val="0000FF"/>
              </w:rPr>
            </w:pPr>
            <w:hyperlink w:anchor="page45">
              <w:r>
                <w:rPr>
                  <w:rFonts w:ascii="Arial" w:cs="Arial" w:eastAsia="Arial" w:hAnsi="Arial"/>
                  <w:sz w:val="14"/>
                  <w:szCs w:val="14"/>
                  <w:b w:val="1"/>
                  <w:bCs w:val="1"/>
                  <w:u w:val="single" w:color="auto"/>
                  <w:color w:val="0000FF"/>
                </w:rPr>
                <w:t>PART II</w:t>
              </w:r>
            </w:hyperlink>
          </w:p>
        </w:tc>
        <w:tc>
          <w:tcPr>
            <w:tcW w:w="190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160" w:type="dxa"/>
            <w:vAlign w:val="bottom"/>
            <w:gridSpan w:val="2"/>
          </w:tcPr>
          <w:p>
            <w:pPr>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Market For Registrant’s Common Equity, Related Stockholder Matters and Issuer Purchases of Equity Securities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6">
              <w:r>
                <w:rPr>
                  <w:rFonts w:ascii="Arial" w:cs="Arial" w:eastAsia="Arial" w:hAnsi="Arial"/>
                  <w:sz w:val="14"/>
                  <w:szCs w:val="14"/>
                  <w:b w:val="1"/>
                  <w:bCs w:val="1"/>
                  <w:u w:val="single" w:color="auto"/>
                  <w:color w:val="0000FF"/>
                </w:rPr>
                <w:t>46</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160" w:type="dxa"/>
            <w:vAlign w:val="bottom"/>
            <w:gridSpan w:val="2"/>
          </w:tcPr>
          <w:p>
            <w:pPr>
              <w:spacing w:after="0"/>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Selected Financial Data</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8">
              <w:r>
                <w:rPr>
                  <w:rFonts w:ascii="Arial" w:cs="Arial" w:eastAsia="Arial" w:hAnsi="Arial"/>
                  <w:sz w:val="14"/>
                  <w:szCs w:val="14"/>
                  <w:b w:val="1"/>
                  <w:bCs w:val="1"/>
                  <w:u w:val="single" w:color="auto"/>
                  <w:color w:val="0000FF"/>
                </w:rPr>
                <w:t>49</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160" w:type="dxa"/>
            <w:vAlign w:val="bottom"/>
            <w:gridSpan w:val="2"/>
          </w:tcPr>
          <w:p>
            <w:pPr>
              <w:spacing w:after="0"/>
              <w:rPr>
                <w:rFonts w:ascii="Arial" w:cs="Arial" w:eastAsia="Arial" w:hAnsi="Arial"/>
                <w:sz w:val="14"/>
                <w:szCs w:val="14"/>
                <w:u w:val="single" w:color="auto"/>
                <w:color w:val="0000FF"/>
              </w:rPr>
            </w:pPr>
            <w:hyperlink w:anchor="page49">
              <w:r>
                <w:rPr>
                  <w:rFonts w:ascii="Arial" w:cs="Arial" w:eastAsia="Arial" w:hAnsi="Arial"/>
                  <w:sz w:val="14"/>
                  <w:szCs w:val="14"/>
                  <w:u w:val="single" w:color="auto"/>
                  <w:color w:val="0000FF"/>
                </w:rPr>
                <w:t>Management’s Discussion and Analysis of Financial Condition and Results of Operations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49">
              <w:r>
                <w:rPr>
                  <w:rFonts w:ascii="Arial" w:cs="Arial" w:eastAsia="Arial" w:hAnsi="Arial"/>
                  <w:sz w:val="14"/>
                  <w:szCs w:val="14"/>
                  <w:b w:val="1"/>
                  <w:bCs w:val="1"/>
                  <w:u w:val="single" w:color="auto"/>
                  <w:color w:val="0000FF"/>
                </w:rPr>
                <w:t>50</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160" w:type="dxa"/>
            <w:vAlign w:val="bottom"/>
            <w:gridSpan w:val="2"/>
          </w:tcPr>
          <w:p>
            <w:pPr>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Quantitative And Qualitative Disclosures About Market Risk</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60">
              <w:r>
                <w:rPr>
                  <w:rFonts w:ascii="Arial" w:cs="Arial" w:eastAsia="Arial" w:hAnsi="Arial"/>
                  <w:sz w:val="14"/>
                  <w:szCs w:val="14"/>
                  <w:b w:val="1"/>
                  <w:bCs w:val="1"/>
                  <w:u w:val="single" w:color="auto"/>
                  <w:color w:val="0000FF"/>
                </w:rPr>
                <w:t>61</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160" w:type="dxa"/>
            <w:vAlign w:val="bottom"/>
            <w:gridSpan w:val="2"/>
          </w:tcPr>
          <w:p>
            <w:pPr>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Consolidated Financial Statements and Supplementary Data</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61">
              <w:r>
                <w:rPr>
                  <w:rFonts w:ascii="Arial" w:cs="Arial" w:eastAsia="Arial" w:hAnsi="Arial"/>
                  <w:sz w:val="14"/>
                  <w:szCs w:val="14"/>
                  <w:b w:val="1"/>
                  <w:bCs w:val="1"/>
                  <w:u w:val="single" w:color="auto"/>
                  <w:color w:val="0000FF"/>
                </w:rPr>
                <w:t>62</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160" w:type="dxa"/>
            <w:vAlign w:val="bottom"/>
            <w:gridSpan w:val="2"/>
          </w:tcPr>
          <w:p>
            <w:pPr>
              <w:spacing w:after="0"/>
              <w:rPr>
                <w:rFonts w:ascii="Arial" w:cs="Arial" w:eastAsia="Arial" w:hAnsi="Arial"/>
                <w:sz w:val="14"/>
                <w:szCs w:val="14"/>
                <w:u w:val="single" w:color="auto"/>
                <w:color w:val="0000FF"/>
              </w:rPr>
            </w:pPr>
            <w:hyperlink w:anchor="page99">
              <w:r>
                <w:rPr>
                  <w:rFonts w:ascii="Arial" w:cs="Arial" w:eastAsia="Arial" w:hAnsi="Arial"/>
                  <w:sz w:val="14"/>
                  <w:szCs w:val="14"/>
                  <w:u w:val="single" w:color="auto"/>
                  <w:color w:val="0000FF"/>
                </w:rPr>
                <w:t>Changes in and Disagreements with Accountants on Accounting and Financial Disclosure</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99">
              <w:r>
                <w:rPr>
                  <w:rFonts w:ascii="Arial" w:cs="Arial" w:eastAsia="Arial" w:hAnsi="Arial"/>
                  <w:sz w:val="14"/>
                  <w:szCs w:val="14"/>
                  <w:b w:val="1"/>
                  <w:bCs w:val="1"/>
                  <w:u w:val="single" w:color="auto"/>
                  <w:color w:val="0000FF"/>
                </w:rPr>
                <w:t>100</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160" w:type="dxa"/>
            <w:vAlign w:val="bottom"/>
            <w:gridSpan w:val="2"/>
          </w:tcPr>
          <w:p>
            <w:pPr>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Controls and Procedures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0">
              <w:r>
                <w:rPr>
                  <w:rFonts w:ascii="Arial" w:cs="Arial" w:eastAsia="Arial" w:hAnsi="Arial"/>
                  <w:sz w:val="14"/>
                  <w:szCs w:val="14"/>
                  <w:b w:val="1"/>
                  <w:bCs w:val="1"/>
                  <w:u w:val="single" w:color="auto"/>
                  <w:color w:val="0000FF"/>
                </w:rPr>
                <w:t>100</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160" w:type="dxa"/>
            <w:vAlign w:val="bottom"/>
            <w:gridSpan w:val="2"/>
          </w:tcPr>
          <w:p>
            <w:pPr>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Other Information</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0">
              <w:r>
                <w:rPr>
                  <w:rFonts w:ascii="Arial" w:cs="Arial" w:eastAsia="Arial" w:hAnsi="Arial"/>
                  <w:sz w:val="14"/>
                  <w:szCs w:val="14"/>
                  <w:b w:val="1"/>
                  <w:bCs w:val="1"/>
                  <w:u w:val="single" w:color="auto"/>
                  <w:color w:val="0000FF"/>
                </w:rPr>
                <w:t>100</w:t>
              </w:r>
            </w:hyperlink>
          </w:p>
        </w:tc>
      </w:tr>
      <w:tr>
        <w:trPr>
          <w:trHeight w:val="391"/>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80" w:type="dxa"/>
            <w:vAlign w:val="bottom"/>
          </w:tcPr>
          <w:p>
            <w:pPr>
              <w:jc w:val="center"/>
              <w:ind w:right="408"/>
              <w:spacing w:after="0"/>
              <w:rPr>
                <w:rFonts w:ascii="Arial" w:cs="Arial" w:eastAsia="Arial" w:hAnsi="Arial"/>
                <w:sz w:val="14"/>
                <w:szCs w:val="14"/>
                <w:b w:val="1"/>
                <w:bCs w:val="1"/>
                <w:u w:val="single" w:color="auto"/>
                <w:color w:val="0000FF"/>
              </w:rPr>
            </w:pPr>
            <w:hyperlink w:anchor="page100">
              <w:r>
                <w:rPr>
                  <w:rFonts w:ascii="Arial" w:cs="Arial" w:eastAsia="Arial" w:hAnsi="Arial"/>
                  <w:sz w:val="14"/>
                  <w:szCs w:val="14"/>
                  <w:b w:val="1"/>
                  <w:bCs w:val="1"/>
                  <w:u w:val="single" w:color="auto"/>
                  <w:color w:val="0000FF"/>
                </w:rPr>
                <w:t>PART III</w:t>
              </w:r>
            </w:hyperlink>
          </w:p>
        </w:tc>
        <w:tc>
          <w:tcPr>
            <w:tcW w:w="190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160" w:type="dxa"/>
            <w:vAlign w:val="bottom"/>
            <w:gridSpan w:val="2"/>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Directors, Executive Officers and Corporate Governance</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101</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160" w:type="dxa"/>
            <w:vAlign w:val="bottom"/>
            <w:gridSpan w:val="2"/>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Executive Compensation</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101</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160" w:type="dxa"/>
            <w:vAlign w:val="bottom"/>
            <w:gridSpan w:val="2"/>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Security Ownership of Certain Beneficial Owners and Management and Related Stockholder Matters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101</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160" w:type="dxa"/>
            <w:vAlign w:val="bottom"/>
            <w:gridSpan w:val="2"/>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Certain Relationships and Related Transactions, and Director Independence</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101</w:t>
              </w:r>
            </w:hyperlink>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160" w:type="dxa"/>
            <w:vAlign w:val="bottom"/>
            <w:gridSpan w:val="2"/>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Principal Accountant Fees and Services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101</w:t>
              </w:r>
            </w:hyperlink>
          </w:p>
        </w:tc>
      </w:tr>
      <w:tr>
        <w:trPr>
          <w:trHeight w:val="391"/>
        </w:trPr>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80" w:type="dxa"/>
            <w:vAlign w:val="bottom"/>
          </w:tcPr>
          <w:p>
            <w:pPr>
              <w:jc w:val="center"/>
              <w:ind w:right="408"/>
              <w:spacing w:after="0"/>
              <w:rPr>
                <w:rFonts w:ascii="Arial" w:cs="Arial" w:eastAsia="Arial" w:hAnsi="Arial"/>
                <w:sz w:val="14"/>
                <w:szCs w:val="14"/>
                <w:b w:val="1"/>
                <w:bCs w:val="1"/>
                <w:u w:val="single" w:color="auto"/>
                <w:color w:val="0000FF"/>
              </w:rPr>
            </w:pPr>
            <w:hyperlink w:anchor="page101">
              <w:r>
                <w:rPr>
                  <w:rFonts w:ascii="Arial" w:cs="Arial" w:eastAsia="Arial" w:hAnsi="Arial"/>
                  <w:sz w:val="14"/>
                  <w:szCs w:val="14"/>
                  <w:b w:val="1"/>
                  <w:bCs w:val="1"/>
                  <w:u w:val="single" w:color="auto"/>
                  <w:color w:val="0000FF"/>
                </w:rPr>
                <w:t>PART IV</w:t>
              </w:r>
            </w:hyperlink>
          </w:p>
        </w:tc>
        <w:tc>
          <w:tcPr>
            <w:tcW w:w="190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160" w:type="dxa"/>
            <w:vAlign w:val="bottom"/>
            <w:gridSpan w:val="2"/>
          </w:tcPr>
          <w:p>
            <w:pPr>
              <w:spacing w:after="0"/>
              <w:rPr>
                <w:rFonts w:ascii="Arial" w:cs="Arial" w:eastAsia="Arial" w:hAnsi="Arial"/>
                <w:sz w:val="14"/>
                <w:szCs w:val="14"/>
                <w:u w:val="single" w:color="auto"/>
                <w:color w:val="0000FF"/>
              </w:rPr>
            </w:pPr>
            <w:hyperlink w:anchor="page102">
              <w:r>
                <w:rPr>
                  <w:rFonts w:ascii="Arial" w:cs="Arial" w:eastAsia="Arial" w:hAnsi="Arial"/>
                  <w:sz w:val="14"/>
                  <w:szCs w:val="14"/>
                  <w:u w:val="single" w:color="auto"/>
                  <w:color w:val="0000FF"/>
                </w:rPr>
                <w:t>Exhibits and Financial Statement Schedules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2">
              <w:r>
                <w:rPr>
                  <w:rFonts w:ascii="Arial" w:cs="Arial" w:eastAsia="Arial" w:hAnsi="Arial"/>
                  <w:sz w:val="14"/>
                  <w:szCs w:val="14"/>
                  <w:b w:val="1"/>
                  <w:bCs w:val="1"/>
                  <w:u w:val="single" w:color="auto"/>
                  <w:color w:val="0000FF"/>
                </w:rPr>
                <w:t>102</w:t>
              </w:r>
            </w:hyperlink>
          </w:p>
        </w:tc>
      </w:tr>
      <w:tr>
        <w:trPr>
          <w:trHeight w:val="391"/>
        </w:trPr>
        <w:tc>
          <w:tcPr>
            <w:tcW w:w="1120" w:type="dxa"/>
            <w:vAlign w:val="bottom"/>
          </w:tcPr>
          <w:p>
            <w:pPr>
              <w:spacing w:after="0"/>
              <w:rPr>
                <w:sz w:val="24"/>
                <w:szCs w:val="24"/>
                <w:color w:val="auto"/>
              </w:rPr>
            </w:pPr>
          </w:p>
        </w:tc>
        <w:tc>
          <w:tcPr>
            <w:tcW w:w="8160" w:type="dxa"/>
            <w:vAlign w:val="bottom"/>
            <w:gridSpan w:val="2"/>
          </w:tcPr>
          <w:p>
            <w:pPr>
              <w:spacing w:after="0"/>
              <w:rPr>
                <w:rFonts w:ascii="Arial" w:cs="Arial" w:eastAsia="Arial" w:hAnsi="Arial"/>
                <w:sz w:val="14"/>
                <w:szCs w:val="14"/>
                <w:u w:val="single" w:color="auto"/>
                <w:color w:val="0000FF"/>
              </w:rPr>
            </w:pPr>
            <w:hyperlink w:anchor="page102">
              <w:r>
                <w:rPr>
                  <w:rFonts w:ascii="Arial" w:cs="Arial" w:eastAsia="Arial" w:hAnsi="Arial"/>
                  <w:sz w:val="14"/>
                  <w:szCs w:val="14"/>
                  <w:u w:val="single" w:color="auto"/>
                  <w:color w:val="0000FF"/>
                </w:rPr>
                <w:t>Signatures</w:t>
              </w:r>
            </w:hyperlink>
          </w:p>
        </w:tc>
        <w:tc>
          <w:tcPr>
            <w:tcW w:w="1900" w:type="dxa"/>
            <w:vAlign w:val="bottom"/>
          </w:tcPr>
          <w:p>
            <w:pPr>
              <w:jc w:val="right"/>
              <w:spacing w:after="0"/>
              <w:rPr>
                <w:rFonts w:ascii="Arial" w:cs="Arial" w:eastAsia="Arial" w:hAnsi="Arial"/>
                <w:sz w:val="14"/>
                <w:szCs w:val="14"/>
                <w:b w:val="1"/>
                <w:bCs w:val="1"/>
                <w:u w:val="single" w:color="auto"/>
                <w:color w:val="0000FF"/>
              </w:rPr>
            </w:pPr>
            <w:hyperlink w:anchor="page102">
              <w:r>
                <w:rPr>
                  <w:rFonts w:ascii="Arial" w:cs="Arial" w:eastAsia="Arial" w:hAnsi="Arial"/>
                  <w:sz w:val="14"/>
                  <w:szCs w:val="14"/>
                  <w:b w:val="1"/>
                  <w:bCs w:val="1"/>
                  <w:u w:val="single" w:color="auto"/>
                  <w:color w:val="0000FF"/>
                </w:rPr>
                <w:t>103</w:t>
              </w:r>
            </w:hyperlink>
          </w:p>
        </w:tc>
      </w:tr>
      <w:tr>
        <w:trPr>
          <w:trHeight w:val="580"/>
        </w:trPr>
        <w:tc>
          <w:tcPr>
            <w:tcW w:w="1120" w:type="dxa"/>
            <w:vAlign w:val="bottom"/>
          </w:tcPr>
          <w:p>
            <w:pPr>
              <w:spacing w:after="0"/>
              <w:rPr>
                <w:sz w:val="24"/>
                <w:szCs w:val="24"/>
                <w:color w:val="auto"/>
              </w:rPr>
            </w:pPr>
          </w:p>
        </w:tc>
        <w:tc>
          <w:tcPr>
            <w:tcW w:w="8160" w:type="dxa"/>
            <w:vAlign w:val="bottom"/>
            <w:gridSpan w:val="2"/>
          </w:tcPr>
          <w:p>
            <w:pPr>
              <w:jc w:val="center"/>
              <w:ind w:left="688"/>
              <w:spacing w:after="0"/>
              <w:rPr>
                <w:sz w:val="20"/>
                <w:szCs w:val="20"/>
                <w:color w:val="auto"/>
              </w:rPr>
            </w:pPr>
            <w:r>
              <w:rPr>
                <w:rFonts w:ascii="Arial" w:cs="Arial" w:eastAsia="Arial" w:hAnsi="Arial"/>
                <w:sz w:val="14"/>
                <w:szCs w:val="14"/>
                <w:color w:val="auto"/>
              </w:rPr>
              <w:t>2</w:t>
            </w:r>
          </w:p>
        </w:tc>
        <w:tc>
          <w:tcPr>
            <w:tcW w:w="190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67" w:lineRule="exact"/>
        <w:rPr>
          <w:sz w:val="20"/>
          <w:szCs w:val="20"/>
          <w:color w:val="auto"/>
        </w:rPr>
      </w:pPr>
    </w:p>
    <w:p>
      <w:pPr>
        <w:ind w:right="100" w:firstLine="432"/>
        <w:spacing w:after="0" w:line="246" w:lineRule="auto"/>
        <w:rPr>
          <w:sz w:val="20"/>
          <w:szCs w:val="20"/>
          <w:color w:val="auto"/>
        </w:rPr>
      </w:pPr>
      <w:r>
        <w:rPr>
          <w:rFonts w:ascii="Arial" w:cs="Arial" w:eastAsia="Arial" w:hAnsi="Arial"/>
          <w:sz w:val="14"/>
          <w:szCs w:val="14"/>
          <w:b w:val="1"/>
          <w:bCs w:val="1"/>
          <w:i w:val="1"/>
          <w:iCs w:val="1"/>
          <w:color w:val="auto"/>
        </w:rPr>
        <w:t>In this annual report on Form 10-K, except where the context suggests otherwise, the terms “we,” “us” or “our” refer to PennantPark Investment Corporation and its consolidated subsidiaries; references to "PennantPark Investment" refer only to PennantPark Investment Corporation; “SBIC LP” and “our SBIC” refer to our wholly owned, consolidated Small Business Investment Company, or "SBIC," subsidiary, PennantPark SBIC LP and its general partner PennantPark SBIC GP, LLC or "SBIC GP"; “PennantPark Investment Advisers” or the “Investment Adviser” refers to PennantPark Investment Advisers, LLC; “PennantPark Investment Administration” or the “Administrator” refers to PennantPark Investment Administration, LLC. References to our portfolio and investments include investments we make through our consolidated SBIC. Some of the statements in this annual report constitute forward-looking statements, which apply to us and relate to future events, future performance or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 or the Report.</w:t>
      </w:r>
    </w:p>
    <w:p>
      <w:pPr>
        <w:spacing w:after="0" w:line="134"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82" w:lineRule="exact"/>
        <w:rPr>
          <w:sz w:val="20"/>
          <w:szCs w:val="20"/>
          <w:color w:val="auto"/>
        </w:rPr>
      </w:pPr>
    </w:p>
    <w:p>
      <w:pPr>
        <w:ind w:right="640" w:firstLine="432"/>
        <w:spacing w:after="0" w:line="273" w:lineRule="auto"/>
        <w:rPr>
          <w:sz w:val="20"/>
          <w:szCs w:val="20"/>
          <w:color w:val="auto"/>
        </w:rPr>
      </w:pPr>
      <w:r>
        <w:rPr>
          <w:rFonts w:ascii="Arial" w:cs="Arial" w:eastAsia="Arial" w:hAnsi="Arial"/>
          <w:sz w:val="14"/>
          <w:szCs w:val="14"/>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120" w:lineRule="exact"/>
        <w:rPr>
          <w:sz w:val="20"/>
          <w:szCs w:val="20"/>
          <w:color w:val="auto"/>
        </w:rPr>
      </w:pPr>
    </w:p>
    <w:p>
      <w:pPr>
        <w:ind w:right="60" w:firstLine="432"/>
        <w:spacing w:after="0" w:line="247" w:lineRule="auto"/>
        <w:rPr>
          <w:sz w:val="20"/>
          <w:szCs w:val="20"/>
          <w:color w:val="auto"/>
        </w:rPr>
      </w:pPr>
      <w:r>
        <w:rPr>
          <w:rFonts w:ascii="Arial" w:cs="Arial" w:eastAsia="Arial" w:hAnsi="Arial"/>
          <w:sz w:val="14"/>
          <w:szCs w:val="14"/>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0" w:lineRule="exact"/>
        <w:rPr>
          <w:sz w:val="20"/>
          <w:szCs w:val="20"/>
          <w:color w:val="auto"/>
        </w:rPr>
      </w:pPr>
    </w:p>
    <w:p>
      <w:pPr>
        <w:ind w:right="120" w:firstLine="432"/>
        <w:spacing w:after="0" w:line="270"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or Credit Facility, the Small Business Administration, or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25"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For the fiscal year ended September 30, 2011, we purchased $479.7 million of investments issued by 17 new and 11 existing portfolio companies with an overall weighted average yield of 13.7% on debt investments. This compares to purchasing $309.5 million in 17 new and 12 existing portfolio companies with an overall average yield of 14.9% on debt investments and purchasing of $112.7 million of investments, issued by 11 new and 8 existing portfolio companies with an overall average yield of 14.5% on debt investments for the fiscal years ended September 30, 2010 and 2009, respectively.</w:t>
      </w:r>
    </w:p>
    <w:p>
      <w:pPr>
        <w:spacing w:after="0" w:line="13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4"/>
          <w:szCs w:val="14"/>
          <w:color w:val="auto"/>
        </w:rPr>
        <w:t>For the fiscal year ended September 30, 2011 sales and repayments generated proceeds of $304.0 million. This compares to sales and repayments that generated proceeds for the fiscal years ended September 30, 2010 and 2009, respectively, of $145.2 and $28.0 million.</w:t>
      </w:r>
    </w:p>
    <w:p>
      <w:pPr>
        <w:spacing w:after="0" w:line="120"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or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20"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82" w:lineRule="exact"/>
        <w:rPr>
          <w:sz w:val="20"/>
          <w:szCs w:val="20"/>
          <w:color w:val="auto"/>
        </w:rPr>
      </w:pPr>
    </w:p>
    <w:p>
      <w:pPr>
        <w:ind w:right="100" w:firstLine="432"/>
        <w:spacing w:after="0" w:line="247" w:lineRule="auto"/>
        <w:rPr>
          <w:sz w:val="20"/>
          <w:szCs w:val="20"/>
          <w:color w:val="auto"/>
        </w:rPr>
      </w:pPr>
      <w:r>
        <w:rPr>
          <w:rFonts w:ascii="Arial" w:cs="Arial" w:eastAsia="Arial" w:hAnsi="Arial"/>
          <w:sz w:val="14"/>
          <w:szCs w:val="14"/>
          <w:color w:val="auto"/>
        </w:rPr>
        <w:t>PennantPark Investment Corporation was organized under the Maryland General Corporation Law in January 2007. We are a closed-end, externally managed, non-diversified investment company that has elected to be treated as a business development company, or BDC, under the Investment Company Act of 1940, as amended, or the 1940 Act. In addition, for tax purposes we have elected to be treated, and intend to qualify annually, as a regulated investment company, or RIC, under the Internal Revenue Code of 1986, as amended, or the Code. Additionally,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40"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Our wholly owned SBIC subsidiary, PennantPark SBIC LP, was organized as a Delaware limited partnership on May 7, 2010 and received a license from the Small Business Administration, or SBA, to operate as an SBIC under Section 301(c) of the Small Business Investment Act of 1958, as amended, or the 1958 Act, in July 2010.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82"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market cycles. We believe this experience and history has resulted in a strong reputation with financial sponsors, management teams, investment bankers, attorneys and accountants, which should provide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 billion in debt and equity capital and has invested over $1.5 billion in more than 115 companies with over 73 different financial sponsors through its managed funds.</w:t>
      </w:r>
    </w:p>
    <w:p>
      <w:pPr>
        <w:spacing w:after="0" w:line="127"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and "Risk Factors—Risks Relating to our Business and Structure—There are significant potential conflicts of interest which could impact our investment returns."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82" w:lineRule="exact"/>
        <w:rPr>
          <w:sz w:val="20"/>
          <w:szCs w:val="20"/>
          <w:color w:val="auto"/>
        </w:rPr>
      </w:pPr>
    </w:p>
    <w:p>
      <w:pPr>
        <w:ind w:right="260" w:firstLine="432"/>
        <w:spacing w:after="0" w:line="273"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8" w:lineRule="exact"/>
        <w:rPr>
          <w:sz w:val="20"/>
          <w:szCs w:val="20"/>
          <w:color w:val="auto"/>
        </w:rPr>
      </w:pPr>
    </w:p>
    <w:p>
      <w:pPr>
        <w:ind w:left="820" w:right="40" w:hanging="326"/>
        <w:spacing w:after="0" w:line="260"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were formerly able</w:t>
      </w:r>
      <w:r>
        <w:rPr>
          <w:rFonts w:ascii="Arial" w:cs="Arial" w:eastAsia="Arial" w:hAnsi="Arial"/>
          <w:sz w:val="14"/>
          <w:szCs w:val="14"/>
          <w:b w:val="1"/>
          <w:bCs w:val="1"/>
          <w:color w:val="auto"/>
        </w:rPr>
        <w:t xml:space="preserve"> </w:t>
      </w:r>
      <w:r>
        <w:rPr>
          <w:rFonts w:ascii="Arial" w:cs="Arial" w:eastAsia="Arial" w:hAnsi="Arial"/>
          <w:sz w:val="14"/>
          <w:szCs w:val="14"/>
          <w:color w:val="auto"/>
        </w:rPr>
        <w:t>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16" w:lineRule="exact"/>
        <w:rPr>
          <w:rFonts w:ascii="Arial" w:cs="Arial" w:eastAsia="Arial" w:hAnsi="Arial"/>
          <w:sz w:val="14"/>
          <w:szCs w:val="14"/>
          <w:color w:val="auto"/>
        </w:rPr>
      </w:pPr>
    </w:p>
    <w:p>
      <w:pPr>
        <w:ind w:left="820" w:right="20" w:hanging="326"/>
        <w:spacing w:after="0" w:line="279"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collateralized loan obligation, or CLO,</w:t>
      </w:r>
      <w:r>
        <w:rPr>
          <w:rFonts w:ascii="Arial" w:cs="Arial" w:eastAsia="Arial" w:hAnsi="Arial"/>
          <w:sz w:val="14"/>
          <w:szCs w:val="14"/>
          <w:b w:val="1"/>
          <w:bCs w:val="1"/>
          <w:color w:val="auto"/>
        </w:rPr>
        <w:t xml:space="preserve"> </w:t>
      </w:r>
      <w:r>
        <w:rPr>
          <w:rFonts w:ascii="Arial" w:cs="Arial" w:eastAsia="Arial" w:hAnsi="Arial"/>
          <w:sz w:val="14"/>
          <w:szCs w:val="14"/>
          <w:color w:val="auto"/>
        </w:rPr>
        <w:t>funds have withdrawn capital from the middle-market resulting in opportunities for alternative funding sources.</w:t>
      </w:r>
    </w:p>
    <w:p>
      <w:pPr>
        <w:spacing w:after="0" w:line="3" w:lineRule="exact"/>
        <w:rPr>
          <w:rFonts w:ascii="Arial" w:cs="Arial" w:eastAsia="Arial" w:hAnsi="Arial"/>
          <w:sz w:val="14"/>
          <w:szCs w:val="14"/>
          <w:color w:val="auto"/>
        </w:rPr>
      </w:pPr>
    </w:p>
    <w:p>
      <w:pPr>
        <w:jc w:val="both"/>
        <w:ind w:left="820" w:right="720" w:hanging="326"/>
        <w:spacing w:after="0" w:line="260"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4"/>
          <w:szCs w:val="14"/>
          <w:color w:val="auto"/>
        </w:rPr>
      </w:pPr>
    </w:p>
    <w:p>
      <w:pPr>
        <w:ind w:left="820" w:right="20" w:hanging="326"/>
        <w:spacing w:after="0" w:line="279" w:lineRule="auto"/>
        <w:tabs>
          <w:tab w:leader="none" w:pos="8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w:t>
      </w:r>
      <w:r>
        <w:rPr>
          <w:rFonts w:ascii="Arial" w:cs="Arial" w:eastAsia="Arial" w:hAnsi="Arial"/>
          <w:sz w:val="13"/>
          <w:szCs w:val="13"/>
          <w:b w:val="1"/>
          <w:bCs w:val="1"/>
          <w:color w:val="auto"/>
        </w:rPr>
        <w:t xml:space="preserve"> </w:t>
      </w:r>
      <w:r>
        <w:rPr>
          <w:rFonts w:ascii="Arial" w:cs="Arial" w:eastAsia="Arial" w:hAnsi="Arial"/>
          <w:sz w:val="13"/>
          <w:szCs w:val="13"/>
          <w:color w:val="auto"/>
        </w:rPr>
        <w:t>expect that private 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6" w:lineRule="exact"/>
        <w:rPr>
          <w:rFonts w:ascii="Arial" w:cs="Arial" w:eastAsia="Arial" w:hAnsi="Arial"/>
          <w:sz w:val="13"/>
          <w:szCs w:val="13"/>
          <w:color w:val="auto"/>
        </w:rPr>
      </w:pPr>
    </w:p>
    <w:p>
      <w:pPr>
        <w:ind w:left="820" w:right="120" w:hanging="326"/>
        <w:spacing w:after="0" w:line="279"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 the years 2004 and 2007, which will</w:t>
      </w:r>
      <w:r>
        <w:rPr>
          <w:rFonts w:ascii="Arial" w:cs="Arial" w:eastAsia="Arial" w:hAnsi="Arial"/>
          <w:sz w:val="14"/>
          <w:szCs w:val="14"/>
          <w:b w:val="1"/>
          <w:bCs w:val="1"/>
          <w:color w:val="auto"/>
        </w:rPr>
        <w:t xml:space="preserve"> </w:t>
      </w:r>
      <w:r>
        <w:rPr>
          <w:rFonts w:ascii="Arial" w:cs="Arial" w:eastAsia="Arial" w:hAnsi="Arial"/>
          <w:sz w:val="14"/>
          <w:szCs w:val="14"/>
          <w:color w:val="auto"/>
        </w:rPr>
        <w:t>come due in the next few years. This supply of opportunities coupled with a lack of demand offers attractive risk-adjusted returns to investors.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298" w:lineRule="exact"/>
        <w:rPr>
          <w:sz w:val="20"/>
          <w:szCs w:val="20"/>
          <w:color w:val="auto"/>
        </w:rPr>
      </w:pPr>
    </w:p>
    <w:p>
      <w:pPr>
        <w:ind w:left="1420" w:hanging="548"/>
        <w:spacing w:after="0"/>
        <w:tabs>
          <w:tab w:leader="none" w:pos="14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23" w:lineRule="exact"/>
        <w:rPr>
          <w:sz w:val="20"/>
          <w:szCs w:val="20"/>
          <w:color w:val="auto"/>
        </w:rPr>
      </w:pPr>
    </w:p>
    <w:p>
      <w:pPr>
        <w:ind w:right="80" w:firstLine="432"/>
        <w:spacing w:after="0" w:line="286" w:lineRule="auto"/>
        <w:rPr>
          <w:sz w:val="20"/>
          <w:szCs w:val="20"/>
          <w:color w:val="auto"/>
        </w:rPr>
      </w:pPr>
      <w:r>
        <w:rPr>
          <w:rFonts w:ascii="Arial" w:cs="Arial" w:eastAsia="Arial" w:hAnsi="Arial"/>
          <w:sz w:val="13"/>
          <w:szCs w:val="13"/>
          <w:color w:val="auto"/>
        </w:rPr>
        <w:t>The senior investment professionals of the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49" w:lineRule="exact"/>
        <w:rPr>
          <w:sz w:val="20"/>
          <w:szCs w:val="20"/>
          <w:color w:val="auto"/>
        </w:rPr>
      </w:pPr>
    </w:p>
    <w:p>
      <w:pPr>
        <w:ind w:left="1420" w:hanging="548"/>
        <w:spacing w:after="0"/>
        <w:tabs>
          <w:tab w:leader="none" w:pos="14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23"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continues to enable us to build an attractive investment portfolio that meets our return and value criteria over the long-term.</w:t>
      </w:r>
    </w:p>
    <w:p>
      <w:pPr>
        <w:spacing w:after="0" w:line="134" w:lineRule="exact"/>
        <w:rPr>
          <w:sz w:val="20"/>
          <w:szCs w:val="20"/>
          <w:color w:val="auto"/>
        </w:rPr>
      </w:pPr>
    </w:p>
    <w:p>
      <w:pPr>
        <w:ind w:right="260" w:firstLine="432"/>
        <w:spacing w:after="0" w:line="257"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298" w:lineRule="exact"/>
        <w:rPr>
          <w:sz w:val="20"/>
          <w:szCs w:val="20"/>
          <w:color w:val="auto"/>
        </w:rPr>
      </w:pPr>
    </w:p>
    <w:p>
      <w:pPr>
        <w:ind w:left="1400" w:hanging="528"/>
        <w:spacing w:after="0"/>
        <w:tabs>
          <w:tab w:leader="none" w:pos="140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Research Capability and Established Network</w:t>
      </w:r>
    </w:p>
    <w:p>
      <w:pPr>
        <w:spacing w:after="0" w:line="123"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69" w:lineRule="exact"/>
        <w:rPr>
          <w:sz w:val="20"/>
          <w:szCs w:val="20"/>
          <w:color w:val="auto"/>
        </w:rPr>
      </w:pPr>
    </w:p>
    <w:p>
      <w:pPr>
        <w:ind w:left="1420" w:hanging="548"/>
        <w:spacing w:after="0"/>
        <w:tabs>
          <w:tab w:leader="none" w:pos="14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23" w:lineRule="exact"/>
        <w:rPr>
          <w:sz w:val="20"/>
          <w:szCs w:val="20"/>
          <w:color w:val="auto"/>
        </w:rPr>
      </w:pPr>
    </w:p>
    <w:p>
      <w:pPr>
        <w:ind w:right="360" w:firstLine="432"/>
        <w:spacing w:after="0" w:line="312" w:lineRule="auto"/>
        <w:rPr>
          <w:sz w:val="20"/>
          <w:szCs w:val="20"/>
          <w:color w:val="auto"/>
        </w:rPr>
      </w:pPr>
      <w:r>
        <w:rPr>
          <w:rFonts w:ascii="Arial" w:cs="Arial" w:eastAsia="Arial" w:hAnsi="Arial"/>
          <w:sz w:val="13"/>
          <w:szCs w:val="13"/>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7"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2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55" w:lineRule="exact"/>
        <w:rPr>
          <w:sz w:val="20"/>
          <w:szCs w:val="20"/>
          <w:color w:val="auto"/>
        </w:rPr>
      </w:pPr>
    </w:p>
    <w:p>
      <w:pPr>
        <w:ind w:left="1400" w:hanging="528"/>
        <w:spacing w:after="0"/>
        <w:tabs>
          <w:tab w:leader="none" w:pos="140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Longer Investment Horizon with Attractive Publicly Traded Model</w:t>
      </w:r>
    </w:p>
    <w:p>
      <w:pPr>
        <w:spacing w:after="0" w:line="123" w:lineRule="exact"/>
        <w:rPr>
          <w:sz w:val="20"/>
          <w:szCs w:val="20"/>
          <w:color w:val="auto"/>
        </w:rPr>
      </w:pPr>
    </w:p>
    <w:p>
      <w:pPr>
        <w:ind w:right="180" w:firstLine="432"/>
        <w:spacing w:after="0" w:line="252"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fund and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8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We are committed to a value oriented philosophy used by the investment professionals who manage our portfolio and seek to minimize the risk of capital loss without foregoing potential for capital appreciation.</w:t>
      </w:r>
    </w:p>
    <w:p>
      <w:pPr>
        <w:spacing w:after="0" w:line="12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5" w:lineRule="exact"/>
        <w:rPr>
          <w:sz w:val="20"/>
          <w:szCs w:val="20"/>
          <w:color w:val="auto"/>
        </w:rPr>
      </w:pPr>
    </w:p>
    <w:p>
      <w:pPr>
        <w:ind w:left="1420" w:hanging="521"/>
        <w:spacing w:after="0"/>
        <w:tabs>
          <w:tab w:leader="none" w:pos="14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Value orientation and positive cash flow</w:t>
      </w:r>
    </w:p>
    <w:p>
      <w:pPr>
        <w:spacing w:after="0" w:line="123" w:lineRule="exact"/>
        <w:rPr>
          <w:sz w:val="20"/>
          <w:szCs w:val="20"/>
          <w:color w:val="auto"/>
        </w:rPr>
      </w:pPr>
    </w:p>
    <w:p>
      <w:pPr>
        <w:ind w:right="80" w:firstLine="432"/>
        <w:spacing w:after="0" w:line="257" w:lineRule="auto"/>
        <w:rPr>
          <w:sz w:val="20"/>
          <w:szCs w:val="20"/>
          <w:color w:val="auto"/>
        </w:rPr>
      </w:pPr>
      <w:r>
        <w:rPr>
          <w:rFonts w:ascii="Arial" w:cs="Arial" w:eastAsia="Arial" w:hAnsi="Arial"/>
          <w:sz w:val="14"/>
          <w:szCs w:val="14"/>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66" w:lineRule="exact"/>
        <w:rPr>
          <w:sz w:val="20"/>
          <w:szCs w:val="20"/>
          <w:color w:val="auto"/>
        </w:rPr>
      </w:pPr>
    </w:p>
    <w:p>
      <w:pPr>
        <w:ind w:left="1420" w:hanging="521"/>
        <w:spacing w:after="0"/>
        <w:tabs>
          <w:tab w:leader="none" w:pos="14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and established financial sponsor relationship</w:t>
      </w:r>
    </w:p>
    <w:p>
      <w:pPr>
        <w:spacing w:after="0" w:line="123" w:lineRule="exact"/>
        <w:rPr>
          <w:sz w:val="20"/>
          <w:szCs w:val="20"/>
          <w:color w:val="auto"/>
        </w:rPr>
      </w:pPr>
    </w:p>
    <w:p>
      <w:pPr>
        <w:ind w:right="340" w:firstLine="432"/>
        <w:spacing w:after="0" w:line="257" w:lineRule="auto"/>
        <w:rPr>
          <w:sz w:val="20"/>
          <w:szCs w:val="20"/>
          <w:color w:val="auto"/>
        </w:rPr>
      </w:pPr>
      <w:r>
        <w:rPr>
          <w:rFonts w:ascii="Arial" w:cs="Arial" w:eastAsia="Arial" w:hAnsi="Arial"/>
          <w:sz w:val="14"/>
          <w:szCs w:val="14"/>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12"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4"/>
          <w:szCs w:val="14"/>
          <w:b w:val="1"/>
          <w:bCs w:val="1"/>
          <w:i w:val="1"/>
          <w:iCs w:val="1"/>
          <w:color w:val="auto"/>
        </w:rPr>
        <w:t>c.</w:t>
      </w:r>
      <w:r>
        <w:rPr>
          <w:sz w:val="20"/>
          <w:szCs w:val="20"/>
          <w:color w:val="auto"/>
        </w:rPr>
        <w:tab/>
      </w:r>
      <w:r>
        <w:rPr>
          <w:rFonts w:ascii="Arial" w:cs="Arial" w:eastAsia="Arial" w:hAnsi="Arial"/>
          <w:sz w:val="12"/>
          <w:szCs w:val="12"/>
          <w:b w:val="1"/>
          <w:bCs w:val="1"/>
          <w:i w:val="1"/>
          <w:iCs w:val="1"/>
          <w:color w:val="auto"/>
        </w:rPr>
        <w:t>Strong and defensible competitive market position</w:t>
      </w:r>
    </w:p>
    <w:p>
      <w:pPr>
        <w:spacing w:after="0" w:line="82" w:lineRule="exact"/>
        <w:rPr>
          <w:sz w:val="20"/>
          <w:szCs w:val="20"/>
          <w:color w:val="auto"/>
        </w:rPr>
      </w:pPr>
    </w:p>
    <w:p>
      <w:pPr>
        <w:ind w:right="100" w:firstLine="432"/>
        <w:spacing w:after="0" w:line="312" w:lineRule="auto"/>
        <w:rPr>
          <w:sz w:val="20"/>
          <w:szCs w:val="20"/>
          <w:color w:val="auto"/>
        </w:rPr>
      </w:pPr>
      <w:r>
        <w:rPr>
          <w:rFonts w:ascii="Arial" w:cs="Arial" w:eastAsia="Arial" w:hAnsi="Arial"/>
          <w:sz w:val="13"/>
          <w:szCs w:val="13"/>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178" w:lineRule="exact"/>
        <w:rPr>
          <w:sz w:val="20"/>
          <w:szCs w:val="20"/>
          <w:color w:val="auto"/>
        </w:rPr>
      </w:pPr>
    </w:p>
    <w:p>
      <w:pPr>
        <w:ind w:left="900"/>
        <w:spacing w:after="0"/>
        <w:tabs>
          <w:tab w:leader="none" w:pos="114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2"/>
          <w:szCs w:val="12"/>
          <w:b w:val="1"/>
          <w:bCs w:val="1"/>
          <w:i w:val="1"/>
          <w:iCs w:val="1"/>
          <w:color w:val="auto"/>
        </w:rPr>
        <w:t>Viable exit strategy</w:t>
      </w:r>
    </w:p>
    <w:p>
      <w:pPr>
        <w:spacing w:after="0" w:line="82"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Competition</w:t>
      </w:r>
    </w:p>
    <w:p>
      <w:pPr>
        <w:spacing w:after="0" w:line="244" w:lineRule="exact"/>
        <w:rPr>
          <w:sz w:val="20"/>
          <w:szCs w:val="20"/>
          <w:color w:val="auto"/>
        </w:rPr>
      </w:pPr>
    </w:p>
    <w:p>
      <w:pPr>
        <w:jc w:val="both"/>
        <w:ind w:right="180" w:firstLine="405"/>
        <w:spacing w:after="0" w:line="277"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20" w:lineRule="exact"/>
        <w:rPr>
          <w:sz w:val="20"/>
          <w:szCs w:val="20"/>
          <w:color w:val="auto"/>
        </w:rPr>
      </w:pPr>
    </w:p>
    <w:p>
      <w:pPr>
        <w:ind w:right="80" w:firstLine="405"/>
        <w:spacing w:after="0" w:line="277"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Leverage</w:t>
      </w:r>
    </w:p>
    <w:p>
      <w:pPr>
        <w:spacing w:after="0" w:line="82" w:lineRule="exact"/>
        <w:rPr>
          <w:sz w:val="20"/>
          <w:szCs w:val="20"/>
          <w:color w:val="auto"/>
        </w:rPr>
      </w:pPr>
    </w:p>
    <w:p>
      <w:pPr>
        <w:ind w:firstLine="432"/>
        <w:spacing w:after="0" w:line="247" w:lineRule="auto"/>
        <w:rPr>
          <w:sz w:val="20"/>
          <w:szCs w:val="20"/>
          <w:color w:val="auto"/>
        </w:rPr>
      </w:pPr>
      <w:r>
        <w:rPr>
          <w:rFonts w:ascii="Arial" w:cs="Arial" w:eastAsia="Arial" w:hAnsi="Arial"/>
          <w:sz w:val="14"/>
          <w:szCs w:val="14"/>
          <w:color w:val="auto"/>
        </w:rPr>
        <w:t>We maintain a multi-currency $315.0 million senior secured Credit Facility which matures on June 25, 2012, and is secured by substantially all of our investment portfolio assets (excluding the assets of SBIC LP) with a group of lenders, under which we had $240.9 million and $233.1 million (including a $0.0 and $5.2 million temporary draw, respectively) of debt outstanding with a weighted average interest rate of 1.27% and 1.34% at September 30, 2011 and 2010, respectively. Pricing of borrowings under our Credit Facility is set at 100 basis points over LIBOR. As of September 30, 2011 and 2010, we had $74.1 million and $66.9 million, respectively, available to us. We believe that our capital resources will provide us with the flexibility to take advantage of market opportunities when they arise. In addition, any future additional debt capital we incur, to the extent it is available under current credit market conditions, will likely be issued at a higher cost and on less favorable terms and conditions than our current Credit Facility.</w:t>
      </w:r>
    </w:p>
    <w:p>
      <w:pPr>
        <w:spacing w:after="0" w:line="14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4"/>
          <w:szCs w:val="14"/>
          <w:color w:val="auto"/>
        </w:rPr>
        <w:t>As of September 30, 2011, SBIC LP had drawn $150.0 million, with a weighted average interest rate of 3.70%, exclusive of 3.43% of upfront fees (4.04% inclusive of the 3.43% upfront fees), and had no remaining unused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82"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We seek to create a diversified portfolio that includes senior secured loans, mezzanine debt and equity by targeting an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4" w:lineRule="exact"/>
        <w:rPr>
          <w:sz w:val="20"/>
          <w:szCs w:val="20"/>
          <w:color w:val="auto"/>
        </w:rPr>
      </w:pPr>
    </w:p>
    <w:p>
      <w:pPr>
        <w:ind w:right="220" w:firstLine="432"/>
        <w:spacing w:after="0" w:line="249" w:lineRule="auto"/>
        <w:rPr>
          <w:sz w:val="20"/>
          <w:szCs w:val="20"/>
          <w:color w:val="auto"/>
        </w:rPr>
      </w:pPr>
      <w:r>
        <w:rPr>
          <w:rFonts w:ascii="Arial" w:cs="Arial" w:eastAsia="Arial" w:hAnsi="Arial"/>
          <w:sz w:val="14"/>
          <w:szCs w:val="14"/>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w:t>
      </w:r>
    </w:p>
    <w:p>
      <w:pPr>
        <w:spacing w:after="0" w:line="137"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82"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Mezzanine Debt</w:t>
      </w:r>
    </w:p>
    <w:p>
      <w:pPr>
        <w:spacing w:after="0" w:line="82"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and Regulatory Structure</w:t>
      </w:r>
    </w:p>
    <w:p>
      <w:pPr>
        <w:spacing w:after="0" w:line="8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Our investment activities are managed by PennantPark Investment Advisers. Under our investment management agreement, or the Investment Management Agreement, we have agreed to pay our Investment Adviser an annual base management fee based on our average adjusted gross total assets as well as an incentive fee based on our investment performance. See “Investment Management Agreement.”</w:t>
      </w:r>
    </w:p>
    <w:p>
      <w:pPr>
        <w:spacing w:after="0" w:line="131" w:lineRule="exact"/>
        <w:rPr>
          <w:sz w:val="20"/>
          <w:szCs w:val="20"/>
          <w:color w:val="auto"/>
        </w:rPr>
      </w:pPr>
    </w:p>
    <w:p>
      <w:pPr>
        <w:ind w:right="60" w:firstLine="432"/>
        <w:spacing w:after="0" w:line="286" w:lineRule="auto"/>
        <w:rPr>
          <w:sz w:val="20"/>
          <w:szCs w:val="20"/>
          <w:color w:val="auto"/>
        </w:rPr>
      </w:pPr>
      <w:r>
        <w:rPr>
          <w:rFonts w:ascii="Arial" w:cs="Arial" w:eastAsia="Arial" w:hAnsi="Arial"/>
          <w:sz w:val="13"/>
          <w:szCs w:val="13"/>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“Administration Agreement.”</w:t>
      </w:r>
    </w:p>
    <w:p>
      <w:pPr>
        <w:spacing w:after="0" w:line="114"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34" w:lineRule="exact"/>
        <w:rPr>
          <w:sz w:val="20"/>
          <w:szCs w:val="20"/>
          <w:color w:val="auto"/>
        </w:rPr>
      </w:pPr>
    </w:p>
    <w:p>
      <w:pPr>
        <w:ind w:right="280" w:firstLine="432"/>
        <w:spacing w:after="0" w:line="27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We have elected to be treated for federal income tax purposes under the Code as a RIC. See “Regulation.”</w:t>
      </w:r>
    </w:p>
    <w:p>
      <w:pPr>
        <w:spacing w:after="0" w:line="120"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Our wholly owned subsidiary, SBIC LP, received a license from the SBA to operate as an SBIC under Section 301(c) of the 1958 Act and is regulated by the SBA. We serve as the investment adviser and administrator to SBIC LP. The SBA regulates, among other matters, SBIC LP’s investing activities. See “Regulation.”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Information Available</w:t>
      </w:r>
    </w:p>
    <w:p>
      <w:pPr>
        <w:spacing w:after="0" w:line="163" w:lineRule="exact"/>
        <w:rPr>
          <w:sz w:val="20"/>
          <w:szCs w:val="20"/>
          <w:color w:val="auto"/>
        </w:rPr>
      </w:pPr>
    </w:p>
    <w:p>
      <w:pPr>
        <w:ind w:right="40" w:firstLine="432"/>
        <w:spacing w:after="0" w:line="268" w:lineRule="auto"/>
        <w:rPr>
          <w:sz w:val="20"/>
          <w:szCs w:val="20"/>
          <w:color w:val="auto"/>
        </w:rPr>
      </w:pPr>
      <w:r>
        <w:rPr>
          <w:rFonts w:ascii="Arial" w:cs="Arial" w:eastAsia="Arial" w:hAnsi="Arial"/>
          <w:sz w:val="13"/>
          <w:szCs w:val="13"/>
          <w:color w:val="auto"/>
        </w:rPr>
        <w:t>Our address is 590 Madison Avenue, 15th Floor, New York, NY 10022. Our phone number is (212) 905-1000, and our internet address is www.pennantpark.com. We make available, free of charge, on our website our annual report on Form 10-K, quarterly reports on Form 10-Q, current reports on Form 8-K and amendments to those reports as well as proxy statements as soon as reasonably practicable after we electronically file such material with, or furnish it to, the SEC. Information contained on our website is not incorporated by reference into this Report, and you should not consider information contained on our website to be part of this Report or any other report we file with the SEC. The SEC also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 Information on the operation of the Public Reference Room may be obtained by calling the SEC at 1-800-SEC-0330.</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Consolidated Portfolio</w:t>
      </w:r>
    </w:p>
    <w:p>
      <w:pPr>
        <w:spacing w:after="0" w:line="8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Aerospace and Defense</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Auto Sector</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Broadcasting and Entertainment</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Buildings and Real Estate</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rPr>
              <w:t>Ÿ   Healthcare, Education and Childcare</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Business Services</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w w:val="95"/>
              </w:rPr>
              <w:t>Ÿ   Home &amp; Office Furnishings, Housewares &amp; Durable Consumer Products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Cable Television</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rPr>
              <w:t>Ÿ   Hotels, Motels, Inns and Gaming</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Cargo Transportation</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02"/>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Chemicals, Plastics and Rubber</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rPr>
              <w:t>Ÿ   Leisure, Amusement, Motion Picture, Entertainment</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Communications</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Consumer Products</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rPr>
              <w:t>Ÿ   Manufacturing / Basic Industries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Containers Packaging &amp; Glass</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Media</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Distribution</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Diversified/Conglomerate Manufacturing</w:t>
            </w:r>
          </w:p>
        </w:tc>
        <w:tc>
          <w:tcPr>
            <w:tcW w:w="5580" w:type="dxa"/>
            <w:vAlign w:val="bottom"/>
            <w:gridSpan w:val="2"/>
          </w:tcPr>
          <w:p>
            <w:pPr>
              <w:ind w:left="1080"/>
              <w:spacing w:after="0"/>
              <w:rPr>
                <w:sz w:val="20"/>
                <w:szCs w:val="20"/>
                <w:color w:val="auto"/>
              </w:rPr>
            </w:pPr>
            <w:r>
              <w:rPr>
                <w:rFonts w:ascii="Arial" w:cs="Arial" w:eastAsia="Arial" w:hAnsi="Arial"/>
                <w:sz w:val="14"/>
                <w:szCs w:val="14"/>
                <w:color w:val="auto"/>
              </w:rPr>
              <w:t>Ÿ   Personal, Food and Miscellaneous Services</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Diversified/Conglomerate Services</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Education</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Retail Store</w:t>
            </w:r>
          </w:p>
        </w:tc>
      </w:tr>
      <w:tr>
        <w:trPr>
          <w:trHeight w:val="203"/>
        </w:trPr>
        <w:tc>
          <w:tcPr>
            <w:tcW w:w="280" w:type="dxa"/>
            <w:vAlign w:val="bottom"/>
          </w:tcPr>
          <w:p>
            <w:pPr>
              <w:spacing w:after="0"/>
              <w:rPr>
                <w:sz w:val="20"/>
                <w:szCs w:val="20"/>
                <w:color w:val="auto"/>
              </w:rPr>
            </w:pPr>
            <w:r>
              <w:rPr>
                <w:rFonts w:ascii="Arial" w:cs="Arial" w:eastAsia="Arial" w:hAnsi="Arial"/>
                <w:sz w:val="14"/>
                <w:szCs w:val="14"/>
                <w:color w:val="auto"/>
              </w:rPr>
              <w:t>Ÿ</w:t>
            </w:r>
          </w:p>
        </w:tc>
        <w:tc>
          <w:tcPr>
            <w:tcW w:w="3660" w:type="dxa"/>
            <w:vAlign w:val="bottom"/>
          </w:tcPr>
          <w:p>
            <w:pPr>
              <w:ind w:left="160"/>
              <w:spacing w:after="0"/>
              <w:rPr>
                <w:sz w:val="20"/>
                <w:szCs w:val="20"/>
                <w:color w:val="auto"/>
              </w:rPr>
            </w:pPr>
            <w:r>
              <w:rPr>
                <w:rFonts w:ascii="Arial" w:cs="Arial" w:eastAsia="Arial" w:hAnsi="Arial"/>
                <w:sz w:val="14"/>
                <w:szCs w:val="14"/>
                <w:color w:val="auto"/>
              </w:rPr>
              <w:t>Energy / Utilities</w:t>
            </w:r>
          </w:p>
        </w:tc>
        <w:tc>
          <w:tcPr>
            <w:tcW w:w="1280" w:type="dxa"/>
            <w:vAlign w:val="bottom"/>
          </w:tcPr>
          <w:p>
            <w:pPr>
              <w:ind w:left="1080"/>
              <w:spacing w:after="0"/>
              <w:rPr>
                <w:sz w:val="20"/>
                <w:szCs w:val="20"/>
                <w:color w:val="auto"/>
              </w:rPr>
            </w:pPr>
            <w:r>
              <w:rPr>
                <w:rFonts w:ascii="Arial" w:cs="Arial" w:eastAsia="Arial" w:hAnsi="Arial"/>
                <w:sz w:val="14"/>
                <w:szCs w:val="14"/>
                <w:color w:val="auto"/>
              </w:rPr>
              <w:t>Ÿ</w:t>
            </w:r>
          </w:p>
        </w:tc>
        <w:tc>
          <w:tcPr>
            <w:tcW w:w="430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635"/>
        </w:trPr>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80" w:type="dxa"/>
            <w:vAlign w:val="bottom"/>
          </w:tcPr>
          <w:p>
            <w:pPr>
              <w:ind w:left="1080"/>
              <w:spacing w:after="0"/>
              <w:rPr>
                <w:sz w:val="20"/>
                <w:szCs w:val="20"/>
                <w:color w:val="auto"/>
              </w:rPr>
            </w:pPr>
            <w:r>
              <w:rPr>
                <w:rFonts w:ascii="Arial" w:cs="Arial" w:eastAsia="Arial" w:hAnsi="Arial"/>
                <w:sz w:val="14"/>
                <w:szCs w:val="14"/>
                <w:color w:val="auto"/>
              </w:rPr>
              <w:t>9</w:t>
            </w:r>
          </w:p>
        </w:tc>
        <w:tc>
          <w:tcPr>
            <w:tcW w:w="4300" w:type="dxa"/>
            <w:vAlign w:val="bottom"/>
          </w:tcPr>
          <w:p>
            <w:pPr>
              <w:spacing w:after="0"/>
              <w:rPr>
                <w:sz w:val="24"/>
                <w:szCs w:val="24"/>
                <w:color w:val="auto"/>
              </w:rPr>
            </w:pPr>
          </w:p>
        </w:tc>
      </w:tr>
    </w:tbl>
    <w:p>
      <w:pPr>
        <w:sectPr>
          <w:pgSz w:w="11900" w:h="16838" w:orient="portrait"/>
          <w:cols w:equalWidth="0" w:num="1">
            <w:col w:w="11060"/>
          </w:cols>
          <w:pgMar w:left="320" w:top="121" w:right="5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600" w:type="dxa"/>
            <w:vAlign w:val="bottom"/>
          </w:tcPr>
          <w:p>
            <w:pPr>
              <w:ind w:left="200"/>
              <w:spacing w:after="0"/>
              <w:rPr>
                <w:sz w:val="20"/>
                <w:szCs w:val="20"/>
                <w:color w:val="auto"/>
              </w:rPr>
            </w:pPr>
            <w:r>
              <w:rPr>
                <w:rFonts w:ascii="Arial" w:cs="Arial" w:eastAsia="Arial" w:hAnsi="Arial"/>
                <w:sz w:val="14"/>
                <w:szCs w:val="14"/>
                <w:b w:val="1"/>
                <w:bCs w:val="1"/>
                <w:color w:val="auto"/>
              </w:rPr>
              <w:t>September 30, 2011</w:t>
            </w:r>
          </w:p>
        </w:tc>
        <w:tc>
          <w:tcPr>
            <w:tcW w:w="2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rPr>
              <w:t>September 30, 2010</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37"/>
        </w:trPr>
        <w:tc>
          <w:tcPr>
            <w:tcW w:w="40" w:type="dxa"/>
            <w:vAlign w:val="bottom"/>
            <w:shd w:val="clear" w:color="auto" w:fill="CCEEFF"/>
          </w:tcPr>
          <w:p>
            <w:pPr>
              <w:spacing w:after="0"/>
              <w:rPr>
                <w:sz w:val="11"/>
                <w:szCs w:val="11"/>
                <w:color w:val="auto"/>
              </w:rPr>
            </w:pPr>
          </w:p>
        </w:tc>
        <w:tc>
          <w:tcPr>
            <w:tcW w:w="348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w w:val="96"/>
              </w:rPr>
              <w:t>Eureka Hunter Pipeline, LLC (Magnum Hunter Resources</w:t>
            </w:r>
          </w:p>
        </w:tc>
        <w:tc>
          <w:tcPr>
            <w:tcW w:w="1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94"/>
        </w:trPr>
        <w:tc>
          <w:tcPr>
            <w:tcW w:w="4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w:t>
            </w:r>
          </w:p>
        </w:tc>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Learning Care Group, Inc.</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w:t>
            </w:r>
          </w:p>
        </w:tc>
      </w:tr>
      <w:tr>
        <w:trPr>
          <w:trHeight w:val="196"/>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Veritext Corporation</w:t>
            </w:r>
          </w:p>
        </w:tc>
        <w:tc>
          <w:tcPr>
            <w:tcW w:w="158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09"/>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Pre-Paid Legal Services, Inc.</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CT Technologies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r>
      <w:tr>
        <w:trPr>
          <w:trHeight w:val="157"/>
        </w:trPr>
        <w:tc>
          <w:tcPr>
            <w:tcW w:w="40" w:type="dxa"/>
            <w:vAlign w:val="bottom"/>
          </w:tcPr>
          <w:p>
            <w:pPr>
              <w:spacing w:after="0"/>
              <w:rPr>
                <w:sz w:val="13"/>
                <w:szCs w:val="13"/>
                <w:color w:val="auto"/>
              </w:rPr>
            </w:pPr>
          </w:p>
        </w:tc>
        <w:tc>
          <w:tcPr>
            <w:tcW w:w="3480" w:type="dxa"/>
            <w:vAlign w:val="bottom"/>
            <w:gridSpan w:val="2"/>
          </w:tcPr>
          <w:p>
            <w:pPr>
              <w:spacing w:after="0" w:line="157" w:lineRule="exact"/>
              <w:rPr>
                <w:sz w:val="20"/>
                <w:szCs w:val="20"/>
                <w:color w:val="auto"/>
              </w:rPr>
            </w:pPr>
            <w:r>
              <w:rPr>
                <w:rFonts w:ascii="Arial" w:cs="Arial" w:eastAsia="Arial" w:hAnsi="Arial"/>
                <w:sz w:val="14"/>
                <w:szCs w:val="14"/>
                <w:color w:val="auto"/>
              </w:rPr>
              <w:t>Kadmon Pharmaceuticals LLC (F/K/A Three River</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Pharmaceuticals LLC)</w:t>
            </w:r>
          </w:p>
        </w:tc>
        <w:tc>
          <w:tcPr>
            <w:tcW w:w="1600" w:type="dxa"/>
            <w:vAlign w:val="bottom"/>
          </w:tcPr>
          <w:p>
            <w:pPr>
              <w:jc w:val="center"/>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Da-Lite Screen Company, Inc.</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Learning Care Group, Inc.</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i2 Holdings, Ltd.</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r>
      <w:tr>
        <w:trPr>
          <w:trHeight w:val="197"/>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1600" w:type="dxa"/>
            <w:vAlign w:val="bottom"/>
          </w:tcPr>
          <w:p>
            <w:pPr>
              <w:jc w:val="center"/>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Veritext Corporation</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Saint Acquisition Corp.</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r>
      <w:tr>
        <w:trPr>
          <w:trHeight w:val="197"/>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600" w:type="dxa"/>
            <w:vAlign w:val="bottom"/>
          </w:tcPr>
          <w:p>
            <w:pPr>
              <w:jc w:val="center"/>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Sugarhouse HSP Gaming Properties</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Penton Media, Inc.</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Three Rivers Pharmaceuticals, LLC</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r>
      <w:tr>
        <w:trPr>
          <w:trHeight w:val="190"/>
        </w:trPr>
        <w:tc>
          <w:tcPr>
            <w:tcW w:w="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Prince Mineral Holdings Corp.</w:t>
            </w:r>
          </w:p>
        </w:tc>
        <w:tc>
          <w:tcPr>
            <w:tcW w:w="1600" w:type="dxa"/>
            <w:vAlign w:val="bottom"/>
          </w:tcPr>
          <w:p>
            <w:pPr>
              <w:jc w:val="center"/>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Trizetto Group, Inc.</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Industry</w:t>
            </w:r>
          </w:p>
        </w:tc>
        <w:tc>
          <w:tcPr>
            <w:tcW w:w="2940" w:type="dxa"/>
            <w:vAlign w:val="bottom"/>
          </w:tcPr>
          <w:p>
            <w:pPr>
              <w:spacing w:after="0"/>
              <w:rPr>
                <w:sz w:val="14"/>
                <w:szCs w:val="14"/>
                <w:color w:val="auto"/>
              </w:rPr>
            </w:pPr>
          </w:p>
        </w:tc>
        <w:tc>
          <w:tcPr>
            <w:tcW w:w="1600" w:type="dxa"/>
            <w:vAlign w:val="bottom"/>
          </w:tcPr>
          <w:p>
            <w:pPr>
              <w:ind w:left="200"/>
              <w:spacing w:after="0"/>
              <w:rPr>
                <w:sz w:val="20"/>
                <w:szCs w:val="20"/>
                <w:color w:val="auto"/>
              </w:rPr>
            </w:pPr>
            <w:r>
              <w:rPr>
                <w:rFonts w:ascii="Arial" w:cs="Arial" w:eastAsia="Arial" w:hAnsi="Arial"/>
                <w:sz w:val="14"/>
                <w:szCs w:val="14"/>
                <w:b w:val="1"/>
                <w:bCs w:val="1"/>
                <w:color w:val="auto"/>
              </w:rPr>
              <w:t>September 30, 2011</w:t>
            </w: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Industry</w:t>
            </w:r>
          </w:p>
        </w:tc>
        <w:tc>
          <w:tcPr>
            <w:tcW w:w="3340" w:type="dxa"/>
            <w:vAlign w:val="bottom"/>
          </w:tcPr>
          <w:p>
            <w:pPr>
              <w:spacing w:after="0"/>
              <w:rPr>
                <w:sz w:val="14"/>
                <w:szCs w:val="14"/>
                <w:color w:val="auto"/>
              </w:rPr>
            </w:pP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rPr>
              <w:t>September 30, 2010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58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Education and Childcare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Education and Childcare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Energy / Utilities</w:t>
            </w:r>
          </w:p>
        </w:tc>
        <w:tc>
          <w:tcPr>
            <w:tcW w:w="1600" w:type="dxa"/>
            <w:vAlign w:val="bottom"/>
          </w:tcPr>
          <w:p>
            <w:pPr>
              <w:jc w:val="center"/>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1580" w:type="dxa"/>
            <w:vAlign w:val="bottom"/>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Cargo Transport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600" w:type="dxa"/>
            <w:vAlign w:val="bottom"/>
          </w:tcPr>
          <w:p>
            <w:pPr>
              <w:jc w:val="center"/>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Chemicals, Plastic and Rubber</w:t>
            </w:r>
          </w:p>
        </w:tc>
        <w:tc>
          <w:tcPr>
            <w:tcW w:w="158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Products</w:t>
            </w:r>
          </w:p>
        </w:tc>
        <w:tc>
          <w:tcPr>
            <w:tcW w:w="1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Home and Office Furnishings, Housewares, and Durable</w:t>
            </w: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Products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Education</w:t>
            </w:r>
          </w:p>
        </w:tc>
        <w:tc>
          <w:tcPr>
            <w:tcW w:w="158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Personal, Food and Miscellaneous Services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Insurance</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Oil and Gas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6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00" w:type="dxa"/>
            <w:vAlign w:val="bottom"/>
            <w:gridSpan w:val="3"/>
          </w:tcPr>
          <w:p>
            <w:pPr>
              <w:jc w:val="right"/>
              <w:ind w:right="3320"/>
              <w:spacing w:after="0"/>
              <w:rPr>
                <w:sz w:val="20"/>
                <w:szCs w:val="20"/>
                <w:color w:val="auto"/>
              </w:rPr>
            </w:pPr>
            <w:r>
              <w:rPr>
                <w:rFonts w:ascii="Arial" w:cs="Arial" w:eastAsia="Arial" w:hAnsi="Arial"/>
                <w:sz w:val="14"/>
                <w:szCs w:val="14"/>
                <w:color w:val="auto"/>
              </w:rPr>
              <w:t>10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121" w:right="9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firstLine="486"/>
        <w:spacing w:after="0" w:line="245"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39" w:lineRule="exact"/>
        <w:rPr>
          <w:sz w:val="20"/>
          <w:szCs w:val="20"/>
          <w:color w:val="auto"/>
        </w:rPr>
      </w:pPr>
    </w:p>
    <w:p>
      <w:pPr>
        <w:jc w:val="both"/>
        <w:ind w:right="80" w:firstLine="432"/>
        <w:spacing w:after="0" w:line="252"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4" w:lineRule="exact"/>
        <w:rPr>
          <w:sz w:val="20"/>
          <w:szCs w:val="20"/>
          <w:color w:val="auto"/>
        </w:rPr>
      </w:pPr>
    </w:p>
    <w:p>
      <w:pPr>
        <w:ind w:right="300" w:firstLine="432"/>
        <w:spacing w:after="0" w:line="273" w:lineRule="auto"/>
        <w:rPr>
          <w:sz w:val="20"/>
          <w:szCs w:val="20"/>
          <w:color w:val="auto"/>
        </w:rPr>
      </w:pPr>
      <w:r>
        <w:rPr>
          <w:rFonts w:ascii="Arial" w:cs="Arial" w:eastAsia="Arial" w:hAnsi="Arial"/>
          <w:sz w:val="14"/>
          <w:szCs w:val="14"/>
          <w:color w:val="auto"/>
        </w:rPr>
        <w:t>On September 30, 2011, our portfolio consisted of 48 companies and was invested 36% in senior secured loans, 20% in second lien secured debt, 37% in subordinated debt and 7% in preferred and common equity investments.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Due diligence</w:t>
      </w:r>
    </w:p>
    <w:p>
      <w:pPr>
        <w:spacing w:after="0" w:line="82"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typically includes:</w:t>
      </w:r>
    </w:p>
    <w:p>
      <w:pPr>
        <w:spacing w:after="0" w:line="55"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6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34" w:lineRule="exact"/>
        <w:rPr>
          <w:sz w:val="20"/>
          <w:szCs w:val="20"/>
          <w:color w:val="auto"/>
        </w:rPr>
      </w:pPr>
    </w:p>
    <w:p>
      <w:pPr>
        <w:ind w:right="320" w:firstLine="432"/>
        <w:spacing w:after="0" w:line="27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right="40" w:firstLine="432"/>
        <w:spacing w:after="0" w:line="273" w:lineRule="auto"/>
        <w:rPr>
          <w:sz w:val="20"/>
          <w:szCs w:val="20"/>
          <w:color w:val="auto"/>
        </w:rPr>
      </w:pPr>
      <w:r>
        <w:rPr>
          <w:rFonts w:ascii="Arial" w:cs="Arial" w:eastAsia="Arial" w:hAnsi="Arial"/>
          <w:sz w:val="13"/>
          <w:szCs w:val="13"/>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41" w:lineRule="exact"/>
        <w:rPr>
          <w:sz w:val="20"/>
          <w:szCs w:val="20"/>
          <w:color w:val="auto"/>
        </w:rPr>
      </w:pPr>
    </w:p>
    <w:p>
      <w:pPr>
        <w:ind w:right="80" w:firstLine="432"/>
        <w:spacing w:after="0" w:line="268" w:lineRule="auto"/>
        <w:rPr>
          <w:sz w:val="20"/>
          <w:szCs w:val="20"/>
          <w:color w:val="auto"/>
        </w:rPr>
      </w:pPr>
      <w:r>
        <w:rPr>
          <w:rFonts w:ascii="Arial" w:cs="Arial" w:eastAsia="Arial" w:hAnsi="Arial"/>
          <w:sz w:val="13"/>
          <w:szCs w:val="13"/>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82" w:lineRule="exact"/>
        <w:rPr>
          <w:sz w:val="20"/>
          <w:szCs w:val="20"/>
          <w:color w:val="auto"/>
        </w:rPr>
      </w:pPr>
    </w:p>
    <w:p>
      <w:pPr>
        <w:ind w:right="40" w:firstLine="432"/>
        <w:spacing w:after="0" w:line="257"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31"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0"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Mezzanine debt may have interest-only payments in the early years, cash or payment-in-kind, or PIK, payments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3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3"/>
          <w:szCs w:val="13"/>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incorporating “put” rights and call protection into the investment structure; and</w:t>
      </w:r>
    </w:p>
    <w:p>
      <w:pPr>
        <w:spacing w:after="0" w:line="87" w:lineRule="exact"/>
        <w:rPr>
          <w:rFonts w:ascii="Arial" w:cs="Arial" w:eastAsia="Arial" w:hAnsi="Arial"/>
          <w:sz w:val="18"/>
          <w:szCs w:val="18"/>
          <w:color w:val="auto"/>
        </w:rPr>
      </w:pPr>
    </w:p>
    <w:p>
      <w:pPr>
        <w:ind w:left="820" w:right="420" w:hanging="326"/>
        <w:spacing w:after="0" w:line="29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33"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3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Monitoring</w:t>
      </w:r>
    </w:p>
    <w:p>
      <w:pPr>
        <w:spacing w:after="0" w:line="8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they are meeting their respective business plans and to assess the appropriate course of action for each company.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57"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Assessment of success in adhering to portfolio company’s business plan and compliance with covenants;</w:t>
      </w:r>
    </w:p>
    <w:p>
      <w:pPr>
        <w:spacing w:after="0" w:line="87" w:lineRule="exact"/>
        <w:rPr>
          <w:rFonts w:ascii="Arial" w:cs="Arial" w:eastAsia="Arial" w:hAnsi="Arial"/>
          <w:sz w:val="18"/>
          <w:szCs w:val="18"/>
          <w:color w:val="auto"/>
        </w:rPr>
      </w:pPr>
    </w:p>
    <w:p>
      <w:pPr>
        <w:ind w:left="820" w:right="840" w:hanging="326"/>
        <w:spacing w:after="0" w:line="28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Periodic and regular contact with portfolio company management and, if appropriate, the financial or strategic sponsor, to discuss financial position, requirements and accomplishments;</w:t>
      </w:r>
    </w:p>
    <w:p>
      <w:pPr>
        <w:spacing w:after="0" w:line="24"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Comparisons to other portfolio companies in the industry, if 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Attendance at and participation in board meetings or presentations by portfolio companies;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4"/>
          <w:szCs w:val="14"/>
          <w:color w:val="auto"/>
        </w:rPr>
        <w:t>Review of monthly and quarterly financial statements and financial projections for portfolio companies.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8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Staffing</w:t>
      </w:r>
    </w:p>
    <w:p>
      <w:pPr>
        <w:spacing w:after="0" w:line="82" w:lineRule="exact"/>
        <w:rPr>
          <w:sz w:val="20"/>
          <w:szCs w:val="20"/>
          <w:color w:val="auto"/>
        </w:rPr>
      </w:pPr>
    </w:p>
    <w:p>
      <w:pPr>
        <w:ind w:right="240" w:firstLine="432"/>
        <w:spacing w:after="0" w:line="27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82"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4"/>
          <w:szCs w:val="14"/>
          <w:color w:val="auto"/>
        </w:rPr>
        <w:t>PennantPark Investment has entered into the Investment Management Agreement with the Investment Adviser under which the Investment Adviser, subject to the overall supervision of our board of directors, manages the day-to-day operations of and provides investment advisory services to, us. We through the Investment Adviser, provide similar services to SBIC LP under its investment management agreement. Under the terms of our Investment Management Agreement, PennantPark Investment Advisers:</w:t>
      </w:r>
    </w:p>
    <w:p>
      <w:pPr>
        <w:spacing w:after="0" w:line="2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4"/>
          <w:szCs w:val="14"/>
          <w:color w:val="auto"/>
        </w:rPr>
        <w:t>closes and monitors the investments we make.</w:t>
      </w:r>
    </w:p>
    <w:p>
      <w:pPr>
        <w:spacing w:after="0" w:line="169" w:lineRule="exact"/>
        <w:rPr>
          <w:sz w:val="20"/>
          <w:szCs w:val="20"/>
          <w:color w:val="auto"/>
        </w:rPr>
      </w:pPr>
    </w:p>
    <w:p>
      <w:pPr>
        <w:ind w:right="260" w:firstLine="432"/>
        <w:spacing w:after="0" w:line="252"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82" w:lineRule="exact"/>
        <w:rPr>
          <w:sz w:val="20"/>
          <w:szCs w:val="20"/>
          <w:color w:val="auto"/>
        </w:rPr>
      </w:pPr>
    </w:p>
    <w:p>
      <w:pPr>
        <w:ind w:right="80" w:firstLine="432"/>
        <w:spacing w:after="0" w:line="249" w:lineRule="auto"/>
        <w:rPr>
          <w:sz w:val="20"/>
          <w:szCs w:val="20"/>
          <w:color w:val="auto"/>
        </w:rPr>
      </w:pPr>
      <w:r>
        <w:rPr>
          <w:rFonts w:ascii="Arial" w:cs="Arial" w:eastAsia="Arial" w:hAnsi="Arial"/>
          <w:sz w:val="14"/>
          <w:szCs w:val="14"/>
          <w:color w:val="auto"/>
        </w:rPr>
        <w:t>The base management fee is calculated at an annual rate of 2.00% of our gross assets (net of U.S. Treasury Bills and/or temporary draws on the Credit Facility or “average adjusted gross assets,” if any).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and payable in arrears. For the fiscal years ended September 30, 2011, 2010 and 2009, the Investment Adviser earned base management fees of $14.9 million, $11.6 million and $7.7 million, respectively, from us.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63" w:lineRule="exact"/>
        <w:rPr>
          <w:sz w:val="20"/>
          <w:szCs w:val="20"/>
          <w:color w:val="auto"/>
        </w:rPr>
      </w:pPr>
    </w:p>
    <w:p>
      <w:pPr>
        <w:ind w:firstLine="432"/>
        <w:spacing w:after="0" w:line="26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for any period of less than three months and adjusted for any share issuances or repurchases during the current quarter.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210820</wp:posOffset>
            </wp:positionV>
            <wp:extent cx="212598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59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51" w:lineRule="exact"/>
        <w:rPr>
          <w:sz w:val="20"/>
          <w:szCs w:val="20"/>
          <w:color w:val="auto"/>
        </w:rPr>
      </w:pPr>
    </w:p>
    <w:p>
      <w:pPr>
        <w:ind w:right="80" w:firstLine="432"/>
        <w:spacing w:after="0" w:line="250"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w:t>
      </w:r>
    </w:p>
    <w:p>
      <w:pPr>
        <w:spacing w:after="0" w:line="1" w:lineRule="exact"/>
        <w:rPr>
          <w:sz w:val="20"/>
          <w:szCs w:val="20"/>
          <w:color w:val="auto"/>
        </w:rPr>
      </w:pPr>
    </w:p>
    <w:p>
      <w:pPr>
        <w:ind w:right="380"/>
        <w:spacing w:after="0" w:line="248" w:lineRule="auto"/>
        <w:rPr>
          <w:sz w:val="20"/>
          <w:szCs w:val="20"/>
          <w:color w:val="auto"/>
        </w:rPr>
      </w:pPr>
      <w:r>
        <w:rPr>
          <w:rFonts w:ascii="Arial" w:cs="Arial" w:eastAsia="Arial" w:hAnsi="Arial"/>
          <w:sz w:val="14"/>
          <w:szCs w:val="14"/>
          <w:color w:val="auto"/>
        </w:rPr>
        <w:t>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$13.2 million, $8.0 million and $5.7 million, respectively, in incentive fees.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Investment income (including interest, distributions, fees, etc.) = 1.25%</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0.50%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8"/>
          <w:szCs w:val="8"/>
          <w:color w:val="auto"/>
        </w:rPr>
        <w:t>(3)</w:t>
      </w:r>
      <w:r>
        <w:rPr>
          <w:rFonts w:ascii="Arial" w:cs="Arial" w:eastAsia="Arial" w:hAnsi="Arial"/>
          <w:sz w:val="14"/>
          <w:szCs w:val="14"/>
          <w:color w:val="auto"/>
        </w:rPr>
        <w:t xml:space="preserve"> = 0.20%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Pre-Incentive Fee Net Investment Income</w:t>
      </w:r>
    </w:p>
    <w:p>
      <w:pPr>
        <w:spacing w:after="0" w:line="82" w:lineRule="exact"/>
        <w:rPr>
          <w:sz w:val="20"/>
          <w:szCs w:val="20"/>
          <w:color w:val="auto"/>
        </w:rPr>
      </w:pPr>
    </w:p>
    <w:p>
      <w:pPr>
        <w:ind w:left="880" w:right="3719"/>
        <w:spacing w:after="0" w:line="393" w:lineRule="auto"/>
        <w:rPr>
          <w:sz w:val="20"/>
          <w:szCs w:val="20"/>
          <w:color w:val="auto"/>
        </w:rPr>
      </w:pPr>
      <w:r>
        <w:rPr>
          <w:rFonts w:ascii="Arial" w:cs="Arial" w:eastAsia="Arial" w:hAnsi="Arial"/>
          <w:sz w:val="14"/>
          <w:szCs w:val="14"/>
          <w:color w:val="auto"/>
        </w:rPr>
        <w:t>(investment income—(base management fee + other expenses)) = 0.55% Pre-incentive net investment income does not exceed Hurdle; therefore there is no incentive fee.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income (including interest, distributions, fees, etc.) = 2.70%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0.50%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8"/>
          <w:szCs w:val="8"/>
          <w:color w:val="auto"/>
        </w:rPr>
        <w:t>(3)</w:t>
      </w:r>
      <w:r>
        <w:rPr>
          <w:rFonts w:ascii="Arial" w:cs="Arial" w:eastAsia="Arial" w:hAnsi="Arial"/>
          <w:sz w:val="14"/>
          <w:szCs w:val="14"/>
          <w:color w:val="auto"/>
        </w:rPr>
        <w:t xml:space="preserve"> = 0.20%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Pre-Incentive Fee Net Investment Income</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income—(base management fee + other expenses)) = 2.00%</w:t>
      </w:r>
    </w:p>
    <w:p>
      <w:pPr>
        <w:spacing w:after="0" w:line="163" w:lineRule="exact"/>
        <w:rPr>
          <w:sz w:val="20"/>
          <w:szCs w:val="20"/>
          <w:color w:val="auto"/>
        </w:rPr>
      </w:pPr>
    </w:p>
    <w:p>
      <w:pPr>
        <w:jc w:val="right"/>
        <w:ind w:right="2959"/>
        <w:spacing w:after="0"/>
        <w:tabs>
          <w:tab w:leader="none" w:pos="420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20% x Pre-Incentive Fee Net Investment Income, subject to “catch-up”</w:t>
      </w:r>
    </w:p>
    <w:p>
      <w:pPr>
        <w:spacing w:after="0" w:line="109" w:lineRule="exact"/>
        <w:rPr>
          <w:sz w:val="20"/>
          <w:szCs w:val="20"/>
          <w:color w:val="auto"/>
        </w:rPr>
      </w:pPr>
    </w:p>
    <w:p>
      <w:pPr>
        <w:ind w:left="3080" w:hanging="122"/>
        <w:spacing w:after="0"/>
        <w:tabs>
          <w:tab w:leader="none" w:pos="3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2.00% - 1.75%</w:t>
      </w:r>
    </w:p>
    <w:p>
      <w:pPr>
        <w:spacing w:after="0" w:line="109" w:lineRule="exact"/>
        <w:rPr>
          <w:rFonts w:ascii="Arial" w:cs="Arial" w:eastAsia="Arial" w:hAnsi="Arial"/>
          <w:sz w:val="14"/>
          <w:szCs w:val="14"/>
          <w:color w:val="auto"/>
        </w:rPr>
      </w:pPr>
    </w:p>
    <w:p>
      <w:pPr>
        <w:ind w:left="3080" w:hanging="122"/>
        <w:spacing w:after="0"/>
        <w:tabs>
          <w:tab w:leader="none" w:pos="3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0.25%</w:t>
      </w:r>
    </w:p>
    <w:p>
      <w:pPr>
        <w:spacing w:after="0" w:line="109" w:lineRule="exact"/>
        <w:rPr>
          <w:rFonts w:ascii="Arial" w:cs="Arial" w:eastAsia="Arial" w:hAnsi="Arial"/>
          <w:sz w:val="14"/>
          <w:szCs w:val="14"/>
          <w:color w:val="auto"/>
        </w:rPr>
      </w:pPr>
    </w:p>
    <w:p>
      <w:pPr>
        <w:ind w:left="3080" w:hanging="122"/>
        <w:spacing w:after="0"/>
        <w:tabs>
          <w:tab w:leader="none" w:pos="3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100% x 0.25%</w:t>
      </w:r>
    </w:p>
    <w:p>
      <w:pPr>
        <w:spacing w:after="0" w:line="109" w:lineRule="exact"/>
        <w:rPr>
          <w:rFonts w:ascii="Arial" w:cs="Arial" w:eastAsia="Arial" w:hAnsi="Arial"/>
          <w:sz w:val="14"/>
          <w:szCs w:val="14"/>
          <w:color w:val="auto"/>
        </w:rPr>
      </w:pPr>
    </w:p>
    <w:p>
      <w:pPr>
        <w:ind w:left="3080" w:hanging="122"/>
        <w:spacing w:after="0"/>
        <w:tabs>
          <w:tab w:leader="none" w:pos="3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0.25%</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39"/>
          </w:cols>
          <w:pgMar w:left="320" w:top="122" w:right="1440"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income (including interest, distributions, fees, etc.) = 3.00%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Hurdle</w:t>
      </w:r>
      <w:r>
        <w:rPr>
          <w:rFonts w:ascii="Arial" w:cs="Arial" w:eastAsia="Arial" w:hAnsi="Arial"/>
          <w:sz w:val="8"/>
          <w:szCs w:val="8"/>
          <w:color w:val="auto"/>
        </w:rPr>
        <w:t>(1)</w:t>
      </w:r>
      <w:r>
        <w:rPr>
          <w:rFonts w:ascii="Arial" w:cs="Arial" w:eastAsia="Arial" w:hAnsi="Arial"/>
          <w:sz w:val="14"/>
          <w:szCs w:val="14"/>
          <w:color w:val="auto"/>
        </w:rPr>
        <w:t xml:space="preserve"> = 1.75%</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8"/>
          <w:szCs w:val="8"/>
          <w:color w:val="auto"/>
        </w:rPr>
        <w:t>(2)</w:t>
      </w:r>
      <w:r>
        <w:rPr>
          <w:rFonts w:ascii="Arial" w:cs="Arial" w:eastAsia="Arial" w:hAnsi="Arial"/>
          <w:sz w:val="14"/>
          <w:szCs w:val="14"/>
          <w:color w:val="auto"/>
        </w:rPr>
        <w:t xml:space="preserve"> = 0.50%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8"/>
          <w:szCs w:val="8"/>
          <w:color w:val="auto"/>
        </w:rPr>
        <w:t>(3)</w:t>
      </w:r>
      <w:r>
        <w:rPr>
          <w:rFonts w:ascii="Arial" w:cs="Arial" w:eastAsia="Arial" w:hAnsi="Arial"/>
          <w:sz w:val="14"/>
          <w:szCs w:val="14"/>
          <w:color w:val="auto"/>
        </w:rPr>
        <w:t xml:space="preserve"> = 0.20%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Pre-Incentive Fee Net Investment Income</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income—(base management fee + other expenses)) = 2.30%</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Incentive fee</w:t>
            </w:r>
          </w:p>
        </w:tc>
        <w:tc>
          <w:tcPr>
            <w:tcW w:w="5320" w:type="dxa"/>
            <w:vAlign w:val="bottom"/>
          </w:tcPr>
          <w:p>
            <w:pPr>
              <w:ind w:left="320"/>
              <w:spacing w:after="0"/>
              <w:rPr>
                <w:sz w:val="20"/>
                <w:szCs w:val="20"/>
                <w:color w:val="auto"/>
              </w:rPr>
            </w:pPr>
            <w:r>
              <w:rPr>
                <w:rFonts w:ascii="Arial" w:cs="Arial" w:eastAsia="Arial" w:hAnsi="Arial"/>
                <w:sz w:val="14"/>
                <w:szCs w:val="14"/>
                <w:color w:val="auto"/>
              </w:rPr>
              <w:t>= 20% x Pre-Incentive Fee Net Investment Income, subject to “catch-up”</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4"/>
                <w:szCs w:val="14"/>
                <w:color w:val="auto"/>
              </w:rPr>
              <w:t>Incentive fee</w:t>
            </w:r>
          </w:p>
        </w:tc>
        <w:tc>
          <w:tcPr>
            <w:tcW w:w="5320" w:type="dxa"/>
            <w:vAlign w:val="bottom"/>
            <w:vMerge w:val="restart"/>
          </w:tcPr>
          <w:p>
            <w:pPr>
              <w:ind w:left="320"/>
              <w:spacing w:after="0"/>
              <w:rPr>
                <w:sz w:val="20"/>
                <w:szCs w:val="20"/>
                <w:color w:val="auto"/>
              </w:rPr>
            </w:pPr>
            <w:r>
              <w:rPr>
                <w:rFonts w:ascii="Arial" w:cs="Arial" w:eastAsia="Arial" w:hAnsi="Arial"/>
                <w:sz w:val="14"/>
                <w:szCs w:val="14"/>
                <w:color w:val="auto"/>
                <w:w w:val="94"/>
              </w:rPr>
              <w:t>= 100% x "catch-up" + (20% x (Pre-Incentive Fee Net Investment Income - 2.1875%))</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5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120"/>
              <w:spacing w:after="0"/>
              <w:rPr>
                <w:sz w:val="20"/>
                <w:szCs w:val="20"/>
                <w:color w:val="auto"/>
              </w:rPr>
            </w:pPr>
            <w:r>
              <w:rPr>
                <w:rFonts w:ascii="Arial" w:cs="Arial" w:eastAsia="Arial" w:hAnsi="Arial"/>
                <w:sz w:val="14"/>
                <w:szCs w:val="14"/>
                <w:color w:val="auto"/>
              </w:rPr>
              <w:t>Catch-up</w:t>
            </w:r>
          </w:p>
        </w:tc>
        <w:tc>
          <w:tcPr>
            <w:tcW w:w="5320" w:type="dxa"/>
            <w:vAlign w:val="bottom"/>
          </w:tcPr>
          <w:p>
            <w:pPr>
              <w:ind w:left="320"/>
              <w:spacing w:after="0"/>
              <w:rPr>
                <w:sz w:val="20"/>
                <w:szCs w:val="20"/>
                <w:color w:val="auto"/>
              </w:rPr>
            </w:pPr>
            <w:r>
              <w:rPr>
                <w:rFonts w:ascii="Arial" w:cs="Arial" w:eastAsia="Arial" w:hAnsi="Arial"/>
                <w:sz w:val="14"/>
                <w:szCs w:val="14"/>
                <w:color w:val="auto"/>
              </w:rPr>
              <w:t>=2.1875% - 1.75%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4"/>
                <w:szCs w:val="14"/>
                <w:color w:val="auto"/>
              </w:rPr>
              <w:t>=0.4375%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4"/>
                <w:szCs w:val="14"/>
                <w:color w:val="auto"/>
              </w:rPr>
              <w:t>=(100% x 0.4375%) + (20% x (2.30% -2.1875%))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4"/>
                <w:szCs w:val="14"/>
                <w:color w:val="auto"/>
              </w:rPr>
              <w:t>=0.4375% + (20% x 0.1125%)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4"/>
                <w:szCs w:val="14"/>
                <w:color w:val="auto"/>
              </w:rPr>
              <w:t>=0.4375% + 0.0225%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Assumptions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Year 1 = no net realized capital gains or losses</w:t>
      </w:r>
    </w:p>
    <w:p>
      <w:pPr>
        <w:spacing w:after="0" w:line="8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20"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Year 1 incentive fee</w:t>
            </w:r>
          </w:p>
        </w:tc>
        <w:tc>
          <w:tcPr>
            <w:tcW w:w="1580" w:type="dxa"/>
            <w:vAlign w:val="bottom"/>
            <w:vMerge w:val="restart"/>
          </w:tcPr>
          <w:p>
            <w:pPr>
              <w:ind w:left="560"/>
              <w:spacing w:after="0"/>
              <w:rPr>
                <w:sz w:val="20"/>
                <w:szCs w:val="20"/>
                <w:color w:val="auto"/>
              </w:rPr>
            </w:pPr>
            <w:r>
              <w:rPr>
                <w:rFonts w:ascii="Arial" w:cs="Arial" w:eastAsia="Arial" w:hAnsi="Arial"/>
                <w:sz w:val="14"/>
                <w:szCs w:val="14"/>
                <w:color w:val="auto"/>
              </w:rPr>
              <w:t>= 20% x (0)</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580" w:type="dxa"/>
            <w:vAlign w:val="bottom"/>
          </w:tcPr>
          <w:p>
            <w:pPr>
              <w:ind w:left="560"/>
              <w:spacing w:after="0"/>
              <w:rPr>
                <w:sz w:val="20"/>
                <w:szCs w:val="20"/>
                <w:color w:val="auto"/>
              </w:rPr>
            </w:pPr>
            <w:r>
              <w:rPr>
                <w:rFonts w:ascii="Arial" w:cs="Arial" w:eastAsia="Arial" w:hAnsi="Arial"/>
                <w:sz w:val="14"/>
                <w:szCs w:val="14"/>
                <w:color w:val="auto"/>
              </w:rPr>
              <w:t>= 0</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580" w:type="dxa"/>
            <w:vAlign w:val="bottom"/>
          </w:tcPr>
          <w:p>
            <w:pPr>
              <w:ind w:left="560"/>
              <w:spacing w:after="0"/>
              <w:rPr>
                <w:sz w:val="20"/>
                <w:szCs w:val="20"/>
                <w:color w:val="auto"/>
              </w:rPr>
            </w:pPr>
            <w:r>
              <w:rPr>
                <w:rFonts w:ascii="Arial" w:cs="Arial" w:eastAsia="Arial" w:hAnsi="Arial"/>
                <w:sz w:val="14"/>
                <w:szCs w:val="14"/>
                <w:color w:val="auto"/>
                <w:w w:val="90"/>
              </w:rPr>
              <w:t>= no incentive fee</w:t>
            </w: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jc w:val="right"/>
              <w:ind w:right="759"/>
              <w:spacing w:after="0"/>
              <w:rPr>
                <w:sz w:val="20"/>
                <w:szCs w:val="20"/>
                <w:color w:val="auto"/>
              </w:rPr>
            </w:pPr>
            <w:r>
              <w:rPr>
                <w:rFonts w:ascii="Arial" w:cs="Arial" w:eastAsia="Arial" w:hAnsi="Arial"/>
                <w:sz w:val="14"/>
                <w:szCs w:val="14"/>
                <w:color w:val="auto"/>
              </w:rPr>
              <w:t>Year 2 incentive fee</w:t>
            </w:r>
          </w:p>
        </w:tc>
        <w:tc>
          <w:tcPr>
            <w:tcW w:w="1400" w:type="dxa"/>
            <w:vAlign w:val="bottom"/>
            <w:vMerge w:val="restart"/>
          </w:tcPr>
          <w:p>
            <w:pPr>
              <w:ind w:left="280"/>
              <w:spacing w:after="0"/>
              <w:rPr>
                <w:sz w:val="20"/>
                <w:szCs w:val="20"/>
                <w:color w:val="auto"/>
              </w:rPr>
            </w:pPr>
            <w:r>
              <w:rPr>
                <w:rFonts w:ascii="Arial" w:cs="Arial" w:eastAsia="Arial" w:hAnsi="Arial"/>
                <w:sz w:val="14"/>
                <w:szCs w:val="14"/>
                <w:color w:val="auto"/>
                <w:w w:val="93"/>
              </w:rPr>
              <w:t>= 20% x (6% - 1%)</w:t>
            </w:r>
          </w:p>
        </w:tc>
        <w:tc>
          <w:tcPr>
            <w:tcW w:w="0" w:type="dxa"/>
            <w:vAlign w:val="bottom"/>
          </w:tcPr>
          <w:p>
            <w:pPr>
              <w:spacing w:after="0"/>
              <w:rPr>
                <w:sz w:val="1"/>
                <w:szCs w:val="1"/>
                <w:color w:val="auto"/>
              </w:rPr>
            </w:pPr>
          </w:p>
        </w:tc>
      </w:tr>
      <w:tr>
        <w:trPr>
          <w:trHeight w:val="68"/>
        </w:trPr>
        <w:tc>
          <w:tcPr>
            <w:tcW w:w="2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400" w:type="dxa"/>
            <w:vAlign w:val="bottom"/>
          </w:tcPr>
          <w:p>
            <w:pPr>
              <w:ind w:left="280"/>
              <w:spacing w:after="0"/>
              <w:rPr>
                <w:sz w:val="20"/>
                <w:szCs w:val="20"/>
                <w:color w:val="auto"/>
              </w:rPr>
            </w:pPr>
            <w:r>
              <w:rPr>
                <w:rFonts w:ascii="Arial" w:cs="Arial" w:eastAsia="Arial" w:hAnsi="Arial"/>
                <w:sz w:val="14"/>
                <w:szCs w:val="14"/>
                <w:color w:val="auto"/>
              </w:rPr>
              <w:t>= 20% x 5%</w:t>
            </w:r>
          </w:p>
        </w:tc>
        <w:tc>
          <w:tcPr>
            <w:tcW w:w="0" w:type="dxa"/>
            <w:vAlign w:val="bottom"/>
          </w:tcPr>
          <w:p>
            <w:pPr>
              <w:spacing w:after="0"/>
              <w:rPr>
                <w:sz w:val="1"/>
                <w:szCs w:val="1"/>
                <w:color w:val="auto"/>
              </w:rPr>
            </w:pPr>
          </w:p>
        </w:tc>
      </w:tr>
      <w:tr>
        <w:trPr>
          <w:trHeight w:val="270"/>
        </w:trPr>
        <w:tc>
          <w:tcPr>
            <w:tcW w:w="2260" w:type="dxa"/>
            <w:vAlign w:val="bottom"/>
            <w:vMerge w:val="restart"/>
          </w:tcPr>
          <w:p>
            <w:pPr>
              <w:jc w:val="right"/>
              <w:ind w:right="199"/>
              <w:spacing w:after="0"/>
              <w:rPr>
                <w:sz w:val="20"/>
                <w:szCs w:val="20"/>
                <w:color w:val="auto"/>
              </w:rPr>
            </w:pPr>
            <w:r>
              <w:rPr>
                <w:rFonts w:ascii="Arial" w:cs="Arial" w:eastAsia="Arial" w:hAnsi="Arial"/>
                <w:sz w:val="18"/>
                <w:szCs w:val="18"/>
                <w:color w:val="auto"/>
                <w:w w:val="88"/>
              </w:rPr>
              <w:t>______________________</w:t>
            </w:r>
          </w:p>
        </w:tc>
        <w:tc>
          <w:tcPr>
            <w:tcW w:w="1400" w:type="dxa"/>
            <w:vAlign w:val="bottom"/>
          </w:tcPr>
          <w:p>
            <w:pPr>
              <w:ind w:left="280"/>
              <w:spacing w:after="0"/>
              <w:rPr>
                <w:sz w:val="20"/>
                <w:szCs w:val="20"/>
                <w:color w:val="auto"/>
              </w:rPr>
            </w:pPr>
            <w:r>
              <w:rPr>
                <w:rFonts w:ascii="Arial" w:cs="Arial" w:eastAsia="Arial" w:hAnsi="Arial"/>
                <w:sz w:val="14"/>
                <w:szCs w:val="14"/>
                <w:color w:val="auto"/>
              </w:rPr>
              <w:t>= 1%</w:t>
            </w:r>
          </w:p>
        </w:tc>
        <w:tc>
          <w:tcPr>
            <w:tcW w:w="0" w:type="dxa"/>
            <w:vAlign w:val="bottom"/>
          </w:tcPr>
          <w:p>
            <w:pPr>
              <w:spacing w:after="0"/>
              <w:rPr>
                <w:sz w:val="1"/>
                <w:szCs w:val="1"/>
                <w:color w:val="auto"/>
              </w:rPr>
            </w:pPr>
          </w:p>
        </w:tc>
      </w:tr>
      <w:tr>
        <w:trPr>
          <w:trHeight w:val="228"/>
        </w:trPr>
        <w:tc>
          <w:tcPr>
            <w:tcW w:w="22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2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2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7.0% annualized Hurdle.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80"/>
          </w:cols>
          <w:pgMar w:left="320" w:top="122" w:right="39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Duration and Termination of Advisory Agreement</w:t>
      </w:r>
    </w:p>
    <w:p>
      <w:pPr>
        <w:spacing w:after="0" w:line="82"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82"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63" w:lineRule="exact"/>
        <w:rPr>
          <w:sz w:val="20"/>
          <w:szCs w:val="20"/>
          <w:color w:val="auto"/>
        </w:rPr>
      </w:pPr>
    </w:p>
    <w:p>
      <w:pPr>
        <w:ind w:right="20" w:firstLine="432"/>
        <w:spacing w:after="0" w:line="266" w:lineRule="auto"/>
        <w:rPr>
          <w:sz w:val="20"/>
          <w:szCs w:val="20"/>
          <w:color w:val="auto"/>
        </w:rPr>
      </w:pPr>
      <w:r>
        <w:rPr>
          <w:rFonts w:ascii="Arial" w:cs="Arial" w:eastAsia="Arial" w:hAnsi="Arial"/>
          <w:sz w:val="13"/>
          <w:szCs w:val="13"/>
          <w:color w:val="auto"/>
        </w:rPr>
        <w:t>PennantPark Investment has also entered into an Administration Agreement with the Administrator, which was reapproved by our board of directors including a majority of our directors who are not interested persons of PennantPark Investment in February 2011. Under this agreement the Administrator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9" w:lineRule="exact"/>
        <w:rPr>
          <w:sz w:val="20"/>
          <w:szCs w:val="20"/>
          <w:color w:val="auto"/>
        </w:rPr>
      </w:pPr>
    </w:p>
    <w:p>
      <w:pPr>
        <w:ind w:right="20" w:firstLine="432"/>
        <w:spacing w:after="0" w:line="268" w:lineRule="auto"/>
        <w:rPr>
          <w:sz w:val="20"/>
          <w:szCs w:val="20"/>
          <w:color w:val="auto"/>
        </w:rPr>
      </w:pPr>
      <w:r>
        <w:rPr>
          <w:rFonts w:ascii="Arial" w:cs="Arial" w:eastAsia="Arial" w:hAnsi="Arial"/>
          <w:sz w:val="13"/>
          <w:szCs w:val="13"/>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 September 30, 2011 and 2010, PennantPark Investment was reimbursed $0.5 million and $0.1 million, respectively, from SPH, including expenses it incurred on behalf of the Administrator for the services described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82"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PennantPark Investment, in February 2011. Unless terminated earlier as described below, our Administration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Indemnification</w:t>
      </w:r>
    </w:p>
    <w:p>
      <w:pPr>
        <w:spacing w:after="0" w:line="82" w:lineRule="exact"/>
        <w:rPr>
          <w:sz w:val="20"/>
          <w:szCs w:val="20"/>
          <w:color w:val="auto"/>
        </w:rPr>
      </w:pPr>
    </w:p>
    <w:p>
      <w:pPr>
        <w:ind w:right="160" w:firstLine="432"/>
        <w:spacing w:after="0" w:line="273"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82"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Regulated Investment Company and Business Development Company Regulations</w:t>
      </w:r>
    </w:p>
    <w:p>
      <w:pPr>
        <w:spacing w:after="0" w:line="82"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20" w:lineRule="exact"/>
        <w:rPr>
          <w:sz w:val="20"/>
          <w:szCs w:val="20"/>
          <w:color w:val="auto"/>
        </w:rPr>
      </w:pPr>
    </w:p>
    <w:p>
      <w:pPr>
        <w:ind w:right="100" w:firstLine="432"/>
        <w:spacing w:after="0" w:line="267"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82" w:lineRule="exact"/>
        <w:rPr>
          <w:sz w:val="20"/>
          <w:szCs w:val="20"/>
          <w:color w:val="auto"/>
        </w:rPr>
      </w:pPr>
    </w:p>
    <w:p>
      <w:pPr>
        <w:ind w:firstLine="432"/>
        <w:spacing w:after="0" w:line="303"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 w:lineRule="exact"/>
        <w:rPr>
          <w:sz w:val="20"/>
          <w:szCs w:val="20"/>
          <w:color w:val="auto"/>
        </w:rPr>
      </w:pPr>
    </w:p>
    <w:p>
      <w:pPr>
        <w:ind w:left="660" w:right="40" w:hanging="32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22" w:lineRule="exact"/>
        <w:rPr>
          <w:rFonts w:ascii="Arial" w:cs="Arial" w:eastAsia="Arial" w:hAnsi="Arial"/>
          <w:sz w:val="14"/>
          <w:szCs w:val="14"/>
          <w:color w:val="auto"/>
        </w:rPr>
      </w:pPr>
    </w:p>
    <w:p>
      <w:pPr>
        <w:ind w:left="980" w:hanging="324"/>
        <w:spacing w:after="0"/>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980" w:right="60" w:hanging="324"/>
        <w:spacing w:after="0" w:line="273" w:lineRule="auto"/>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 owned by the BDC) or a company that would be an investment company but is excluded from the definition of an investment company by Section 3(c) of the 1940 Act; and</w:t>
      </w:r>
    </w:p>
    <w:p>
      <w:pPr>
        <w:spacing w:after="0" w:line="11" w:lineRule="exact"/>
        <w:rPr>
          <w:rFonts w:ascii="Arial" w:cs="Arial" w:eastAsia="Arial" w:hAnsi="Arial"/>
          <w:sz w:val="14"/>
          <w:szCs w:val="14"/>
          <w:color w:val="auto"/>
        </w:rPr>
      </w:pPr>
    </w:p>
    <w:p>
      <w:pPr>
        <w:ind w:left="980" w:right="60" w:hanging="324"/>
        <w:spacing w:after="0" w:line="273" w:lineRule="auto"/>
        <w:tabs>
          <w:tab w:leader="none" w:pos="980" w:val="left"/>
        </w:tabs>
        <w:numPr>
          <w:ilvl w:val="1"/>
          <w:numId w:val="19"/>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60" w:right="420" w:hanging="32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2" w:lineRule="exact"/>
        <w:rPr>
          <w:rFonts w:ascii="Arial" w:cs="Arial" w:eastAsia="Arial" w:hAnsi="Arial"/>
          <w:sz w:val="14"/>
          <w:szCs w:val="14"/>
          <w:color w:val="auto"/>
        </w:rPr>
      </w:pPr>
    </w:p>
    <w:p>
      <w:pPr>
        <w:ind w:left="660" w:right="64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 w:lineRule="exact"/>
        <w:rPr>
          <w:rFonts w:ascii="Arial" w:cs="Arial" w:eastAsia="Arial" w:hAnsi="Arial"/>
          <w:sz w:val="14"/>
          <w:szCs w:val="14"/>
          <w:color w:val="auto"/>
        </w:rPr>
      </w:pPr>
    </w:p>
    <w:p>
      <w:pPr>
        <w:ind w:left="660" w:right="20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63" w:lineRule="exact"/>
        <w:rPr>
          <w:sz w:val="20"/>
          <w:szCs w:val="20"/>
          <w:color w:val="auto"/>
        </w:rPr>
      </w:pPr>
    </w:p>
    <w:p>
      <w:pPr>
        <w:ind w:right="300" w:firstLine="432"/>
        <w:spacing w:after="0" w:line="27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82" w:lineRule="exact"/>
        <w:rPr>
          <w:sz w:val="20"/>
          <w:szCs w:val="20"/>
          <w:color w:val="auto"/>
        </w:rPr>
      </w:pPr>
    </w:p>
    <w:p>
      <w:pPr>
        <w:ind w:right="360" w:firstLine="432"/>
        <w:spacing w:after="0" w:line="273"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82" w:lineRule="exact"/>
        <w:rPr>
          <w:sz w:val="20"/>
          <w:szCs w:val="20"/>
          <w:color w:val="auto"/>
        </w:rPr>
      </w:pPr>
    </w:p>
    <w:p>
      <w:pPr>
        <w:ind w:firstLine="432"/>
        <w:spacing w:after="0" w:line="267"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Report,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82" w:lineRule="exact"/>
        <w:rPr>
          <w:sz w:val="20"/>
          <w:szCs w:val="20"/>
          <w:color w:val="auto"/>
        </w:rPr>
      </w:pPr>
    </w:p>
    <w:p>
      <w:pPr>
        <w:ind w:right="40" w:firstLine="432"/>
        <w:spacing w:after="0" w:line="247"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 “Risk Factors—Risks Relating to our Business and Structure— Regulations governing our operation as a BDC will affect our ability to, and the way in which we, raise additional capital.”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82"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Introduction</w:t>
      </w:r>
    </w:p>
    <w:p>
      <w:pPr>
        <w:spacing w:after="0" w:line="8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Proxy Policies</w:t>
      </w:r>
    </w:p>
    <w:p>
      <w:pPr>
        <w:spacing w:after="0" w:line="82"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1" w:lineRule="exact"/>
        <w:rPr>
          <w:sz w:val="20"/>
          <w:szCs w:val="20"/>
          <w:color w:val="auto"/>
        </w:rPr>
      </w:pPr>
    </w:p>
    <w:p>
      <w:pPr>
        <w:jc w:val="both"/>
        <w:ind w:right="160" w:firstLine="432"/>
        <w:spacing w:after="0" w:line="252" w:lineRule="auto"/>
        <w:rPr>
          <w:sz w:val="20"/>
          <w:szCs w:val="20"/>
          <w:color w:val="auto"/>
        </w:rPr>
      </w:pPr>
      <w:r>
        <w:rPr>
          <w:rFonts w:ascii="Arial" w:cs="Arial" w:eastAsia="Arial" w:hAnsi="Arial"/>
          <w:sz w:val="14"/>
          <w:szCs w:val="14"/>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Proxy Voting Records</w:t>
      </w:r>
    </w:p>
    <w:p>
      <w:pPr>
        <w:spacing w:after="0" w:line="82" w:lineRule="exact"/>
        <w:rPr>
          <w:sz w:val="20"/>
          <w:szCs w:val="20"/>
          <w:color w:val="auto"/>
        </w:rPr>
      </w:pPr>
    </w:p>
    <w:p>
      <w:pPr>
        <w:ind w:right="300" w:firstLine="432"/>
        <w:spacing w:after="0" w:line="273" w:lineRule="auto"/>
        <w:rPr>
          <w:sz w:val="20"/>
          <w:szCs w:val="20"/>
          <w:color w:val="auto"/>
        </w:rPr>
      </w:pPr>
      <w:r>
        <w:rPr>
          <w:rFonts w:ascii="Arial" w:cs="Arial" w:eastAsia="Arial" w:hAnsi="Arial"/>
          <w:sz w:val="14"/>
          <w:szCs w:val="14"/>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8"/>
          <w:szCs w:val="8"/>
          <w:color w:val="auto"/>
        </w:rPr>
        <w:t>th</w:t>
      </w:r>
      <w:r>
        <w:rPr>
          <w:rFonts w:ascii="Arial" w:cs="Arial" w:eastAsia="Arial" w:hAnsi="Arial"/>
          <w:sz w:val="14"/>
          <w:szCs w:val="14"/>
          <w:color w:val="auto"/>
        </w:rPr>
        <w:t xml:space="preserve"> Floor, New York, New York 10022.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82" w:lineRule="exact"/>
        <w:rPr>
          <w:sz w:val="20"/>
          <w:szCs w:val="20"/>
          <w:color w:val="auto"/>
        </w:rPr>
      </w:pPr>
    </w:p>
    <w:p>
      <w:pPr>
        <w:ind w:right="20" w:firstLine="432"/>
        <w:spacing w:after="0" w:line="246" w:lineRule="auto"/>
        <w:rPr>
          <w:sz w:val="20"/>
          <w:szCs w:val="20"/>
          <w:color w:val="auto"/>
        </w:rPr>
      </w:pPr>
      <w:r>
        <w:rPr>
          <w:rFonts w:ascii="Arial" w:cs="Arial" w:eastAsia="Arial" w:hAnsi="Arial"/>
          <w:sz w:val="14"/>
          <w:szCs w:val="14"/>
          <w:color w:val="auto"/>
        </w:rPr>
        <w:t xml:space="preserve">We and PennantPark Investment Advisers have each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You may read and copy the code of ethics at the SEC’s Public Reference Room in Washington, D.C. You may obtain information on the operation of the Public Reference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You may also obtain copies of our joint code of ethics, after paying a duplicating fee, by electronic request at the following email address: publicinfo@sec.gov, or by writing the</w:t>
      </w:r>
      <w:r>
        <w:rPr>
          <w:rFonts w:ascii="Arial" w:cs="Arial" w:eastAsia="Arial" w:hAnsi="Arial"/>
          <w:sz w:val="14"/>
          <w:szCs w:val="14"/>
          <w:i w:val="1"/>
          <w:iCs w:val="1"/>
          <w:color w:val="auto"/>
        </w:rPr>
        <w:t xml:space="preserve"> </w:t>
      </w:r>
      <w:r>
        <w:rPr>
          <w:rFonts w:ascii="Arial" w:cs="Arial" w:eastAsia="Arial" w:hAnsi="Arial"/>
          <w:sz w:val="14"/>
          <w:szCs w:val="14"/>
          <w:color w:val="auto"/>
        </w:rPr>
        <w:t>SEC’s Public Reference Section, 100 F Street, N.E., Washington, D.C. 20549.</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82"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0"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51" w:lineRule="exact"/>
        <w:rPr>
          <w:sz w:val="20"/>
          <w:szCs w:val="20"/>
          <w:color w:val="auto"/>
        </w:rPr>
      </w:pPr>
    </w:p>
    <w:p>
      <w:pPr>
        <w:ind w:right="60" w:firstLine="432"/>
        <w:spacing w:after="0" w:line="286" w:lineRule="auto"/>
        <w:rPr>
          <w:sz w:val="20"/>
          <w:szCs w:val="20"/>
          <w:color w:val="auto"/>
        </w:rPr>
      </w:pPr>
      <w:r>
        <w:rPr>
          <w:rFonts w:ascii="Arial" w:cs="Arial" w:eastAsia="Arial" w:hAnsi="Arial"/>
          <w:sz w:val="13"/>
          <w:szCs w:val="13"/>
          <w:color w:val="auto"/>
        </w:rPr>
        <w:t xml:space="preserve">Our privacy and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filed as an exhibit to this Report on Form 10-K (File No. 814-00736)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Other</w:t>
      </w:r>
    </w:p>
    <w:p>
      <w:pPr>
        <w:spacing w:after="0" w:line="82"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6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Sarbanes-Oxley Act of 2002 imposes several regulatory requirements on publicly held companies and their insiders. Many of these requirements affect us. For example:</w:t>
      </w:r>
    </w:p>
    <w:p>
      <w:pPr>
        <w:spacing w:after="0" w:line="82" w:lineRule="exact"/>
        <w:rPr>
          <w:sz w:val="20"/>
          <w:szCs w:val="20"/>
          <w:color w:val="auto"/>
        </w:rPr>
      </w:pPr>
    </w:p>
    <w:p>
      <w:pPr>
        <w:ind w:left="820" w:right="120" w:hanging="326"/>
        <w:spacing w:after="0" w:line="285"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24"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87" w:lineRule="exact"/>
        <w:rPr>
          <w:rFonts w:ascii="Arial" w:cs="Arial" w:eastAsia="Arial" w:hAnsi="Arial"/>
          <w:sz w:val="18"/>
          <w:szCs w:val="18"/>
          <w:color w:val="auto"/>
        </w:rPr>
      </w:pPr>
    </w:p>
    <w:p>
      <w:pPr>
        <w:ind w:left="820" w:right="80" w:hanging="326"/>
        <w:spacing w:after="0" w:line="285"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49" w:lineRule="exact"/>
        <w:rPr>
          <w:rFonts w:ascii="Arial" w:cs="Arial" w:eastAsia="Arial" w:hAnsi="Arial"/>
          <w:sz w:val="18"/>
          <w:szCs w:val="18"/>
          <w:color w:val="auto"/>
        </w:rPr>
      </w:pPr>
    </w:p>
    <w:p>
      <w:pPr>
        <w:jc w:val="both"/>
        <w:ind w:left="820" w:right="260" w:hanging="326"/>
        <w:spacing w:after="0" w:line="295"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33"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Election to be Taxed as a RIC</w:t>
      </w:r>
    </w:p>
    <w:p>
      <w:pPr>
        <w:spacing w:after="0" w:line="82" w:lineRule="exact"/>
        <w:rPr>
          <w:sz w:val="20"/>
          <w:szCs w:val="20"/>
          <w:color w:val="auto"/>
        </w:rPr>
      </w:pPr>
    </w:p>
    <w:p>
      <w:pPr>
        <w:ind w:right="60" w:firstLine="432"/>
        <w:spacing w:after="0" w:line="26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or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short-term capital gains for the one-year period ending on October 31 of the calendar year and</w:t>
      </w:r>
    </w:p>
    <w:p>
      <w:pPr>
        <w:spacing w:after="0" w:line="3" w:lineRule="exact"/>
        <w:rPr>
          <w:sz w:val="20"/>
          <w:szCs w:val="20"/>
          <w:color w:val="auto"/>
        </w:rPr>
      </w:pPr>
    </w:p>
    <w:p>
      <w:pPr>
        <w:ind w:firstLine="8"/>
        <w:spacing w:after="0" w:line="248" w:lineRule="auto"/>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ordinary income and net capital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4"/>
          <w:szCs w:val="14"/>
          <w:color w:val="auto"/>
        </w:rPr>
        <w:t>maintain an election to be treated as a BDC under the 1940 Act at all times during each taxable year;</w:t>
      </w:r>
    </w:p>
    <w:p>
      <w:pPr>
        <w:spacing w:after="0" w:line="87" w:lineRule="exact"/>
        <w:rPr>
          <w:rFonts w:ascii="Arial" w:cs="Arial" w:eastAsia="Arial" w:hAnsi="Arial"/>
          <w:sz w:val="18"/>
          <w:szCs w:val="18"/>
          <w:color w:val="auto"/>
        </w:rPr>
      </w:pPr>
    </w:p>
    <w:p>
      <w:pPr>
        <w:ind w:left="900" w:right="140" w:hanging="325"/>
        <w:spacing w:after="0" w:line="29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4"/>
          <w:szCs w:val="14"/>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2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4"/>
          <w:szCs w:val="14"/>
          <w:color w:val="auto"/>
        </w:rPr>
        <w:t>diversify our holdings so that at the end of each quarter of the taxable year:</w:t>
      </w:r>
    </w:p>
    <w:p>
      <w:pPr>
        <w:spacing w:after="0" w:line="60" w:lineRule="exact"/>
        <w:rPr>
          <w:rFonts w:ascii="Arial" w:cs="Arial" w:eastAsia="Arial" w:hAnsi="Arial"/>
          <w:sz w:val="18"/>
          <w:szCs w:val="18"/>
          <w:color w:val="auto"/>
        </w:rPr>
      </w:pPr>
    </w:p>
    <w:p>
      <w:pPr>
        <w:jc w:val="both"/>
        <w:ind w:left="1540" w:right="500" w:hanging="317"/>
        <w:spacing w:after="0" w:line="328" w:lineRule="auto"/>
        <w:tabs>
          <w:tab w:leader="none" w:pos="1540" w:val="left"/>
        </w:tabs>
        <w:numPr>
          <w:ilvl w:val="1"/>
          <w:numId w:val="22"/>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540" w:right="100" w:hanging="317"/>
        <w:spacing w:after="0" w:line="257" w:lineRule="auto"/>
        <w:tabs>
          <w:tab w:leader="none" w:pos="15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8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3"/>
          <w:szCs w:val="13"/>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2" w:lineRule="exact"/>
        <w:rPr>
          <w:sz w:val="20"/>
          <w:szCs w:val="20"/>
          <w:color w:val="auto"/>
        </w:rPr>
      </w:pPr>
    </w:p>
    <w:p>
      <w:pPr>
        <w:ind w:right="280" w:firstLine="432"/>
        <w:spacing w:after="0" w:line="273"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0" w:lineRule="exact"/>
        <w:rPr>
          <w:sz w:val="20"/>
          <w:szCs w:val="20"/>
          <w:color w:val="auto"/>
        </w:rPr>
      </w:pPr>
    </w:p>
    <w:p>
      <w:pPr>
        <w:ind w:right="60" w:firstLine="432"/>
        <w:spacing w:after="0" w:line="249"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37" w:lineRule="exact"/>
        <w:rPr>
          <w:sz w:val="20"/>
          <w:szCs w:val="20"/>
          <w:color w:val="auto"/>
        </w:rPr>
      </w:pPr>
    </w:p>
    <w:p>
      <w:pPr>
        <w:ind w:right="140" w:firstLine="432"/>
        <w:spacing w:after="0" w:line="269" w:lineRule="auto"/>
        <w:rPr>
          <w:sz w:val="20"/>
          <w:szCs w:val="20"/>
          <w:color w:val="auto"/>
        </w:rPr>
      </w:pPr>
      <w:r>
        <w:rPr>
          <w:rFonts w:ascii="Arial" w:cs="Arial" w:eastAsia="Arial" w:hAnsi="Arial"/>
          <w:sz w:val="13"/>
          <w:szCs w:val="13"/>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w:t>
      </w:r>
    </w:p>
    <w:p>
      <w:pPr>
        <w:spacing w:after="0" w:line="1" w:lineRule="exact"/>
        <w:rPr>
          <w:sz w:val="20"/>
          <w:szCs w:val="20"/>
          <w:color w:val="auto"/>
        </w:rPr>
      </w:pPr>
    </w:p>
    <w:p>
      <w:pPr>
        <w:ind w:right="160" w:firstLine="8"/>
        <w:spacing w:after="0" w:line="271" w:lineRule="auto"/>
        <w:tabs>
          <w:tab w:leader="none" w:pos="20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82"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4" w:lineRule="exact"/>
        <w:rPr>
          <w:sz w:val="20"/>
          <w:szCs w:val="20"/>
          <w:color w:val="auto"/>
        </w:rPr>
      </w:pPr>
    </w:p>
    <w:p>
      <w:pPr>
        <w:ind w:right="60" w:firstLine="432"/>
        <w:spacing w:after="0" w:line="249"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00"/>
          </w:cols>
          <w:pgMar w:left="320" w:top="121" w:right="3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Small Business Administration Regulations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SBIC LP is licensed under the SBA as a SBIC under Section 301(c) of the 1958 Act. SBIC LP received its license in July 2010.</w:t>
      </w:r>
    </w:p>
    <w:p>
      <w:pPr>
        <w:spacing w:after="0" w:line="163" w:lineRule="exact"/>
        <w:rPr>
          <w:sz w:val="20"/>
          <w:szCs w:val="20"/>
          <w:color w:val="auto"/>
        </w:rPr>
      </w:pPr>
    </w:p>
    <w:p>
      <w:pPr>
        <w:ind w:right="40" w:firstLine="432"/>
        <w:spacing w:after="0" w:line="267" w:lineRule="auto"/>
        <w:rPr>
          <w:sz w:val="20"/>
          <w:szCs w:val="20"/>
          <w:color w:val="auto"/>
        </w:rPr>
      </w:pPr>
      <w:r>
        <w:rPr>
          <w:rFonts w:ascii="Arial" w:cs="Arial" w:eastAsia="Arial" w:hAnsi="Arial"/>
          <w:sz w:val="13"/>
          <w:szCs w:val="13"/>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SBIC LP is subject to periodic audits and examinations of its financial statements that are prepared on a basis of accounting other than generally accepted accounting principles of the U.S. For example, SBIC LP does not use fair value accounting on its assets or liabilities.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is our wholly owned subsidiary.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82" w:lineRule="exact"/>
        <w:rPr>
          <w:sz w:val="20"/>
          <w:szCs w:val="20"/>
          <w:color w:val="auto"/>
        </w:rPr>
      </w:pPr>
    </w:p>
    <w:p>
      <w:pPr>
        <w:ind w:right="40" w:firstLine="432"/>
        <w:spacing w:after="0" w:line="247"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SBIC LP has invested in a company, it may continue to make follow-on investments in the company, regardless of the size of the business, up and until the time a business offers its securities in a public market.</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8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3"/>
          <w:szCs w:val="13"/>
          <w:color w:val="auto"/>
        </w:rPr>
        <w:t>The SBA prohibits a Small Business Investment Company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20"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3"/>
          <w:szCs w:val="13"/>
          <w:color w:val="auto"/>
        </w:rPr>
        <w:t>The SBA also prohibits, without prior written approval, a “change in control” of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an Small Business Investment Company, whether through ownership, contractual arrangements or otherwise.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Idle Funds Limitation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limits SBIC LP from investing idle funds to the following types of securities:</w:t>
      </w:r>
    </w:p>
    <w:p>
      <w:pPr>
        <w:spacing w:after="0" w:line="69"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87" w:lineRule="exact"/>
        <w:rPr>
          <w:rFonts w:ascii="Arial" w:cs="Arial" w:eastAsia="Arial" w:hAnsi="Arial"/>
          <w:sz w:val="17"/>
          <w:szCs w:val="17"/>
          <w:color w:val="auto"/>
        </w:rPr>
      </w:pPr>
    </w:p>
    <w:p>
      <w:pPr>
        <w:ind w:left="820" w:right="20" w:hanging="326"/>
        <w:spacing w:after="0" w:line="285"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24"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4"/>
          <w:szCs w:val="14"/>
          <w:color w:val="auto"/>
        </w:rPr>
        <w:t>a deposit account in a federally insured institution that is subject to withdrawl restriction of one year or less;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SBA Leverage or Debentures</w:t>
      </w:r>
    </w:p>
    <w:p>
      <w:pPr>
        <w:spacing w:after="0" w:line="8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86" w:lineRule="exact"/>
        <w:rPr>
          <w:sz w:val="20"/>
          <w:szCs w:val="20"/>
          <w:color w:val="auto"/>
        </w:rPr>
      </w:pPr>
    </w:p>
    <w:p>
      <w:pPr>
        <w:ind w:right="20" w:firstLine="432"/>
        <w:spacing w:after="0" w:line="249"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86" w:lineRule="exact"/>
        <w:rPr>
          <w:sz w:val="20"/>
          <w:szCs w:val="20"/>
          <w:color w:val="auto"/>
        </w:rPr>
      </w:pPr>
    </w:p>
    <w:p>
      <w:pPr>
        <w:ind w:right="200" w:firstLine="216"/>
        <w:spacing w:after="0" w:line="312"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16" w:lineRule="exact"/>
        <w:rPr>
          <w:sz w:val="20"/>
          <w:szCs w:val="20"/>
          <w:color w:val="auto"/>
        </w:rPr>
      </w:pPr>
    </w:p>
    <w:p>
      <w:pPr>
        <w:ind w:right="40" w:firstLine="405"/>
        <w:spacing w:after="0" w:line="247" w:lineRule="auto"/>
        <w:rPr>
          <w:sz w:val="20"/>
          <w:szCs w:val="20"/>
          <w:color w:val="auto"/>
        </w:rPr>
      </w:pPr>
      <w:r>
        <w:rPr>
          <w:rFonts w:ascii="Arial" w:cs="Arial" w:eastAsia="Arial" w:hAnsi="Arial"/>
          <w:sz w:val="14"/>
          <w:szCs w:val="14"/>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244" w:lineRule="exact"/>
        <w:rPr>
          <w:sz w:val="20"/>
          <w:szCs w:val="20"/>
          <w:color w:val="auto"/>
        </w:rPr>
      </w:pPr>
    </w:p>
    <w:p>
      <w:pPr>
        <w:ind w:firstLine="405"/>
        <w:spacing w:after="0" w:line="245" w:lineRule="auto"/>
        <w:rPr>
          <w:sz w:val="20"/>
          <w:szCs w:val="20"/>
          <w:color w:val="auto"/>
        </w:rPr>
      </w:pPr>
      <w:r>
        <w:rPr>
          <w:rFonts w:ascii="Arial" w:cs="Arial" w:eastAsia="Arial" w:hAnsi="Arial"/>
          <w:sz w:val="14"/>
          <w:szCs w:val="14"/>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222" w:lineRule="exact"/>
        <w:rPr>
          <w:sz w:val="20"/>
          <w:szCs w:val="20"/>
          <w:color w:val="auto"/>
        </w:rPr>
      </w:pPr>
    </w:p>
    <w:p>
      <w:pPr>
        <w:ind w:right="180" w:firstLine="405"/>
        <w:spacing w:after="0" w:line="270" w:lineRule="auto"/>
        <w:rPr>
          <w:sz w:val="20"/>
          <w:szCs w:val="20"/>
          <w:color w:val="auto"/>
        </w:rPr>
      </w:pPr>
      <w:r>
        <w:rPr>
          <w:rFonts w:ascii="Arial" w:cs="Arial" w:eastAsia="Arial" w:hAnsi="Arial"/>
          <w:sz w:val="13"/>
          <w:szCs w:val="13"/>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maybe at a higher cost 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Market developments may adversely affect our business and results of operations by reducing availability under our Credit Facility and SBIC LP’s SBA debentures.</w:t>
      </w:r>
    </w:p>
    <w:p>
      <w:pPr>
        <w:spacing w:after="0" w:line="163" w:lineRule="exact"/>
        <w:rPr>
          <w:sz w:val="20"/>
          <w:szCs w:val="20"/>
          <w:color w:val="auto"/>
        </w:rPr>
      </w:pPr>
    </w:p>
    <w:p>
      <w:pPr>
        <w:ind w:right="220" w:firstLine="432"/>
        <w:spacing w:after="0" w:line="252" w:lineRule="auto"/>
        <w:rPr>
          <w:sz w:val="20"/>
          <w:szCs w:val="20"/>
          <w:color w:val="auto"/>
        </w:rPr>
      </w:pPr>
      <w:r>
        <w:rPr>
          <w:rFonts w:ascii="Arial" w:cs="Arial" w:eastAsia="Arial" w:hAnsi="Arial"/>
          <w:sz w:val="14"/>
          <w:szCs w:val="14"/>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26"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217" w:lineRule="exact"/>
        <w:rPr>
          <w:sz w:val="20"/>
          <w:szCs w:val="20"/>
          <w:color w:val="auto"/>
        </w:rPr>
      </w:pPr>
    </w:p>
    <w:p>
      <w:pPr>
        <w:ind w:firstLine="405"/>
        <w:spacing w:after="0" w:line="257" w:lineRule="auto"/>
        <w:rPr>
          <w:sz w:val="20"/>
          <w:szCs w:val="20"/>
          <w:color w:val="auto"/>
        </w:rPr>
      </w:pPr>
      <w:r>
        <w:rPr>
          <w:rFonts w:ascii="Arial" w:cs="Arial" w:eastAsia="Arial" w:hAnsi="Arial"/>
          <w:sz w:val="14"/>
          <w:szCs w:val="14"/>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3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SBIC LP may be unable to make distributions to us that will enable us to meet or maintain RIC status.</w:t>
      </w:r>
    </w:p>
    <w:p>
      <w:pPr>
        <w:spacing w:after="0" w:line="244" w:lineRule="exact"/>
        <w:rPr>
          <w:sz w:val="20"/>
          <w:szCs w:val="20"/>
          <w:color w:val="auto"/>
        </w:rPr>
      </w:pPr>
    </w:p>
    <w:p>
      <w:pPr>
        <w:ind w:firstLine="405"/>
        <w:spacing w:after="0" w:line="249" w:lineRule="auto"/>
        <w:rPr>
          <w:sz w:val="20"/>
          <w:szCs w:val="20"/>
          <w:color w:val="auto"/>
        </w:rPr>
      </w:pPr>
      <w:r>
        <w:rPr>
          <w:rFonts w:ascii="Arial" w:cs="Arial" w:eastAsia="Arial" w:hAnsi="Arial"/>
          <w:sz w:val="14"/>
          <w:szCs w:val="14"/>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As a BDC, we are required to carry our investments at market value or, if no market value is ascertainable or if market value does not</w:t>
      </w:r>
    </w:p>
    <w:p>
      <w:pPr>
        <w:spacing w:after="0" w:line="13" w:lineRule="exact"/>
        <w:rPr>
          <w:sz w:val="20"/>
          <w:szCs w:val="20"/>
          <w:color w:val="auto"/>
        </w:rPr>
      </w:pPr>
    </w:p>
    <w:p>
      <w:pPr>
        <w:ind w:right="1580"/>
        <w:spacing w:after="0" w:line="268" w:lineRule="auto"/>
        <w:rPr>
          <w:sz w:val="20"/>
          <w:szCs w:val="20"/>
          <w:color w:val="auto"/>
        </w:rPr>
      </w:pPr>
      <w:r>
        <w:rPr>
          <w:rFonts w:ascii="Arial" w:cs="Arial" w:eastAsia="Arial" w:hAnsi="Arial"/>
          <w:sz w:val="13"/>
          <w:szCs w:val="13"/>
          <w:color w:val="auto"/>
        </w:rPr>
        <w:t>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incur credit risk when we loan money or commit to loan money to a portfolio company.</w:t>
      </w:r>
    </w:p>
    <w:p>
      <w:pPr>
        <w:spacing w:after="0" w:line="244" w:lineRule="exact"/>
        <w:rPr>
          <w:sz w:val="20"/>
          <w:szCs w:val="20"/>
          <w:color w:val="auto"/>
        </w:rPr>
      </w:pPr>
    </w:p>
    <w:p>
      <w:pPr>
        <w:ind w:right="440" w:firstLine="486"/>
        <w:spacing w:after="0" w:line="27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7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4"/>
          <w:szCs w:val="14"/>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8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244" w:lineRule="exact"/>
        <w:rPr>
          <w:sz w:val="20"/>
          <w:szCs w:val="20"/>
          <w:color w:val="auto"/>
        </w:rPr>
      </w:pPr>
    </w:p>
    <w:p>
      <w:pPr>
        <w:ind w:firstLine="486"/>
        <w:spacing w:after="0" w:line="267" w:lineRule="auto"/>
        <w:rPr>
          <w:sz w:val="20"/>
          <w:szCs w:val="20"/>
          <w:color w:val="auto"/>
        </w:rPr>
      </w:pPr>
      <w:r>
        <w:rPr>
          <w:rFonts w:ascii="Arial" w:cs="Arial" w:eastAsia="Arial" w:hAnsi="Arial"/>
          <w:sz w:val="13"/>
          <w:szCs w:val="13"/>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28" w:lineRule="exact"/>
        <w:rPr>
          <w:sz w:val="20"/>
          <w:szCs w:val="20"/>
          <w:color w:val="auto"/>
        </w:rPr>
      </w:pPr>
    </w:p>
    <w:p>
      <w:pPr>
        <w:ind w:right="120" w:firstLine="216"/>
        <w:spacing w:after="0" w:line="27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39" w:lineRule="exact"/>
        <w:rPr>
          <w:sz w:val="20"/>
          <w:szCs w:val="20"/>
          <w:color w:val="auto"/>
        </w:rPr>
      </w:pPr>
    </w:p>
    <w:p>
      <w:pPr>
        <w:ind w:right="100" w:firstLine="432"/>
        <w:spacing w:after="0" w:line="24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financial condition and results of operation will depend on our ability to manage future growth effectively.</w:t>
      </w:r>
    </w:p>
    <w:p>
      <w:pPr>
        <w:spacing w:after="0" w:line="82" w:lineRule="exact"/>
        <w:rPr>
          <w:sz w:val="20"/>
          <w:szCs w:val="20"/>
          <w:color w:val="auto"/>
        </w:rPr>
      </w:pPr>
    </w:p>
    <w:p>
      <w:pPr>
        <w:ind w:right="80" w:firstLine="432"/>
        <w:spacing w:after="0" w:line="246" w:lineRule="auto"/>
        <w:rPr>
          <w:sz w:val="20"/>
          <w:szCs w:val="20"/>
          <w:color w:val="auto"/>
        </w:rPr>
      </w:pPr>
      <w:r>
        <w:rPr>
          <w:rFonts w:ascii="Arial" w:cs="Arial" w:eastAsia="Arial" w:hAnsi="Arial"/>
          <w:sz w:val="14"/>
          <w:szCs w:val="14"/>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82" w:lineRule="exact"/>
        <w:rPr>
          <w:sz w:val="20"/>
          <w:szCs w:val="20"/>
          <w:color w:val="auto"/>
        </w:rPr>
      </w:pPr>
    </w:p>
    <w:p>
      <w:pPr>
        <w:ind w:firstLine="432"/>
        <w:spacing w:after="0" w:line="245"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BDCs.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41" w:lineRule="exact"/>
        <w:rPr>
          <w:sz w:val="20"/>
          <w:szCs w:val="20"/>
          <w:color w:val="auto"/>
        </w:rPr>
      </w:pPr>
    </w:p>
    <w:p>
      <w:pPr>
        <w:ind w:right="60" w:firstLine="432"/>
        <w:spacing w:after="0" w:line="252"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163" w:lineRule="exact"/>
        <w:rPr>
          <w:sz w:val="20"/>
          <w:szCs w:val="20"/>
          <w:color w:val="auto"/>
        </w:rPr>
      </w:pPr>
    </w:p>
    <w:p>
      <w:pPr>
        <w:ind w:left="60" w:right="180" w:firstLine="432"/>
        <w:spacing w:after="0" w:line="312"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Loss of RIC tax treatment would substantially reduce net assets and income available for debt service and dividends.</w:t>
      </w:r>
    </w:p>
    <w:p>
      <w:pPr>
        <w:spacing w:after="0" w:line="163" w:lineRule="exact"/>
        <w:rPr>
          <w:sz w:val="20"/>
          <w:szCs w:val="20"/>
          <w:color w:val="auto"/>
        </w:rPr>
      </w:pPr>
    </w:p>
    <w:p>
      <w:pPr>
        <w:ind w:left="60" w:right="60" w:firstLine="405"/>
        <w:spacing w:after="0" w:line="267" w:lineRule="auto"/>
        <w:rPr>
          <w:sz w:val="20"/>
          <w:szCs w:val="20"/>
          <w:color w:val="auto"/>
        </w:rPr>
      </w:pPr>
      <w:r>
        <w:rPr>
          <w:rFonts w:ascii="Arial" w:cs="Arial" w:eastAsia="Arial" w:hAnsi="Arial"/>
          <w:sz w:val="13"/>
          <w:szCs w:val="13"/>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244" w:lineRule="exact"/>
        <w:rPr>
          <w:sz w:val="20"/>
          <w:szCs w:val="20"/>
          <w:color w:val="auto"/>
        </w:rPr>
      </w:pPr>
    </w:p>
    <w:p>
      <w:pPr>
        <w:ind w:right="280" w:firstLine="405"/>
        <w:spacing w:after="0" w:line="252" w:lineRule="auto"/>
        <w:rPr>
          <w:sz w:val="20"/>
          <w:szCs w:val="20"/>
          <w:color w:val="auto"/>
        </w:rPr>
      </w:pPr>
      <w:r>
        <w:rPr>
          <w:rFonts w:ascii="Arial" w:cs="Arial" w:eastAsia="Arial" w:hAnsi="Arial"/>
          <w:sz w:val="14"/>
          <w:szCs w:val="14"/>
          <w:color w:val="auto"/>
        </w:rPr>
        <w:t>For federal income tax purposes, we will include in income certain amounts that we have not yet received in cash, such as original issue discount or contracted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2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212" w:lineRule="exact"/>
        <w:rPr>
          <w:sz w:val="20"/>
          <w:szCs w:val="20"/>
          <w:color w:val="auto"/>
        </w:rPr>
      </w:pPr>
    </w:p>
    <w:p>
      <w:pPr>
        <w:ind w:right="120" w:firstLine="405"/>
        <w:spacing w:after="0" w:line="249"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effect on our business, financial condition and results of operations. If we are not able to obtain cash from other sources, we may fail to qualify for RIC tax benefits and thus be subject to corporate level income tax.</w:t>
      </w:r>
    </w:p>
    <w:p>
      <w:pPr>
        <w:spacing w:after="0" w:line="218" w:lineRule="exact"/>
        <w:rPr>
          <w:sz w:val="20"/>
          <w:szCs w:val="20"/>
          <w:color w:val="auto"/>
        </w:rPr>
      </w:pPr>
    </w:p>
    <w:p>
      <w:pPr>
        <w:ind w:firstLine="243"/>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20" w:lineRule="exact"/>
        <w:rPr>
          <w:sz w:val="20"/>
          <w:szCs w:val="20"/>
          <w:color w:val="auto"/>
        </w:rPr>
      </w:pPr>
    </w:p>
    <w:p>
      <w:pPr>
        <w:ind w:right="40" w:firstLine="324"/>
        <w:spacing w:after="0" w:line="246"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1" w:lineRule="exact"/>
        <w:rPr>
          <w:sz w:val="20"/>
          <w:szCs w:val="20"/>
          <w:color w:val="auto"/>
        </w:rPr>
      </w:pPr>
    </w:p>
    <w:p>
      <w:pPr>
        <w:ind w:firstLine="324"/>
        <w:spacing w:after="0" w:line="252" w:lineRule="auto"/>
        <w:rPr>
          <w:sz w:val="20"/>
          <w:szCs w:val="20"/>
          <w:color w:val="auto"/>
        </w:rPr>
      </w:pPr>
      <w:r>
        <w:rPr>
          <w:rFonts w:ascii="Arial" w:cs="Arial" w:eastAsia="Arial" w:hAnsi="Arial"/>
          <w:sz w:val="14"/>
          <w:szCs w:val="14"/>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86" w:lineRule="exact"/>
        <w:rPr>
          <w:sz w:val="20"/>
          <w:szCs w:val="20"/>
          <w:color w:val="auto"/>
        </w:rPr>
      </w:pPr>
    </w:p>
    <w:p>
      <w:pPr>
        <w:ind w:right="60" w:firstLine="405"/>
        <w:spacing w:after="0" w:line="245" w:lineRule="auto"/>
        <w:rPr>
          <w:sz w:val="20"/>
          <w:szCs w:val="20"/>
          <w:color w:val="auto"/>
        </w:rPr>
      </w:pPr>
      <w:r>
        <w:rPr>
          <w:rFonts w:ascii="Arial" w:cs="Arial" w:eastAsia="Arial" w:hAnsi="Arial"/>
          <w:sz w:val="14"/>
          <w:szCs w:val="14"/>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244" w:lineRule="exact"/>
        <w:rPr>
          <w:sz w:val="20"/>
          <w:szCs w:val="20"/>
          <w:color w:val="auto"/>
        </w:rPr>
      </w:pPr>
    </w:p>
    <w:p>
      <w:pPr>
        <w:ind w:right="40" w:firstLine="405"/>
        <w:spacing w:after="0" w:line="24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0" w:lineRule="exact"/>
        <w:rPr>
          <w:sz w:val="20"/>
          <w:szCs w:val="20"/>
          <w:color w:val="auto"/>
        </w:rPr>
      </w:pPr>
    </w:p>
    <w:p>
      <w:pPr>
        <w:ind w:left="660" w:right="100" w:hanging="328"/>
        <w:spacing w:after="0" w:line="24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b w:val="1"/>
          <w:bCs w:val="1"/>
          <w:i w:val="1"/>
          <w:iCs w:val="1"/>
          <w:color w:val="auto"/>
        </w:rPr>
        <w:t>Senior Securities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44" w:lineRule="exact"/>
        <w:rPr>
          <w:rFonts w:ascii="Arial" w:cs="Arial" w:eastAsia="Arial" w:hAnsi="Arial"/>
          <w:sz w:val="14"/>
          <w:szCs w:val="14"/>
          <w:color w:val="auto"/>
        </w:rPr>
      </w:pPr>
    </w:p>
    <w:p>
      <w:pPr>
        <w:ind w:left="660" w:hanging="328"/>
        <w:spacing w:after="0" w:line="244"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Common Stock. </w:t>
      </w:r>
      <w:r>
        <w:rPr>
          <w:rFonts w:ascii="Arial" w:cs="Arial" w:eastAsia="Arial" w:hAnsi="Arial"/>
          <w:sz w:val="14"/>
          <w:szCs w:val="14"/>
          <w:color w:val="auto"/>
        </w:rPr>
        <w:t>Our board of directors may decide to issue common stock to finance our operations rather than issuing debt or other senior securities. As a BDC, we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right="20" w:hanging="328"/>
        <w:spacing w:after="0" w:line="264"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 generate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5" w:lineRule="exact"/>
        <w:rPr>
          <w:rFonts w:ascii="Arial" w:cs="Arial" w:eastAsia="Arial" w:hAnsi="Arial"/>
          <w:sz w:val="13"/>
          <w:szCs w:val="13"/>
          <w:color w:val="auto"/>
        </w:rPr>
      </w:pPr>
    </w:p>
    <w:p>
      <w:pPr>
        <w:ind w:left="660" w:right="320" w:hanging="328"/>
        <w:spacing w:after="0" w:line="286"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SBA Debentures. </w:t>
      </w:r>
      <w:r>
        <w:rPr>
          <w:rFonts w:ascii="Arial" w:cs="Arial" w:eastAsia="Arial" w:hAnsi="Arial"/>
          <w:sz w:val="13"/>
          <w:szCs w:val="13"/>
          <w:color w:val="auto"/>
        </w:rPr>
        <w:t>In addition to issuing securities and using securitizations to raise capital as described above, we have issued and may continue to issue, as permitted under SBA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SBIC LP is licensed by the SBA and is subject to SBA regulations.</w:t>
      </w:r>
    </w:p>
    <w:p>
      <w:pPr>
        <w:spacing w:after="0" w:line="55" w:lineRule="exact"/>
        <w:rPr>
          <w:sz w:val="20"/>
          <w:szCs w:val="20"/>
          <w:color w:val="auto"/>
        </w:rPr>
      </w:pPr>
    </w:p>
    <w:p>
      <w:pPr>
        <w:ind w:firstLine="405"/>
        <w:spacing w:after="0" w:line="257" w:lineRule="auto"/>
        <w:rPr>
          <w:sz w:val="20"/>
          <w:szCs w:val="20"/>
          <w:color w:val="auto"/>
        </w:rPr>
      </w:pPr>
      <w:r>
        <w:rPr>
          <w:rFonts w:ascii="Arial" w:cs="Arial" w:eastAsia="Arial" w:hAnsi="Arial"/>
          <w:sz w:val="14"/>
          <w:szCs w:val="14"/>
          <w:color w:val="auto"/>
        </w:rPr>
        <w:t>In July 2010, our wholly 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185" w:lineRule="exact"/>
        <w:rPr>
          <w:sz w:val="20"/>
          <w:szCs w:val="20"/>
          <w:color w:val="auto"/>
        </w:rPr>
      </w:pPr>
    </w:p>
    <w:p>
      <w:pPr>
        <w:ind w:right="20" w:firstLine="405"/>
        <w:spacing w:after="0" w:line="249"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its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 owned subsidiary.</w:t>
      </w:r>
    </w:p>
    <w:p>
      <w:pPr>
        <w:spacing w:after="0" w:line="137" w:lineRule="exact"/>
        <w:rPr>
          <w:sz w:val="20"/>
          <w:szCs w:val="20"/>
          <w:color w:val="auto"/>
        </w:rPr>
      </w:pPr>
    </w:p>
    <w:p>
      <w:pPr>
        <w:ind w:right="20" w:firstLine="405"/>
        <w:spacing w:after="0" w:line="257"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244" w:lineRule="exact"/>
        <w:rPr>
          <w:sz w:val="20"/>
          <w:szCs w:val="20"/>
          <w:color w:val="auto"/>
        </w:rPr>
      </w:pPr>
    </w:p>
    <w:p>
      <w:pPr>
        <w:ind w:right="80" w:firstLine="405"/>
        <w:spacing w:after="0" w:line="252" w:lineRule="auto"/>
        <w:rPr>
          <w:sz w:val="20"/>
          <w:szCs w:val="20"/>
          <w:color w:val="auto"/>
        </w:rPr>
      </w:pPr>
      <w:r>
        <w:rPr>
          <w:rFonts w:ascii="Arial" w:cs="Arial" w:eastAsia="Arial" w:hAnsi="Arial"/>
          <w:sz w:val="14"/>
          <w:szCs w:val="14"/>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215" w:lineRule="exact"/>
        <w:rPr>
          <w:sz w:val="20"/>
          <w:szCs w:val="20"/>
          <w:color w:val="auto"/>
        </w:rPr>
      </w:pPr>
    </w:p>
    <w:p>
      <w:pPr>
        <w:ind w:right="260" w:firstLine="405"/>
        <w:spacing w:after="0" w:line="257" w:lineRule="auto"/>
        <w:rPr>
          <w:sz w:val="20"/>
          <w:szCs w:val="20"/>
          <w:color w:val="auto"/>
        </w:rPr>
      </w:pPr>
      <w:r>
        <w:rPr>
          <w:rFonts w:ascii="Arial" w:cs="Arial" w:eastAsia="Arial" w:hAnsi="Arial"/>
          <w:sz w:val="14"/>
          <w:szCs w:val="14"/>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2" w:lineRule="exact"/>
        <w:rPr>
          <w:sz w:val="20"/>
          <w:szCs w:val="20"/>
          <w:color w:val="auto"/>
        </w:rPr>
      </w:pPr>
    </w:p>
    <w:p>
      <w:pPr>
        <w:ind w:firstLine="405"/>
        <w:spacing w:after="0" w:line="286" w:lineRule="auto"/>
        <w:rPr>
          <w:sz w:val="20"/>
          <w:szCs w:val="20"/>
          <w:color w:val="auto"/>
        </w:rPr>
      </w:pPr>
      <w:r>
        <w:rPr>
          <w:rFonts w:ascii="Arial" w:cs="Arial" w:eastAsia="Arial" w:hAnsi="Arial"/>
          <w:sz w:val="13"/>
          <w:szCs w:val="13"/>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82" w:lineRule="exact"/>
        <w:rPr>
          <w:sz w:val="20"/>
          <w:szCs w:val="20"/>
          <w:color w:val="auto"/>
        </w:rPr>
      </w:pPr>
    </w:p>
    <w:p>
      <w:pPr>
        <w:ind w:right="100" w:firstLine="432"/>
        <w:spacing w:after="0" w:line="245"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 lenders would receive proceeds before our stockholders. Additionally, the SBA, as a lender and an administrative agent, has a superior claim over the assets of SBIC LP in relation to our lender. In addition, borrowings or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3"/>
          <w:szCs w:val="13"/>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2" w:lineRule="exact"/>
        <w:rPr>
          <w:sz w:val="20"/>
          <w:szCs w:val="20"/>
          <w:color w:val="auto"/>
        </w:rPr>
      </w:pPr>
    </w:p>
    <w:p>
      <w:pPr>
        <w:ind w:right="120" w:firstLine="432"/>
        <w:spacing w:after="0" w:line="249" w:lineRule="auto"/>
        <w:rPr>
          <w:sz w:val="20"/>
          <w:szCs w:val="20"/>
          <w:color w:val="auto"/>
        </w:rPr>
      </w:pPr>
      <w:r>
        <w:rPr>
          <w:rFonts w:ascii="Arial" w:cs="Arial" w:eastAsia="Arial" w:hAnsi="Arial"/>
          <w:sz w:val="14"/>
          <w:szCs w:val="14"/>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8"/>
                <w:szCs w:val="8"/>
                <w:color w:val="auto"/>
              </w:rPr>
              <w:t>(1)</w:t>
            </w:r>
          </w:p>
        </w:tc>
        <w:tc>
          <w:tcPr>
            <w:tcW w:w="122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(5.0)%</w:t>
            </w:r>
          </w:p>
        </w:tc>
        <w:tc>
          <w:tcPr>
            <w:tcW w:w="122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5.0%</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69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(10.0)%</w:t>
            </w:r>
          </w:p>
        </w:tc>
        <w:tc>
          <w:tcPr>
            <w:tcW w:w="122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920" w:type="dxa"/>
            <w:vAlign w:val="bottom"/>
          </w:tcPr>
          <w:p>
            <w:pPr>
              <w:ind w:left="40"/>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8"/>
                <w:szCs w:val="8"/>
                <w:color w:val="auto"/>
              </w:rPr>
              <w:t>(2)</w:t>
            </w:r>
          </w:p>
        </w:tc>
        <w:tc>
          <w:tcPr>
            <w:tcW w:w="1220" w:type="dxa"/>
            <w:vAlign w:val="bottom"/>
            <w:vMerge w:val="restart"/>
          </w:tcPr>
          <w:p>
            <w:pPr>
              <w:jc w:val="right"/>
              <w:ind w:right="328"/>
              <w:spacing w:after="0"/>
              <w:rPr>
                <w:sz w:val="20"/>
                <w:szCs w:val="20"/>
                <w:color w:val="auto"/>
              </w:rPr>
            </w:pPr>
            <w:r>
              <w:rPr>
                <w:rFonts w:ascii="Arial" w:cs="Arial" w:eastAsia="Arial" w:hAnsi="Arial"/>
                <w:sz w:val="14"/>
                <w:szCs w:val="14"/>
                <w:color w:val="auto"/>
              </w:rPr>
              <w:t>(11.9)%</w:t>
            </w:r>
          </w:p>
        </w:tc>
        <w:tc>
          <w:tcPr>
            <w:tcW w:w="1220" w:type="dxa"/>
            <w:vAlign w:val="bottom"/>
            <w:vMerge w:val="restart"/>
          </w:tcPr>
          <w:p>
            <w:pPr>
              <w:jc w:val="right"/>
              <w:ind w:right="348"/>
              <w:spacing w:after="0"/>
              <w:rPr>
                <w:sz w:val="20"/>
                <w:szCs w:val="20"/>
                <w:color w:val="auto"/>
              </w:rPr>
            </w:pPr>
            <w:r>
              <w:rPr>
                <w:rFonts w:ascii="Arial" w:cs="Arial" w:eastAsia="Arial" w:hAnsi="Arial"/>
                <w:sz w:val="14"/>
                <w:szCs w:val="14"/>
                <w:color w:val="auto"/>
              </w:rPr>
              <w:t>(1.9)%</w:t>
            </w: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color w:val="auto"/>
              </w:rPr>
              <w:t>8.2%</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2"/>
        </w:trPr>
        <w:tc>
          <w:tcPr>
            <w:tcW w:w="6920" w:type="dxa"/>
            <w:vAlign w:val="bottom"/>
          </w:tcPr>
          <w:p>
            <w:pPr>
              <w:jc w:val="right"/>
              <w:ind w:right="288"/>
              <w:spacing w:after="0"/>
              <w:rPr>
                <w:sz w:val="20"/>
                <w:szCs w:val="20"/>
                <w:color w:val="auto"/>
              </w:rPr>
            </w:pPr>
            <w:r>
              <w:rPr>
                <w:rFonts w:ascii="Arial" w:cs="Arial" w:eastAsia="Arial" w:hAnsi="Arial"/>
                <w:sz w:val="14"/>
                <w:szCs w:val="14"/>
                <w:color w:val="auto"/>
              </w:rPr>
              <w:t>(22.0)%</w:t>
            </w: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5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55" w:lineRule="exact"/>
        <w:rPr>
          <w:rFonts w:ascii="Arial" w:cs="Arial" w:eastAsia="Arial" w:hAnsi="Arial"/>
          <w:sz w:val="14"/>
          <w:szCs w:val="14"/>
          <w:color w:val="auto"/>
        </w:rPr>
      </w:pPr>
    </w:p>
    <w:p>
      <w:pPr>
        <w:ind w:left="500" w:right="100" w:hanging="492"/>
        <w:spacing w:after="0" w:line="286"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82" w:lineRule="exact"/>
        <w:rPr>
          <w:sz w:val="20"/>
          <w:szCs w:val="20"/>
          <w:color w:val="auto"/>
        </w:rPr>
      </w:pPr>
    </w:p>
    <w:p>
      <w:pPr>
        <w:ind w:right="100" w:firstLine="432"/>
        <w:spacing w:after="0" w:line="267"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 for more information.</w:t>
      </w:r>
    </w:p>
    <w:p>
      <w:pPr>
        <w:spacing w:after="0" w:line="128" w:lineRule="exact"/>
        <w:rPr>
          <w:sz w:val="20"/>
          <w:szCs w:val="20"/>
          <w:color w:val="auto"/>
        </w:rPr>
      </w:pPr>
    </w:p>
    <w:p>
      <w:pPr>
        <w:ind w:right="40" w:firstLine="432"/>
        <w:spacing w:after="0" w:line="257"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20" w:lineRule="exact"/>
        <w:rPr>
          <w:sz w:val="20"/>
          <w:szCs w:val="20"/>
          <w:color w:val="auto"/>
        </w:rPr>
      </w:pPr>
    </w:p>
    <w:p>
      <w:pPr>
        <w:ind w:right="2180" w:firstLine="243"/>
        <w:spacing w:after="0" w:line="27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120" w:lineRule="exact"/>
        <w:rPr>
          <w:sz w:val="20"/>
          <w:szCs w:val="20"/>
          <w:color w:val="auto"/>
        </w:rPr>
      </w:pPr>
    </w:p>
    <w:p>
      <w:pPr>
        <w:ind w:right="60" w:firstLine="405"/>
        <w:spacing w:after="0" w:line="270"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06" w:lineRule="exact"/>
        <w:rPr>
          <w:sz w:val="20"/>
          <w:szCs w:val="20"/>
          <w:color w:val="auto"/>
        </w:rPr>
      </w:pPr>
    </w:p>
    <w:p>
      <w:pPr>
        <w:ind w:right="180" w:firstLine="243"/>
        <w:spacing w:after="0" w:line="27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201" w:lineRule="exact"/>
        <w:rPr>
          <w:sz w:val="20"/>
          <w:szCs w:val="20"/>
          <w:color w:val="auto"/>
        </w:rPr>
      </w:pPr>
    </w:p>
    <w:p>
      <w:pPr>
        <w:ind w:firstLine="405"/>
        <w:spacing w:after="0" w:line="273" w:lineRule="auto"/>
        <w:rPr>
          <w:sz w:val="20"/>
          <w:szCs w:val="20"/>
          <w:color w:val="auto"/>
        </w:rPr>
      </w:pPr>
      <w:r>
        <w:rPr>
          <w:rFonts w:ascii="Arial" w:cs="Arial" w:eastAsia="Arial" w:hAnsi="Arial"/>
          <w:sz w:val="13"/>
          <w:szCs w:val="13"/>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If we issue preferred stock, debt securities, convertible debt securities or units, the net asset value and market value of our common stock may become more volatile.</w:t>
      </w:r>
    </w:p>
    <w:p>
      <w:pPr>
        <w:spacing w:after="0" w:line="256" w:lineRule="exact"/>
        <w:rPr>
          <w:sz w:val="20"/>
          <w:szCs w:val="20"/>
          <w:color w:val="auto"/>
        </w:rPr>
      </w:pPr>
    </w:p>
    <w:p>
      <w:pPr>
        <w:ind w:right="60" w:firstLine="243"/>
        <w:spacing w:after="0" w:line="268"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7" w:lineRule="exact"/>
        <w:rPr>
          <w:sz w:val="20"/>
          <w:szCs w:val="20"/>
          <w:color w:val="auto"/>
        </w:rPr>
      </w:pPr>
    </w:p>
    <w:p>
      <w:pPr>
        <w:ind w:left="60" w:right="20" w:firstLine="432"/>
        <w:spacing w:after="0" w:line="270" w:lineRule="auto"/>
        <w:rPr>
          <w:sz w:val="20"/>
          <w:szCs w:val="20"/>
          <w:color w:val="auto"/>
        </w:rPr>
      </w:pPr>
      <w:r>
        <w:rPr>
          <w:rFonts w:ascii="Arial" w:cs="Arial" w:eastAsia="Arial" w:hAnsi="Arial"/>
          <w:sz w:val="13"/>
          <w:szCs w:val="13"/>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63" w:lineRule="exact"/>
        <w:rPr>
          <w:sz w:val="20"/>
          <w:szCs w:val="20"/>
          <w:color w:val="auto"/>
        </w:rPr>
      </w:pPr>
    </w:p>
    <w:p>
      <w:pPr>
        <w:ind w:left="60" w:right="180" w:firstLine="432"/>
        <w:spacing w:after="0" w:line="273" w:lineRule="auto"/>
        <w:rPr>
          <w:sz w:val="20"/>
          <w:szCs w:val="20"/>
          <w:color w:val="auto"/>
        </w:rPr>
      </w:pPr>
      <w:r>
        <w:rPr>
          <w:rFonts w:ascii="Arial" w:cs="Arial" w:eastAsia="Arial" w:hAnsi="Arial"/>
          <w:sz w:val="13"/>
          <w:szCs w:val="13"/>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63" w:lineRule="exact"/>
        <w:rPr>
          <w:sz w:val="20"/>
          <w:szCs w:val="20"/>
          <w:color w:val="auto"/>
        </w:rPr>
      </w:pPr>
    </w:p>
    <w:p>
      <w:pPr>
        <w:ind w:left="60" w:firstLine="324"/>
        <w:spacing w:after="0" w:line="249"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63" w:lineRule="exact"/>
        <w:rPr>
          <w:sz w:val="20"/>
          <w:szCs w:val="20"/>
          <w:color w:val="auto"/>
        </w:rPr>
      </w:pPr>
    </w:p>
    <w:p>
      <w:pPr>
        <w:ind w:left="60" w:right="40" w:firstLine="324"/>
        <w:spacing w:after="0" w:line="264" w:lineRule="auto"/>
        <w:rPr>
          <w:sz w:val="20"/>
          <w:szCs w:val="20"/>
          <w:color w:val="auto"/>
        </w:rPr>
      </w:pPr>
      <w:r>
        <w:rPr>
          <w:rFonts w:ascii="Arial" w:cs="Arial" w:eastAsia="Arial" w:hAnsi="Arial"/>
          <w:sz w:val="13"/>
          <w:szCs w:val="13"/>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33" w:lineRule="exact"/>
        <w:rPr>
          <w:sz w:val="20"/>
          <w:szCs w:val="20"/>
          <w:color w:val="auto"/>
        </w:rPr>
      </w:pPr>
    </w:p>
    <w:p>
      <w:pPr>
        <w:ind w:left="60" w:right="40" w:firstLine="405"/>
        <w:spacing w:after="0" w:line="252" w:lineRule="auto"/>
        <w:rPr>
          <w:sz w:val="20"/>
          <w:szCs w:val="20"/>
          <w:color w:val="auto"/>
        </w:rPr>
      </w:pPr>
      <w:r>
        <w:rPr>
          <w:rFonts w:ascii="Arial" w:cs="Arial" w:eastAsia="Arial" w:hAnsi="Arial"/>
          <w:sz w:val="14"/>
          <w:szCs w:val="14"/>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34" w:lineRule="exact"/>
        <w:rPr>
          <w:sz w:val="20"/>
          <w:szCs w:val="20"/>
          <w:color w:val="auto"/>
        </w:rPr>
      </w:pPr>
    </w:p>
    <w:p>
      <w:pPr>
        <w:ind w:right="60" w:firstLine="405"/>
        <w:spacing w:after="0" w:line="252" w:lineRule="auto"/>
        <w:rPr>
          <w:sz w:val="20"/>
          <w:szCs w:val="20"/>
          <w:color w:val="auto"/>
        </w:rPr>
      </w:pPr>
      <w:r>
        <w:rPr>
          <w:rFonts w:ascii="Arial" w:cs="Arial" w:eastAsia="Arial" w:hAnsi="Arial"/>
          <w:sz w:val="14"/>
          <w:szCs w:val="14"/>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34" w:lineRule="exact"/>
        <w:rPr>
          <w:sz w:val="20"/>
          <w:szCs w:val="20"/>
          <w:color w:val="auto"/>
        </w:rPr>
      </w:pPr>
    </w:p>
    <w:p>
      <w:pPr>
        <w:ind w:firstLine="405"/>
        <w:spacing w:after="0" w:line="252" w:lineRule="auto"/>
        <w:rPr>
          <w:sz w:val="20"/>
          <w:szCs w:val="20"/>
          <w:color w:val="auto"/>
        </w:rPr>
      </w:pPr>
      <w:r>
        <w:rPr>
          <w:rFonts w:ascii="Arial" w:cs="Arial" w:eastAsia="Arial" w:hAnsi="Arial"/>
          <w:sz w:val="14"/>
          <w:szCs w:val="14"/>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63" w:lineRule="exact"/>
        <w:rPr>
          <w:sz w:val="20"/>
          <w:szCs w:val="20"/>
          <w:color w:val="auto"/>
        </w:rPr>
      </w:pPr>
    </w:p>
    <w:p>
      <w:pPr>
        <w:ind w:left="60" w:right="140" w:firstLine="432"/>
        <w:spacing w:after="0" w:line="257" w:lineRule="auto"/>
        <w:rPr>
          <w:sz w:val="20"/>
          <w:szCs w:val="20"/>
          <w:color w:val="auto"/>
        </w:rPr>
      </w:pPr>
      <w:r>
        <w:rPr>
          <w:rFonts w:ascii="Arial" w:cs="Arial" w:eastAsia="Arial" w:hAnsi="Arial"/>
          <w:sz w:val="14"/>
          <w:szCs w:val="14"/>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104"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217" w:lineRule="exact"/>
        <w:rPr>
          <w:sz w:val="20"/>
          <w:szCs w:val="20"/>
          <w:color w:val="auto"/>
        </w:rPr>
      </w:pPr>
    </w:p>
    <w:p>
      <w:pPr>
        <w:ind w:left="180" w:right="120" w:firstLine="432"/>
        <w:spacing w:after="0" w:line="273"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82" w:lineRule="exact"/>
        <w:rPr>
          <w:sz w:val="20"/>
          <w:szCs w:val="20"/>
          <w:color w:val="auto"/>
        </w:rPr>
      </w:pPr>
    </w:p>
    <w:p>
      <w:pPr>
        <w:ind w:right="80" w:firstLine="432"/>
        <w:spacing w:after="0" w:line="257"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Terms relating to redemption may materially adversely affect the return on any debt securities.</w:t>
      </w:r>
    </w:p>
    <w:p>
      <w:pPr>
        <w:spacing w:after="0" w:line="82"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82" w:lineRule="exact"/>
        <w:rPr>
          <w:sz w:val="20"/>
          <w:szCs w:val="20"/>
          <w:color w:val="auto"/>
        </w:rPr>
      </w:pPr>
    </w:p>
    <w:p>
      <w:pPr>
        <w:ind w:right="40" w:firstLine="432"/>
        <w:spacing w:after="0" w:line="257"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4"/>
          <w:szCs w:val="14"/>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82" w:lineRule="exact"/>
        <w:rPr>
          <w:sz w:val="20"/>
          <w:szCs w:val="20"/>
          <w:color w:val="auto"/>
        </w:rPr>
      </w:pPr>
    </w:p>
    <w:p>
      <w:pPr>
        <w:ind w:right="40" w:firstLine="432"/>
        <w:spacing w:after="0" w:line="273"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82" w:lineRule="exact"/>
        <w:rPr>
          <w:sz w:val="20"/>
          <w:szCs w:val="20"/>
          <w:color w:val="auto"/>
        </w:rPr>
      </w:pPr>
    </w:p>
    <w:p>
      <w:pPr>
        <w:ind w:right="20" w:firstLine="405"/>
        <w:spacing w:after="0" w:line="273" w:lineRule="auto"/>
        <w:rPr>
          <w:sz w:val="20"/>
          <w:szCs w:val="20"/>
          <w:color w:val="auto"/>
        </w:rPr>
      </w:pPr>
      <w:r>
        <w:rPr>
          <w:rFonts w:ascii="Arial" w:cs="Arial" w:eastAsia="Arial" w:hAnsi="Arial"/>
          <w:sz w:val="14"/>
          <w:szCs w:val="14"/>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82"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86" w:lineRule="exact"/>
        <w:rPr>
          <w:sz w:val="20"/>
          <w:szCs w:val="20"/>
          <w:color w:val="auto"/>
        </w:rPr>
      </w:pPr>
    </w:p>
    <w:p>
      <w:pPr>
        <w:ind w:right="300" w:firstLine="216"/>
        <w:spacing w:after="0" w:line="27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39" w:lineRule="exact"/>
        <w:rPr>
          <w:sz w:val="20"/>
          <w:szCs w:val="20"/>
          <w:color w:val="auto"/>
        </w:rPr>
      </w:pPr>
    </w:p>
    <w:p>
      <w:pPr>
        <w:ind w:firstLine="405"/>
        <w:spacing w:after="0" w:line="270" w:lineRule="auto"/>
        <w:rPr>
          <w:sz w:val="20"/>
          <w:szCs w:val="20"/>
          <w:color w:val="auto"/>
        </w:rPr>
      </w:pPr>
      <w:r>
        <w:rPr>
          <w:rFonts w:ascii="Arial" w:cs="Arial" w:eastAsia="Arial" w:hAnsi="Arial"/>
          <w:sz w:val="13"/>
          <w:szCs w:val="13"/>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or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206" w:lineRule="exact"/>
        <w:rPr>
          <w:sz w:val="20"/>
          <w:szCs w:val="20"/>
          <w:color w:val="auto"/>
        </w:rPr>
      </w:pPr>
    </w:p>
    <w:p>
      <w:pPr>
        <w:ind w:right="100" w:firstLine="405"/>
        <w:spacing w:after="0" w:line="273"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2" w:lineRule="exact"/>
        <w:rPr>
          <w:sz w:val="20"/>
          <w:szCs w:val="20"/>
          <w:color w:val="auto"/>
        </w:rPr>
      </w:pPr>
    </w:p>
    <w:p>
      <w:pPr>
        <w:ind w:firstLine="405"/>
        <w:spacing w:after="0" w:line="273"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in the Statement of Operations as net change in unrealized appreciation or depreciation.</w:t>
      </w:r>
    </w:p>
    <w:p>
      <w:pPr>
        <w:spacing w:after="0" w:line="120" w:lineRule="exact"/>
        <w:rPr>
          <w:sz w:val="20"/>
          <w:szCs w:val="20"/>
          <w:color w:val="auto"/>
        </w:rPr>
      </w:pPr>
    </w:p>
    <w:p>
      <w:pPr>
        <w:ind w:right="40" w:firstLine="405"/>
        <w:spacing w:after="0" w:line="268" w:lineRule="auto"/>
        <w:rPr>
          <w:sz w:val="20"/>
          <w:szCs w:val="20"/>
          <w:color w:val="auto"/>
        </w:rPr>
      </w:pPr>
      <w:r>
        <w:rPr>
          <w:rFonts w:ascii="Arial" w:cs="Arial" w:eastAsia="Arial" w:hAnsi="Arial"/>
          <w:sz w:val="13"/>
          <w:szCs w:val="13"/>
          <w:color w:val="auto"/>
        </w:rPr>
        <w:t>At September 30, 2011,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244" w:lineRule="exact"/>
        <w:rPr>
          <w:sz w:val="20"/>
          <w:szCs w:val="20"/>
          <w:color w:val="auto"/>
        </w:rPr>
      </w:pPr>
    </w:p>
    <w:p>
      <w:pPr>
        <w:ind w:right="40" w:firstLine="405"/>
        <w:spacing w:after="0" w:line="257"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212" w:lineRule="exact"/>
        <w:rPr>
          <w:sz w:val="20"/>
          <w:szCs w:val="20"/>
          <w:color w:val="auto"/>
        </w:rPr>
      </w:pPr>
    </w:p>
    <w:p>
      <w:pPr>
        <w:ind w:firstLine="405"/>
        <w:spacing w:after="0" w:line="277"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201" w:lineRule="exact"/>
        <w:rPr>
          <w:sz w:val="20"/>
          <w:szCs w:val="20"/>
          <w:color w:val="auto"/>
        </w:rPr>
      </w:pPr>
    </w:p>
    <w:p>
      <w:pPr>
        <w:ind w:firstLine="405"/>
        <w:spacing w:after="0" w:line="286" w:lineRule="auto"/>
        <w:rPr>
          <w:sz w:val="20"/>
          <w:szCs w:val="20"/>
          <w:color w:val="auto"/>
        </w:rPr>
      </w:pPr>
      <w:r>
        <w:rPr>
          <w:rFonts w:ascii="Arial" w:cs="Arial" w:eastAsia="Arial" w:hAnsi="Arial"/>
          <w:sz w:val="13"/>
          <w:szCs w:val="13"/>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244" w:lineRule="exact"/>
        <w:rPr>
          <w:sz w:val="20"/>
          <w:szCs w:val="20"/>
          <w:color w:val="auto"/>
        </w:rPr>
      </w:pPr>
    </w:p>
    <w:p>
      <w:pPr>
        <w:ind w:firstLine="405"/>
        <w:spacing w:after="0" w:line="252"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215" w:lineRule="exact"/>
        <w:rPr>
          <w:sz w:val="20"/>
          <w:szCs w:val="20"/>
          <w:color w:val="auto"/>
        </w:rPr>
      </w:pPr>
    </w:p>
    <w:p>
      <w:pPr>
        <w:ind w:right="40" w:firstLine="405"/>
        <w:spacing w:after="0" w:line="252"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invest primarily in senior secured loans, mezzanine debt and selected equity investments issued by U.S. middle-market companies.</w:t>
      </w:r>
    </w:p>
    <w:p>
      <w:pPr>
        <w:spacing w:after="0" w:line="55" w:lineRule="exact"/>
        <w:rPr>
          <w:sz w:val="20"/>
          <w:szCs w:val="20"/>
          <w:color w:val="auto"/>
        </w:rPr>
      </w:pPr>
    </w:p>
    <w:p>
      <w:pPr>
        <w:ind w:left="820" w:hanging="326"/>
        <w:spacing w:after="0" w:line="246" w:lineRule="auto"/>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Senior Secured Loans: </w:t>
      </w:r>
      <w:r>
        <w:rPr>
          <w:rFonts w:ascii="Arial" w:cs="Arial" w:eastAsia="Arial" w:hAnsi="Arial"/>
          <w:sz w:val="14"/>
          <w:szCs w:val="14"/>
          <w:color w:val="auto"/>
        </w:rPr>
        <w:t>When we extend senior secured loans, which we define to include first lien debt, we will generally take a security interest in the available assets of these</w:t>
      </w:r>
      <w:r>
        <w:rPr>
          <w:rFonts w:ascii="Arial" w:cs="Arial" w:eastAsia="Arial" w:hAnsi="Arial"/>
          <w:sz w:val="14"/>
          <w:szCs w:val="14"/>
          <w:i w:val="1"/>
          <w:iCs w:val="1"/>
          <w:color w:val="auto"/>
        </w:rPr>
        <w:t xml:space="preserve"> </w:t>
      </w:r>
      <w:r>
        <w:rPr>
          <w:rFonts w:ascii="Arial" w:cs="Arial" w:eastAsia="Arial" w:hAnsi="Arial"/>
          <w:sz w:val="14"/>
          <w:szCs w:val="14"/>
          <w:color w:val="auto"/>
        </w:rPr>
        <w:t>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29" w:lineRule="exact"/>
        <w:rPr>
          <w:rFonts w:ascii="Arial" w:cs="Arial" w:eastAsia="Arial" w:hAnsi="Arial"/>
          <w:sz w:val="14"/>
          <w:szCs w:val="14"/>
          <w:color w:val="auto"/>
        </w:rPr>
      </w:pPr>
    </w:p>
    <w:p>
      <w:pPr>
        <w:ind w:left="820" w:right="20" w:hanging="326"/>
        <w:spacing w:after="0" w:line="247" w:lineRule="auto"/>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Mezzanine Debt: </w:t>
      </w:r>
      <w:r>
        <w:rPr>
          <w:rFonts w:ascii="Arial" w:cs="Arial" w:eastAsia="Arial" w:hAnsi="Arial"/>
          <w:sz w:val="14"/>
          <w:szCs w:val="14"/>
          <w:color w:val="auto"/>
        </w:rPr>
        <w:t>Our mezzanine debt investments, which we define to include second lien secured and subordinated debt, will generally be subordinated to senior secured loans and</w:t>
      </w:r>
      <w:r>
        <w:rPr>
          <w:rFonts w:ascii="Arial" w:cs="Arial" w:eastAsia="Arial" w:hAnsi="Arial"/>
          <w:sz w:val="14"/>
          <w:szCs w:val="14"/>
          <w:i w:val="1"/>
          <w:iCs w:val="1"/>
          <w:color w:val="auto"/>
        </w:rPr>
        <w:t xml:space="preserve"> </w:t>
      </w:r>
      <w:r>
        <w:rPr>
          <w:rFonts w:ascii="Arial" w:cs="Arial" w:eastAsia="Arial" w:hAnsi="Arial"/>
          <w:sz w:val="14"/>
          <w:szCs w:val="14"/>
          <w:color w:val="auto"/>
        </w:rPr>
        <w:t>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1" w:lineRule="exact"/>
        <w:rPr>
          <w:rFonts w:ascii="Arial" w:cs="Arial" w:eastAsia="Arial" w:hAnsi="Arial"/>
          <w:sz w:val="14"/>
          <w:szCs w:val="14"/>
          <w:color w:val="auto"/>
        </w:rPr>
      </w:pPr>
    </w:p>
    <w:p>
      <w:pPr>
        <w:ind w:left="820" w:right="20" w:hanging="326"/>
        <w:spacing w:after="0" w:line="277" w:lineRule="auto"/>
        <w:tabs>
          <w:tab w:leader="none" w:pos="82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Equity Investments</w:t>
      </w:r>
      <w:r>
        <w:rPr>
          <w:rFonts w:ascii="Arial" w:cs="Arial" w:eastAsia="Arial" w:hAnsi="Arial"/>
          <w:sz w:val="13"/>
          <w:szCs w:val="13"/>
          <w:color w:val="auto"/>
        </w:rPr>
        <w:t>: We have made and expect to continue to make select equity investments. In addition, when we invest in senior secured loans or mezzanine debt, we may acquire</w:t>
      </w:r>
      <w:r>
        <w:rPr>
          <w:rFonts w:ascii="Arial" w:cs="Arial" w:eastAsia="Arial" w:hAnsi="Arial"/>
          <w:sz w:val="13"/>
          <w:szCs w:val="13"/>
          <w:i w:val="1"/>
          <w:iCs w:val="1"/>
          <w:color w:val="auto"/>
        </w:rPr>
        <w:t xml:space="preserve"> </w:t>
      </w:r>
      <w:r>
        <w:rPr>
          <w:rFonts w:ascii="Arial" w:cs="Arial" w:eastAsia="Arial" w:hAnsi="Arial"/>
          <w:sz w:val="13"/>
          <w:szCs w:val="13"/>
          <w:color w:val="auto"/>
        </w:rPr>
        <w:t>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820" w:right="100" w:hanging="326"/>
        <w:spacing w:after="0" w:line="273"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 w:lineRule="exact"/>
        <w:rPr>
          <w:rFonts w:ascii="Arial" w:cs="Arial" w:eastAsia="Arial" w:hAnsi="Arial"/>
          <w:sz w:val="14"/>
          <w:szCs w:val="14"/>
          <w:color w:val="auto"/>
        </w:rPr>
      </w:pPr>
    </w:p>
    <w:p>
      <w:pPr>
        <w:ind w:left="820" w:right="120" w:hanging="326"/>
        <w:spacing w:after="0" w:line="273"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1" w:lineRule="exact"/>
        <w:rPr>
          <w:rFonts w:ascii="Arial" w:cs="Arial" w:eastAsia="Arial" w:hAnsi="Arial"/>
          <w:sz w:val="14"/>
          <w:szCs w:val="14"/>
          <w:color w:val="auto"/>
        </w:rPr>
      </w:pPr>
    </w:p>
    <w:p>
      <w:pPr>
        <w:ind w:left="820" w:right="100" w:hanging="326"/>
        <w:spacing w:after="0" w:line="273"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 w:lineRule="exact"/>
        <w:rPr>
          <w:rFonts w:ascii="Arial" w:cs="Arial" w:eastAsia="Arial" w:hAnsi="Arial"/>
          <w:sz w:val="14"/>
          <w:szCs w:val="14"/>
          <w:color w:val="auto"/>
        </w:rPr>
      </w:pPr>
    </w:p>
    <w:p>
      <w:pPr>
        <w:ind w:left="820" w:right="80" w:hanging="326"/>
        <w:spacing w:after="0" w:line="252" w:lineRule="auto"/>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25" w:lineRule="exact"/>
        <w:rPr>
          <w:rFonts w:ascii="Arial" w:cs="Arial" w:eastAsia="Arial" w:hAnsi="Arial"/>
          <w:sz w:val="14"/>
          <w:szCs w:val="14"/>
          <w:color w:val="auto"/>
        </w:rPr>
      </w:pPr>
    </w:p>
    <w:p>
      <w:pPr>
        <w:ind w:left="820" w:hanging="326"/>
        <w:spacing w:after="0"/>
        <w:tabs>
          <w:tab w:leader="none" w:pos="8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283" w:lineRule="exact"/>
        <w:rPr>
          <w:sz w:val="20"/>
          <w:szCs w:val="20"/>
          <w:color w:val="auto"/>
        </w:rPr>
      </w:pPr>
    </w:p>
    <w:p>
      <w:pPr>
        <w:ind w:left="60" w:right="240" w:firstLine="243"/>
        <w:spacing w:after="0" w:line="27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174" w:lineRule="exact"/>
        <w:rPr>
          <w:sz w:val="20"/>
          <w:szCs w:val="20"/>
          <w:color w:val="auto"/>
        </w:rPr>
      </w:pPr>
    </w:p>
    <w:p>
      <w:pPr>
        <w:ind w:right="20" w:firstLine="405"/>
        <w:spacing w:after="0" w:line="252"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4" w:lineRule="exact"/>
        <w:rPr>
          <w:sz w:val="20"/>
          <w:szCs w:val="20"/>
          <w:color w:val="auto"/>
        </w:rPr>
      </w:pPr>
    </w:p>
    <w:p>
      <w:pPr>
        <w:ind w:right="100" w:firstLine="405"/>
        <w:spacing w:after="0" w:line="247" w:lineRule="auto"/>
        <w:rPr>
          <w:sz w:val="20"/>
          <w:szCs w:val="20"/>
          <w:color w:val="auto"/>
        </w:rPr>
      </w:pPr>
      <w:r>
        <w:rPr>
          <w:rFonts w:ascii="Arial" w:cs="Arial" w:eastAsia="Arial" w:hAnsi="Arial"/>
          <w:sz w:val="14"/>
          <w:szCs w:val="14"/>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right="340" w:firstLine="216"/>
        <w:spacing w:after="0" w:line="27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9"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82" w:lineRule="exact"/>
        <w:rPr>
          <w:sz w:val="20"/>
          <w:szCs w:val="20"/>
          <w:color w:val="auto"/>
        </w:rPr>
      </w:pPr>
    </w:p>
    <w:p>
      <w:pPr>
        <w:ind w:right="20" w:firstLine="432"/>
        <w:spacing w:after="0" w:line="249"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56"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impair the value of our portfolio.</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217" w:lineRule="exact"/>
        <w:rPr>
          <w:sz w:val="20"/>
          <w:szCs w:val="20"/>
          <w:color w:val="auto"/>
        </w:rPr>
      </w:pPr>
    </w:p>
    <w:p>
      <w:pPr>
        <w:ind w:right="80" w:firstLine="405"/>
        <w:spacing w:after="0" w:line="249"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8" w:lineRule="exact"/>
        <w:rPr>
          <w:sz w:val="20"/>
          <w:szCs w:val="20"/>
          <w:color w:val="auto"/>
        </w:rPr>
      </w:pPr>
    </w:p>
    <w:p>
      <w:pPr>
        <w:ind w:right="80" w:firstLine="216"/>
        <w:spacing w:after="0" w:line="27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5" w:lineRule="exact"/>
        <w:rPr>
          <w:sz w:val="20"/>
          <w:szCs w:val="20"/>
          <w:color w:val="auto"/>
        </w:rPr>
      </w:pPr>
    </w:p>
    <w:p>
      <w:pPr>
        <w:ind w:right="220" w:firstLine="216"/>
        <w:spacing w:after="0" w:line="352"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ind w:firstLine="432"/>
        <w:spacing w:after="0" w:line="249"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05"/>
        <w:spacing w:after="0" w:line="273" w:lineRule="auto"/>
        <w:rPr>
          <w:sz w:val="20"/>
          <w:szCs w:val="20"/>
          <w:color w:val="auto"/>
        </w:rPr>
      </w:pPr>
      <w:r>
        <w:rPr>
          <w:rFonts w:ascii="Arial" w:cs="Arial" w:eastAsia="Arial" w:hAnsi="Arial"/>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82" w:lineRule="exact"/>
        <w:rPr>
          <w:sz w:val="20"/>
          <w:szCs w:val="20"/>
          <w:color w:val="auto"/>
        </w:rPr>
      </w:pPr>
    </w:p>
    <w:p>
      <w:pPr>
        <w:ind w:right="40" w:firstLine="432"/>
        <w:spacing w:after="0" w:line="246" w:lineRule="auto"/>
        <w:rPr>
          <w:sz w:val="20"/>
          <w:szCs w:val="20"/>
          <w:color w:val="auto"/>
        </w:rPr>
      </w:pPr>
      <w:r>
        <w:rPr>
          <w:rFonts w:ascii="Arial" w:cs="Arial" w:eastAsia="Arial" w:hAnsi="Arial"/>
          <w:sz w:val="14"/>
          <w:szCs w:val="14"/>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244" w:lineRule="exact"/>
        <w:rPr>
          <w:sz w:val="20"/>
          <w:szCs w:val="20"/>
          <w:color w:val="auto"/>
        </w:rPr>
      </w:pPr>
    </w:p>
    <w:p>
      <w:pPr>
        <w:ind w:right="100" w:firstLine="405"/>
        <w:spacing w:after="0" w:line="268"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08" w:lineRule="exact"/>
        <w:rPr>
          <w:sz w:val="20"/>
          <w:szCs w:val="20"/>
          <w:color w:val="auto"/>
        </w:rPr>
      </w:pPr>
    </w:p>
    <w:p>
      <w:pPr>
        <w:ind w:right="280" w:firstLine="405"/>
        <w:spacing w:after="0" w:line="286" w:lineRule="auto"/>
        <w:rPr>
          <w:sz w:val="20"/>
          <w:szCs w:val="20"/>
          <w:color w:val="auto"/>
        </w:rPr>
      </w:pPr>
      <w:r>
        <w:rPr>
          <w:rFonts w:ascii="Arial" w:cs="Arial" w:eastAsia="Arial" w:hAnsi="Arial"/>
          <w:sz w:val="13"/>
          <w:szCs w:val="13"/>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We may make investments that cause our shareholders to bear investment advisory fees and other expenses on such investments in addition to our management fees and expenses.</w:t>
      </w:r>
    </w:p>
    <w:p>
      <w:pPr>
        <w:spacing w:after="0" w:line="186" w:lineRule="exact"/>
        <w:rPr>
          <w:sz w:val="20"/>
          <w:szCs w:val="20"/>
          <w:color w:val="auto"/>
        </w:rPr>
      </w:pPr>
    </w:p>
    <w:p>
      <w:pPr>
        <w:ind w:firstLine="405"/>
        <w:spacing w:after="0" w:line="247"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82"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investments in foreign debt securities may involve significant risks in addition to the risks inherent in U.S. investments.</w:t>
      </w:r>
    </w:p>
    <w:p>
      <w:pPr>
        <w:spacing w:after="0" w:line="8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244" w:lineRule="exact"/>
        <w:rPr>
          <w:sz w:val="20"/>
          <w:szCs w:val="20"/>
          <w:color w:val="auto"/>
        </w:rPr>
      </w:pPr>
    </w:p>
    <w:p>
      <w:pPr>
        <w:ind w:firstLine="405"/>
        <w:spacing w:after="0" w:line="24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80" w:firstLine="432"/>
        <w:spacing w:after="0" w:line="247"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248" w:lineRule="exact"/>
        <w:rPr>
          <w:sz w:val="20"/>
          <w:szCs w:val="20"/>
          <w:color w:val="auto"/>
        </w:rPr>
      </w:pPr>
    </w:p>
    <w:p>
      <w:pPr>
        <w:ind w:right="60" w:firstLine="243"/>
        <w:spacing w:after="0" w:line="257" w:lineRule="auto"/>
        <w:rPr>
          <w:sz w:val="20"/>
          <w:szCs w:val="20"/>
          <w:color w:val="auto"/>
        </w:rPr>
      </w:pPr>
      <w:r>
        <w:rPr>
          <w:rFonts w:ascii="Arial" w:cs="Arial" w:eastAsia="Arial" w:hAnsi="Arial"/>
          <w:sz w:val="14"/>
          <w:szCs w:val="14"/>
          <w:b w:val="1"/>
          <w:bCs w:val="1"/>
          <w:i w:val="1"/>
          <w:iCs w:val="1"/>
          <w:color w:val="auto"/>
        </w:rPr>
        <w:t>We may again obtain the approval of our stockholders to issue shares of our common stock at prices below the then current net asset value per share of our common stock. If we receive such approval from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212" w:lineRule="exact"/>
        <w:rPr>
          <w:sz w:val="20"/>
          <w:szCs w:val="20"/>
          <w:color w:val="auto"/>
        </w:rPr>
      </w:pPr>
    </w:p>
    <w:p>
      <w:pPr>
        <w:ind w:right="40" w:firstLine="243"/>
        <w:spacing w:after="0" w:line="257" w:lineRule="auto"/>
        <w:rPr>
          <w:sz w:val="20"/>
          <w:szCs w:val="20"/>
          <w:color w:val="auto"/>
        </w:rPr>
      </w:pPr>
      <w:r>
        <w:rPr>
          <w:rFonts w:ascii="Arial" w:cs="Arial" w:eastAsia="Arial" w:hAnsi="Arial"/>
          <w:sz w:val="14"/>
          <w:szCs w:val="14"/>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212" w:lineRule="exact"/>
        <w:rPr>
          <w:sz w:val="20"/>
          <w:szCs w:val="20"/>
          <w:color w:val="auto"/>
        </w:rPr>
      </w:pPr>
    </w:p>
    <w:p>
      <w:pPr>
        <w:ind w:right="20" w:firstLine="243"/>
        <w:spacing w:after="0" w:line="270" w:lineRule="auto"/>
        <w:rPr>
          <w:sz w:val="20"/>
          <w:szCs w:val="20"/>
          <w:color w:val="auto"/>
        </w:rPr>
      </w:pPr>
      <w:r>
        <w:rPr>
          <w:rFonts w:ascii="Arial" w:cs="Arial" w:eastAsia="Arial" w:hAnsi="Arial"/>
          <w:sz w:val="13"/>
          <w:szCs w:val="13"/>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63" w:lineRule="exact"/>
        <w:rPr>
          <w:sz w:val="20"/>
          <w:szCs w:val="20"/>
          <w:color w:val="auto"/>
        </w:rPr>
      </w:pPr>
    </w:p>
    <w:p>
      <w:pPr>
        <w:ind w:firstLine="324"/>
        <w:spacing w:after="0" w:line="247"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244" w:lineRule="exact"/>
        <w:rPr>
          <w:sz w:val="20"/>
          <w:szCs w:val="20"/>
          <w:color w:val="auto"/>
        </w:rPr>
      </w:pPr>
    </w:p>
    <w:p>
      <w:pPr>
        <w:ind w:right="400" w:firstLine="216"/>
        <w:spacing w:after="0" w:line="312"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allocate the net proceeds from an offering in ways with which you may not agree.</w:t>
      </w:r>
    </w:p>
    <w:p>
      <w:pPr>
        <w:spacing w:after="0" w:line="16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82" w:lineRule="exact"/>
        <w:rPr>
          <w:sz w:val="20"/>
          <w:szCs w:val="20"/>
          <w:color w:val="auto"/>
        </w:rPr>
      </w:pPr>
    </w:p>
    <w:p>
      <w:pPr>
        <w:jc w:val="both"/>
        <w:ind w:right="200" w:firstLine="432"/>
        <w:spacing w:after="0" w:line="252" w:lineRule="auto"/>
        <w:rPr>
          <w:sz w:val="20"/>
          <w:szCs w:val="20"/>
          <w:color w:val="auto"/>
        </w:rPr>
      </w:pPr>
      <w:r>
        <w:rPr>
          <w:rFonts w:ascii="Arial" w:cs="Arial" w:eastAsia="Arial" w:hAnsi="Arial"/>
          <w:sz w:val="14"/>
          <w:szCs w:val="14"/>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244" w:lineRule="exact"/>
        <w:rPr>
          <w:sz w:val="20"/>
          <w:szCs w:val="20"/>
          <w:color w:val="auto"/>
        </w:rPr>
      </w:pPr>
    </w:p>
    <w:p>
      <w:pPr>
        <w:ind w:right="320" w:firstLine="405"/>
        <w:spacing w:after="0" w:line="27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2" w:lineRule="exact"/>
        <w:rPr>
          <w:sz w:val="20"/>
          <w:szCs w:val="20"/>
          <w:color w:val="auto"/>
        </w:rPr>
      </w:pPr>
    </w:p>
    <w:p>
      <w:pPr>
        <w:ind w:left="820" w:hanging="326"/>
        <w:spacing w:after="0" w:line="273"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loss of BDC, RIC or SBIC status;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63" w:lineRule="exact"/>
        <w:rPr>
          <w:sz w:val="20"/>
          <w:szCs w:val="20"/>
          <w:color w:val="auto"/>
        </w:rPr>
      </w:pPr>
    </w:p>
    <w:p>
      <w:pPr>
        <w:ind w:right="200" w:firstLine="432"/>
        <w:spacing w:after="0" w:line="27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82"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The SBA also limits an SBIC from investing idle funds in the following types of securities:</w:t>
      </w:r>
    </w:p>
    <w:p>
      <w:pPr>
        <w:spacing w:after="0" w:line="55"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66" w:lineRule="exact"/>
        <w:rPr>
          <w:rFonts w:ascii="Arial" w:cs="Arial" w:eastAsia="Arial" w:hAnsi="Arial"/>
          <w:sz w:val="13"/>
          <w:szCs w:val="13"/>
          <w:color w:val="auto"/>
        </w:rPr>
      </w:pPr>
    </w:p>
    <w:p>
      <w:pPr>
        <w:ind w:left="820" w:right="20" w:hanging="326"/>
        <w:spacing w:after="0" w:line="273"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82" w:lineRule="exact"/>
        <w:rPr>
          <w:sz w:val="20"/>
          <w:szCs w:val="20"/>
          <w:color w:val="auto"/>
        </w:rPr>
      </w:pPr>
    </w:p>
    <w:p>
      <w:pPr>
        <w:ind w:right="560" w:firstLine="432"/>
        <w:spacing w:after="0" w:line="27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96" w:lineRule="exact"/>
        <w:rPr>
          <w:sz w:val="20"/>
          <w:szCs w:val="20"/>
          <w:color w:val="auto"/>
        </w:rPr>
      </w:pPr>
    </w:p>
    <w:p>
      <w:pPr>
        <w:ind w:firstLine="378"/>
        <w:spacing w:after="0" w:line="273" w:lineRule="auto"/>
        <w:rPr>
          <w:sz w:val="20"/>
          <w:szCs w:val="20"/>
          <w:color w:val="auto"/>
        </w:rPr>
      </w:pPr>
      <w:r>
        <w:rPr>
          <w:rFonts w:ascii="Arial" w:cs="Arial" w:eastAsia="Arial" w:hAnsi="Arial"/>
          <w:sz w:val="13"/>
          <w:szCs w:val="13"/>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dividends, in which case they may be required to pay tax in excess of the cash they receive.</w:t>
      </w:r>
    </w:p>
    <w:p>
      <w:pPr>
        <w:spacing w:after="0" w:line="163" w:lineRule="exact"/>
        <w:rPr>
          <w:sz w:val="20"/>
          <w:szCs w:val="20"/>
          <w:color w:val="auto"/>
        </w:rPr>
      </w:pPr>
    </w:p>
    <w:p>
      <w:pPr>
        <w:ind w:left="60" w:right="20" w:firstLine="324"/>
        <w:spacing w:after="0" w:line="270" w:lineRule="auto"/>
        <w:rPr>
          <w:sz w:val="20"/>
          <w:szCs w:val="20"/>
          <w:color w:val="auto"/>
        </w:rPr>
      </w:pPr>
      <w:r>
        <w:rPr>
          <w:rFonts w:ascii="Arial" w:cs="Arial" w:eastAsia="Arial" w:hAnsi="Arial"/>
          <w:sz w:val="13"/>
          <w:szCs w:val="13"/>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25"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4"/>
          <w:szCs w:val="14"/>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96" w:lineRule="exact"/>
        <w:rPr>
          <w:sz w:val="20"/>
          <w:szCs w:val="20"/>
          <w:color w:val="auto"/>
        </w:rPr>
      </w:pPr>
    </w:p>
    <w:p>
      <w:pPr>
        <w:jc w:val="both"/>
        <w:ind w:right="60" w:firstLine="378"/>
        <w:spacing w:after="0" w:line="257"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256" w:lineRule="exact"/>
        <w:rPr>
          <w:sz w:val="20"/>
          <w:szCs w:val="20"/>
          <w:color w:val="auto"/>
        </w:rPr>
      </w:pPr>
    </w:p>
    <w:p>
      <w:pPr>
        <w:ind w:right="80" w:firstLine="405"/>
        <w:spacing w:after="0" w:line="273"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203" w:lineRule="exact"/>
        <w:rPr>
          <w:sz w:val="20"/>
          <w:szCs w:val="20"/>
          <w:color w:val="auto"/>
        </w:rPr>
      </w:pPr>
    </w:p>
    <w:p>
      <w:pPr>
        <w:ind w:firstLine="405"/>
        <w:spacing w:after="0" w:line="245"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series, to cause the issuance of additional shares of our stock, and to amend our charter, without stockholder approval, to increase or decrease the number of shares of stock that we have authority to issue.</w:t>
      </w:r>
    </w:p>
    <w:p>
      <w:pPr>
        <w:spacing w:after="0" w:line="132" w:lineRule="exact"/>
        <w:rPr>
          <w:sz w:val="20"/>
          <w:szCs w:val="20"/>
          <w:color w:val="auto"/>
        </w:rPr>
      </w:pPr>
    </w:p>
    <w:p>
      <w:pPr>
        <w:ind w:right="500" w:firstLine="405"/>
        <w:spacing w:after="0" w:line="27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86"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As of September 30, 2011, we did not own any real estate or other physical properties materially important to our operation. We believe that the office facilities of the Investment Adviser are suitable and adequate for our business as it is contemplated to be conducted.</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30"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Removed and Reserved</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160"/>
          </w:cols>
          <w:pgMar w:left="320" w:top="122" w:right="4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RANGE OF COMMON STOCK</w:t>
      </w:r>
    </w:p>
    <w:p>
      <w:pPr>
        <w:spacing w:after="0" w:line="86" w:lineRule="exact"/>
        <w:rPr>
          <w:sz w:val="20"/>
          <w:szCs w:val="20"/>
          <w:color w:val="auto"/>
        </w:rPr>
      </w:pPr>
    </w:p>
    <w:p>
      <w:pPr>
        <w:ind w:right="240" w:firstLine="432"/>
        <w:spacing w:after="0" w:line="312" w:lineRule="auto"/>
        <w:rPr>
          <w:sz w:val="20"/>
          <w:szCs w:val="20"/>
          <w:color w:val="auto"/>
        </w:rPr>
      </w:pPr>
      <w:r>
        <w:rPr>
          <w:rFonts w:ascii="Arial" w:cs="Arial" w:eastAsia="Arial" w:hAnsi="Arial"/>
          <w:sz w:val="13"/>
          <w:szCs w:val="13"/>
          <w:color w:val="auto"/>
        </w:rPr>
        <w:t>Our common stock is traded on the NASDAQ Global Select Market under the symbol “PNNT”. The following table lists the high and low closing sale price for our common stock, the closing sale price as a percentage of NAV, and quarterly dividends per share since shares of our common stock began being regularly quoted on the NASDAQ Global Select Market.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Closing Sales Price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High Sales</w:t>
            </w:r>
          </w:p>
        </w:tc>
        <w:tc>
          <w:tcPr>
            <w:tcW w:w="18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Low Sales</w:t>
            </w:r>
          </w:p>
        </w:tc>
        <w:tc>
          <w:tcPr>
            <w:tcW w:w="11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8"/>
                <w:szCs w:val="8"/>
                <w:b w:val="1"/>
                <w:bCs w:val="1"/>
                <w:color w:val="auto"/>
              </w:rPr>
              <w:t>(1)</w:t>
            </w:r>
          </w:p>
        </w:tc>
        <w:tc>
          <w:tcPr>
            <w:tcW w:w="3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Low</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 to</w:t>
            </w:r>
          </w:p>
        </w:tc>
        <w:tc>
          <w:tcPr>
            <w:tcW w:w="18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to</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8"/>
                <w:szCs w:val="8"/>
                <w:b w:val="1"/>
                <w:bCs w:val="1"/>
                <w:color w:val="auto"/>
              </w:rPr>
              <w:t>(2)</w:t>
            </w:r>
          </w:p>
        </w:tc>
        <w:tc>
          <w:tcPr>
            <w:tcW w:w="1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8"/>
                <w:szCs w:val="8"/>
                <w:b w:val="1"/>
                <w:bCs w:val="1"/>
                <w:color w:val="auto"/>
              </w:rPr>
              <w:t>(2)</w:t>
            </w:r>
          </w:p>
        </w:tc>
        <w:tc>
          <w:tcPr>
            <w:tcW w:w="11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88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5"/>
              </w:rPr>
              <w:t>Fiscal year ended September</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30, 2011</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88%  $</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60" w:type="dxa"/>
            <w:vAlign w:val="bottom"/>
            <w:gridSpan w:val="3"/>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5"/>
              </w:rPr>
              <w:t>Fiscal year ended September</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30, 2010</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Fourth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Third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Second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Fiscal year ended</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September 30, 2009</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79"/>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Fiscal year ended</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September 30, 2008</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Fourth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Third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Second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Fiscal year ended</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September 30, 2007</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3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6"/>
                <w:szCs w:val="16"/>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14" w:lineRule="exact"/>
        <w:rPr>
          <w:sz w:val="20"/>
          <w:szCs w:val="20"/>
          <w:color w:val="auto"/>
        </w:rPr>
      </w:pPr>
    </w:p>
    <w:p>
      <w:pPr>
        <w:ind w:left="340" w:right="300" w:hanging="332"/>
        <w:spacing w:after="0" w:line="255"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3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16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From April 24, 2007 (commencement of trading) to June 30, 2007.</w:t>
      </w:r>
    </w:p>
    <w:p>
      <w:pPr>
        <w:spacing w:after="0" w:line="163" w:lineRule="exact"/>
        <w:rPr>
          <w:sz w:val="20"/>
          <w:szCs w:val="20"/>
          <w:color w:val="auto"/>
        </w:rPr>
      </w:pPr>
    </w:p>
    <w:p>
      <w:pPr>
        <w:jc w:val="both"/>
        <w:ind w:right="160" w:firstLine="324"/>
        <w:spacing w:after="0" w:line="252" w:lineRule="auto"/>
        <w:rPr>
          <w:sz w:val="20"/>
          <w:szCs w:val="20"/>
          <w:color w:val="auto"/>
        </w:rPr>
      </w:pPr>
      <w:r>
        <w:rPr>
          <w:rFonts w:ascii="Arial" w:cs="Arial" w:eastAsia="Arial" w:hAnsi="Arial"/>
          <w:sz w:val="14"/>
          <w:szCs w:val="14"/>
          <w:color w:val="auto"/>
        </w:rPr>
        <w:t>Shares of business development companies may trade at a market price that is less than the NAV that is attributable to those shares. Our shares have traded above and below our NAV. Our shares closed on the NASDAQ Global Select Market at $8.92 and our NAV was $10.13 as of September 30, 2011.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 As of September 30, 2011 we had 13 stockholders of record.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right="40" w:firstLine="432"/>
        <w:spacing w:after="0" w:line="249" w:lineRule="auto"/>
        <w:rPr>
          <w:sz w:val="20"/>
          <w:szCs w:val="20"/>
          <w:color w:val="auto"/>
        </w:rPr>
      </w:pPr>
      <w:r>
        <w:rPr>
          <w:rFonts w:ascii="Arial" w:cs="Arial" w:eastAsia="Arial" w:hAnsi="Arial"/>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 (See Note 8 to our Consolidated Financial Statements):</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Record Dates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Fiscal year ended September 30, 2011</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September 23, 2011</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June 20, 2011</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March 15, 2011</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December 17, 2010</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w:t>
      </w:r>
    </w:p>
    <w:p>
      <w:pPr>
        <w:spacing w:after="0" w:line="109" w:lineRule="exact"/>
        <w:rPr>
          <w:sz w:val="20"/>
          <w:szCs w:val="20"/>
          <w:color w:val="auto"/>
        </w:rPr>
      </w:pPr>
    </w:p>
    <w:p>
      <w:pPr>
        <w:jc w:val="right"/>
        <w:ind w:right="3740"/>
        <w:spacing w:after="0"/>
        <w:rPr>
          <w:sz w:val="20"/>
          <w:szCs w:val="20"/>
          <w:color w:val="auto"/>
        </w:rPr>
      </w:pPr>
      <w:r>
        <w:rPr>
          <w:rFonts w:ascii="Arial" w:cs="Arial" w:eastAsia="Arial" w:hAnsi="Arial"/>
          <w:sz w:val="12"/>
          <w:szCs w:val="12"/>
          <w:b w:val="1"/>
          <w:bCs w:val="1"/>
          <w:color w:val="auto"/>
        </w:rPr>
        <w:t>Fiscal year ended September 30, 2010</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September 14, 2010</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June 24, 2010</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March 25, 2010</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December 24, 2009</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w:t>
      </w:r>
    </w:p>
    <w:p>
      <w:pPr>
        <w:spacing w:after="0" w:line="109" w:lineRule="exact"/>
        <w:rPr>
          <w:sz w:val="20"/>
          <w:szCs w:val="20"/>
          <w:color w:val="auto"/>
        </w:rPr>
      </w:pPr>
    </w:p>
    <w:p>
      <w:pPr>
        <w:jc w:val="right"/>
        <w:ind w:right="3740"/>
        <w:spacing w:after="0"/>
        <w:rPr>
          <w:sz w:val="20"/>
          <w:szCs w:val="20"/>
          <w:color w:val="auto"/>
        </w:rPr>
      </w:pPr>
      <w:r>
        <w:rPr>
          <w:rFonts w:ascii="Arial" w:cs="Arial" w:eastAsia="Arial" w:hAnsi="Arial"/>
          <w:sz w:val="12"/>
          <w:szCs w:val="12"/>
          <w:b w:val="1"/>
          <w:bCs w:val="1"/>
          <w:color w:val="auto"/>
        </w:rPr>
        <w:t>Fiscal year ended September 30, 2009</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September 8, 2009</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June 24, 2009</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March 25, 2009</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December 23, 2008</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w:t>
      </w:r>
    </w:p>
    <w:p>
      <w:pPr>
        <w:spacing w:after="0" w:line="109" w:lineRule="exact"/>
        <w:rPr>
          <w:sz w:val="20"/>
          <w:szCs w:val="20"/>
          <w:color w:val="auto"/>
        </w:rPr>
      </w:pPr>
    </w:p>
    <w:p>
      <w:pPr>
        <w:jc w:val="right"/>
        <w:ind w:right="3740"/>
        <w:spacing w:after="0"/>
        <w:rPr>
          <w:sz w:val="20"/>
          <w:szCs w:val="20"/>
          <w:color w:val="auto"/>
        </w:rPr>
      </w:pPr>
      <w:r>
        <w:rPr>
          <w:rFonts w:ascii="Arial" w:cs="Arial" w:eastAsia="Arial" w:hAnsi="Arial"/>
          <w:sz w:val="12"/>
          <w:szCs w:val="12"/>
          <w:b w:val="1"/>
          <w:bCs w:val="1"/>
          <w:color w:val="auto"/>
        </w:rPr>
        <w:t>Fiscal year ended September 30, 2008</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September 24, 2008</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June 23, 2008</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March 24, 2008</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December 24, 2007</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w:t>
      </w:r>
    </w:p>
    <w:p>
      <w:pPr>
        <w:spacing w:after="0" w:line="109" w:lineRule="exact"/>
        <w:rPr>
          <w:sz w:val="20"/>
          <w:szCs w:val="20"/>
          <w:color w:val="auto"/>
        </w:rPr>
      </w:pPr>
    </w:p>
    <w:p>
      <w:pPr>
        <w:jc w:val="right"/>
        <w:ind w:right="3740"/>
        <w:spacing w:after="0"/>
        <w:rPr>
          <w:sz w:val="20"/>
          <w:szCs w:val="20"/>
          <w:color w:val="auto"/>
        </w:rPr>
      </w:pPr>
      <w:r>
        <w:rPr>
          <w:rFonts w:ascii="Arial" w:cs="Arial" w:eastAsia="Arial" w:hAnsi="Arial"/>
          <w:sz w:val="12"/>
          <w:szCs w:val="12"/>
          <w:b w:val="1"/>
          <w:bCs w:val="1"/>
          <w:color w:val="auto"/>
        </w:rPr>
        <w:t>Fiscal year ended September 30, 2007</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September 25, 2007</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June 22, 2007</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$0.00107 per share is a tax return of capital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Dividends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Declared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2120" w:type="dxa"/>
            <w:vAlign w:val="bottom"/>
            <w:gridSpan w:val="2"/>
          </w:tcPr>
          <w:p>
            <w:pPr>
              <w:spacing w:after="0"/>
              <w:rPr>
                <w:sz w:val="20"/>
                <w:szCs w:val="20"/>
                <w:color w:val="auto"/>
              </w:rPr>
            </w:pPr>
            <w:r>
              <w:rPr>
                <w:rFonts w:ascii="Arial" w:cs="Arial" w:eastAsia="Arial" w:hAnsi="Arial"/>
                <w:sz w:val="14"/>
                <w:szCs w:val="14"/>
                <w:color w:val="auto"/>
              </w:rPr>
              <w:t>October 3, 2011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July 1, 2011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April 1, 2011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20" w:type="dxa"/>
            <w:vAlign w:val="bottom"/>
            <w:gridSpan w:val="2"/>
          </w:tcPr>
          <w:p>
            <w:pPr>
              <w:spacing w:after="0"/>
              <w:rPr>
                <w:sz w:val="20"/>
                <w:szCs w:val="20"/>
                <w:color w:val="auto"/>
              </w:rPr>
            </w:pPr>
            <w:r>
              <w:rPr>
                <w:rFonts w:ascii="Arial" w:cs="Arial" w:eastAsia="Arial" w:hAnsi="Arial"/>
                <w:sz w:val="14"/>
                <w:szCs w:val="14"/>
                <w:color w:val="auto"/>
              </w:rPr>
              <w:t>January 3, 2011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120" w:type="dxa"/>
            <w:vAlign w:val="bottom"/>
            <w:gridSpan w:val="2"/>
          </w:tcPr>
          <w:p>
            <w:pPr>
              <w:spacing w:after="0"/>
              <w:rPr>
                <w:sz w:val="20"/>
                <w:szCs w:val="20"/>
                <w:color w:val="auto"/>
              </w:rPr>
            </w:pPr>
            <w:r>
              <w:rPr>
                <w:rFonts w:ascii="Arial" w:cs="Arial" w:eastAsia="Arial" w:hAnsi="Arial"/>
                <w:sz w:val="14"/>
                <w:szCs w:val="14"/>
                <w:color w:val="auto"/>
              </w:rPr>
              <w:t>October 1, 2010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July 1, 2010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April 1, 2010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20" w:type="dxa"/>
            <w:vAlign w:val="bottom"/>
            <w:gridSpan w:val="2"/>
          </w:tcPr>
          <w:p>
            <w:pPr>
              <w:spacing w:after="0"/>
              <w:rPr>
                <w:sz w:val="20"/>
                <w:szCs w:val="20"/>
                <w:color w:val="auto"/>
              </w:rPr>
            </w:pPr>
            <w:r>
              <w:rPr>
                <w:rFonts w:ascii="Arial" w:cs="Arial" w:eastAsia="Arial" w:hAnsi="Arial"/>
                <w:sz w:val="14"/>
                <w:szCs w:val="14"/>
                <w:color w:val="auto"/>
              </w:rPr>
              <w:t>January 4, 2010</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120" w:type="dxa"/>
            <w:vAlign w:val="bottom"/>
            <w:gridSpan w:val="2"/>
          </w:tcPr>
          <w:p>
            <w:pPr>
              <w:spacing w:after="0"/>
              <w:rPr>
                <w:sz w:val="20"/>
                <w:szCs w:val="20"/>
                <w:color w:val="auto"/>
              </w:rPr>
            </w:pPr>
            <w:r>
              <w:rPr>
                <w:rFonts w:ascii="Arial" w:cs="Arial" w:eastAsia="Arial" w:hAnsi="Arial"/>
                <w:sz w:val="14"/>
                <w:szCs w:val="14"/>
                <w:color w:val="auto"/>
              </w:rPr>
              <w:t>October 1, 2009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July 1, 2009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April 1, 2009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20" w:type="dxa"/>
            <w:vAlign w:val="bottom"/>
            <w:gridSpan w:val="2"/>
          </w:tcPr>
          <w:p>
            <w:pPr>
              <w:spacing w:after="0"/>
              <w:rPr>
                <w:sz w:val="20"/>
                <w:szCs w:val="20"/>
                <w:color w:val="auto"/>
              </w:rPr>
            </w:pPr>
            <w:r>
              <w:rPr>
                <w:rFonts w:ascii="Arial" w:cs="Arial" w:eastAsia="Arial" w:hAnsi="Arial"/>
                <w:sz w:val="14"/>
                <w:szCs w:val="14"/>
                <w:color w:val="auto"/>
              </w:rPr>
              <w:t>January 4, 2009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120" w:type="dxa"/>
            <w:vAlign w:val="bottom"/>
            <w:gridSpan w:val="2"/>
          </w:tcPr>
          <w:p>
            <w:pPr>
              <w:spacing w:after="0"/>
              <w:rPr>
                <w:sz w:val="20"/>
                <w:szCs w:val="20"/>
                <w:color w:val="auto"/>
              </w:rPr>
            </w:pPr>
            <w:r>
              <w:rPr>
                <w:rFonts w:ascii="Arial" w:cs="Arial" w:eastAsia="Arial" w:hAnsi="Arial"/>
                <w:sz w:val="14"/>
                <w:szCs w:val="14"/>
                <w:color w:val="auto"/>
              </w:rPr>
              <w:t>October 1, 2008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June 30, 2008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4"/>
                <w:szCs w:val="14"/>
                <w:color w:val="auto"/>
              </w:rPr>
              <w:t>March 31, 2008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20" w:type="dxa"/>
            <w:vAlign w:val="bottom"/>
            <w:gridSpan w:val="2"/>
          </w:tcPr>
          <w:p>
            <w:pPr>
              <w:spacing w:after="0"/>
              <w:rPr>
                <w:sz w:val="20"/>
                <w:szCs w:val="20"/>
                <w:color w:val="auto"/>
              </w:rPr>
            </w:pPr>
            <w:r>
              <w:rPr>
                <w:rFonts w:ascii="Arial" w:cs="Arial" w:eastAsia="Arial" w:hAnsi="Arial"/>
                <w:sz w:val="14"/>
                <w:szCs w:val="14"/>
                <w:color w:val="auto"/>
              </w:rPr>
              <w:t>December 31, 2007</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120" w:type="dxa"/>
            <w:vAlign w:val="bottom"/>
            <w:gridSpan w:val="2"/>
          </w:tcPr>
          <w:p>
            <w:pPr>
              <w:spacing w:after="0"/>
              <w:rPr>
                <w:sz w:val="20"/>
                <w:szCs w:val="20"/>
                <w:color w:val="auto"/>
              </w:rPr>
            </w:pPr>
            <w:r>
              <w:rPr>
                <w:rFonts w:ascii="Arial" w:cs="Arial" w:eastAsia="Arial" w:hAnsi="Arial"/>
                <w:sz w:val="14"/>
                <w:szCs w:val="14"/>
                <w:color w:val="auto"/>
              </w:rPr>
              <w:t>September 28, 2007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120" w:type="dxa"/>
            <w:vAlign w:val="bottom"/>
            <w:gridSpan w:val="2"/>
          </w:tcPr>
          <w:p>
            <w:pPr>
              <w:spacing w:after="0"/>
              <w:rPr>
                <w:sz w:val="20"/>
                <w:szCs w:val="20"/>
                <w:color w:val="auto"/>
              </w:rPr>
            </w:pPr>
            <w:r>
              <w:rPr>
                <w:rFonts w:ascii="Arial" w:cs="Arial" w:eastAsia="Arial" w:hAnsi="Arial"/>
                <w:sz w:val="14"/>
                <w:szCs w:val="14"/>
                <w:color w:val="auto"/>
              </w:rPr>
              <w:t>June 29, 2007</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-4800600</wp:posOffset>
            </wp:positionV>
            <wp:extent cx="6497955"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17970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-4449445</wp:posOffset>
            </wp:positionV>
            <wp:extent cx="649795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-4106545</wp:posOffset>
            </wp:positionV>
            <wp:extent cx="649795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-3763645</wp:posOffset>
            </wp:positionV>
            <wp:extent cx="649795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-3420745</wp:posOffset>
            </wp:positionV>
            <wp:extent cx="649795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-3077845</wp:posOffset>
            </wp:positionV>
            <wp:extent cx="649795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-2734945</wp:posOffset>
            </wp:positionV>
            <wp:extent cx="649795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-2392045</wp:posOffset>
            </wp:positionV>
            <wp:extent cx="649795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-2049145</wp:posOffset>
            </wp:positionV>
            <wp:extent cx="649795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-1706245</wp:posOffset>
            </wp:positionV>
            <wp:extent cx="649795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-1363345</wp:posOffset>
            </wp:positionV>
            <wp:extent cx="649795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-1020445</wp:posOffset>
            </wp:positionV>
            <wp:extent cx="64979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-677545</wp:posOffset>
            </wp:positionV>
            <wp:extent cx="649795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-334645</wp:posOffset>
            </wp:positionV>
            <wp:extent cx="64979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6580" w:space="720"/>
            <w:col w:w="3880"/>
          </w:cols>
          <w:pgMar w:left="320" w:top="122" w:right="399" w:bottom="1440" w:gutter="0" w:footer="0" w:header="0"/>
          <w:type w:val="continuous"/>
        </w:sectPr>
      </w:pPr>
    </w:p>
    <w:p>
      <w:pPr>
        <w:ind w:right="480" w:firstLine="432"/>
        <w:spacing w:after="0" w:line="273" w:lineRule="auto"/>
        <w:rPr>
          <w:sz w:val="20"/>
          <w:szCs w:val="20"/>
          <w:color w:val="auto"/>
        </w:rPr>
      </w:pPr>
      <w:r>
        <w:rPr>
          <w:rFonts w:ascii="Arial" w:cs="Arial" w:eastAsia="Arial" w:hAnsi="Arial"/>
          <w:sz w:val="14"/>
          <w:szCs w:val="14"/>
          <w:color w:val="auto"/>
        </w:rPr>
        <w:t>In January 2012, a Form 1099-DIV will be sent to stockholders that will state the amount and composition of distributions and provide information with respect to appropriate tax treatment of our distributions.</w:t>
      </w:r>
    </w:p>
    <w:p>
      <w:pPr>
        <w:spacing w:after="0" w:line="120" w:lineRule="exact"/>
        <w:rPr>
          <w:sz w:val="20"/>
          <w:szCs w:val="20"/>
          <w:color w:val="auto"/>
        </w:rPr>
      </w:pPr>
    </w:p>
    <w:p>
      <w:pPr>
        <w:ind w:firstLine="432"/>
        <w:spacing w:after="0" w:line="312"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180"/>
          </w:cols>
          <w:pgMar w:left="320" w:top="122" w:right="39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2011.</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82"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This graph compares the return on our common stock with that of the Standard &amp; Poor’s 500 Stock Index and the Russell 2000 Financial Services Index for the period from April 24, 2007 (initial public offering) through September 30, 2011. The graph assumes that, on April 24, 2007,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148590</wp:posOffset>
            </wp:positionV>
            <wp:extent cx="4869180" cy="3240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691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firstLine="432"/>
        <w:spacing w:after="0" w:line="312"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86"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257"/>
              <w:spacing w:after="0"/>
              <w:rPr>
                <w:sz w:val="20"/>
                <w:szCs w:val="20"/>
                <w:color w:val="auto"/>
              </w:rPr>
            </w:pPr>
            <w:r>
              <w:rPr>
                <w:rFonts w:ascii="Arial" w:cs="Arial" w:eastAsia="Arial" w:hAnsi="Arial"/>
                <w:sz w:val="13"/>
                <w:szCs w:val="13"/>
                <w:b w:val="1"/>
                <w:bCs w:val="1"/>
                <w:color w:val="auto"/>
                <w:w w:val="90"/>
              </w:rPr>
              <w:t>For the period from</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8"/>
              </w:rPr>
              <w:t>Year ended</w:t>
            </w:r>
          </w:p>
        </w:tc>
        <w:tc>
          <w:tcPr>
            <w:tcW w:w="120" w:type="dxa"/>
            <w:vAlign w:val="bottom"/>
          </w:tcPr>
          <w:p>
            <w:pPr>
              <w:spacing w:after="0"/>
              <w:rPr>
                <w:sz w:val="11"/>
                <w:szCs w:val="11"/>
                <w:color w:val="auto"/>
              </w:rPr>
            </w:pPr>
          </w:p>
        </w:tc>
        <w:tc>
          <w:tcPr>
            <w:tcW w:w="12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Year ended</w:t>
            </w:r>
          </w:p>
        </w:tc>
        <w:tc>
          <w:tcPr>
            <w:tcW w:w="10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5"/>
              </w:rPr>
              <w:t>Year ended</w:t>
            </w:r>
          </w:p>
        </w:tc>
        <w:tc>
          <w:tcPr>
            <w:tcW w:w="120" w:type="dxa"/>
            <w:vAlign w:val="bottom"/>
          </w:tcPr>
          <w:p>
            <w:pPr>
              <w:spacing w:after="0"/>
              <w:rPr>
                <w:sz w:val="11"/>
                <w:szCs w:val="11"/>
                <w:color w:val="auto"/>
              </w:rPr>
            </w:pPr>
          </w:p>
        </w:tc>
        <w:tc>
          <w:tcPr>
            <w:tcW w:w="11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Year ended</w:t>
            </w:r>
          </w:p>
        </w:tc>
        <w:tc>
          <w:tcPr>
            <w:tcW w:w="160" w:type="dxa"/>
            <w:vAlign w:val="bottom"/>
          </w:tcPr>
          <w:p>
            <w:pPr>
              <w:spacing w:after="0"/>
              <w:rPr>
                <w:sz w:val="11"/>
                <w:szCs w:val="11"/>
                <w:color w:val="auto"/>
              </w:rPr>
            </w:pPr>
          </w:p>
        </w:tc>
        <w:tc>
          <w:tcPr>
            <w:tcW w:w="156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January 11, 2007</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12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11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1"/>
                <w:szCs w:val="11"/>
                <w:color w:val="auto"/>
              </w:rPr>
            </w:pPr>
          </w:p>
        </w:tc>
        <w:tc>
          <w:tcPr>
            <w:tcW w:w="156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7"/>
              </w:rPr>
              <w:t>(inception) through</w:t>
            </w: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2"/>
              </w:rPr>
              <w:t>2010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9"/>
              </w:rPr>
              <w:t>2009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2"/>
              </w:rPr>
              <w:t>2008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5"/>
              </w:rPr>
              <w:t>September 30, 2007</w:t>
            </w:r>
          </w:p>
        </w:tc>
        <w:tc>
          <w:tcPr>
            <w:tcW w:w="0" w:type="dxa"/>
            <w:vAlign w:val="bottom"/>
          </w:tcPr>
          <w:p>
            <w:pPr>
              <w:spacing w:after="0"/>
              <w:rPr>
                <w:sz w:val="1"/>
                <w:szCs w:val="1"/>
                <w:color w:val="auto"/>
              </w:rPr>
            </w:pPr>
          </w:p>
        </w:tc>
      </w:tr>
      <w:tr>
        <w:trPr>
          <w:trHeight w:val="262"/>
        </w:trPr>
        <w:tc>
          <w:tcPr>
            <w:tcW w:w="4140" w:type="dxa"/>
            <w:vAlign w:val="bottom"/>
          </w:tcPr>
          <w:p>
            <w:pPr>
              <w:ind w:left="40"/>
              <w:spacing w:after="0"/>
              <w:rPr>
                <w:sz w:val="20"/>
                <w:szCs w:val="20"/>
                <w:color w:val="auto"/>
              </w:rPr>
            </w:pPr>
            <w:r>
              <w:rPr>
                <w:rFonts w:ascii="Arial" w:cs="Arial" w:eastAsia="Arial" w:hAnsi="Arial"/>
                <w:sz w:val="13"/>
                <w:szCs w:val="13"/>
                <w:b w:val="1"/>
                <w:bCs w:val="1"/>
                <w:color w:val="auto"/>
              </w:rPr>
              <w:t>(Dollar amounts in thousands, except per share data)</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Consolidated Statement of Operations data:</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40"/>
              <w:spacing w:after="0"/>
              <w:rPr>
                <w:sz w:val="20"/>
                <w:szCs w:val="20"/>
                <w:color w:val="auto"/>
              </w:rPr>
            </w:pPr>
            <w:r>
              <w:rPr>
                <w:rFonts w:ascii="Arial" w:cs="Arial" w:eastAsia="Arial" w:hAnsi="Arial"/>
                <w:sz w:val="13"/>
                <w:szCs w:val="13"/>
                <w:color w:val="auto"/>
              </w:rPr>
              <w:t>Total investment income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ind w:right="117"/>
              <w:spacing w:after="0"/>
              <w:rPr>
                <w:sz w:val="20"/>
                <w:szCs w:val="20"/>
                <w:color w:val="auto"/>
              </w:rPr>
            </w:pPr>
            <w:r>
              <w:rPr>
                <w:rFonts w:ascii="Arial" w:cs="Arial" w:eastAsia="Arial" w:hAnsi="Arial"/>
                <w:sz w:val="13"/>
                <w:szCs w:val="13"/>
                <w:color w:val="auto"/>
              </w:rPr>
              <w:t>91,738</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60,140</w:t>
            </w: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45,119</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39,811</w:t>
            </w:r>
          </w:p>
        </w:tc>
        <w:tc>
          <w:tcPr>
            <w:tcW w:w="120" w:type="dxa"/>
            <w:vAlign w:val="bottom"/>
          </w:tcPr>
          <w:p>
            <w:pPr>
              <w:spacing w:after="0"/>
              <w:rPr>
                <w:sz w:val="15"/>
                <w:szCs w:val="15"/>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1560" w:type="dxa"/>
            <w:vAlign w:val="bottom"/>
            <w:vMerge w:val="restart"/>
          </w:tcPr>
          <w:p>
            <w:pPr>
              <w:jc w:val="right"/>
              <w:ind w:right="117"/>
              <w:spacing w:after="0"/>
              <w:rPr>
                <w:sz w:val="20"/>
                <w:szCs w:val="20"/>
                <w:color w:val="auto"/>
              </w:rPr>
            </w:pPr>
            <w:r>
              <w:rPr>
                <w:rFonts w:ascii="Arial" w:cs="Arial" w:eastAsia="Arial" w:hAnsi="Arial"/>
                <w:sz w:val="13"/>
                <w:szCs w:val="13"/>
                <w:color w:val="auto"/>
              </w:rPr>
              <w:t>13,107</w:t>
            </w:r>
          </w:p>
        </w:tc>
        <w:tc>
          <w:tcPr>
            <w:tcW w:w="0" w:type="dxa"/>
            <w:vAlign w:val="bottom"/>
          </w:tcPr>
          <w:p>
            <w:pPr>
              <w:spacing w:after="0"/>
              <w:rPr>
                <w:sz w:val="1"/>
                <w:szCs w:val="1"/>
                <w:color w:val="auto"/>
              </w:rPr>
            </w:pPr>
          </w:p>
        </w:tc>
      </w:tr>
      <w:tr>
        <w:trPr>
          <w:trHeight w:val="89"/>
        </w:trPr>
        <w:tc>
          <w:tcPr>
            <w:tcW w:w="4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expenses before base management fee waiver</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39,093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28,065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22,400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21,676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6,444</w:t>
            </w:r>
          </w:p>
        </w:tc>
        <w:tc>
          <w:tcPr>
            <w:tcW w:w="0" w:type="dxa"/>
            <w:vAlign w:val="bottom"/>
          </w:tcPr>
          <w:p>
            <w:pPr>
              <w:spacing w:after="0"/>
              <w:rPr>
                <w:sz w:val="1"/>
                <w:szCs w:val="1"/>
                <w:color w:val="auto"/>
              </w:rPr>
            </w:pPr>
          </w:p>
        </w:tc>
      </w:tr>
      <w:tr>
        <w:trPr>
          <w:trHeight w:val="97"/>
        </w:trPr>
        <w:tc>
          <w:tcPr>
            <w:tcW w:w="4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4140" w:type="dxa"/>
            <w:vAlign w:val="bottom"/>
          </w:tcPr>
          <w:p>
            <w:pPr>
              <w:ind w:left="40"/>
              <w:spacing w:after="0"/>
              <w:rPr>
                <w:sz w:val="20"/>
                <w:szCs w:val="20"/>
                <w:color w:val="auto"/>
              </w:rPr>
            </w:pPr>
            <w:r>
              <w:rPr>
                <w:rFonts w:ascii="Arial" w:cs="Arial" w:eastAsia="Arial" w:hAnsi="Arial"/>
                <w:sz w:val="13"/>
                <w:szCs w:val="13"/>
                <w:color w:val="auto"/>
              </w:rPr>
              <w:t>Net expenses after base management fee waiver</w:t>
            </w:r>
            <w:r>
              <w:rPr>
                <w:rFonts w:ascii="Arial" w:cs="Arial" w:eastAsia="Arial" w:hAnsi="Arial"/>
                <w:sz w:val="8"/>
                <w:szCs w:val="8"/>
                <w:color w:val="auto"/>
              </w:rPr>
              <w:t>(1)</w:t>
            </w:r>
          </w:p>
        </w:tc>
        <w:tc>
          <w:tcPr>
            <w:tcW w:w="100" w:type="dxa"/>
            <w:vAlign w:val="bottom"/>
          </w:tcPr>
          <w:p>
            <w:pPr>
              <w:spacing w:after="0"/>
              <w:rPr>
                <w:sz w:val="24"/>
                <w:szCs w:val="24"/>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3"/>
                <w:szCs w:val="13"/>
                <w:color w:val="auto"/>
              </w:rPr>
              <w:t>39,093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28,065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22,400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21,255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vMerge w:val="restart"/>
          </w:tcPr>
          <w:p>
            <w:pPr>
              <w:jc w:val="right"/>
              <w:ind w:right="117"/>
              <w:spacing w:after="0"/>
              <w:rPr>
                <w:sz w:val="20"/>
                <w:szCs w:val="20"/>
                <w:color w:val="auto"/>
              </w:rPr>
            </w:pPr>
            <w:r>
              <w:rPr>
                <w:rFonts w:ascii="Arial" w:cs="Arial" w:eastAsia="Arial" w:hAnsi="Arial"/>
                <w:sz w:val="13"/>
                <w:szCs w:val="13"/>
                <w:color w:val="auto"/>
              </w:rPr>
              <w:t>5,803</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investment income</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52,645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32,075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22,719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18,556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7,304</w:t>
            </w:r>
          </w:p>
        </w:tc>
        <w:tc>
          <w:tcPr>
            <w:tcW w:w="0" w:type="dxa"/>
            <w:vAlign w:val="bottom"/>
          </w:tcPr>
          <w:p>
            <w:pPr>
              <w:spacing w:after="0"/>
              <w:rPr>
                <w:sz w:val="1"/>
                <w:szCs w:val="1"/>
                <w:color w:val="auto"/>
              </w:rPr>
            </w:pPr>
          </w:p>
        </w:tc>
      </w:tr>
      <w:tr>
        <w:trPr>
          <w:trHeight w:val="97"/>
        </w:trPr>
        <w:tc>
          <w:tcPr>
            <w:tcW w:w="4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40"/>
              <w:spacing w:after="0"/>
              <w:rPr>
                <w:sz w:val="20"/>
                <w:szCs w:val="20"/>
                <w:color w:val="auto"/>
              </w:rPr>
            </w:pPr>
            <w:r>
              <w:rPr>
                <w:rFonts w:ascii="Arial" w:cs="Arial" w:eastAsia="Arial" w:hAnsi="Arial"/>
                <w:sz w:val="13"/>
                <w:szCs w:val="13"/>
                <w:color w:val="auto"/>
              </w:rPr>
              <w:t>Net realized and unrealized (loss) gain</w:t>
            </w:r>
          </w:p>
        </w:tc>
        <w:tc>
          <w:tcPr>
            <w:tcW w:w="100" w:type="dxa"/>
            <w:vAlign w:val="bottom"/>
          </w:tcPr>
          <w:p>
            <w:pPr>
              <w:spacing w:after="0"/>
              <w:rPr>
                <w:sz w:val="15"/>
                <w:szCs w:val="15"/>
                <w:color w:val="auto"/>
              </w:rPr>
            </w:pPr>
          </w:p>
        </w:tc>
        <w:tc>
          <w:tcPr>
            <w:tcW w:w="1080" w:type="dxa"/>
            <w:vAlign w:val="bottom"/>
            <w:vMerge w:val="restart"/>
          </w:tcPr>
          <w:p>
            <w:pPr>
              <w:jc w:val="right"/>
              <w:ind w:right="77"/>
              <w:spacing w:after="0"/>
              <w:rPr>
                <w:sz w:val="20"/>
                <w:szCs w:val="20"/>
                <w:color w:val="auto"/>
              </w:rPr>
            </w:pPr>
            <w:r>
              <w:rPr>
                <w:rFonts w:ascii="Arial" w:cs="Arial" w:eastAsia="Arial" w:hAnsi="Arial"/>
                <w:sz w:val="13"/>
                <w:szCs w:val="13"/>
                <w:color w:val="auto"/>
              </w:rPr>
              <w:t>(42,382)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color w:val="auto"/>
              </w:rPr>
              <w:t>(15,539)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13,083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(59,259)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ind w:right="77"/>
              <w:spacing w:after="0"/>
              <w:rPr>
                <w:sz w:val="20"/>
                <w:szCs w:val="20"/>
                <w:color w:val="auto"/>
              </w:rPr>
            </w:pPr>
            <w:r>
              <w:rPr>
                <w:rFonts w:ascii="Arial" w:cs="Arial" w:eastAsia="Arial" w:hAnsi="Arial"/>
                <w:sz w:val="13"/>
                <w:szCs w:val="13"/>
                <w:color w:val="auto"/>
              </w:rPr>
              <w:t>(24,004)</w:t>
            </w:r>
          </w:p>
        </w:tc>
        <w:tc>
          <w:tcPr>
            <w:tcW w:w="0" w:type="dxa"/>
            <w:vAlign w:val="bottom"/>
          </w:tcPr>
          <w:p>
            <w:pPr>
              <w:spacing w:after="0"/>
              <w:rPr>
                <w:sz w:val="1"/>
                <w:szCs w:val="1"/>
                <w:color w:val="auto"/>
              </w:rPr>
            </w:pPr>
          </w:p>
        </w:tc>
      </w:tr>
      <w:tr>
        <w:trPr>
          <w:trHeight w:val="89"/>
        </w:trPr>
        <w:tc>
          <w:tcPr>
            <w:tcW w:w="4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increase/(decrease) in net assets resulting from operations</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10,263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16,535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35,802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(40,703)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(16,699)</w:t>
            </w:r>
          </w:p>
        </w:tc>
        <w:tc>
          <w:tcPr>
            <w:tcW w:w="0" w:type="dxa"/>
            <w:vAlign w:val="bottom"/>
          </w:tcPr>
          <w:p>
            <w:pPr>
              <w:spacing w:after="0"/>
              <w:rPr>
                <w:sz w:val="1"/>
                <w:szCs w:val="1"/>
                <w:color w:val="auto"/>
              </w:rPr>
            </w:pPr>
          </w:p>
        </w:tc>
      </w:tr>
      <w:tr>
        <w:trPr>
          <w:trHeight w:val="97"/>
        </w:trPr>
        <w:tc>
          <w:tcPr>
            <w:tcW w:w="4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asset value (at period end)</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investment income</w:t>
      </w:r>
      <w:r>
        <w:rPr>
          <w:rFonts w:ascii="Arial" w:cs="Arial" w:eastAsia="Arial" w:hAnsi="Arial"/>
          <w:sz w:val="8"/>
          <w:szCs w:val="8"/>
          <w:color w:val="auto"/>
        </w:rPr>
        <w:t>(2)</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realized and unrealized (loss) gain</w:t>
      </w:r>
      <w:r>
        <w:rPr>
          <w:rFonts w:ascii="Arial" w:cs="Arial" w:eastAsia="Arial" w:hAnsi="Arial"/>
          <w:sz w:val="8"/>
          <w:szCs w:val="8"/>
          <w:color w:val="auto"/>
        </w:rPr>
        <w:t>(2)</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increase/(decrease) in net assets resulting from operations</w:t>
      </w:r>
      <w:r>
        <w:rPr>
          <w:rFonts w:ascii="Arial" w:cs="Arial" w:eastAsia="Arial" w:hAnsi="Arial"/>
          <w:sz w:val="8"/>
          <w:szCs w:val="8"/>
          <w:color w:val="auto"/>
        </w:rPr>
        <w:t>(2)</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w:t>
      </w:r>
      <w:r>
        <w:rPr>
          <w:rFonts w:ascii="Arial" w:cs="Arial" w:eastAsia="Arial" w:hAnsi="Arial"/>
          <w:sz w:val="8"/>
          <w:szCs w:val="8"/>
          <w:color w:val="auto"/>
        </w:rPr>
        <w:t>(2),(6)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Consolidated Statement of Assets and Liabilities data (at period end):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jc w:val="right"/>
              <w:ind w:right="517"/>
              <w:spacing w:after="0"/>
              <w:rPr>
                <w:sz w:val="20"/>
                <w:szCs w:val="20"/>
                <w:color w:val="auto"/>
              </w:rPr>
            </w:pPr>
            <w:r>
              <w:rPr>
                <w:rFonts w:ascii="Arial" w:cs="Arial" w:eastAsia="Arial" w:hAnsi="Arial"/>
                <w:sz w:val="13"/>
                <w:szCs w:val="13"/>
                <w:color w:val="auto"/>
                <w:w w:val="79"/>
              </w:rPr>
              <w:t>10.13</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10.69</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11.85</w:t>
            </w:r>
          </w:p>
        </w:tc>
        <w:tc>
          <w:tcPr>
            <w:tcW w:w="1580" w:type="dxa"/>
            <w:vAlign w:val="bottom"/>
          </w:tcPr>
          <w:p>
            <w:pPr>
              <w:jc w:val="right"/>
              <w:ind w:right="737"/>
              <w:spacing w:after="0"/>
              <w:rPr>
                <w:sz w:val="20"/>
                <w:szCs w:val="20"/>
                <w:color w:val="auto"/>
              </w:rPr>
            </w:pPr>
            <w:r>
              <w:rPr>
                <w:rFonts w:ascii="Arial" w:cs="Arial" w:eastAsia="Arial" w:hAnsi="Arial"/>
                <w:sz w:val="13"/>
                <w:szCs w:val="13"/>
                <w:color w:val="auto"/>
              </w:rPr>
              <w:t>10.00</w:t>
            </w:r>
          </w:p>
        </w:tc>
        <w:tc>
          <w:tcPr>
            <w:tcW w:w="1080" w:type="dxa"/>
            <w:vAlign w:val="bottom"/>
          </w:tcPr>
          <w:p>
            <w:pPr>
              <w:jc w:val="right"/>
              <w:spacing w:after="0"/>
              <w:rPr>
                <w:sz w:val="20"/>
                <w:szCs w:val="20"/>
                <w:color w:val="auto"/>
              </w:rPr>
            </w:pPr>
            <w:r>
              <w:rPr>
                <w:rFonts w:ascii="Arial" w:cs="Arial" w:eastAsia="Arial" w:hAnsi="Arial"/>
                <w:sz w:val="13"/>
                <w:szCs w:val="13"/>
                <w:color w:val="auto"/>
              </w:rPr>
              <w:t>12.83</w:t>
            </w:r>
          </w:p>
        </w:tc>
      </w:tr>
      <w:tr>
        <w:trPr>
          <w:trHeight w:val="459"/>
        </w:trPr>
        <w:tc>
          <w:tcPr>
            <w:tcW w:w="860" w:type="dxa"/>
            <w:vAlign w:val="bottom"/>
          </w:tcPr>
          <w:p>
            <w:pPr>
              <w:jc w:val="right"/>
              <w:ind w:right="517"/>
              <w:spacing w:after="0"/>
              <w:rPr>
                <w:sz w:val="20"/>
                <w:szCs w:val="20"/>
                <w:color w:val="auto"/>
              </w:rPr>
            </w:pPr>
            <w:r>
              <w:rPr>
                <w:rFonts w:ascii="Arial" w:cs="Arial" w:eastAsia="Arial" w:hAnsi="Arial"/>
                <w:sz w:val="13"/>
                <w:szCs w:val="13"/>
                <w:color w:val="auto"/>
              </w:rPr>
              <w:t>1.25</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1.09</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1.08</w:t>
            </w:r>
          </w:p>
        </w:tc>
        <w:tc>
          <w:tcPr>
            <w:tcW w:w="1580" w:type="dxa"/>
            <w:vAlign w:val="bottom"/>
          </w:tcPr>
          <w:p>
            <w:pPr>
              <w:jc w:val="right"/>
              <w:ind w:right="737"/>
              <w:spacing w:after="0"/>
              <w:rPr>
                <w:sz w:val="20"/>
                <w:szCs w:val="20"/>
                <w:color w:val="auto"/>
              </w:rPr>
            </w:pPr>
            <w:r>
              <w:rPr>
                <w:rFonts w:ascii="Arial" w:cs="Arial" w:eastAsia="Arial" w:hAnsi="Arial"/>
                <w:sz w:val="13"/>
                <w:szCs w:val="13"/>
                <w:color w:val="auto"/>
              </w:rPr>
              <w:t>0.88</w:t>
            </w:r>
          </w:p>
        </w:tc>
        <w:tc>
          <w:tcPr>
            <w:tcW w:w="1080" w:type="dxa"/>
            <w:vAlign w:val="bottom"/>
          </w:tcPr>
          <w:p>
            <w:pPr>
              <w:jc w:val="right"/>
              <w:spacing w:after="0"/>
              <w:rPr>
                <w:sz w:val="20"/>
                <w:szCs w:val="20"/>
                <w:color w:val="auto"/>
              </w:rPr>
            </w:pPr>
            <w:r>
              <w:rPr>
                <w:rFonts w:ascii="Arial" w:cs="Arial" w:eastAsia="Arial" w:hAnsi="Arial"/>
                <w:sz w:val="13"/>
                <w:szCs w:val="13"/>
                <w:color w:val="auto"/>
              </w:rPr>
              <w:t>0.35</w:t>
            </w:r>
          </w:p>
        </w:tc>
      </w:tr>
      <w:tr>
        <w:trPr>
          <w:trHeight w:val="459"/>
        </w:trPr>
        <w:tc>
          <w:tcPr>
            <w:tcW w:w="860" w:type="dxa"/>
            <w:vAlign w:val="bottom"/>
          </w:tcPr>
          <w:p>
            <w:pPr>
              <w:jc w:val="right"/>
              <w:ind w:right="477"/>
              <w:spacing w:after="0"/>
              <w:rPr>
                <w:sz w:val="20"/>
                <w:szCs w:val="20"/>
                <w:color w:val="auto"/>
              </w:rPr>
            </w:pPr>
            <w:r>
              <w:rPr>
                <w:rFonts w:ascii="Arial" w:cs="Arial" w:eastAsia="Arial" w:hAnsi="Arial"/>
                <w:sz w:val="13"/>
                <w:szCs w:val="13"/>
                <w:color w:val="auto"/>
                <w:w w:val="88"/>
              </w:rPr>
              <w:t>(1.01)</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(0.53)</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0.62</w:t>
            </w:r>
          </w:p>
        </w:tc>
        <w:tc>
          <w:tcPr>
            <w:tcW w:w="1580" w:type="dxa"/>
            <w:vAlign w:val="bottom"/>
          </w:tcPr>
          <w:p>
            <w:pPr>
              <w:jc w:val="right"/>
              <w:ind w:right="677"/>
              <w:spacing w:after="0"/>
              <w:rPr>
                <w:sz w:val="20"/>
                <w:szCs w:val="20"/>
                <w:color w:val="auto"/>
              </w:rPr>
            </w:pPr>
            <w:r>
              <w:rPr>
                <w:rFonts w:ascii="Arial" w:cs="Arial" w:eastAsia="Arial" w:hAnsi="Arial"/>
                <w:sz w:val="13"/>
                <w:szCs w:val="13"/>
                <w:color w:val="auto"/>
              </w:rPr>
              <w:t>(2.81)</w:t>
            </w:r>
          </w:p>
        </w:tc>
        <w:tc>
          <w:tcPr>
            <w:tcW w:w="108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459"/>
        </w:trPr>
        <w:tc>
          <w:tcPr>
            <w:tcW w:w="860" w:type="dxa"/>
            <w:vAlign w:val="bottom"/>
          </w:tcPr>
          <w:p>
            <w:pPr>
              <w:jc w:val="right"/>
              <w:ind w:right="517"/>
              <w:spacing w:after="0"/>
              <w:rPr>
                <w:sz w:val="20"/>
                <w:szCs w:val="20"/>
                <w:color w:val="auto"/>
              </w:rPr>
            </w:pPr>
            <w:r>
              <w:rPr>
                <w:rFonts w:ascii="Arial" w:cs="Arial" w:eastAsia="Arial" w:hAnsi="Arial"/>
                <w:sz w:val="13"/>
                <w:szCs w:val="13"/>
                <w:color w:val="auto"/>
              </w:rPr>
              <w:t>0.24</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0.56</w:t>
            </w:r>
          </w:p>
        </w:tc>
        <w:tc>
          <w:tcPr>
            <w:tcW w:w="1360" w:type="dxa"/>
            <w:vAlign w:val="bottom"/>
          </w:tcPr>
          <w:p>
            <w:pPr>
              <w:jc w:val="right"/>
              <w:ind w:right="497"/>
              <w:spacing w:after="0"/>
              <w:rPr>
                <w:sz w:val="20"/>
                <w:szCs w:val="20"/>
                <w:color w:val="auto"/>
              </w:rPr>
            </w:pPr>
            <w:r>
              <w:rPr>
                <w:rFonts w:ascii="Arial" w:cs="Arial" w:eastAsia="Arial" w:hAnsi="Arial"/>
                <w:sz w:val="13"/>
                <w:szCs w:val="13"/>
                <w:color w:val="auto"/>
              </w:rPr>
              <w:t>1.70</w:t>
            </w:r>
          </w:p>
        </w:tc>
        <w:tc>
          <w:tcPr>
            <w:tcW w:w="1580" w:type="dxa"/>
            <w:vAlign w:val="bottom"/>
          </w:tcPr>
          <w:p>
            <w:pPr>
              <w:jc w:val="right"/>
              <w:ind w:right="677"/>
              <w:spacing w:after="0"/>
              <w:rPr>
                <w:sz w:val="20"/>
                <w:szCs w:val="20"/>
                <w:color w:val="auto"/>
              </w:rPr>
            </w:pPr>
            <w:r>
              <w:rPr>
                <w:rFonts w:ascii="Arial" w:cs="Arial" w:eastAsia="Arial" w:hAnsi="Arial"/>
                <w:sz w:val="13"/>
                <w:szCs w:val="13"/>
                <w:color w:val="auto"/>
              </w:rPr>
              <w:t>(1.93)</w:t>
            </w:r>
          </w:p>
        </w:tc>
        <w:tc>
          <w:tcPr>
            <w:tcW w:w="1080" w:type="dxa"/>
            <w:vAlign w:val="bottom"/>
          </w:tcPr>
          <w:p>
            <w:pPr>
              <w:jc w:val="right"/>
              <w:spacing w:after="0"/>
              <w:rPr>
                <w:sz w:val="20"/>
                <w:szCs w:val="20"/>
                <w:color w:val="auto"/>
              </w:rPr>
            </w:pPr>
            <w:r>
              <w:rPr>
                <w:rFonts w:ascii="Arial" w:cs="Arial" w:eastAsia="Arial" w:hAnsi="Arial"/>
                <w:sz w:val="13"/>
                <w:szCs w:val="13"/>
                <w:color w:val="auto"/>
              </w:rPr>
              <w:t>(0.80)</w:t>
            </w:r>
          </w:p>
        </w:tc>
      </w:tr>
      <w:tr>
        <w:trPr>
          <w:trHeight w:val="459"/>
        </w:trPr>
        <w:tc>
          <w:tcPr>
            <w:tcW w:w="860" w:type="dxa"/>
            <w:vAlign w:val="bottom"/>
          </w:tcPr>
          <w:p>
            <w:pPr>
              <w:jc w:val="right"/>
              <w:ind w:right="477"/>
              <w:spacing w:after="0"/>
              <w:rPr>
                <w:sz w:val="20"/>
                <w:szCs w:val="20"/>
                <w:color w:val="auto"/>
              </w:rPr>
            </w:pPr>
            <w:r>
              <w:rPr>
                <w:rFonts w:ascii="Arial" w:cs="Arial" w:eastAsia="Arial" w:hAnsi="Arial"/>
                <w:sz w:val="13"/>
                <w:szCs w:val="13"/>
                <w:color w:val="auto"/>
                <w:w w:val="88"/>
              </w:rPr>
              <w:t>(1.10)</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(1.09)</w:t>
            </w:r>
          </w:p>
        </w:tc>
        <w:tc>
          <w:tcPr>
            <w:tcW w:w="1360" w:type="dxa"/>
            <w:vAlign w:val="bottom"/>
          </w:tcPr>
          <w:p>
            <w:pPr>
              <w:jc w:val="right"/>
              <w:ind w:right="457"/>
              <w:spacing w:after="0"/>
              <w:rPr>
                <w:sz w:val="20"/>
                <w:szCs w:val="20"/>
                <w:color w:val="auto"/>
              </w:rPr>
            </w:pPr>
            <w:r>
              <w:rPr>
                <w:rFonts w:ascii="Arial" w:cs="Arial" w:eastAsia="Arial" w:hAnsi="Arial"/>
                <w:sz w:val="13"/>
                <w:szCs w:val="13"/>
                <w:color w:val="auto"/>
              </w:rPr>
              <w:t>(0.96)</w:t>
            </w:r>
          </w:p>
        </w:tc>
        <w:tc>
          <w:tcPr>
            <w:tcW w:w="1580" w:type="dxa"/>
            <w:vAlign w:val="bottom"/>
          </w:tcPr>
          <w:p>
            <w:pPr>
              <w:jc w:val="right"/>
              <w:ind w:right="677"/>
              <w:spacing w:after="0"/>
              <w:rPr>
                <w:sz w:val="20"/>
                <w:szCs w:val="20"/>
                <w:color w:val="auto"/>
              </w:rPr>
            </w:pPr>
            <w:r>
              <w:rPr>
                <w:rFonts w:ascii="Arial" w:cs="Arial" w:eastAsia="Arial" w:hAnsi="Arial"/>
                <w:sz w:val="13"/>
                <w:szCs w:val="13"/>
                <w:color w:val="auto"/>
              </w:rPr>
              <w:t>(0.90)</w:t>
            </w:r>
          </w:p>
        </w:tc>
        <w:tc>
          <w:tcPr>
            <w:tcW w:w="1080" w:type="dxa"/>
            <w:vAlign w:val="bottom"/>
          </w:tcPr>
          <w:p>
            <w:pPr>
              <w:jc w:val="right"/>
              <w:spacing w:after="0"/>
              <w:rPr>
                <w:sz w:val="20"/>
                <w:szCs w:val="20"/>
                <w:color w:val="auto"/>
              </w:rPr>
            </w:pPr>
            <w:r>
              <w:rPr>
                <w:rFonts w:ascii="Arial" w:cs="Arial" w:eastAsia="Arial" w:hAnsi="Arial"/>
                <w:sz w:val="13"/>
                <w:szCs w:val="13"/>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-863600</wp:posOffset>
            </wp:positionV>
            <wp:extent cx="71323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-280670</wp:posOffset>
            </wp:positionV>
            <wp:extent cx="71323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181610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4140" w:space="720"/>
            <w:col w:w="638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Total assets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investment portfolio</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Borrowings outstanding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Payable for investments purchased and unfunded investments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net asset value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Other data:</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return</w:t>
      </w:r>
      <w:r>
        <w:rPr>
          <w:rFonts w:ascii="Arial" w:cs="Arial" w:eastAsia="Arial" w:hAnsi="Arial"/>
          <w:sz w:val="8"/>
          <w:szCs w:val="8"/>
          <w:color w:val="auto"/>
        </w:rPr>
        <w:t>(3)</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Number of portfolio companies (at period end)</w:t>
      </w:r>
      <w:r>
        <w:rPr>
          <w:rFonts w:ascii="Arial" w:cs="Arial" w:eastAsia="Arial" w:hAnsi="Arial"/>
          <w:sz w:val="8"/>
          <w:szCs w:val="8"/>
          <w:color w:val="auto"/>
        </w:rPr>
        <w:t>(4)</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Yield on debt portfolio (at period end)</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60" w:type="dxa"/>
            <w:vAlign w:val="bottom"/>
          </w:tcPr>
          <w:p>
            <w:pPr>
              <w:jc w:val="right"/>
              <w:ind w:right="579"/>
              <w:spacing w:after="0"/>
              <w:rPr>
                <w:sz w:val="20"/>
                <w:szCs w:val="20"/>
                <w:color w:val="auto"/>
              </w:rPr>
            </w:pPr>
            <w:r>
              <w:rPr>
                <w:rFonts w:ascii="Arial" w:cs="Arial" w:eastAsia="Arial" w:hAnsi="Arial"/>
                <w:sz w:val="13"/>
                <w:szCs w:val="13"/>
                <w:color w:val="auto"/>
                <w:w w:val="85"/>
              </w:rPr>
              <w:t>928,738</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711,494</w:t>
            </w: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512,381</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419,811</w:t>
            </w: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555,008</w:t>
            </w:r>
          </w:p>
        </w:tc>
        <w:tc>
          <w:tcPr>
            <w:tcW w:w="0" w:type="dxa"/>
            <w:vAlign w:val="bottom"/>
          </w:tcPr>
          <w:p>
            <w:pPr>
              <w:spacing w:after="0"/>
              <w:rPr>
                <w:sz w:val="1"/>
                <w:szCs w:val="1"/>
                <w:color w:val="auto"/>
              </w:rPr>
            </w:pPr>
          </w:p>
        </w:tc>
      </w:tr>
      <w:tr>
        <w:trPr>
          <w:trHeight w:val="270"/>
        </w:trPr>
        <w:tc>
          <w:tcPr>
            <w:tcW w:w="1060" w:type="dxa"/>
            <w:vAlign w:val="bottom"/>
          </w:tcPr>
          <w:p>
            <w:pPr>
              <w:jc w:val="right"/>
              <w:ind w:right="579"/>
              <w:spacing w:after="0"/>
              <w:rPr>
                <w:sz w:val="20"/>
                <w:szCs w:val="20"/>
                <w:color w:val="auto"/>
              </w:rPr>
            </w:pPr>
            <w:r>
              <w:rPr>
                <w:rFonts w:ascii="Arial" w:cs="Arial" w:eastAsia="Arial" w:hAnsi="Arial"/>
                <w:sz w:val="13"/>
                <w:szCs w:val="13"/>
                <w:color w:val="auto"/>
                <w:w w:val="85"/>
              </w:rPr>
              <w:t>827,549</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664,724</w:t>
            </w: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469,760</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372,148</w:t>
            </w: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291,017</w:t>
            </w:r>
          </w:p>
        </w:tc>
        <w:tc>
          <w:tcPr>
            <w:tcW w:w="0" w:type="dxa"/>
            <w:vAlign w:val="bottom"/>
          </w:tcPr>
          <w:p>
            <w:pPr>
              <w:spacing w:after="0"/>
              <w:rPr>
                <w:sz w:val="1"/>
                <w:szCs w:val="1"/>
                <w:color w:val="auto"/>
              </w:rPr>
            </w:pPr>
          </w:p>
        </w:tc>
      </w:tr>
      <w:tr>
        <w:trPr>
          <w:trHeight w:val="124"/>
        </w:trPr>
        <w:tc>
          <w:tcPr>
            <w:tcW w:w="1060" w:type="dxa"/>
            <w:vAlign w:val="bottom"/>
          </w:tcPr>
          <w:p>
            <w:pPr>
              <w:jc w:val="right"/>
              <w:ind w:right="279"/>
              <w:spacing w:after="0"/>
              <w:rPr>
                <w:sz w:val="20"/>
                <w:szCs w:val="20"/>
                <w:color w:val="auto"/>
              </w:rPr>
            </w:pPr>
            <w:r>
              <w:rPr>
                <w:rFonts w:ascii="Arial" w:cs="Arial" w:eastAsia="Arial" w:hAnsi="Arial"/>
                <w:sz w:val="9"/>
                <w:szCs w:val="9"/>
                <w:color w:val="auto"/>
              </w:rPr>
              <w:t>(5)</w:t>
            </w:r>
          </w:p>
        </w:tc>
        <w:tc>
          <w:tcPr>
            <w:tcW w:w="880" w:type="dxa"/>
            <w:vAlign w:val="bottom"/>
            <w:vMerge w:val="restart"/>
          </w:tcPr>
          <w:p>
            <w:pPr>
              <w:jc w:val="right"/>
              <w:ind w:right="77"/>
              <w:spacing w:after="0"/>
              <w:rPr>
                <w:sz w:val="20"/>
                <w:szCs w:val="20"/>
                <w:color w:val="auto"/>
              </w:rPr>
            </w:pPr>
            <w:r>
              <w:rPr>
                <w:rFonts w:ascii="Arial" w:cs="Arial" w:eastAsia="Arial" w:hAnsi="Arial"/>
                <w:sz w:val="13"/>
                <w:szCs w:val="13"/>
                <w:color w:val="auto"/>
              </w:rPr>
              <w:t>233,641</w:t>
            </w:r>
          </w:p>
        </w:tc>
        <w:tc>
          <w:tcPr>
            <w:tcW w:w="1360" w:type="dxa"/>
            <w:vAlign w:val="bottom"/>
          </w:tcPr>
          <w:p>
            <w:pPr>
              <w:jc w:val="right"/>
              <w:ind w:right="1159"/>
              <w:spacing w:after="0"/>
              <w:rPr>
                <w:sz w:val="20"/>
                <w:szCs w:val="20"/>
                <w:color w:val="auto"/>
              </w:rPr>
            </w:pPr>
            <w:r>
              <w:rPr>
                <w:rFonts w:ascii="Arial" w:cs="Arial" w:eastAsia="Arial" w:hAnsi="Arial"/>
                <w:sz w:val="9"/>
                <w:szCs w:val="9"/>
                <w:color w:val="auto"/>
              </w:rPr>
              <w:t>(5)</w:t>
            </w:r>
          </w:p>
        </w:tc>
        <w:tc>
          <w:tcPr>
            <w:tcW w:w="2000" w:type="dxa"/>
            <w:vAlign w:val="bottom"/>
          </w:tcPr>
          <w:p>
            <w:pPr>
              <w:jc w:val="right"/>
              <w:ind w:right="1819"/>
              <w:spacing w:after="0"/>
              <w:rPr>
                <w:sz w:val="20"/>
                <w:szCs w:val="20"/>
                <w:color w:val="auto"/>
              </w:rPr>
            </w:pPr>
            <w:r>
              <w:rPr>
                <w:rFonts w:ascii="Arial" w:cs="Arial" w:eastAsia="Arial" w:hAnsi="Arial"/>
                <w:sz w:val="9"/>
                <w:szCs w:val="9"/>
                <w:color w:val="auto"/>
                <w:w w:val="90"/>
              </w:rPr>
              <w:t>(5)</w:t>
            </w:r>
          </w:p>
        </w:tc>
        <w:tc>
          <w:tcPr>
            <w:tcW w:w="1200" w:type="dxa"/>
            <w:vAlign w:val="bottom"/>
            <w:vMerge w:val="restart"/>
          </w:tcPr>
          <w:p>
            <w:pPr>
              <w:jc w:val="right"/>
              <w:ind w:right="97"/>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0"/>
        </w:trPr>
        <w:tc>
          <w:tcPr>
            <w:tcW w:w="1060" w:type="dxa"/>
            <w:vAlign w:val="bottom"/>
          </w:tcPr>
          <w:p>
            <w:pPr>
              <w:jc w:val="right"/>
              <w:ind w:right="579"/>
              <w:spacing w:after="0"/>
              <w:rPr>
                <w:sz w:val="20"/>
                <w:szCs w:val="20"/>
                <w:color w:val="auto"/>
              </w:rPr>
            </w:pPr>
            <w:r>
              <w:rPr>
                <w:rFonts w:ascii="Arial" w:cs="Arial" w:eastAsia="Arial" w:hAnsi="Arial"/>
                <w:sz w:val="13"/>
                <w:szCs w:val="13"/>
                <w:color w:val="auto"/>
                <w:w w:val="85"/>
              </w:rPr>
              <w:t>388,792</w:t>
            </w:r>
          </w:p>
        </w:tc>
        <w:tc>
          <w:tcPr>
            <w:tcW w:w="880" w:type="dxa"/>
            <w:vAlign w:val="bottom"/>
            <w:vMerge w:val="continue"/>
          </w:tcPr>
          <w:p>
            <w:pPr>
              <w:spacing w:after="0"/>
              <w:rPr>
                <w:sz w:val="13"/>
                <w:szCs w:val="13"/>
                <w:color w:val="auto"/>
              </w:rPr>
            </w:pP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175,475</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202,000</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060" w:type="dxa"/>
            <w:vAlign w:val="bottom"/>
          </w:tcPr>
          <w:p>
            <w:pPr>
              <w:jc w:val="right"/>
              <w:ind w:right="579"/>
              <w:spacing w:after="0"/>
              <w:rPr>
                <w:sz w:val="20"/>
                <w:szCs w:val="20"/>
                <w:color w:val="auto"/>
              </w:rPr>
            </w:pPr>
            <w:r>
              <w:rPr>
                <w:rFonts w:ascii="Arial" w:cs="Arial" w:eastAsia="Arial" w:hAnsi="Arial"/>
                <w:sz w:val="13"/>
                <w:szCs w:val="13"/>
                <w:color w:val="auto"/>
              </w:rPr>
              <w:t>55,705</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74,988</w:t>
            </w: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25,821</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273,334</w:t>
            </w:r>
          </w:p>
        </w:tc>
        <w:tc>
          <w:tcPr>
            <w:tcW w:w="0" w:type="dxa"/>
            <w:vAlign w:val="bottom"/>
          </w:tcPr>
          <w:p>
            <w:pPr>
              <w:spacing w:after="0"/>
              <w:rPr>
                <w:sz w:val="1"/>
                <w:szCs w:val="1"/>
                <w:color w:val="auto"/>
              </w:rPr>
            </w:pPr>
          </w:p>
        </w:tc>
      </w:tr>
      <w:tr>
        <w:trPr>
          <w:trHeight w:val="270"/>
        </w:trPr>
        <w:tc>
          <w:tcPr>
            <w:tcW w:w="1060" w:type="dxa"/>
            <w:vAlign w:val="bottom"/>
          </w:tcPr>
          <w:p>
            <w:pPr>
              <w:jc w:val="right"/>
              <w:ind w:right="579"/>
              <w:spacing w:after="0"/>
              <w:rPr>
                <w:sz w:val="20"/>
                <w:szCs w:val="20"/>
                <w:color w:val="auto"/>
              </w:rPr>
            </w:pPr>
            <w:r>
              <w:rPr>
                <w:rFonts w:ascii="Arial" w:cs="Arial" w:eastAsia="Arial" w:hAnsi="Arial"/>
                <w:sz w:val="13"/>
                <w:szCs w:val="13"/>
                <w:color w:val="auto"/>
                <w:w w:val="85"/>
              </w:rPr>
              <w:t>462,657</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386,575</w:t>
            </w: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300,580</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210,728</w:t>
            </w: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270,393</w:t>
            </w:r>
          </w:p>
        </w:tc>
        <w:tc>
          <w:tcPr>
            <w:tcW w:w="0" w:type="dxa"/>
            <w:vAlign w:val="bottom"/>
          </w:tcPr>
          <w:p>
            <w:pPr>
              <w:spacing w:after="0"/>
              <w:rPr>
                <w:sz w:val="1"/>
                <w:szCs w:val="1"/>
                <w:color w:val="auto"/>
              </w:rPr>
            </w:pPr>
          </w:p>
        </w:tc>
      </w:tr>
      <w:tr>
        <w:trPr>
          <w:trHeight w:val="729"/>
        </w:trPr>
        <w:tc>
          <w:tcPr>
            <w:tcW w:w="1060" w:type="dxa"/>
            <w:vAlign w:val="bottom"/>
          </w:tcPr>
          <w:p>
            <w:pPr>
              <w:jc w:val="right"/>
              <w:ind w:right="439"/>
              <w:spacing w:after="0"/>
              <w:rPr>
                <w:sz w:val="20"/>
                <w:szCs w:val="20"/>
                <w:color w:val="auto"/>
              </w:rPr>
            </w:pPr>
            <w:r>
              <w:rPr>
                <w:rFonts w:ascii="Arial" w:cs="Arial" w:eastAsia="Arial" w:hAnsi="Arial"/>
                <w:sz w:val="13"/>
                <w:szCs w:val="13"/>
                <w:color w:val="auto"/>
              </w:rPr>
              <w:t>(7.37)%</w:t>
            </w:r>
          </w:p>
        </w:tc>
        <w:tc>
          <w:tcPr>
            <w:tcW w:w="880" w:type="dxa"/>
            <w:vAlign w:val="bottom"/>
          </w:tcPr>
          <w:p>
            <w:pPr>
              <w:jc w:val="right"/>
              <w:spacing w:after="0"/>
              <w:rPr>
                <w:sz w:val="20"/>
                <w:szCs w:val="20"/>
                <w:color w:val="auto"/>
              </w:rPr>
            </w:pPr>
            <w:r>
              <w:rPr>
                <w:rFonts w:ascii="Arial" w:cs="Arial" w:eastAsia="Arial" w:hAnsi="Arial"/>
                <w:sz w:val="13"/>
                <w:szCs w:val="13"/>
                <w:color w:val="auto"/>
              </w:rPr>
              <w:t>44.79%</w:t>
            </w:r>
          </w:p>
        </w:tc>
        <w:tc>
          <w:tcPr>
            <w:tcW w:w="1360" w:type="dxa"/>
            <w:vAlign w:val="bottom"/>
          </w:tcPr>
          <w:p>
            <w:pPr>
              <w:jc w:val="right"/>
              <w:spacing w:after="0"/>
              <w:rPr>
                <w:sz w:val="20"/>
                <w:szCs w:val="20"/>
                <w:color w:val="auto"/>
              </w:rPr>
            </w:pPr>
            <w:r>
              <w:rPr>
                <w:rFonts w:ascii="Arial" w:cs="Arial" w:eastAsia="Arial" w:hAnsi="Arial"/>
                <w:sz w:val="13"/>
                <w:szCs w:val="13"/>
                <w:color w:val="auto"/>
              </w:rPr>
              <w:t>30.39%</w:t>
            </w:r>
          </w:p>
        </w:tc>
        <w:tc>
          <w:tcPr>
            <w:tcW w:w="2000" w:type="dxa"/>
            <w:vAlign w:val="bottom"/>
          </w:tcPr>
          <w:p>
            <w:pPr>
              <w:jc w:val="right"/>
              <w:ind w:right="579"/>
              <w:spacing w:after="0"/>
              <w:rPr>
                <w:sz w:val="20"/>
                <w:szCs w:val="20"/>
                <w:color w:val="auto"/>
              </w:rPr>
            </w:pPr>
            <w:r>
              <w:rPr>
                <w:rFonts w:ascii="Arial" w:cs="Arial" w:eastAsia="Arial" w:hAnsi="Arial"/>
                <w:sz w:val="13"/>
                <w:szCs w:val="13"/>
                <w:color w:val="auto"/>
              </w:rPr>
              <w:t>(38.58)%</w:t>
            </w:r>
          </w:p>
        </w:tc>
        <w:tc>
          <w:tcPr>
            <w:tcW w:w="1200" w:type="dxa"/>
            <w:vAlign w:val="bottom"/>
          </w:tcPr>
          <w:p>
            <w:pPr>
              <w:jc w:val="right"/>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459"/>
        </w:trPr>
        <w:tc>
          <w:tcPr>
            <w:tcW w:w="1060" w:type="dxa"/>
            <w:vAlign w:val="bottom"/>
          </w:tcPr>
          <w:p>
            <w:pPr>
              <w:jc w:val="right"/>
              <w:ind w:right="579"/>
              <w:spacing w:after="0"/>
              <w:rPr>
                <w:sz w:val="20"/>
                <w:szCs w:val="20"/>
                <w:color w:val="auto"/>
              </w:rPr>
            </w:pPr>
            <w:r>
              <w:rPr>
                <w:rFonts w:ascii="Arial" w:cs="Arial" w:eastAsia="Arial" w:hAnsi="Arial"/>
                <w:sz w:val="13"/>
                <w:szCs w:val="13"/>
                <w:color w:val="auto"/>
              </w:rPr>
              <w:t>48</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360" w:type="dxa"/>
            <w:vAlign w:val="bottom"/>
          </w:tcPr>
          <w:p>
            <w:pPr>
              <w:jc w:val="right"/>
              <w:ind w:right="79"/>
              <w:spacing w:after="0"/>
              <w:rPr>
                <w:sz w:val="20"/>
                <w:szCs w:val="20"/>
                <w:color w:val="auto"/>
              </w:rPr>
            </w:pPr>
            <w:r>
              <w:rPr>
                <w:rFonts w:ascii="Arial" w:cs="Arial" w:eastAsia="Arial" w:hAnsi="Arial"/>
                <w:sz w:val="13"/>
                <w:szCs w:val="13"/>
                <w:color w:val="auto"/>
              </w:rPr>
              <w:t>42</w:t>
            </w:r>
          </w:p>
        </w:tc>
        <w:tc>
          <w:tcPr>
            <w:tcW w:w="2000" w:type="dxa"/>
            <w:vAlign w:val="bottom"/>
          </w:tcPr>
          <w:p>
            <w:pPr>
              <w:jc w:val="right"/>
              <w:ind w:right="739"/>
              <w:spacing w:after="0"/>
              <w:rPr>
                <w:sz w:val="20"/>
                <w:szCs w:val="20"/>
                <w:color w:val="auto"/>
              </w:rPr>
            </w:pPr>
            <w:r>
              <w:rPr>
                <w:rFonts w:ascii="Arial" w:cs="Arial" w:eastAsia="Arial" w:hAnsi="Arial"/>
                <w:sz w:val="13"/>
                <w:szCs w:val="13"/>
                <w:color w:val="auto"/>
              </w:rPr>
              <w:t>37</w:t>
            </w: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459"/>
        </w:trPr>
        <w:tc>
          <w:tcPr>
            <w:tcW w:w="1060" w:type="dxa"/>
            <w:vAlign w:val="bottom"/>
          </w:tcPr>
          <w:p>
            <w:pPr>
              <w:jc w:val="right"/>
              <w:ind w:right="439"/>
              <w:spacing w:after="0"/>
              <w:rPr>
                <w:sz w:val="20"/>
                <w:szCs w:val="20"/>
                <w:color w:val="auto"/>
              </w:rPr>
            </w:pPr>
            <w:r>
              <w:rPr>
                <w:rFonts w:ascii="Arial" w:cs="Arial" w:eastAsia="Arial" w:hAnsi="Arial"/>
                <w:sz w:val="13"/>
                <w:szCs w:val="13"/>
                <w:color w:val="auto"/>
              </w:rPr>
              <w:t>13.3 %</w:t>
            </w:r>
          </w:p>
        </w:tc>
        <w:tc>
          <w:tcPr>
            <w:tcW w:w="880" w:type="dxa"/>
            <w:vAlign w:val="bottom"/>
          </w:tcPr>
          <w:p>
            <w:pPr>
              <w:jc w:val="right"/>
              <w:spacing w:after="0"/>
              <w:rPr>
                <w:sz w:val="20"/>
                <w:szCs w:val="20"/>
                <w:color w:val="auto"/>
              </w:rPr>
            </w:pPr>
            <w:r>
              <w:rPr>
                <w:rFonts w:ascii="Arial" w:cs="Arial" w:eastAsia="Arial" w:hAnsi="Arial"/>
                <w:sz w:val="13"/>
                <w:szCs w:val="13"/>
                <w:color w:val="auto"/>
              </w:rPr>
              <w:t>12.7%</w:t>
            </w:r>
          </w:p>
        </w:tc>
        <w:tc>
          <w:tcPr>
            <w:tcW w:w="1360" w:type="dxa"/>
            <w:vAlign w:val="bottom"/>
          </w:tcPr>
          <w:p>
            <w:pPr>
              <w:jc w:val="right"/>
              <w:spacing w:after="0"/>
              <w:rPr>
                <w:sz w:val="20"/>
                <w:szCs w:val="20"/>
                <w:color w:val="auto"/>
              </w:rPr>
            </w:pPr>
            <w:r>
              <w:rPr>
                <w:rFonts w:ascii="Arial" w:cs="Arial" w:eastAsia="Arial" w:hAnsi="Arial"/>
                <w:sz w:val="13"/>
                <w:szCs w:val="13"/>
                <w:color w:val="auto"/>
              </w:rPr>
              <w:t>11.4%</w:t>
            </w:r>
          </w:p>
        </w:tc>
        <w:tc>
          <w:tcPr>
            <w:tcW w:w="2000" w:type="dxa"/>
            <w:vAlign w:val="bottom"/>
          </w:tcPr>
          <w:p>
            <w:pPr>
              <w:jc w:val="right"/>
              <w:ind w:right="599"/>
              <w:spacing w:after="0"/>
              <w:rPr>
                <w:sz w:val="20"/>
                <w:szCs w:val="20"/>
                <w:color w:val="auto"/>
              </w:rPr>
            </w:pPr>
            <w:r>
              <w:rPr>
                <w:rFonts w:ascii="Arial" w:cs="Arial" w:eastAsia="Arial" w:hAnsi="Arial"/>
                <w:sz w:val="13"/>
                <w:szCs w:val="13"/>
                <w:color w:val="auto"/>
              </w:rPr>
              <w:t>11.1 %</w:t>
            </w:r>
          </w:p>
        </w:tc>
        <w:tc>
          <w:tcPr>
            <w:tcW w:w="1200" w:type="dxa"/>
            <w:vAlign w:val="bottom"/>
          </w:tcPr>
          <w:p>
            <w:pPr>
              <w:jc w:val="right"/>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-1549400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-1206500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-863600</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-280670</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4000" w:space="720"/>
            <w:col w:w="652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base management fee waiver was in effect from inception through March 31, 2008.</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Unaudited.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Determined based on taxable income calculated in accordance with income tax regulations which may differ from amounts determined under U.S. generally accepted accounting principles.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86" w:lineRule="exact"/>
        <w:rPr>
          <w:sz w:val="20"/>
          <w:szCs w:val="20"/>
          <w:color w:val="auto"/>
        </w:rPr>
      </w:pPr>
    </w:p>
    <w:p>
      <w:pPr>
        <w:ind w:firstLine="432"/>
        <w:spacing w:after="0" w:line="286" w:lineRule="auto"/>
        <w:rPr>
          <w:sz w:val="20"/>
          <w:szCs w:val="20"/>
          <w:color w:val="auto"/>
        </w:rPr>
      </w:pPr>
      <w:r>
        <w:rPr>
          <w:rFonts w:ascii="Arial" w:cs="Arial" w:eastAsia="Arial" w:hAnsi="Arial"/>
          <w:sz w:val="13"/>
          <w:szCs w:val="13"/>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6"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6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31" w:lineRule="exact"/>
        <w:rPr>
          <w:sz w:val="20"/>
          <w:szCs w:val="20"/>
          <w:color w:val="auto"/>
        </w:rPr>
      </w:pPr>
    </w:p>
    <w:p>
      <w:pPr>
        <w:jc w:val="both"/>
        <w:ind w:right="60" w:firstLine="432"/>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4" w:lineRule="exact"/>
        <w:rPr>
          <w:sz w:val="20"/>
          <w:szCs w:val="20"/>
          <w:color w:val="auto"/>
        </w:rPr>
      </w:pPr>
    </w:p>
    <w:p>
      <w:pPr>
        <w:ind w:right="520" w:firstLine="432"/>
        <w:spacing w:after="0" w:line="273" w:lineRule="auto"/>
        <w:rPr>
          <w:sz w:val="20"/>
          <w:szCs w:val="20"/>
          <w:color w:val="auto"/>
        </w:rPr>
      </w:pPr>
      <w:r>
        <w:rPr>
          <w:rFonts w:ascii="Arial" w:cs="Arial" w:eastAsia="Arial" w:hAnsi="Arial"/>
          <w:sz w:val="14"/>
          <w:szCs w:val="14"/>
          <w:color w:val="auto"/>
        </w:rPr>
        <w:t>You should understand that under Sections 27A(b)(2)(B) of the Securities Act and Section 21E(b)(2)(B) of the Exchange Act the “safe harbor” provisions of the Private Securities Litigation Reform Act of 1995 do not apply to statements made in periodic reports we file under the Exchange Act.</w:t>
      </w:r>
    </w:p>
    <w:p>
      <w:pPr>
        <w:spacing w:after="0" w:line="120" w:lineRule="exact"/>
        <w:rPr>
          <w:sz w:val="20"/>
          <w:szCs w:val="20"/>
          <w:color w:val="auto"/>
        </w:rPr>
      </w:pPr>
    </w:p>
    <w:p>
      <w:pPr>
        <w:ind w:right="580" w:firstLine="432"/>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Overview</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151"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82" w:lineRule="exact"/>
        <w:rPr>
          <w:sz w:val="20"/>
          <w:szCs w:val="20"/>
          <w:color w:val="auto"/>
        </w:rPr>
      </w:pPr>
    </w:p>
    <w:p>
      <w:pPr>
        <w:ind w:right="60" w:firstLine="432"/>
        <w:spacing w:after="0" w:line="249" w:lineRule="auto"/>
        <w:rPr>
          <w:sz w:val="20"/>
          <w:szCs w:val="20"/>
          <w:color w:val="auto"/>
        </w:rPr>
      </w:pPr>
      <w:r>
        <w:rPr>
          <w:rFonts w:ascii="Arial" w:cs="Arial" w:eastAsia="Arial" w:hAnsi="Arial"/>
          <w:sz w:val="14"/>
          <w:szCs w:val="14"/>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37"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4"/>
          <w:szCs w:val="14"/>
          <w:color w:val="auto"/>
        </w:rPr>
        <w:t>Our wholly 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31"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 our activities.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180"/>
          </w:cols>
          <w:pgMar w:left="320" w:top="122" w:right="39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Revenues</w:t>
      </w:r>
    </w:p>
    <w:p>
      <w:pPr>
        <w:spacing w:after="0" w:line="82" w:lineRule="exact"/>
        <w:rPr>
          <w:sz w:val="20"/>
          <w:szCs w:val="20"/>
          <w:color w:val="auto"/>
        </w:rPr>
      </w:pPr>
    </w:p>
    <w:p>
      <w:pPr>
        <w:ind w:firstLine="432"/>
        <w:spacing w:after="0" w:line="24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Expenses</w:t>
      </w:r>
    </w:p>
    <w:p>
      <w:pPr>
        <w:spacing w:after="0" w:line="82" w:lineRule="exact"/>
        <w:rPr>
          <w:sz w:val="20"/>
          <w:szCs w:val="20"/>
          <w:color w:val="auto"/>
        </w:rPr>
      </w:pPr>
    </w:p>
    <w:p>
      <w:pPr>
        <w:ind w:right="100" w:firstLine="432"/>
        <w:spacing w:after="0" w:line="252" w:lineRule="auto"/>
        <w:rPr>
          <w:sz w:val="20"/>
          <w:szCs w:val="20"/>
          <w:color w:val="auto"/>
        </w:rPr>
      </w:pPr>
      <w:r>
        <w:rPr>
          <w:rFonts w:ascii="Arial" w:cs="Arial" w:eastAsia="Arial" w:hAnsi="Arial"/>
          <w:sz w:val="14"/>
          <w:szCs w:val="14"/>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26"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820" w:right="140" w:hanging="326"/>
        <w:spacing w:after="0" w:line="273" w:lineRule="auto"/>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complimentary businesses;</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55" w:lineRule="exact"/>
        <w:rPr>
          <w:rFonts w:ascii="Arial" w:cs="Arial" w:eastAsia="Arial" w:hAnsi="Arial"/>
          <w:sz w:val="14"/>
          <w:szCs w:val="14"/>
          <w:color w:val="auto"/>
        </w:rPr>
      </w:pPr>
    </w:p>
    <w:p>
      <w:pPr>
        <w:jc w:val="both"/>
        <w:ind w:left="820" w:right="120" w:hanging="326"/>
        <w:spacing w:after="0" w:line="286" w:lineRule="auto"/>
        <w:tabs>
          <w:tab w:leader="none" w:pos="8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180"/>
          </w:cols>
          <w:pgMar w:left="320" w:top="122" w:right="39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3"/>
          <w:szCs w:val="13"/>
          <w:color w:val="auto"/>
        </w:rPr>
        <w:t>As of September 30, 2010, our portfolio totaled $664.7 million and consisted of $234.6 million of senior secured loans, $156.7 million of second lien secured debt, $223.9 million of subordinated debt and $49.5 million of preferred and common equity investments. Our debt portfolio consisted of 49% fixed-rate, 26% variable- rate with a LIBOR or prime floor and 25% variable-rate investments. Our overall portfolio consisted of 43 companies with an average investment size of $15.5 million and a weighted average yield on debt investments of 12.7%, and was invested 35% in senior secured loans, 24% in second lien secured debt, 34% in subordinated debt and 7% in preferred and common equity investments.</w:t>
      </w:r>
    </w:p>
    <w:p>
      <w:pPr>
        <w:spacing w:after="0" w:line="120"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For the fiscal year ended September 30, 2011, we purchased $479.7 million of investments issued by 17 new and 11 existing portfolio companies with an overall weighted average yield of 13.7% on debt investments. This compares to purchasing $309.5 million in 17 new and 12 existing portfolio companies with an overall weighted average yield of 14.9% on debt investments, and purchasing $112.7 million in 11 new and 8 existing portfolio companies with an overall weighted average yield of 14.5% on debt investments for the fiscal years ended September 30, 2010 and 2009,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86" w:lineRule="exact"/>
        <w:rPr>
          <w:sz w:val="20"/>
          <w:szCs w:val="20"/>
          <w:color w:val="auto"/>
        </w:rPr>
      </w:pPr>
    </w:p>
    <w:p>
      <w:pPr>
        <w:ind w:right="60" w:firstLine="432"/>
        <w:spacing w:after="0" w:line="277" w:lineRule="auto"/>
        <w:rPr>
          <w:sz w:val="20"/>
          <w:szCs w:val="20"/>
          <w:color w:val="auto"/>
        </w:rPr>
      </w:pPr>
      <w:r>
        <w:rPr>
          <w:rFonts w:ascii="Arial" w:cs="Arial" w:eastAsia="Arial" w:hAnsi="Arial"/>
          <w:sz w:val="13"/>
          <w:szCs w:val="13"/>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82"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Our investments generally consists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41"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 w:lineRule="exact"/>
        <w:rPr>
          <w:sz w:val="20"/>
          <w:szCs w:val="20"/>
          <w:color w:val="auto"/>
        </w:rPr>
      </w:pPr>
    </w:p>
    <w:p>
      <w:pPr>
        <w:ind w:left="660" w:right="80" w:hanging="328"/>
        <w:spacing w:after="0" w:line="273"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the Investment Adviser responsible for the portfolio investment;</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55" w:lineRule="exact"/>
        <w:rPr>
          <w:rFonts w:ascii="Arial" w:cs="Arial" w:eastAsia="Arial" w:hAnsi="Arial"/>
          <w:sz w:val="14"/>
          <w:szCs w:val="14"/>
          <w:color w:val="auto"/>
        </w:rPr>
      </w:pPr>
    </w:p>
    <w:p>
      <w:pPr>
        <w:jc w:val="both"/>
        <w:ind w:left="660" w:right="300" w:hanging="328"/>
        <w:spacing w:after="0" w:line="286" w:lineRule="auto"/>
        <w:tabs>
          <w:tab w:leader="none" w:pos="6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5" w:lineRule="exact"/>
        <w:rPr>
          <w:rFonts w:ascii="Arial" w:cs="Arial" w:eastAsia="Arial" w:hAnsi="Arial"/>
          <w:sz w:val="13"/>
          <w:szCs w:val="13"/>
          <w:color w:val="auto"/>
        </w:rPr>
      </w:pPr>
    </w:p>
    <w:p>
      <w:pPr>
        <w:ind w:left="660" w:right="40" w:hanging="328"/>
        <w:spacing w:after="0" w:line="273"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1" w:lineRule="exact"/>
        <w:rPr>
          <w:rFonts w:ascii="Arial" w:cs="Arial" w:eastAsia="Arial" w:hAnsi="Arial"/>
          <w:sz w:val="14"/>
          <w:szCs w:val="14"/>
          <w:color w:val="auto"/>
        </w:rPr>
      </w:pPr>
    </w:p>
    <w:p>
      <w:pPr>
        <w:ind w:left="660" w:right="340" w:hanging="328"/>
        <w:spacing w:after="0" w:line="273"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60" w:firstLine="405"/>
        <w:spacing w:after="0" w:line="247" w:lineRule="auto"/>
        <w:rPr>
          <w:sz w:val="20"/>
          <w:szCs w:val="20"/>
          <w:color w:val="auto"/>
        </w:rPr>
      </w:pPr>
      <w:r>
        <w:rPr>
          <w:rFonts w:ascii="Arial" w:cs="Arial" w:eastAsia="Arial" w:hAnsi="Arial"/>
          <w:sz w:val="14"/>
          <w:szCs w:val="14"/>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980" w:hanging="647"/>
        <w:spacing w:after="0" w:line="273" w:lineRule="auto"/>
        <w:tabs>
          <w:tab w:leader="none" w:pos="960" w:val="left"/>
        </w:tabs>
        <w:rPr>
          <w:sz w:val="20"/>
          <w:szCs w:val="20"/>
          <w:color w:val="auto"/>
        </w:rPr>
      </w:pPr>
      <w:r>
        <w:rPr>
          <w:rFonts w:ascii="Arial" w:cs="Arial" w:eastAsia="Arial" w:hAnsi="Arial"/>
          <w:sz w:val="14"/>
          <w:szCs w:val="14"/>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0"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right="140" w:firstLine="391"/>
        <w:spacing w:after="0" w:line="25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90" w:lineRule="exact"/>
        <w:rPr>
          <w:sz w:val="20"/>
          <w:szCs w:val="20"/>
          <w:color w:val="auto"/>
        </w:rPr>
      </w:pPr>
    </w:p>
    <w:p>
      <w:pPr>
        <w:jc w:val="both"/>
        <w:ind w:right="220" w:firstLine="391"/>
        <w:spacing w:after="0" w:line="266"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32" w:lineRule="exact"/>
        <w:rPr>
          <w:sz w:val="20"/>
          <w:szCs w:val="20"/>
          <w:color w:val="auto"/>
        </w:rPr>
      </w:pPr>
    </w:p>
    <w:p>
      <w:pPr>
        <w:jc w:val="both"/>
        <w:ind w:right="180" w:firstLine="391"/>
        <w:spacing w:after="0" w:line="247"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w:t>
      </w:r>
    </w:p>
    <w:p>
      <w:pPr>
        <w:spacing w:after="0" w:line="1" w:lineRule="exact"/>
        <w:rPr>
          <w:sz w:val="20"/>
          <w:szCs w:val="20"/>
          <w:color w:val="auto"/>
        </w:rPr>
      </w:pPr>
    </w:p>
    <w:p>
      <w:pPr>
        <w:ind w:right="1680"/>
        <w:spacing w:after="0" w:line="248" w:lineRule="auto"/>
        <w:rPr>
          <w:sz w:val="20"/>
          <w:szCs w:val="20"/>
          <w:color w:val="auto"/>
        </w:rPr>
      </w:pPr>
      <w:r>
        <w:rPr>
          <w:rFonts w:ascii="Arial" w:cs="Arial" w:eastAsia="Arial" w:hAnsi="Arial"/>
          <w:sz w:val="14"/>
          <w:szCs w:val="14"/>
          <w:color w:val="auto"/>
        </w:rPr>
        <w:t>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00"/>
          </w:cols>
          <w:pgMar w:left="320" w:top="122" w:right="37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right="320" w:firstLine="391"/>
        <w:spacing w:after="0" w:line="257"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31" w:lineRule="exact"/>
        <w:rPr>
          <w:sz w:val="20"/>
          <w:szCs w:val="20"/>
          <w:color w:val="auto"/>
        </w:rPr>
      </w:pPr>
    </w:p>
    <w:p>
      <w:pPr>
        <w:ind w:right="600" w:firstLine="391"/>
        <w:spacing w:after="0" w:line="312"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its investments are trading, in determining fair value.</w:t>
      </w:r>
    </w:p>
    <w:p>
      <w:pPr>
        <w:spacing w:after="0" w:line="97" w:lineRule="exact"/>
        <w:rPr>
          <w:sz w:val="20"/>
          <w:szCs w:val="20"/>
          <w:color w:val="auto"/>
        </w:rPr>
      </w:pPr>
    </w:p>
    <w:p>
      <w:pPr>
        <w:ind w:firstLine="391"/>
        <w:spacing w:after="0" w:line="266" w:lineRule="auto"/>
        <w:rPr>
          <w:sz w:val="20"/>
          <w:szCs w:val="20"/>
          <w:color w:val="auto"/>
        </w:rPr>
      </w:pPr>
      <w:r>
        <w:rPr>
          <w:rFonts w:ascii="Arial" w:cs="Arial" w:eastAsia="Arial" w:hAnsi="Arial"/>
          <w:sz w:val="13"/>
          <w:szCs w:val="13"/>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services to measure the fair value of our Credit Facility in a manner consistent with the valuation process that the board of directors uses to value investments.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2" w:lineRule="exact"/>
        <w:rPr>
          <w:sz w:val="20"/>
          <w:szCs w:val="20"/>
          <w:color w:val="auto"/>
        </w:rPr>
      </w:pPr>
    </w:p>
    <w:p>
      <w:pPr>
        <w:ind w:right="20" w:firstLine="432"/>
        <w:spacing w:after="0" w:line="247"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Payment-in-Kind Interest</w:t>
      </w:r>
    </w:p>
    <w:p>
      <w:pPr>
        <w:spacing w:after="0" w:line="82" w:lineRule="exact"/>
        <w:rPr>
          <w:sz w:val="20"/>
          <w:szCs w:val="20"/>
          <w:color w:val="auto"/>
        </w:rPr>
      </w:pPr>
    </w:p>
    <w:p>
      <w:pPr>
        <w:ind w:right="60" w:firstLine="432"/>
        <w:spacing w:after="0" w:line="312"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82" w:lineRule="exact"/>
        <w:rPr>
          <w:sz w:val="20"/>
          <w:szCs w:val="20"/>
          <w:color w:val="auto"/>
        </w:rPr>
      </w:pPr>
    </w:p>
    <w:p>
      <w:pPr>
        <w:ind w:right="80" w:firstLine="432"/>
        <w:spacing w:after="0" w:line="246" w:lineRule="auto"/>
        <w:rPr>
          <w:sz w:val="20"/>
          <w:szCs w:val="20"/>
          <w:color w:val="auto"/>
        </w:rPr>
      </w:pPr>
      <w:r>
        <w:rPr>
          <w:rFonts w:ascii="Arial" w:cs="Arial" w:eastAsia="Arial" w:hAnsi="Arial"/>
          <w:sz w:val="14"/>
          <w:szCs w:val="14"/>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38" w:lineRule="exact"/>
        <w:rPr>
          <w:sz w:val="20"/>
          <w:szCs w:val="20"/>
          <w:color w:val="auto"/>
        </w:rPr>
      </w:pPr>
    </w:p>
    <w:p>
      <w:pPr>
        <w:ind w:right="120" w:firstLine="432"/>
        <w:spacing w:after="0" w:line="252"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our results of operations for the fiscal years ended September 30, 2011, 2010 and 2009.</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8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31"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4"/>
          <w:szCs w:val="14"/>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the growth in our overall portfolio which was also driven by investment of the proceeds from our equity offerings and rotation out of lower yielding assets.</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Investment income for the fiscal year ended September 30, 2009 was $45.1 million and was primarily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the growth in our overall portfolio.</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Expenses</w:t>
      </w:r>
    </w:p>
    <w:p>
      <w:pPr>
        <w:spacing w:after="0" w:line="8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Expenses for the fiscal year ended September 30, 2011 totaled $39.1 million. Base management fees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1" w:lineRule="exact"/>
        <w:rPr>
          <w:sz w:val="20"/>
          <w:szCs w:val="20"/>
          <w:color w:val="auto"/>
        </w:rPr>
      </w:pPr>
    </w:p>
    <w:p>
      <w:pPr>
        <w:jc w:val="both"/>
        <w:ind w:right="200" w:firstLine="432"/>
        <w:spacing w:after="0" w:line="257" w:lineRule="auto"/>
        <w:rPr>
          <w:sz w:val="20"/>
          <w:szCs w:val="20"/>
          <w:color w:val="auto"/>
        </w:rPr>
      </w:pPr>
      <w:r>
        <w:rPr>
          <w:rFonts w:ascii="Arial" w:cs="Arial" w:eastAsia="Arial" w:hAnsi="Arial"/>
          <w:sz w:val="14"/>
          <w:szCs w:val="14"/>
          <w:color w:val="auto"/>
        </w:rPr>
        <w:t>Expenses for the fiscal year ended September 30, 2010 totaled $28.0 million. Base management fees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131"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4"/>
          <w:szCs w:val="14"/>
          <w:color w:val="auto"/>
        </w:rPr>
        <w:t>Net expenses for the fiscal year ended September 30, 2009 totaled $22.4 million. Base management fees for the same period totaled $7.7 million, performance-based incentive fee totaled $5.7 million, Credit Facility related expense totaled $4.6 million and general and administrative expenses totaled $4.4 million. The increase in expenses other the prior year was due to the growth of our portfolio and offset by the reduced borrowing costs under our Credit Facility.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82" w:lineRule="exact"/>
        <w:rPr>
          <w:sz w:val="20"/>
          <w:szCs w:val="20"/>
          <w:color w:val="auto"/>
        </w:rPr>
      </w:pPr>
    </w:p>
    <w:p>
      <w:pPr>
        <w:ind w:right="820" w:firstLine="432"/>
        <w:spacing w:after="0" w:line="312" w:lineRule="auto"/>
        <w:rPr>
          <w:sz w:val="20"/>
          <w:szCs w:val="20"/>
          <w:color w:val="auto"/>
        </w:rPr>
      </w:pPr>
      <w:r>
        <w:rPr>
          <w:rFonts w:ascii="Arial" w:cs="Arial" w:eastAsia="Arial" w:hAnsi="Arial"/>
          <w:sz w:val="13"/>
          <w:szCs w:val="13"/>
          <w:color w:val="auto"/>
        </w:rPr>
        <w:t>Net investment income totaled $52.6 million or $1.25 per share, $32.1 million or $1.09 per share and $22.7 million or $1.08 per share, respectively, for the fiscal years ended September 30, 2011, 2010 and 2009, respectively. The increase in per share net investment income from 2010 to 2011 was the result of the growth of our portfolio.</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82" w:lineRule="exact"/>
        <w:rPr>
          <w:sz w:val="20"/>
          <w:szCs w:val="20"/>
          <w:color w:val="auto"/>
        </w:rPr>
      </w:pPr>
    </w:p>
    <w:p>
      <w:pPr>
        <w:ind w:right="80" w:firstLine="432"/>
        <w:spacing w:after="0" w:line="312" w:lineRule="auto"/>
        <w:rPr>
          <w:sz w:val="20"/>
          <w:szCs w:val="20"/>
          <w:color w:val="auto"/>
        </w:rPr>
      </w:pPr>
      <w:r>
        <w:rPr>
          <w:rFonts w:ascii="Arial" w:cs="Arial" w:eastAsia="Arial" w:hAnsi="Arial"/>
          <w:sz w:val="13"/>
          <w:szCs w:val="13"/>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Change in Unrealized Appreciation (Depreciation) on Investments and Credit Facility</w:t>
      </w:r>
    </w:p>
    <w:p>
      <w:pPr>
        <w:spacing w:after="0" w:line="82"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Net change in unrealized (depreciation) appreciation on investments totaled $(46.8) million, $35.5 million and $44.5 million for the fiscal years ended September 30, 2011, 2010 and 2009, respectively. Net change in unrealized (appreciation) depreciation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82"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3"/>
          <w:szCs w:val="13"/>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86"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3"/>
          <w:szCs w:val="13"/>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33"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We may raise additional equity or debt capital through both registered offerings off a shelf registration and private offerings of securities, by securitizing a portion of our investments or borrowing from the SBA through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considering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 of existing funds and any funds raised in the future is expected to be for repayment of indebtedness, investments in portfolio companies, cash distributions to our shareholders or for other general corporate purposes.</w:t>
      </w:r>
    </w:p>
    <w:p>
      <w:pPr>
        <w:spacing w:after="0" w:line="44"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On June 25, 2007, PennantPark Investment entered into a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3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4"/>
          <w:szCs w:val="14"/>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31"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Our Credit Facility contains affirmative and restrictive covenants, including maintenance of a minimum shareholders’ equity of the greater of (i) 40% of the total assets of PennantPark Investment and its subsidiaries as of the last day of any fiscal quarter and (ii) the sum of (A) $120,000,000 plus (B) 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are in compliance with the terms of our Credit Facility.</w:t>
      </w:r>
    </w:p>
    <w:p>
      <w:pPr>
        <w:spacing w:after="0" w:line="125"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In accordance with the 1940 Act, with certain limited exceptions, the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3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3"/>
          <w:szCs w:val="13"/>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2" w:lineRule="exact"/>
        <w:rPr>
          <w:sz w:val="20"/>
          <w:szCs w:val="20"/>
          <w:color w:val="auto"/>
        </w:rPr>
      </w:pPr>
    </w:p>
    <w:p>
      <w:pPr>
        <w:ind w:right="20" w:firstLine="432"/>
        <w:spacing w:after="0" w:line="249" w:lineRule="auto"/>
        <w:rPr>
          <w:sz w:val="20"/>
          <w:szCs w:val="20"/>
          <w:color w:val="auto"/>
        </w:rPr>
      </w:pPr>
      <w:r>
        <w:rPr>
          <w:rFonts w:ascii="Arial" w:cs="Arial" w:eastAsia="Arial" w:hAnsi="Arial"/>
          <w:sz w:val="14"/>
          <w:szCs w:val="14"/>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fully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356"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As of September 30, 2011</w:t>
            </w: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52"/>
        </w:trPr>
        <w:tc>
          <w:tcPr>
            <w:tcW w:w="19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Issuance Dates</w:t>
            </w:r>
          </w:p>
        </w:tc>
        <w:tc>
          <w:tcPr>
            <w:tcW w:w="100" w:type="dxa"/>
            <w:vAlign w:val="bottom"/>
          </w:tcPr>
          <w:p>
            <w:pPr>
              <w:spacing w:after="0"/>
              <w:rPr>
                <w:sz w:val="13"/>
                <w:szCs w:val="13"/>
                <w:color w:val="auto"/>
              </w:rPr>
            </w:pP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All-in Coupon</w:t>
            </w:r>
          </w:p>
        </w:tc>
        <w:tc>
          <w:tcPr>
            <w:tcW w:w="16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 Balance</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All-in Coupon</w:t>
            </w:r>
          </w:p>
        </w:tc>
        <w:tc>
          <w:tcPr>
            <w:tcW w:w="160" w:type="dxa"/>
            <w:vAlign w:val="bottom"/>
          </w:tcPr>
          <w:p>
            <w:pPr>
              <w:spacing w:after="0"/>
              <w:rPr>
                <w:sz w:val="13"/>
                <w:szCs w:val="13"/>
                <w:color w:val="auto"/>
              </w:rPr>
            </w:pP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8"/>
                <w:szCs w:val="8"/>
                <w:b w:val="1"/>
                <w:bCs w:val="1"/>
                <w:color w:val="auto"/>
                <w:w w:val="95"/>
              </w:rPr>
              <w:t>(1)</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 xml:space="preserve">Rate </w:t>
            </w:r>
            <w:r>
              <w:rPr>
                <w:rFonts w:ascii="Arial" w:cs="Arial" w:eastAsia="Arial" w:hAnsi="Arial"/>
                <w:sz w:val="8"/>
                <w:szCs w:val="8"/>
                <w:b w:val="1"/>
                <w:bCs w:val="1"/>
                <w:color w:val="auto"/>
                <w:w w:val="90"/>
              </w:rPr>
              <w:t>(1)</w:t>
            </w: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Fixed SBA Debentures</w:t>
            </w:r>
          </w:p>
        </w:tc>
        <w:tc>
          <w:tcPr>
            <w:tcW w:w="10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40" w:type="dxa"/>
            <w:vAlign w:val="bottom"/>
          </w:tcPr>
          <w:p>
            <w:pPr>
              <w:ind w:left="20"/>
              <w:spacing w:after="0"/>
              <w:rPr>
                <w:sz w:val="20"/>
                <w:szCs w:val="20"/>
                <w:color w:val="auto"/>
              </w:rPr>
            </w:pPr>
            <w:r>
              <w:rPr>
                <w:rFonts w:ascii="Arial" w:cs="Arial" w:eastAsia="Arial" w:hAnsi="Arial"/>
                <w:sz w:val="14"/>
                <w:szCs w:val="14"/>
                <w:color w:val="auto"/>
              </w:rPr>
              <w:t>September 22, 2010</w:t>
            </w:r>
          </w:p>
        </w:tc>
        <w:tc>
          <w:tcPr>
            <w:tcW w:w="10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September 1, 2020</w:t>
            </w: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Arial" w:cs="Arial" w:eastAsia="Arial" w:hAnsi="Arial"/>
                <w:sz w:val="14"/>
                <w:szCs w:val="14"/>
                <w:color w:val="auto"/>
              </w:rPr>
              <w:t>March 29, 2011</w:t>
            </w:r>
          </w:p>
        </w:tc>
        <w:tc>
          <w:tcPr>
            <w:tcW w:w="100" w:type="dxa"/>
            <w:vAlign w:val="bottom"/>
          </w:tcPr>
          <w:p>
            <w:pPr>
              <w:spacing w:after="0"/>
              <w:rPr>
                <w:sz w:val="23"/>
                <w:szCs w:val="23"/>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March 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44,500,000</w:t>
            </w:r>
          </w:p>
        </w:tc>
        <w:tc>
          <w:tcPr>
            <w:tcW w:w="1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40" w:type="dxa"/>
            <w:vAlign w:val="bottom"/>
          </w:tcPr>
          <w:p>
            <w:pPr>
              <w:ind w:left="20"/>
              <w:spacing w:after="0"/>
              <w:rPr>
                <w:sz w:val="20"/>
                <w:szCs w:val="20"/>
                <w:color w:val="auto"/>
              </w:rPr>
            </w:pPr>
            <w:r>
              <w:rPr>
                <w:rFonts w:ascii="Arial" w:cs="Arial" w:eastAsia="Arial" w:hAnsi="Arial"/>
                <w:sz w:val="14"/>
                <w:szCs w:val="14"/>
                <w:color w:val="auto"/>
              </w:rPr>
              <w:t>September 21, 2011</w:t>
            </w:r>
          </w:p>
        </w:tc>
        <w:tc>
          <w:tcPr>
            <w:tcW w:w="10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September 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105,000,000</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76"/>
        </w:trPr>
        <w:tc>
          <w:tcPr>
            <w:tcW w:w="1940" w:type="dxa"/>
            <w:vAlign w:val="bottom"/>
          </w:tcPr>
          <w:p>
            <w:pPr>
              <w:ind w:left="20"/>
              <w:spacing w:after="0"/>
              <w:rPr>
                <w:sz w:val="20"/>
                <w:szCs w:val="20"/>
                <w:color w:val="auto"/>
              </w:rPr>
            </w:pPr>
            <w:r>
              <w:rPr>
                <w:rFonts w:ascii="Arial" w:cs="Arial" w:eastAsia="Arial" w:hAnsi="Arial"/>
                <w:sz w:val="14"/>
                <w:szCs w:val="14"/>
                <w:b w:val="1"/>
                <w:bCs w:val="1"/>
                <w:color w:val="auto"/>
              </w:rPr>
              <w:t>Interim SBA Debentures</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14,000,000</w:t>
            </w:r>
          </w:p>
        </w:tc>
        <w:tc>
          <w:tcPr>
            <w:tcW w:w="0" w:type="dxa"/>
            <w:vAlign w:val="bottom"/>
          </w:tcPr>
          <w:p>
            <w:pPr>
              <w:spacing w:after="0"/>
              <w:rPr>
                <w:sz w:val="1"/>
                <w:szCs w:val="1"/>
                <w:color w:val="auto"/>
              </w:rPr>
            </w:pPr>
          </w:p>
        </w:tc>
      </w:tr>
      <w:tr>
        <w:trPr>
          <w:trHeight w:val="251"/>
        </w:trPr>
        <w:tc>
          <w:tcPr>
            <w:tcW w:w="1940" w:type="dxa"/>
            <w:vAlign w:val="bottom"/>
          </w:tcPr>
          <w:p>
            <w:pPr>
              <w:ind w:left="20"/>
              <w:spacing w:after="0"/>
              <w:rPr>
                <w:sz w:val="20"/>
                <w:szCs w:val="20"/>
                <w:color w:val="auto"/>
              </w:rPr>
            </w:pPr>
            <w:r>
              <w:rPr>
                <w:rFonts w:ascii="Arial" w:cs="Arial" w:eastAsia="Arial" w:hAnsi="Arial"/>
                <w:sz w:val="14"/>
                <w:szCs w:val="14"/>
                <w:b w:val="1"/>
                <w:bCs w:val="1"/>
                <w:color w:val="auto"/>
              </w:rPr>
              <w:t>Total SBA Debentures</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14,500,000</w:t>
            </w:r>
          </w:p>
        </w:tc>
        <w:tc>
          <w:tcPr>
            <w:tcW w:w="0" w:type="dxa"/>
            <w:vAlign w:val="bottom"/>
          </w:tcPr>
          <w:p>
            <w:pPr>
              <w:spacing w:after="0"/>
              <w:rPr>
                <w:sz w:val="1"/>
                <w:szCs w:val="1"/>
                <w:color w:val="auto"/>
              </w:rPr>
            </w:pPr>
          </w:p>
        </w:tc>
      </w:tr>
      <w:tr>
        <w:trPr>
          <w:trHeight w:val="257"/>
        </w:trPr>
        <w:tc>
          <w:tcPr>
            <w:tcW w:w="1940" w:type="dxa"/>
            <w:vAlign w:val="bottom"/>
          </w:tcPr>
          <w:p>
            <w:pPr>
              <w:ind w:left="20"/>
              <w:spacing w:after="0"/>
              <w:rPr>
                <w:sz w:val="20"/>
                <w:szCs w:val="20"/>
                <w:color w:val="auto"/>
              </w:rPr>
            </w:pPr>
            <w:r>
              <w:rPr>
                <w:rFonts w:ascii="Arial" w:cs="Arial" w:eastAsia="Arial" w:hAnsi="Arial"/>
                <w:sz w:val="14"/>
                <w:szCs w:val="14"/>
                <w:color w:val="auto"/>
              </w:rPr>
              <w:t>SBA Commitment</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33,500,000</w:t>
            </w:r>
          </w:p>
        </w:tc>
        <w:tc>
          <w:tcPr>
            <w:tcW w:w="0" w:type="dxa"/>
            <w:vAlign w:val="bottom"/>
          </w:tcPr>
          <w:p>
            <w:pPr>
              <w:spacing w:after="0"/>
              <w:rPr>
                <w:sz w:val="1"/>
                <w:szCs w:val="1"/>
                <w:color w:val="auto"/>
              </w:rPr>
            </w:pPr>
          </w:p>
        </w:tc>
      </w:tr>
      <w:tr>
        <w:trPr>
          <w:trHeight w:val="270"/>
        </w:trPr>
        <w:tc>
          <w:tcPr>
            <w:tcW w:w="3660" w:type="dxa"/>
            <w:vAlign w:val="bottom"/>
            <w:gridSpan w:val="4"/>
          </w:tcPr>
          <w:p>
            <w:pPr>
              <w:ind w:left="20"/>
              <w:spacing w:after="0"/>
              <w:rPr>
                <w:sz w:val="20"/>
                <w:szCs w:val="20"/>
                <w:color w:val="auto"/>
              </w:rPr>
            </w:pPr>
            <w:r>
              <w:rPr>
                <w:rFonts w:ascii="Arial" w:cs="Arial" w:eastAsia="Arial" w:hAnsi="Arial"/>
                <w:sz w:val="14"/>
                <w:szCs w:val="14"/>
                <w:color w:val="auto"/>
              </w:rPr>
              <w:t>Available Undrawn SBA Commitment</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19,000,000</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 Excludes 3.43% of upfront fees.</w:t>
      </w:r>
    </w:p>
    <w:p>
      <w:pPr>
        <w:spacing w:after="0" w:line="163"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As of September 30, 2011, SBIC LP is in compliance with its regulatory requirements.</w:t>
      </w:r>
    </w:p>
    <w:p>
      <w:pPr>
        <w:spacing w:after="0" w:line="134" w:lineRule="exact"/>
        <w:rPr>
          <w:sz w:val="20"/>
          <w:szCs w:val="20"/>
          <w:color w:val="auto"/>
        </w:rPr>
      </w:pPr>
    </w:p>
    <w:p>
      <w:pPr>
        <w:ind w:right="560" w:firstLine="432"/>
        <w:spacing w:after="0" w:line="257" w:lineRule="auto"/>
        <w:rPr>
          <w:sz w:val="20"/>
          <w:szCs w:val="20"/>
          <w:color w:val="auto"/>
        </w:rPr>
      </w:pPr>
      <w:r>
        <w:rPr>
          <w:rFonts w:ascii="Arial" w:cs="Arial" w:eastAsia="Arial" w:hAnsi="Arial"/>
          <w:sz w:val="14"/>
          <w:szCs w:val="14"/>
          <w:color w:val="auto"/>
        </w:rPr>
        <w:t>On June 1, 2011, we received exemptive relief from the SEC allowing us to modify the asset coverage ratio requirement to exclude the SBA debentures from our asset coverage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31" w:lineRule="exact"/>
        <w:rPr>
          <w:sz w:val="20"/>
          <w:szCs w:val="20"/>
          <w:color w:val="auto"/>
        </w:rPr>
      </w:pPr>
    </w:p>
    <w:p>
      <w:pPr>
        <w:ind w:right="400" w:firstLine="432"/>
        <w:spacing w:after="0" w:line="286" w:lineRule="auto"/>
        <w:rPr>
          <w:sz w:val="20"/>
          <w:szCs w:val="20"/>
          <w:color w:val="auto"/>
        </w:rPr>
      </w:pPr>
      <w:r>
        <w:rPr>
          <w:rFonts w:ascii="Arial" w:cs="Arial" w:eastAsia="Arial" w:hAnsi="Arial"/>
          <w:sz w:val="13"/>
          <w:szCs w:val="13"/>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At September 30, 2011, we had approximately $49 million of assets bearing a coupon of 9% or lower. We will look to rotate these assets into new higher yielding investments over time.</w:t>
      </w:r>
    </w:p>
    <w:p>
      <w:pPr>
        <w:spacing w:after="0" w:line="17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4"/>
          <w:szCs w:val="14"/>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3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Our operating activities used cash of $127.1 million for the fiscal year ended September 30, 2010, and our financing activities provided net cash proceeds of $95.6 million for the same period, primarily from proceeds from a follow-on public offerings of common stock. Our operating activities used cash primarily for investing, that was provided from proceeds from secondary public offerings and draws under our Credit Facility.</w:t>
      </w:r>
    </w:p>
    <w:p>
      <w:pPr>
        <w:spacing w:after="0" w:line="1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4"/>
          <w:szCs w:val="14"/>
          <w:color w:val="auto"/>
        </w:rPr>
        <w:t>Our operating activities used cash of $42.4 million for the fiscal year ended September 30, 2009, and our financing activities provided cash proceeds of $35.4 million for the same period, primarily from borrowings under our Credit Facility. Our operating activities used cash primarily for investing that was provided from proceeds from our Credit Facility.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summary of our significant contractual payment obligations including borrowings under our Credit Facility and other contractual obligations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28"/>
              <w:spacing w:after="0"/>
              <w:rPr>
                <w:sz w:val="20"/>
                <w:szCs w:val="20"/>
                <w:color w:val="auto"/>
              </w:rPr>
            </w:pPr>
            <w:r>
              <w:rPr>
                <w:rFonts w:ascii="Arial" w:cs="Arial" w:eastAsia="Arial" w:hAnsi="Arial"/>
                <w:sz w:val="14"/>
                <w:szCs w:val="14"/>
                <w:b w:val="1"/>
                <w:bCs w:val="1"/>
                <w:color w:val="auto"/>
                <w:w w:val="92"/>
              </w:rPr>
              <w:t>Payments due by period (in millions)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3"/>
                <w:szCs w:val="13"/>
                <w:color w:val="auto"/>
              </w:rPr>
            </w:pPr>
          </w:p>
        </w:tc>
        <w:tc>
          <w:tcPr>
            <w:tcW w:w="94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8"/>
              </w:rPr>
              <w:t>1-3</w:t>
            </w:r>
          </w:p>
        </w:tc>
        <w:tc>
          <w:tcPr>
            <w:tcW w:w="100" w:type="dxa"/>
            <w:vAlign w:val="bottom"/>
          </w:tcPr>
          <w:p>
            <w:pPr>
              <w:spacing w:after="0"/>
              <w:rPr>
                <w:sz w:val="13"/>
                <w:szCs w:val="13"/>
                <w:color w:val="auto"/>
              </w:rPr>
            </w:pPr>
          </w:p>
        </w:tc>
        <w:tc>
          <w:tcPr>
            <w:tcW w:w="8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secured revolving Credit Facility</w:t>
            </w:r>
            <w:r>
              <w:rPr>
                <w:rFonts w:ascii="Arial" w:cs="Arial" w:eastAsia="Arial" w:hAnsi="Arial"/>
                <w:sz w:val="8"/>
                <w:szCs w:val="8"/>
                <w:color w:val="auto"/>
              </w:rPr>
              <w:t>(1)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SBA debentures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Subtotal debt outstanding</w:t>
            </w:r>
            <w:r>
              <w:rPr>
                <w:rFonts w:ascii="Arial" w:cs="Arial" w:eastAsia="Arial" w:hAnsi="Arial"/>
                <w:sz w:val="8"/>
                <w:szCs w:val="8"/>
                <w:color w:val="auto"/>
              </w:rPr>
              <w:t>(2)</w:t>
            </w:r>
          </w:p>
        </w:tc>
        <w:tc>
          <w:tcPr>
            <w:tcW w:w="28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4"/>
                <w:szCs w:val="24"/>
                <w:color w:val="auto"/>
              </w:rPr>
            </w:pPr>
          </w:p>
        </w:tc>
        <w:tc>
          <w:tcPr>
            <w:tcW w:w="4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7"/>
        </w:trPr>
        <w:tc>
          <w:tcPr>
            <w:tcW w:w="4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4580" w:type="dxa"/>
            <w:vAlign w:val="bottom"/>
          </w:tcPr>
          <w:p>
            <w:pPr>
              <w:ind w:left="40"/>
              <w:spacing w:after="0"/>
              <w:rPr>
                <w:sz w:val="20"/>
                <w:szCs w:val="20"/>
                <w:color w:val="auto"/>
              </w:rPr>
            </w:pPr>
            <w:r>
              <w:rPr>
                <w:rFonts w:ascii="Arial" w:cs="Arial" w:eastAsia="Arial" w:hAnsi="Arial"/>
                <w:sz w:val="14"/>
                <w:szCs w:val="14"/>
                <w:color w:val="auto"/>
              </w:rPr>
              <w:t>Unfunded investments</w:t>
            </w:r>
            <w:r>
              <w:rPr>
                <w:rFonts w:ascii="Arial" w:cs="Arial" w:eastAsia="Arial" w:hAnsi="Arial"/>
                <w:sz w:val="8"/>
                <w:szCs w:val="8"/>
                <w:color w:val="auto"/>
              </w:rPr>
              <w:t>(3)</w:t>
            </w:r>
          </w:p>
        </w:tc>
        <w:tc>
          <w:tcPr>
            <w:tcW w:w="280" w:type="dxa"/>
            <w:vAlign w:val="bottom"/>
          </w:tcPr>
          <w:p>
            <w:pPr>
              <w:spacing w:after="0"/>
              <w:rPr>
                <w:sz w:val="24"/>
                <w:szCs w:val="2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4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contractual obligations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428.0</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259.4</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60"/>
        </w:trPr>
        <w:tc>
          <w:tcPr>
            <w:tcW w:w="45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4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September 30, 2011, we had $74.1 million of unused borrowing capacity under our Credit Facility, subject to various restrictions and covenants.</w:t>
      </w:r>
    </w:p>
    <w:p>
      <w:pPr>
        <w:spacing w:after="0" w:line="55" w:lineRule="exact"/>
        <w:rPr>
          <w:rFonts w:ascii="Arial" w:cs="Arial" w:eastAsia="Arial" w:hAnsi="Arial"/>
          <w:sz w:val="14"/>
          <w:szCs w:val="14"/>
          <w:color w:val="auto"/>
        </w:rPr>
      </w:pPr>
    </w:p>
    <w:p>
      <w:pPr>
        <w:ind w:left="340" w:right="360" w:hanging="332"/>
        <w:spacing w:after="0" w:line="27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weighted average interest rate on the total debt outstanding as of September 30, 2011 was 2.20% exclusive of the fee on undrawn commitment of 0.20% on the Credit Facility and 3.43% of upfront fees on the SBA debentures.</w:t>
      </w:r>
    </w:p>
    <w:p>
      <w:pPr>
        <w:spacing w:after="0" w:line="11" w:lineRule="exact"/>
        <w:rPr>
          <w:rFonts w:ascii="Arial" w:cs="Arial" w:eastAsia="Arial" w:hAnsi="Arial"/>
          <w:sz w:val="14"/>
          <w:szCs w:val="14"/>
          <w:color w:val="auto"/>
        </w:rPr>
      </w:pPr>
    </w:p>
    <w:p>
      <w:pPr>
        <w:ind w:left="340" w:right="160" w:hanging="332"/>
        <w:spacing w:after="0" w:line="27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Unfunded debt investments described in the Consolidated Statement of Assets and Liabilities represent unfunded delayed draws on investments in first lien secured debt and subordinated debt investments.</w:t>
      </w:r>
    </w:p>
    <w:p>
      <w:pPr>
        <w:spacing w:after="0" w:line="12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effect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2"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Under our Administration Agreement, which was renewed in February 2011, the Administrator furnishes us with office facilities and administrative services necessary to conduct our day-to-day operations. PennantPark Investment, through the Administrator, provides similar services to SBIC LP under its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Distributions</w:t>
      </w:r>
    </w:p>
    <w:p>
      <w:pPr>
        <w:spacing w:after="0" w:line="163"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 ended September 30, 2011 and 2010, we have elected to retain a portion of our calendar year income and record an excise tax of $0.2 million and $0.1 million, respectively.</w:t>
      </w:r>
    </w:p>
    <w:p>
      <w:pPr>
        <w:spacing w:after="0" w:line="127"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3"/>
          <w:szCs w:val="13"/>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distribute quarterly dividends to our stockholders. Our quarterly dividends, if any, are determined by our board of directors.</w:t>
      </w:r>
    </w:p>
    <w:p>
      <w:pPr>
        <w:spacing w:after="0" w:line="163" w:lineRule="exact"/>
        <w:rPr>
          <w:sz w:val="20"/>
          <w:szCs w:val="20"/>
          <w:color w:val="auto"/>
        </w:rPr>
      </w:pPr>
    </w:p>
    <w:p>
      <w:pPr>
        <w:ind w:right="580" w:firstLine="432"/>
        <w:spacing w:after="0" w:line="27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0" w:lineRule="exact"/>
        <w:rPr>
          <w:sz w:val="20"/>
          <w:szCs w:val="20"/>
          <w:color w:val="auto"/>
        </w:rPr>
      </w:pPr>
    </w:p>
    <w:p>
      <w:pPr>
        <w:ind w:right="180" w:firstLine="432"/>
        <w:spacing w:after="0" w:line="269" w:lineRule="auto"/>
        <w:rPr>
          <w:sz w:val="20"/>
          <w:szCs w:val="20"/>
          <w:color w:val="auto"/>
        </w:rPr>
      </w:pPr>
      <w:r>
        <w:rPr>
          <w:rFonts w:ascii="Arial" w:cs="Arial" w:eastAsia="Arial" w:hAnsi="Arial"/>
          <w:sz w:val="13"/>
          <w:szCs w:val="13"/>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w:t>
      </w:r>
    </w:p>
    <w:p>
      <w:pPr>
        <w:spacing w:after="0" w:line="1" w:lineRule="exact"/>
        <w:rPr>
          <w:sz w:val="20"/>
          <w:szCs w:val="20"/>
          <w:color w:val="auto"/>
        </w:rPr>
      </w:pPr>
    </w:p>
    <w:p>
      <w:pPr>
        <w:ind w:right="200" w:firstLine="8"/>
        <w:spacing w:after="0" w:line="271" w:lineRule="auto"/>
        <w:tabs>
          <w:tab w:leader="none" w:pos="204"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23"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6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2001,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20"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Assuming that the balance sheet as of September 30, 2011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2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would reduce our net investment income. As a result, there can be no assurance that a significant change in market interest rates will not have a material adverse effect on our net investment income.</w:t>
      </w:r>
    </w:p>
    <w:p>
      <w:pPr>
        <w:spacing w:after="0" w:line="13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12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2"/>
        </w:trPr>
        <w:tc>
          <w:tcPr>
            <w:tcW w:w="1080" w:type="dxa"/>
            <w:vAlign w:val="bottom"/>
          </w:tcPr>
          <w:p>
            <w:pPr>
              <w:spacing w:after="0"/>
              <w:rPr>
                <w:rFonts w:ascii="Arial" w:cs="Arial" w:eastAsia="Arial" w:hAnsi="Arial"/>
                <w:sz w:val="14"/>
                <w:szCs w:val="14"/>
                <w:u w:val="single" w:color="auto"/>
                <w:color w:val="0000FF"/>
                <w:w w:val="95"/>
              </w:rPr>
            </w:pPr>
            <w:hyperlink w:anchor="page1">
              <w:r>
                <w:rPr>
                  <w:rFonts w:ascii="Arial" w:cs="Arial" w:eastAsia="Arial" w:hAnsi="Arial"/>
                  <w:sz w:val="14"/>
                  <w:szCs w:val="14"/>
                  <w:u w:val="single" w:color="auto"/>
                  <w:color w:val="0000FF"/>
                  <w:w w:val="95"/>
                </w:rPr>
                <w:t>Table of Contents</w:t>
              </w:r>
            </w:hyperlink>
          </w:p>
        </w:tc>
        <w:tc>
          <w:tcPr>
            <w:tcW w:w="756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560" w:type="dxa"/>
            <w:vAlign w:val="bottom"/>
          </w:tcPr>
          <w:p>
            <w:pPr>
              <w:jc w:val="right"/>
              <w:ind w:right="3708"/>
              <w:spacing w:after="0"/>
              <w:rPr>
                <w:sz w:val="20"/>
                <w:szCs w:val="20"/>
                <w:color w:val="auto"/>
              </w:rPr>
            </w:pPr>
            <w:r>
              <w:rPr>
                <w:rFonts w:ascii="Arial" w:cs="Arial" w:eastAsia="Arial" w:hAnsi="Arial"/>
                <w:sz w:val="14"/>
                <w:szCs w:val="14"/>
                <w:b w:val="1"/>
                <w:bCs w:val="1"/>
                <w:color w:val="auto"/>
                <w:w w:val="93"/>
              </w:rPr>
              <w:t>Consolidated Financial Statements and Supplementary Data</w:t>
            </w:r>
          </w:p>
        </w:tc>
        <w:tc>
          <w:tcPr>
            <w:tcW w:w="2580" w:type="dxa"/>
            <w:vAlign w:val="bottom"/>
          </w:tcPr>
          <w:p>
            <w:pPr>
              <w:spacing w:after="0"/>
              <w:rPr>
                <w:sz w:val="24"/>
                <w:szCs w:val="24"/>
                <w:color w:val="auto"/>
              </w:rPr>
            </w:pPr>
          </w:p>
        </w:tc>
      </w:tr>
      <w:tr>
        <w:trPr>
          <w:trHeight w:val="608"/>
        </w:trPr>
        <w:tc>
          <w:tcPr>
            <w:tcW w:w="8640" w:type="dxa"/>
            <w:vAlign w:val="bottom"/>
            <w:gridSpan w:val="2"/>
          </w:tcPr>
          <w:p>
            <w:pPr>
              <w:ind w:left="4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Management’s Report on Internal Control over Financial Reporting</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Report of Independent Registered Public Accounting Firm</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Report of Independent Registered Public Accounting Firm On Internal Control Over Financial Reporting</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65</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Consolidated Statements of Assets and Liabilities as of September 30, 2011 and 2010</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66</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Consolidated Statements of Operations for the years ended September 30, 2011, 2010 and 2009</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67</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Consolidated Statements of Changes in Net Assets for the years ended September 30, 2011, 2010 and 2009</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68</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8">
              <w:r>
                <w:rPr>
                  <w:rFonts w:ascii="Arial" w:cs="Arial" w:eastAsia="Arial" w:hAnsi="Arial"/>
                  <w:sz w:val="14"/>
                  <w:szCs w:val="14"/>
                  <w:u w:val="single" w:color="auto"/>
                  <w:color w:val="0000FF"/>
                </w:rPr>
                <w:t>Consolidated Statements of Cash Flows for the years ended September 30, 2011, 2010 and 2009</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8">
              <w:r>
                <w:rPr>
                  <w:rFonts w:ascii="Arial" w:cs="Arial" w:eastAsia="Arial" w:hAnsi="Arial"/>
                  <w:sz w:val="14"/>
                  <w:szCs w:val="14"/>
                  <w:u w:val="single" w:color="auto"/>
                  <w:color w:val="0000FF"/>
                </w:rPr>
                <w:t>69</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Consolidated Schedules of Investments as of September 30, 2011 and 2010</w:t>
              </w:r>
            </w:hyperlink>
          </w:p>
        </w:tc>
        <w:tc>
          <w:tcPr>
            <w:tcW w:w="2580" w:type="dxa"/>
            <w:vAlign w:val="bottom"/>
          </w:tcPr>
          <w:p>
            <w:pPr>
              <w:jc w:val="right"/>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70</w:t>
              </w:r>
            </w:hyperlink>
          </w:p>
        </w:tc>
      </w:tr>
      <w:tr>
        <w:trPr>
          <w:trHeight w:val="324"/>
        </w:trPr>
        <w:tc>
          <w:tcPr>
            <w:tcW w:w="8640" w:type="dxa"/>
            <w:vAlign w:val="bottom"/>
            <w:gridSpan w:val="2"/>
          </w:tcPr>
          <w:p>
            <w:pPr>
              <w:ind w:left="4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Notes to the Consolidated Financial Statements</w:t>
              </w:r>
            </w:hyperlink>
          </w:p>
        </w:tc>
        <w:tc>
          <w:tcPr>
            <w:tcW w:w="2580" w:type="dxa"/>
            <w:vAlign w:val="bottom"/>
          </w:tcPr>
          <w:p>
            <w:pPr>
              <w:jc w:val="right"/>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83</w:t>
              </w:r>
            </w:hyperlink>
          </w:p>
        </w:tc>
      </w:tr>
      <w:tr>
        <w:trPr>
          <w:trHeight w:val="418"/>
        </w:trPr>
        <w:tc>
          <w:tcPr>
            <w:tcW w:w="1080" w:type="dxa"/>
            <w:vAlign w:val="bottom"/>
          </w:tcPr>
          <w:p>
            <w:pPr>
              <w:spacing w:after="0"/>
              <w:rPr>
                <w:sz w:val="24"/>
                <w:szCs w:val="24"/>
                <w:color w:val="auto"/>
              </w:rPr>
            </w:pPr>
          </w:p>
        </w:tc>
        <w:tc>
          <w:tcPr>
            <w:tcW w:w="7560" w:type="dxa"/>
            <w:vAlign w:val="bottom"/>
          </w:tcPr>
          <w:p>
            <w:pPr>
              <w:jc w:val="right"/>
              <w:ind w:right="2868"/>
              <w:spacing w:after="0"/>
              <w:rPr>
                <w:sz w:val="20"/>
                <w:szCs w:val="20"/>
                <w:color w:val="auto"/>
              </w:rPr>
            </w:pPr>
            <w:r>
              <w:rPr>
                <w:rFonts w:ascii="Arial" w:cs="Arial" w:eastAsia="Arial" w:hAnsi="Arial"/>
                <w:sz w:val="14"/>
                <w:szCs w:val="14"/>
                <w:color w:val="auto"/>
              </w:rPr>
              <w:t>62</w:t>
            </w:r>
          </w:p>
        </w:tc>
        <w:tc>
          <w:tcPr>
            <w:tcW w:w="2580" w:type="dxa"/>
            <w:vAlign w:val="bottom"/>
          </w:tcPr>
          <w:p>
            <w:pPr>
              <w:spacing w:after="0"/>
              <w:rPr>
                <w:sz w:val="24"/>
                <w:szCs w:val="24"/>
                <w:color w:val="auto"/>
              </w:rPr>
            </w:pPr>
          </w:p>
        </w:tc>
      </w:tr>
    </w:tbl>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67" w:lineRule="exact"/>
        <w:rPr>
          <w:sz w:val="20"/>
          <w:szCs w:val="20"/>
          <w:color w:val="auto"/>
        </w:rPr>
      </w:pPr>
    </w:p>
    <w:p>
      <w:pPr>
        <w:ind w:right="40" w:firstLine="432"/>
        <w:spacing w:after="0" w:line="286" w:lineRule="auto"/>
        <w:rPr>
          <w:sz w:val="20"/>
          <w:szCs w:val="20"/>
          <w:color w:val="auto"/>
        </w:rPr>
      </w:pPr>
      <w:r>
        <w:rPr>
          <w:rFonts w:ascii="Arial" w:cs="Arial" w:eastAsia="Arial" w:hAnsi="Arial"/>
          <w:sz w:val="13"/>
          <w:szCs w:val="13"/>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4" w:lineRule="exact"/>
        <w:rPr>
          <w:sz w:val="20"/>
          <w:szCs w:val="20"/>
          <w:color w:val="auto"/>
        </w:rPr>
      </w:pPr>
    </w:p>
    <w:p>
      <w:pPr>
        <w:ind w:right="40" w:firstLine="432"/>
        <w:spacing w:after="0" w:line="277"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20" w:lineRule="exact"/>
        <w:rPr>
          <w:sz w:val="20"/>
          <w:szCs w:val="20"/>
          <w:color w:val="auto"/>
        </w:rPr>
      </w:pPr>
    </w:p>
    <w:p>
      <w:pPr>
        <w:ind w:right="20" w:firstLine="432"/>
        <w:spacing w:after="0" w:line="257"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2011, our internal control over financial reporting is effective based on those criteria.</w:t>
      </w:r>
    </w:p>
    <w:p>
      <w:pPr>
        <w:spacing w:after="0" w:line="13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4"/>
          <w:szCs w:val="14"/>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65.</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180"/>
          </w:cols>
          <w:pgMar w:left="320" w:top="122" w:right="39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70" w:lineRule="exact"/>
        <w:rPr>
          <w:sz w:val="20"/>
          <w:szCs w:val="20"/>
          <w:color w:val="auto"/>
        </w:rPr>
      </w:pPr>
    </w:p>
    <w:p>
      <w:pPr>
        <w:ind w:right="500" w:firstLine="432"/>
        <w:spacing w:after="0" w:line="252"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34"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3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November 16, 2011</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70" w:lineRule="exact"/>
        <w:rPr>
          <w:sz w:val="20"/>
          <w:szCs w:val="20"/>
          <w:color w:val="auto"/>
        </w:rPr>
      </w:pPr>
    </w:p>
    <w:p>
      <w:pPr>
        <w:ind w:right="240" w:firstLine="432"/>
        <w:spacing w:after="0" w:line="249" w:lineRule="auto"/>
        <w:rPr>
          <w:sz w:val="20"/>
          <w:szCs w:val="20"/>
          <w:color w:val="auto"/>
        </w:rPr>
      </w:pPr>
      <w:r>
        <w:rPr>
          <w:rFonts w:ascii="Arial" w:cs="Arial" w:eastAsia="Arial" w:hAnsi="Arial"/>
          <w:sz w:val="14"/>
          <w:szCs w:val="14"/>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37"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0"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120" w:firstLine="432"/>
        <w:spacing w:after="0" w:line="31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2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November 16, 2011</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980" w:type="dxa"/>
            <w:vAlign w:val="bottom"/>
          </w:tcPr>
          <w:p>
            <w:pPr>
              <w:ind w:left="40"/>
              <w:spacing w:after="0"/>
              <w:rPr>
                <w:sz w:val="20"/>
                <w:szCs w:val="20"/>
                <w:color w:val="auto"/>
              </w:rPr>
            </w:pPr>
            <w:r>
              <w:rPr>
                <w:rFonts w:ascii="Arial" w:cs="Arial" w:eastAsia="Arial" w:hAnsi="Arial"/>
                <w:sz w:val="14"/>
                <w:szCs w:val="14"/>
                <w:color w:val="auto"/>
              </w:rPr>
              <w:t>Investments at fair value</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Non-controlled, non-affiliated investments, at fair value (cost—$816,078,311 and $631,280,755, respectively)</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773,375,381</w:t>
            </w:r>
          </w:p>
        </w:tc>
        <w:tc>
          <w:tcPr>
            <w:tcW w:w="10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641,290,626</w:t>
            </w:r>
          </w:p>
        </w:tc>
        <w:tc>
          <w:tcPr>
            <w:tcW w:w="0" w:type="dxa"/>
            <w:vAlign w:val="bottom"/>
          </w:tcPr>
          <w:p>
            <w:pPr>
              <w:spacing w:after="0"/>
              <w:rPr>
                <w:sz w:val="1"/>
                <w:szCs w:val="1"/>
                <w:color w:val="auto"/>
              </w:rPr>
            </w:pPr>
          </w:p>
        </w:tc>
      </w:tr>
      <w:tr>
        <w:trPr>
          <w:trHeight w:val="80"/>
        </w:trPr>
        <w:tc>
          <w:tcPr>
            <w:tcW w:w="7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980" w:type="dxa"/>
            <w:vAlign w:val="bottom"/>
          </w:tcPr>
          <w:p>
            <w:pPr>
              <w:ind w:left="380"/>
              <w:spacing w:after="0"/>
              <w:rPr>
                <w:sz w:val="20"/>
                <w:szCs w:val="20"/>
                <w:color w:val="auto"/>
              </w:rPr>
            </w:pPr>
            <w:r>
              <w:rPr>
                <w:rFonts w:ascii="Arial" w:cs="Arial" w:eastAsia="Arial" w:hAnsi="Arial"/>
                <w:sz w:val="14"/>
                <w:szCs w:val="14"/>
                <w:color w:val="auto"/>
              </w:rPr>
              <w:t>Non-controlled, affiliated investments, at fair value (cost—$36,744,425 and $17,427,648, respectively)</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40,673,133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15,433,680</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Controlled, affiliated investments, at fair value (cost—$13,500,100 and $8,000,100, respectively)</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13,500,001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8,000,100</w:t>
            </w:r>
          </w:p>
        </w:tc>
        <w:tc>
          <w:tcPr>
            <w:tcW w:w="0" w:type="dxa"/>
            <w:vAlign w:val="bottom"/>
          </w:tcPr>
          <w:p>
            <w:pPr>
              <w:spacing w:after="0"/>
              <w:rPr>
                <w:sz w:val="1"/>
                <w:szCs w:val="1"/>
                <w:color w:val="auto"/>
              </w:rPr>
            </w:pPr>
          </w:p>
        </w:tc>
      </w:tr>
      <w:tr>
        <w:trPr>
          <w:trHeight w:val="80"/>
        </w:trPr>
        <w:tc>
          <w:tcPr>
            <w:tcW w:w="79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980" w:type="dxa"/>
            <w:vAlign w:val="bottom"/>
          </w:tcPr>
          <w:p>
            <w:pPr>
              <w:ind w:left="380"/>
              <w:spacing w:after="0"/>
              <w:rPr>
                <w:sz w:val="20"/>
                <w:szCs w:val="20"/>
                <w:color w:val="auto"/>
              </w:rPr>
            </w:pPr>
            <w:r>
              <w:rPr>
                <w:rFonts w:ascii="Arial" w:cs="Arial" w:eastAsia="Arial" w:hAnsi="Arial"/>
                <w:sz w:val="14"/>
                <w:szCs w:val="14"/>
                <w:color w:val="auto"/>
              </w:rPr>
              <w:t>Total of Investments, at fair value (cost – $866,322,836 and $656,708,503, respectively)</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827,548,515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664,724,406</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equivalents (See Note 9)</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71,604,519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1,814,451</w:t>
            </w:r>
          </w:p>
        </w:tc>
        <w:tc>
          <w:tcPr>
            <w:tcW w:w="0" w:type="dxa"/>
            <w:vAlign w:val="bottom"/>
          </w:tcPr>
          <w:p>
            <w:pPr>
              <w:spacing w:after="0"/>
              <w:rPr>
                <w:sz w:val="1"/>
                <w:szCs w:val="1"/>
                <w:color w:val="auto"/>
              </w:rPr>
            </w:pPr>
          </w:p>
        </w:tc>
      </w:tr>
      <w:tr>
        <w:trPr>
          <w:trHeight w:val="80"/>
        </w:trPr>
        <w:tc>
          <w:tcPr>
            <w:tcW w:w="79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980" w:type="dxa"/>
            <w:vAlign w:val="bottom"/>
          </w:tcPr>
          <w:p>
            <w:pPr>
              <w:ind w:left="40"/>
              <w:spacing w:after="0"/>
              <w:rPr>
                <w:sz w:val="20"/>
                <w:szCs w:val="20"/>
                <w:color w:val="auto"/>
              </w:rPr>
            </w:pPr>
            <w:r>
              <w:rPr>
                <w:rFonts w:ascii="Arial" w:cs="Arial" w:eastAsia="Arial" w:hAnsi="Arial"/>
                <w:sz w:val="14"/>
                <w:szCs w:val="14"/>
                <w:color w:val="auto"/>
              </w:rPr>
              <w:t>Interest receivable</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10,878,236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12,814,096</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 for investments sold</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13,118,967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30,254,774</w:t>
            </w:r>
          </w:p>
        </w:tc>
        <w:tc>
          <w:tcPr>
            <w:tcW w:w="0" w:type="dxa"/>
            <w:vAlign w:val="bottom"/>
          </w:tcPr>
          <w:p>
            <w:pPr>
              <w:spacing w:after="0"/>
              <w:rPr>
                <w:sz w:val="1"/>
                <w:szCs w:val="1"/>
                <w:color w:val="auto"/>
              </w:rPr>
            </w:pPr>
          </w:p>
        </w:tc>
      </w:tr>
      <w:tr>
        <w:trPr>
          <w:trHeight w:val="80"/>
        </w:trPr>
        <w:tc>
          <w:tcPr>
            <w:tcW w:w="79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98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5,587,977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1,886,119</w:t>
            </w:r>
          </w:p>
        </w:tc>
        <w:tc>
          <w:tcPr>
            <w:tcW w:w="0" w:type="dxa"/>
            <w:vAlign w:val="bottom"/>
          </w:tcPr>
          <w:p>
            <w:pPr>
              <w:spacing w:after="0"/>
              <w:rPr>
                <w:sz w:val="1"/>
                <w:szCs w:val="1"/>
                <w:color w:val="auto"/>
              </w:rPr>
            </w:pPr>
          </w:p>
        </w:tc>
      </w:tr>
      <w:tr>
        <w:trPr>
          <w:trHeight w:val="73"/>
        </w:trPr>
        <w:tc>
          <w:tcPr>
            <w:tcW w:w="79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8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928,738,214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711,493,846</w:t>
            </w:r>
          </w:p>
        </w:tc>
        <w:tc>
          <w:tcPr>
            <w:tcW w:w="0" w:type="dxa"/>
            <w:vAlign w:val="bottom"/>
          </w:tcPr>
          <w:p>
            <w:pPr>
              <w:spacing w:after="0"/>
              <w:rPr>
                <w:sz w:val="1"/>
                <w:szCs w:val="1"/>
                <w:color w:val="auto"/>
              </w:rPr>
            </w:pPr>
          </w:p>
        </w:tc>
      </w:tr>
      <w:tr>
        <w:trPr>
          <w:trHeight w:val="60"/>
        </w:trPr>
        <w:tc>
          <w:tcPr>
            <w:tcW w:w="79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-95885</wp:posOffset>
            </wp:positionV>
            <wp:extent cx="20656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Unfunded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Credit facility payable (cost—$240,900,000 and $233,100,000, respectively), (See Notes 5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2"/>
          <w:szCs w:val="12"/>
          <w:color w:val="auto"/>
        </w:rPr>
        <w:t>SBA debentures payable (cost—$150,000,000 and $14,500,000, respectively), (See Notes 5 and 11)</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payable on credit facility and SBA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Management fee payable (See Note 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Performance-based incentive fee payable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other expenses</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Assets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12,336,241</w:t>
            </w:r>
          </w:p>
        </w:tc>
        <w:tc>
          <w:tcPr>
            <w:tcW w:w="100" w:type="dxa"/>
            <w:vAlign w:val="bottom"/>
          </w:tcPr>
          <w:p>
            <w:pPr>
              <w:spacing w:after="0"/>
              <w:rPr>
                <w:sz w:val="15"/>
                <w:szCs w:val="15"/>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9,401,281</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18,572,499</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52,785,000</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37,132,151</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22,203,434</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238,792,125</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219,141,125</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14,500,000</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687,362</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215,135</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4,008,054</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3,286,816</w:t>
            </w:r>
          </w:p>
        </w:tc>
      </w:tr>
      <w:tr>
        <w:trPr>
          <w:trHeight w:val="270"/>
        </w:trPr>
        <w:tc>
          <w:tcPr>
            <w:tcW w:w="1600" w:type="dxa"/>
            <w:vAlign w:val="bottom"/>
          </w:tcPr>
          <w:p>
            <w:pPr>
              <w:jc w:val="right"/>
              <w:ind w:right="48"/>
              <w:spacing w:after="0"/>
              <w:rPr>
                <w:sz w:val="20"/>
                <w:szCs w:val="20"/>
                <w:color w:val="auto"/>
              </w:rPr>
            </w:pPr>
            <w:r>
              <w:rPr>
                <w:rFonts w:ascii="Arial" w:cs="Arial" w:eastAsia="Arial" w:hAnsi="Arial"/>
                <w:sz w:val="14"/>
                <w:szCs w:val="14"/>
                <w:color w:val="auto"/>
              </w:rPr>
              <w:t>3,773,829</w:t>
            </w:r>
          </w:p>
        </w:tc>
        <w:tc>
          <w:tcPr>
            <w:tcW w:w="10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2,239,011</w:t>
            </w:r>
          </w:p>
        </w:tc>
      </w:tr>
      <w:tr>
        <w:trPr>
          <w:trHeight w:val="276"/>
        </w:trPr>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778,757</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1,146,821</w:t>
            </w:r>
          </w:p>
        </w:tc>
      </w:tr>
      <w:tr>
        <w:trPr>
          <w:trHeight w:val="237"/>
        </w:trPr>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466,081,018</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324,918,623</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ectPr>
          <w:pgSz w:w="11900" w:h="16838" w:orient="portrait"/>
          <w:cols w:equalWidth="0" w:num="2">
            <w:col w:w="7260" w:space="720"/>
            <w:col w:w="326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980" w:type="dxa"/>
            <w:vAlign w:val="bottom"/>
          </w:tcPr>
          <w:p>
            <w:pPr>
              <w:ind w:left="40"/>
              <w:spacing w:after="0"/>
              <w:rPr>
                <w:sz w:val="20"/>
                <w:szCs w:val="20"/>
                <w:color w:val="auto"/>
              </w:rPr>
            </w:pPr>
            <w:r>
              <w:rPr>
                <w:rFonts w:ascii="Arial" w:cs="Arial" w:eastAsia="Arial" w:hAnsi="Arial"/>
                <w:sz w:val="14"/>
                <w:szCs w:val="14"/>
                <w:color w:val="auto"/>
              </w:rPr>
              <w:t>Common stock, 45,689,781 and 36,158,772 shares are issued and outstanding, respectively. Par value is $0.001 per share and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40"/>
              <w:spacing w:after="0"/>
              <w:rPr>
                <w:sz w:val="20"/>
                <w:szCs w:val="20"/>
                <w:color w:val="auto"/>
              </w:rPr>
            </w:pPr>
            <w:r>
              <w:rPr>
                <w:rFonts w:ascii="Arial" w:cs="Arial" w:eastAsia="Arial" w:hAnsi="Arial"/>
                <w:sz w:val="14"/>
                <w:szCs w:val="14"/>
                <w:color w:val="auto"/>
              </w:rPr>
              <w:t>100,000,000 shares are authorized.</w:t>
            </w:r>
          </w:p>
        </w:tc>
        <w:tc>
          <w:tcPr>
            <w:tcW w:w="4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45,690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36,159</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Paid-in capital in excess of par value</w:t>
            </w:r>
          </w:p>
        </w:tc>
        <w:tc>
          <w:tcPr>
            <w:tcW w:w="4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540,603,020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428,675,184</w:t>
            </w:r>
          </w:p>
        </w:tc>
        <w:tc>
          <w:tcPr>
            <w:tcW w:w="0" w:type="dxa"/>
            <w:vAlign w:val="bottom"/>
          </w:tcPr>
          <w:p>
            <w:pPr>
              <w:spacing w:after="0"/>
              <w:rPr>
                <w:sz w:val="1"/>
                <w:szCs w:val="1"/>
                <w:color w:val="auto"/>
              </w:rPr>
            </w:pPr>
          </w:p>
        </w:tc>
      </w:tr>
      <w:tr>
        <w:trPr>
          <w:trHeight w:val="79"/>
        </w:trPr>
        <w:tc>
          <w:tcPr>
            <w:tcW w:w="79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80" w:type="dxa"/>
            <w:vAlign w:val="bottom"/>
          </w:tcPr>
          <w:p>
            <w:pPr>
              <w:ind w:left="40"/>
              <w:spacing w:after="0"/>
              <w:rPr>
                <w:sz w:val="20"/>
                <w:szCs w:val="20"/>
                <w:color w:val="auto"/>
              </w:rPr>
            </w:pPr>
            <w:r>
              <w:rPr>
                <w:rFonts w:ascii="Arial" w:cs="Arial" w:eastAsia="Arial" w:hAnsi="Arial"/>
                <w:sz w:val="14"/>
                <w:szCs w:val="14"/>
                <w:color w:val="auto"/>
              </w:rPr>
              <w:t>Undistributed net investment income</w:t>
            </w:r>
          </w:p>
        </w:tc>
        <w:tc>
          <w:tcPr>
            <w:tcW w:w="4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8,326,854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1,800,646</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net realized loss on investments</w:t>
            </w:r>
          </w:p>
        </w:tc>
        <w:tc>
          <w:tcPr>
            <w:tcW w:w="4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(49,651,922)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(65,911,544)</w:t>
            </w:r>
          </w:p>
        </w:tc>
        <w:tc>
          <w:tcPr>
            <w:tcW w:w="0" w:type="dxa"/>
            <w:vAlign w:val="bottom"/>
          </w:tcPr>
          <w:p>
            <w:pPr>
              <w:spacing w:after="0"/>
              <w:rPr>
                <w:sz w:val="1"/>
                <w:szCs w:val="1"/>
                <w:color w:val="auto"/>
              </w:rPr>
            </w:pPr>
          </w:p>
        </w:tc>
      </w:tr>
      <w:tr>
        <w:trPr>
          <w:trHeight w:val="79"/>
        </w:trPr>
        <w:tc>
          <w:tcPr>
            <w:tcW w:w="79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80" w:type="dxa"/>
            <w:vAlign w:val="bottom"/>
          </w:tcPr>
          <w:p>
            <w:pPr>
              <w:ind w:left="40"/>
              <w:spacing w:after="0"/>
              <w:rPr>
                <w:sz w:val="20"/>
                <w:szCs w:val="20"/>
                <w:color w:val="auto"/>
              </w:rPr>
            </w:pPr>
            <w:r>
              <w:rPr>
                <w:rFonts w:ascii="Arial" w:cs="Arial" w:eastAsia="Arial" w:hAnsi="Arial"/>
                <w:sz w:val="14"/>
                <w:szCs w:val="14"/>
                <w:color w:val="auto"/>
              </w:rPr>
              <w:t>Net unrealized appreciation (depreciation) on investments</w:t>
            </w:r>
          </w:p>
        </w:tc>
        <w:tc>
          <w:tcPr>
            <w:tcW w:w="4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(38,774,321)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8,015,903</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depreciation on credit facility</w:t>
            </w:r>
          </w:p>
        </w:tc>
        <w:tc>
          <w:tcPr>
            <w:tcW w:w="4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2,107,875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13,958,875</w:t>
            </w:r>
          </w:p>
        </w:tc>
        <w:tc>
          <w:tcPr>
            <w:tcW w:w="0" w:type="dxa"/>
            <w:vAlign w:val="bottom"/>
          </w:tcPr>
          <w:p>
            <w:pPr>
              <w:spacing w:after="0"/>
              <w:rPr>
                <w:sz w:val="1"/>
                <w:szCs w:val="1"/>
                <w:color w:val="auto"/>
              </w:rPr>
            </w:pPr>
          </w:p>
        </w:tc>
      </w:tr>
      <w:tr>
        <w:trPr>
          <w:trHeight w:val="79"/>
        </w:trPr>
        <w:tc>
          <w:tcPr>
            <w:tcW w:w="798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980" w:type="dxa"/>
            <w:vAlign w:val="bottom"/>
          </w:tcPr>
          <w:p>
            <w:pPr>
              <w:ind w:left="720"/>
              <w:spacing w:after="0"/>
              <w:rPr>
                <w:sz w:val="20"/>
                <w:szCs w:val="20"/>
                <w:color w:val="auto"/>
              </w:rPr>
            </w:pPr>
            <w:r>
              <w:rPr>
                <w:rFonts w:ascii="Arial" w:cs="Arial" w:eastAsia="Arial" w:hAnsi="Arial"/>
                <w:sz w:val="14"/>
                <w:szCs w:val="14"/>
                <w:b w:val="1"/>
                <w:bCs w:val="1"/>
                <w:color w:val="auto"/>
              </w:rPr>
              <w:t>Total net assets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462,657,196</w:t>
            </w:r>
          </w:p>
        </w:tc>
        <w:tc>
          <w:tcPr>
            <w:tcW w:w="10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386,575,223</w:t>
            </w:r>
          </w:p>
        </w:tc>
        <w:tc>
          <w:tcPr>
            <w:tcW w:w="0" w:type="dxa"/>
            <w:vAlign w:val="bottom"/>
          </w:tcPr>
          <w:p>
            <w:pPr>
              <w:spacing w:after="0"/>
              <w:rPr>
                <w:sz w:val="1"/>
                <w:szCs w:val="1"/>
                <w:color w:val="auto"/>
              </w:rPr>
            </w:pPr>
          </w:p>
        </w:tc>
      </w:tr>
      <w:tr>
        <w:trPr>
          <w:trHeight w:val="100"/>
        </w:trPr>
        <w:tc>
          <w:tcPr>
            <w:tcW w:w="798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980" w:type="dxa"/>
            <w:vAlign w:val="bottom"/>
            <w:shd w:val="clear" w:color="auto" w:fill="CCEEFF"/>
          </w:tcPr>
          <w:p>
            <w:pPr>
              <w:ind w:left="720"/>
              <w:spacing w:after="0" w:line="150" w:lineRule="exact"/>
              <w:rPr>
                <w:sz w:val="20"/>
                <w:szCs w:val="20"/>
                <w:color w:val="auto"/>
              </w:rPr>
            </w:pPr>
            <w:r>
              <w:rPr>
                <w:rFonts w:ascii="Arial" w:cs="Arial" w:eastAsia="Arial" w:hAnsi="Arial"/>
                <w:sz w:val="14"/>
                <w:szCs w:val="14"/>
                <w:b w:val="1"/>
                <w:bCs w:val="1"/>
                <w:color w:val="auto"/>
              </w:rPr>
              <w:t>Total liabilities and net assets</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928,738,214</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711,493,846</w:t>
            </w:r>
          </w:p>
        </w:tc>
        <w:tc>
          <w:tcPr>
            <w:tcW w:w="0" w:type="dxa"/>
            <w:vAlign w:val="bottom"/>
          </w:tcPr>
          <w:p>
            <w:pPr>
              <w:spacing w:after="0"/>
              <w:rPr>
                <w:sz w:val="1"/>
                <w:szCs w:val="1"/>
                <w:color w:val="auto"/>
              </w:rPr>
            </w:pPr>
          </w:p>
        </w:tc>
      </w:tr>
      <w:tr>
        <w:trPr>
          <w:trHeight w:val="60"/>
        </w:trPr>
        <w:tc>
          <w:tcPr>
            <w:tcW w:w="798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asset value per share</w:t>
            </w: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80" w:type="dxa"/>
            <w:vAlign w:val="bottom"/>
            <w:vMerge w:val="continue"/>
          </w:tcPr>
          <w:p>
            <w:pPr>
              <w:spacing w:after="0"/>
              <w:rPr>
                <w:sz w:val="13"/>
                <w:szCs w:val="13"/>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3"/>
                <w:szCs w:val="13"/>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65"/>
        </w:trPr>
        <w:tc>
          <w:tcPr>
            <w:tcW w:w="798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122"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7940" w:type="dxa"/>
            <w:vAlign w:val="bottom"/>
            <w:gridSpan w:val="4"/>
          </w:tcPr>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40" w:type="dxa"/>
            <w:vAlign w:val="bottom"/>
            <w:gridSpan w:val="4"/>
          </w:tcPr>
          <w:p>
            <w:pPr>
              <w:ind w:left="3940"/>
              <w:spacing w:after="0"/>
              <w:rPr>
                <w:sz w:val="20"/>
                <w:szCs w:val="20"/>
                <w:color w:val="auto"/>
              </w:rPr>
            </w:pPr>
            <w:r>
              <w:rPr>
                <w:rFonts w:ascii="Arial" w:cs="Arial" w:eastAsia="Arial" w:hAnsi="Arial"/>
                <w:sz w:val="14"/>
                <w:szCs w:val="14"/>
                <w:b w:val="1"/>
                <w:bCs w:val="1"/>
                <w:color w:val="auto"/>
              </w:rPr>
              <w:t>CONSOLIDATED STATEMENTS OF OPERATIONS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6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September 30,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income: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40"/>
              <w:spacing w:after="0"/>
              <w:rPr>
                <w:sz w:val="20"/>
                <w:szCs w:val="20"/>
                <w:color w:val="auto"/>
              </w:rPr>
            </w:pPr>
            <w:r>
              <w:rPr>
                <w:rFonts w:ascii="Arial" w:cs="Arial" w:eastAsia="Arial" w:hAnsi="Arial"/>
                <w:sz w:val="14"/>
                <w:szCs w:val="14"/>
                <w:color w:val="auto"/>
              </w:rPr>
              <w:t>From non-controlled, non-affiliated investments: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83,632,455</w:t>
            </w:r>
          </w:p>
        </w:tc>
        <w:tc>
          <w:tcPr>
            <w:tcW w:w="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57,467,862</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43,613,233</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36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4,726,387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1,069,514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154,311</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From non-controlled, affiliated investments: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360"/>
              <w:spacing w:after="0"/>
              <w:rPr>
                <w:sz w:val="20"/>
                <w:szCs w:val="20"/>
                <w:color w:val="auto"/>
              </w:rPr>
            </w:pPr>
            <w:r>
              <w:rPr>
                <w:rFonts w:ascii="Arial" w:cs="Arial" w:eastAsia="Arial" w:hAnsi="Arial"/>
                <w:sz w:val="14"/>
                <w:szCs w:val="14"/>
                <w:color w:val="auto"/>
              </w:rPr>
              <w:t>Interest</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2,217,320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1,392,381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1,351,227</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From controlled, affiliated investments: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360"/>
              <w:spacing w:after="0"/>
              <w:rPr>
                <w:sz w:val="20"/>
                <w:szCs w:val="20"/>
                <w:color w:val="auto"/>
              </w:rPr>
            </w:pPr>
            <w:r>
              <w:rPr>
                <w:rFonts w:ascii="Arial" w:cs="Arial" w:eastAsia="Arial" w:hAnsi="Arial"/>
                <w:sz w:val="14"/>
                <w:szCs w:val="14"/>
                <w:color w:val="auto"/>
              </w:rPr>
              <w:t>Interest</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1,162,333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210,000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Total investment income</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91,738,495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60,139,757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45,118,771</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Base management fee (See Note 3)</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14,899,983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11,618,773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7,715,615</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360"/>
              <w:spacing w:after="0"/>
              <w:rPr>
                <w:sz w:val="20"/>
                <w:szCs w:val="20"/>
                <w:color w:val="auto"/>
              </w:rPr>
            </w:pPr>
            <w:r>
              <w:rPr>
                <w:rFonts w:ascii="Arial" w:cs="Arial" w:eastAsia="Arial" w:hAnsi="Arial"/>
                <w:sz w:val="14"/>
                <w:szCs w:val="14"/>
                <w:color w:val="auto"/>
              </w:rPr>
              <w:t>Performance-based incentive fee (See Note 3)</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13,161,597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8,018,309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5,683,388</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and expenses on the credit facility and SBA debentures (See Note 11)</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5,322,231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3,672,444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4,628,564</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360"/>
              <w:spacing w:after="0"/>
              <w:rPr>
                <w:sz w:val="20"/>
                <w:szCs w:val="20"/>
                <w:color w:val="auto"/>
              </w:rPr>
            </w:pPr>
            <w:r>
              <w:rPr>
                <w:rFonts w:ascii="Arial" w:cs="Arial" w:eastAsia="Arial" w:hAnsi="Arial"/>
                <w:sz w:val="14"/>
                <w:szCs w:val="14"/>
                <w:color w:val="auto"/>
              </w:rPr>
              <w:t>Administrative services expenses (See Note 3)</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2,596,756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2,328,210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2,319,759</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general and administrative expenses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2,884,029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2,329,110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2,052,530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360"/>
              <w:spacing w:after="0"/>
              <w:rPr>
                <w:sz w:val="20"/>
                <w:szCs w:val="20"/>
                <w:color w:val="auto"/>
              </w:rPr>
            </w:pPr>
            <w:r>
              <w:rPr>
                <w:rFonts w:ascii="Arial" w:cs="Arial" w:eastAsia="Arial" w:hAnsi="Arial"/>
                <w:sz w:val="14"/>
                <w:szCs w:val="14"/>
                <w:b w:val="1"/>
                <w:bCs w:val="1"/>
                <w:color w:val="auto"/>
              </w:rPr>
              <w:t>Expenses before income tax</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38,864,596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27,966,846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22,399,856</w:t>
            </w:r>
          </w:p>
        </w:tc>
        <w:tc>
          <w:tcPr>
            <w:tcW w:w="0" w:type="dxa"/>
            <w:vAlign w:val="bottom"/>
          </w:tcPr>
          <w:p>
            <w:pPr>
              <w:spacing w:after="0"/>
              <w:rPr>
                <w:sz w:val="1"/>
                <w:szCs w:val="1"/>
                <w:color w:val="auto"/>
              </w:rPr>
            </w:pPr>
          </w:p>
        </w:tc>
      </w:tr>
      <w:tr>
        <w:trPr>
          <w:trHeight w:val="73"/>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228,824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36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39,093,420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28,065,140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22,399,856</w:t>
            </w:r>
          </w:p>
        </w:tc>
        <w:tc>
          <w:tcPr>
            <w:tcW w:w="0" w:type="dxa"/>
            <w:vAlign w:val="bottom"/>
          </w:tcPr>
          <w:p>
            <w:pPr>
              <w:spacing w:after="0"/>
              <w:rPr>
                <w:sz w:val="1"/>
                <w:szCs w:val="1"/>
                <w:color w:val="auto"/>
              </w:rPr>
            </w:pPr>
          </w:p>
        </w:tc>
      </w:tr>
      <w:tr>
        <w:trPr>
          <w:trHeight w:val="73"/>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Net investment income</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52,645,075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32,074,617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22,718,915</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realized gain (loss) on non-controlled, non-affiliated investments</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16,259,622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(15,417,097)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(39,243,879)</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40"/>
              <w:spacing w:after="0"/>
              <w:rPr>
                <w:sz w:val="20"/>
                <w:szCs w:val="20"/>
                <w:color w:val="auto"/>
              </w:rPr>
            </w:pPr>
            <w:r>
              <w:rPr>
                <w:rFonts w:ascii="Arial" w:cs="Arial" w:eastAsia="Arial" w:hAnsi="Arial"/>
                <w:sz w:val="14"/>
                <w:szCs w:val="14"/>
                <w:color w:val="auto"/>
              </w:rPr>
              <w:t>Net change in unrealized appreciation (depreciation) on:</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Non-controlled, non-affiliated investments</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(45,350,345)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36,275,341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46,954,325</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360"/>
              <w:spacing w:after="0"/>
              <w:rPr>
                <w:sz w:val="20"/>
                <w:szCs w:val="20"/>
                <w:color w:val="auto"/>
              </w:rPr>
            </w:pPr>
            <w:r>
              <w:rPr>
                <w:rFonts w:ascii="Arial" w:cs="Arial" w:eastAsia="Arial" w:hAnsi="Arial"/>
                <w:sz w:val="14"/>
                <w:szCs w:val="14"/>
                <w:color w:val="auto"/>
              </w:rPr>
              <w:t>Non-controlled and controlled, affiliated investments</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(1,439,878)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(731,625)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(2,455,952)</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Credit facility (appreciation) depreciation (See Note 5 and 11)</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(11,851,000)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(35,665,745)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7,828,620</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360"/>
              <w:spacing w:after="0"/>
              <w:rPr>
                <w:sz w:val="20"/>
                <w:szCs w:val="20"/>
                <w:color w:val="auto"/>
              </w:rPr>
            </w:pPr>
            <w:r>
              <w:rPr>
                <w:rFonts w:ascii="Arial" w:cs="Arial" w:eastAsia="Arial" w:hAnsi="Arial"/>
                <w:sz w:val="14"/>
                <w:szCs w:val="14"/>
                <w:b w:val="1"/>
                <w:bCs w:val="1"/>
                <w:color w:val="auto"/>
              </w:rPr>
              <w:t>Net change in unrealized (depreciation) appreciation</w:t>
            </w:r>
          </w:p>
        </w:tc>
        <w:tc>
          <w:tcPr>
            <w:tcW w:w="38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(58,641,223)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(122,029)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52,326,993</w:t>
            </w:r>
          </w:p>
        </w:tc>
        <w:tc>
          <w:tcPr>
            <w:tcW w:w="0" w:type="dxa"/>
            <w:vAlign w:val="bottom"/>
          </w:tcPr>
          <w:p>
            <w:pPr>
              <w:spacing w:after="0"/>
              <w:rPr>
                <w:sz w:val="1"/>
                <w:szCs w:val="1"/>
                <w:color w:val="auto"/>
              </w:rPr>
            </w:pPr>
          </w:p>
        </w:tc>
      </w:tr>
      <w:tr>
        <w:trPr>
          <w:trHeight w:val="73"/>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(42,381,601)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(15,539,126)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13,083,114</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10,263,474</w:t>
            </w:r>
          </w:p>
        </w:tc>
        <w:tc>
          <w:tcPr>
            <w:tcW w:w="4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16,535,491</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35,802,029</w:t>
            </w:r>
          </w:p>
        </w:tc>
        <w:tc>
          <w:tcPr>
            <w:tcW w:w="0" w:type="dxa"/>
            <w:vAlign w:val="bottom"/>
          </w:tcPr>
          <w:p>
            <w:pPr>
              <w:spacing w:after="0"/>
              <w:rPr>
                <w:sz w:val="1"/>
                <w:szCs w:val="1"/>
                <w:color w:val="auto"/>
              </w:rPr>
            </w:pPr>
          </w:p>
        </w:tc>
      </w:tr>
      <w:tr>
        <w:trPr>
          <w:trHeight w:val="100"/>
        </w:trPr>
        <w:tc>
          <w:tcPr>
            <w:tcW w:w="63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30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0.24</w:t>
            </w:r>
          </w:p>
        </w:tc>
        <w:tc>
          <w:tcPr>
            <w:tcW w:w="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40"/>
              <w:spacing w:after="0"/>
              <w:rPr>
                <w:sz w:val="20"/>
                <w:szCs w:val="20"/>
                <w:color w:val="auto"/>
              </w:rPr>
            </w:pPr>
            <w:r>
              <w:rPr>
                <w:rFonts w:ascii="Arial" w:cs="Arial" w:eastAsia="Arial" w:hAnsi="Arial"/>
                <w:sz w:val="14"/>
                <w:szCs w:val="14"/>
                <w:color w:val="auto"/>
              </w:rPr>
              <w:t>Net investment income per common share</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6"/>
                <w:szCs w:val="16"/>
                <w:color w:val="auto"/>
              </w:rPr>
            </w:pPr>
          </w:p>
        </w:tc>
        <w:tc>
          <w:tcPr>
            <w:tcW w:w="44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325"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in net assets from operations: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Net investment income</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52,645,075</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32,074,617</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22,718,915</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realized gain(loss) on investments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16,259,622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(15,417,097)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(39,243,879)</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(46,790,223)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35,543,716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44,498,373</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(11,851,000)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(35,665,745)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7,828,620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72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10,263,474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16,535,491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35,802,029</w:t>
            </w:r>
          </w:p>
        </w:tc>
        <w:tc>
          <w:tcPr>
            <w:tcW w:w="0" w:type="dxa"/>
            <w:vAlign w:val="bottom"/>
          </w:tcPr>
          <w:p>
            <w:pPr>
              <w:spacing w:after="0"/>
              <w:rPr>
                <w:sz w:val="1"/>
                <w:szCs w:val="1"/>
                <w:color w:val="auto"/>
              </w:rPr>
            </w:pPr>
          </w:p>
        </w:tc>
      </w:tr>
      <w:tr>
        <w:trPr>
          <w:trHeight w:val="74"/>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Distributions to stockholders: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Distributions from net investment income</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(46,347,691)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(32,264,036)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(20,226,021)</w:t>
            </w:r>
          </w:p>
        </w:tc>
        <w:tc>
          <w:tcPr>
            <w:tcW w:w="0" w:type="dxa"/>
            <w:vAlign w:val="bottom"/>
          </w:tcPr>
          <w:p>
            <w:pPr>
              <w:spacing w:after="0"/>
              <w:rPr>
                <w:sz w:val="1"/>
                <w:szCs w:val="1"/>
                <w:color w:val="auto"/>
              </w:rPr>
            </w:pPr>
          </w:p>
        </w:tc>
      </w:tr>
      <w:tr>
        <w:trPr>
          <w:trHeight w:val="73"/>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Capital transactions: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Public offering</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114,080,000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107,710,000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34,400,000</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Offering costs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(5,743,800)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(5,986,500)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Reinvestment of dividends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3,829,990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increase in net assets</w:t>
            </w: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76,081,973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85,994,955</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48,056,008</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Net Assets: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Beginning of year</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386,575,223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300,580,268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210,728,260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Cumulative effect of adoption of fair value option (See Note 5)</w:t>
            </w:r>
          </w:p>
        </w:tc>
        <w:tc>
          <w:tcPr>
            <w:tcW w:w="38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41,796,000</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Adjusted beginning of year balance</w:t>
            </w: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386,575,223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300,580,268</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252,524,260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40"/>
              <w:spacing w:after="0"/>
              <w:rPr>
                <w:sz w:val="20"/>
                <w:szCs w:val="20"/>
                <w:color w:val="auto"/>
              </w:rPr>
            </w:pPr>
            <w:r>
              <w:rPr>
                <w:rFonts w:ascii="Arial" w:cs="Arial" w:eastAsia="Arial" w:hAnsi="Arial"/>
                <w:sz w:val="14"/>
                <w:szCs w:val="14"/>
                <w:color w:val="auto"/>
              </w:rPr>
              <w:t>End of year</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462,657,196</w:t>
            </w:r>
          </w:p>
        </w:tc>
        <w:tc>
          <w:tcPr>
            <w:tcW w:w="12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386,575,223</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300,580,268</w:t>
            </w:r>
          </w:p>
        </w:tc>
        <w:tc>
          <w:tcPr>
            <w:tcW w:w="0" w:type="dxa"/>
            <w:vAlign w:val="bottom"/>
          </w:tcPr>
          <w:p>
            <w:pPr>
              <w:spacing w:after="0"/>
              <w:rPr>
                <w:sz w:val="1"/>
                <w:szCs w:val="1"/>
                <w:color w:val="auto"/>
              </w:rPr>
            </w:pPr>
          </w:p>
        </w:tc>
      </w:tr>
      <w:tr>
        <w:trPr>
          <w:trHeight w:val="74"/>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Undistributed net investment income, at year end</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8,326,854</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1,800,646</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1,890,235</w:t>
            </w:r>
          </w:p>
        </w:tc>
        <w:tc>
          <w:tcPr>
            <w:tcW w:w="0" w:type="dxa"/>
            <w:vAlign w:val="bottom"/>
          </w:tcPr>
          <w:p>
            <w:pPr>
              <w:spacing w:after="0"/>
              <w:rPr>
                <w:sz w:val="1"/>
                <w:szCs w:val="1"/>
                <w:color w:val="auto"/>
              </w:rPr>
            </w:pPr>
          </w:p>
        </w:tc>
      </w:tr>
      <w:tr>
        <w:trPr>
          <w:trHeight w:val="60"/>
        </w:trPr>
        <w:tc>
          <w:tcPr>
            <w:tcW w:w="63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Capital Share Activity:</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issued from public offerings</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9,200,000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10,790,000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4,300,000</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720"/>
              <w:spacing w:after="0"/>
              <w:rPr>
                <w:sz w:val="20"/>
                <w:szCs w:val="20"/>
                <w:color w:val="auto"/>
              </w:rPr>
            </w:pPr>
            <w:r>
              <w:rPr>
                <w:rFonts w:ascii="Arial" w:cs="Arial" w:eastAsia="Arial" w:hAnsi="Arial"/>
                <w:sz w:val="14"/>
                <w:szCs w:val="14"/>
                <w:color w:val="auto"/>
              </w:rPr>
              <w:t>Shares issued from reinvestment of dividends</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331,011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7940" w:type="dxa"/>
            <w:vAlign w:val="bottom"/>
            <w:gridSpan w:val="4"/>
          </w:tcPr>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40" w:type="dxa"/>
            <w:vAlign w:val="bottom"/>
            <w:gridSpan w:val="4"/>
          </w:tcPr>
          <w:p>
            <w:pPr>
              <w:ind w:left="3940"/>
              <w:spacing w:after="0"/>
              <w:rPr>
                <w:sz w:val="20"/>
                <w:szCs w:val="20"/>
                <w:color w:val="auto"/>
              </w:rPr>
            </w:pPr>
            <w:r>
              <w:rPr>
                <w:rFonts w:ascii="Arial" w:cs="Arial" w:eastAsia="Arial" w:hAnsi="Arial"/>
                <w:sz w:val="14"/>
                <w:szCs w:val="14"/>
                <w:b w:val="1"/>
                <w:bCs w:val="1"/>
                <w:color w:val="auto"/>
              </w:rPr>
              <w:t>CONSOLIDATED STATEMENTS OF CASH FLOWS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6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September 30,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380"/>
              <w:spacing w:after="0"/>
              <w:rPr>
                <w:sz w:val="20"/>
                <w:szCs w:val="20"/>
                <w:color w:val="auto"/>
              </w:rPr>
            </w:pPr>
            <w:r>
              <w:rPr>
                <w:rFonts w:ascii="Arial" w:cs="Arial" w:eastAsia="Arial" w:hAnsi="Arial"/>
                <w:sz w:val="14"/>
                <w:szCs w:val="14"/>
                <w:color w:val="auto"/>
              </w:rPr>
              <w:t>Net increase in net assets resulting from operations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10,263,474</w:t>
            </w:r>
          </w:p>
        </w:tc>
        <w:tc>
          <w:tcPr>
            <w:tcW w:w="40" w:type="dxa"/>
            <w:vAlign w:val="bottom"/>
          </w:tcPr>
          <w:p>
            <w:pPr>
              <w:spacing w:after="0"/>
              <w:rPr>
                <w:sz w:val="16"/>
                <w:szCs w:val="16"/>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16,535,491</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35,802,029</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8"/>
              </w:rPr>
              <w:t>Adjustments to reconcile net increase in net assets resulting from operations to net cash used for</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46,790,223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(35,543,716)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(44,498,373)</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11,851,000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35,665,745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(7,828,620)</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720"/>
              <w:spacing w:after="0"/>
              <w:rPr>
                <w:sz w:val="20"/>
                <w:szCs w:val="20"/>
                <w:color w:val="auto"/>
              </w:rPr>
            </w:pPr>
            <w:r>
              <w:rPr>
                <w:rFonts w:ascii="Arial" w:cs="Arial" w:eastAsia="Arial" w:hAnsi="Arial"/>
                <w:sz w:val="14"/>
                <w:szCs w:val="14"/>
                <w:color w:val="auto"/>
              </w:rPr>
              <w:t>Net realized (gain) loss on investments</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(16,259,622)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15,417,097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39,243,879</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accretion of discount and amortization of premium</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(6,745,834)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(4,203,920)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(2,890,687)</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720"/>
              <w:spacing w:after="0"/>
              <w:rPr>
                <w:sz w:val="20"/>
                <w:szCs w:val="20"/>
                <w:color w:val="auto"/>
              </w:rPr>
            </w:pPr>
            <w:r>
              <w:rPr>
                <w:rFonts w:ascii="Arial" w:cs="Arial" w:eastAsia="Arial" w:hAnsi="Arial"/>
                <w:sz w:val="14"/>
                <w:szCs w:val="14"/>
                <w:color w:val="auto"/>
              </w:rPr>
              <w:t>Purchase of investments</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(479,733,669)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(309,455,078)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(112,693,490)</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Payment-in-kind interest</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(10,883,750)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(6,416,075)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(4,729,590)</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720"/>
              <w:spacing w:after="0"/>
              <w:rPr>
                <w:sz w:val="20"/>
                <w:szCs w:val="20"/>
                <w:color w:val="auto"/>
              </w:rPr>
            </w:pPr>
            <w:r>
              <w:rPr>
                <w:rFonts w:ascii="Arial" w:cs="Arial" w:eastAsia="Arial" w:hAnsi="Arial"/>
                <w:sz w:val="14"/>
                <w:szCs w:val="14"/>
                <w:color w:val="auto"/>
              </w:rPr>
              <w:t>Proceeds from disposition of investments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304,008,543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145,237,359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27,956,008</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Decrease (Increase) in interest receivable</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1,935,860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(7,275,040)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507,143</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Decrease (Increase) in receivables for investments sold</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17,135,807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(27,528,767)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(2,726,007)</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(Decrease) Increase in payables for investments purchased</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(34,212,501)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33,295,475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19,489,525</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Increase in unfunded investments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14,928,717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15,872,049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6,331,385</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Increase (Decrease) in interest payable on credit facility and SBA debentures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472,227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142,347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(652,529)</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Decrease (Increase) in prepaid expenses and other assets</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749,017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(90,927)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258,912</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Increase in management fee payable</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721,238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1,066,706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2,134,214</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Increase in performance-based incentive fee payable</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1,534,818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730,847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1,385,131</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(Decrease) Increase in accrued other expenses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(368,064)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(500,423)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555,556</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1140"/>
              <w:spacing w:after="0"/>
              <w:rPr>
                <w:sz w:val="20"/>
                <w:szCs w:val="20"/>
                <w:color w:val="auto"/>
              </w:rPr>
            </w:pPr>
            <w:r>
              <w:rPr>
                <w:rFonts w:ascii="Arial" w:cs="Arial" w:eastAsia="Arial" w:hAnsi="Arial"/>
                <w:sz w:val="14"/>
                <w:szCs w:val="14"/>
                <w:color w:val="auto"/>
              </w:rPr>
              <w:t>Net cash used for operating activities</w:t>
            </w:r>
          </w:p>
        </w:tc>
        <w:tc>
          <w:tcPr>
            <w:tcW w:w="38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(137,812,516)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(127,050,830)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(42,355,514)</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Public offering</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114,080,000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107,710,000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34,400,000</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Offering costs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(5,743,800)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(5,986,500)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Distributions paid</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(39,582,741)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(27,919,260)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(20,226,021)</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Borrowings under SBA debentures (See Note 11)</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135,500,000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14,500,000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Capitalized borrowing costs</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(4,450,875)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(686,625)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Borrowings under credit facility (See Note 11)</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701,900,000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256,000,000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169,600,000</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720"/>
              <w:spacing w:after="0"/>
              <w:rPr>
                <w:sz w:val="20"/>
                <w:szCs w:val="20"/>
                <w:color w:val="auto"/>
              </w:rPr>
            </w:pPr>
            <w:r>
              <w:rPr>
                <w:rFonts w:ascii="Arial" w:cs="Arial" w:eastAsia="Arial" w:hAnsi="Arial"/>
                <w:sz w:val="14"/>
                <w:szCs w:val="14"/>
                <w:color w:val="auto"/>
              </w:rPr>
              <w:t>Repayments under credit facility (See Note 11)</w:t>
            </w:r>
          </w:p>
        </w:tc>
        <w:tc>
          <w:tcPr>
            <w:tcW w:w="3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(694,100,000)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(248,000,000)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(146,500,000)</w:t>
            </w:r>
          </w:p>
        </w:tc>
        <w:tc>
          <w:tcPr>
            <w:tcW w:w="0" w:type="dxa"/>
            <w:vAlign w:val="bottom"/>
          </w:tcPr>
          <w:p>
            <w:pPr>
              <w:spacing w:after="0"/>
              <w:rPr>
                <w:sz w:val="1"/>
                <w:szCs w:val="1"/>
                <w:color w:val="auto"/>
              </w:rPr>
            </w:pPr>
          </w:p>
        </w:tc>
      </w:tr>
      <w:tr>
        <w:trPr>
          <w:trHeight w:val="74"/>
        </w:trPr>
        <w:tc>
          <w:tcPr>
            <w:tcW w:w="63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207,602,584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95,617,615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35,353,979</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Net increase (decrease) in cash equivalents</w:t>
            </w:r>
          </w:p>
        </w:tc>
        <w:tc>
          <w:tcPr>
            <w:tcW w:w="38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69,790,068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(31,433,215)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(7,001,535)</w:t>
            </w:r>
          </w:p>
        </w:tc>
        <w:tc>
          <w:tcPr>
            <w:tcW w:w="0" w:type="dxa"/>
            <w:vAlign w:val="bottom"/>
          </w:tcPr>
          <w:p>
            <w:pPr>
              <w:spacing w:after="0"/>
              <w:rPr>
                <w:sz w:val="1"/>
                <w:szCs w:val="1"/>
                <w:color w:val="auto"/>
              </w:rPr>
            </w:pPr>
          </w:p>
        </w:tc>
      </w:tr>
      <w:tr>
        <w:trPr>
          <w:trHeight w:val="74"/>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equivalents, beginning of year</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1,814,451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33,247,666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40,249,201</w:t>
            </w:r>
          </w:p>
        </w:tc>
        <w:tc>
          <w:tcPr>
            <w:tcW w:w="0" w:type="dxa"/>
            <w:vAlign w:val="bottom"/>
          </w:tcPr>
          <w:p>
            <w:pPr>
              <w:spacing w:after="0"/>
              <w:rPr>
                <w:sz w:val="1"/>
                <w:szCs w:val="1"/>
                <w:color w:val="auto"/>
              </w:rPr>
            </w:pPr>
          </w:p>
        </w:tc>
      </w:tr>
      <w:tr>
        <w:trPr>
          <w:trHeight w:val="80"/>
        </w:trPr>
        <w:tc>
          <w:tcPr>
            <w:tcW w:w="63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Cash equivalents, end of year</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71,604,519</w:t>
            </w:r>
          </w:p>
        </w:tc>
        <w:tc>
          <w:tcPr>
            <w:tcW w:w="40" w:type="dxa"/>
            <w:vAlign w:val="bottom"/>
          </w:tcPr>
          <w:p>
            <w:pPr>
              <w:spacing w:after="0"/>
              <w:rPr>
                <w:sz w:val="14"/>
                <w:szCs w:val="14"/>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1,814,451</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33,247,666</w:t>
            </w:r>
          </w:p>
        </w:tc>
        <w:tc>
          <w:tcPr>
            <w:tcW w:w="0" w:type="dxa"/>
            <w:vAlign w:val="bottom"/>
          </w:tcPr>
          <w:p>
            <w:pPr>
              <w:spacing w:after="0"/>
              <w:rPr>
                <w:sz w:val="1"/>
                <w:szCs w:val="1"/>
                <w:color w:val="auto"/>
              </w:rPr>
            </w:pPr>
          </w:p>
        </w:tc>
      </w:tr>
      <w:tr>
        <w:trPr>
          <w:trHeight w:val="100"/>
        </w:trPr>
        <w:tc>
          <w:tcPr>
            <w:tcW w:w="63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30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disclosure of cash flow information and non-cash activity (See Note 5):</w:t>
            </w: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4,149,149</w:t>
            </w:r>
          </w:p>
        </w:tc>
        <w:tc>
          <w:tcPr>
            <w:tcW w:w="40" w:type="dxa"/>
            <w:vAlign w:val="bottom"/>
          </w:tcPr>
          <w:p>
            <w:pPr>
              <w:spacing w:after="0"/>
              <w:rPr>
                <w:sz w:val="16"/>
                <w:szCs w:val="16"/>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3,161,048</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5,014,055</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123,824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00" w:type="dxa"/>
            <w:vAlign w:val="bottom"/>
          </w:tcPr>
          <w:p>
            <w:pPr>
              <w:ind w:left="40"/>
              <w:spacing w:after="0"/>
              <w:rPr>
                <w:sz w:val="20"/>
                <w:szCs w:val="20"/>
                <w:color w:val="auto"/>
              </w:rPr>
            </w:pPr>
            <w:r>
              <w:rPr>
                <w:rFonts w:ascii="Arial" w:cs="Arial" w:eastAsia="Arial" w:hAnsi="Arial"/>
                <w:sz w:val="14"/>
                <w:szCs w:val="14"/>
                <w:color w:val="auto"/>
              </w:rPr>
              <w:t>Dividend reinvested</w:t>
            </w:r>
          </w:p>
        </w:tc>
        <w:tc>
          <w:tcPr>
            <w:tcW w:w="3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3,829,990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adoption of fair value option on credit facility</w:t>
            </w:r>
          </w:p>
        </w:tc>
        <w:tc>
          <w:tcPr>
            <w:tcW w:w="3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41,796,000</w:t>
            </w:r>
          </w:p>
        </w:tc>
        <w:tc>
          <w:tcPr>
            <w:tcW w:w="0" w:type="dxa"/>
            <w:vAlign w:val="bottom"/>
          </w:tcPr>
          <w:p>
            <w:pPr>
              <w:spacing w:after="0"/>
              <w:rPr>
                <w:sz w:val="1"/>
                <w:szCs w:val="1"/>
                <w:color w:val="auto"/>
              </w:rPr>
            </w:pPr>
          </w:p>
        </w:tc>
      </w:tr>
      <w:tr>
        <w:trPr>
          <w:trHeight w:val="79"/>
        </w:trPr>
        <w:tc>
          <w:tcPr>
            <w:tcW w:w="6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2"/>
        </w:trPr>
        <w:tc>
          <w:tcPr>
            <w:tcW w:w="222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60" w:type="dxa"/>
            <w:vAlign w:val="bottom"/>
            <w:gridSpan w:val="9"/>
          </w:tcPr>
          <w:p>
            <w:pPr>
              <w:jc w:val="center"/>
              <w:ind w:left="168"/>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gridSpan w:val="8"/>
          </w:tcPr>
          <w:p>
            <w:pPr>
              <w:jc w:val="center"/>
              <w:ind w:left="328"/>
              <w:spacing w:after="0"/>
              <w:rPr>
                <w:sz w:val="20"/>
                <w:szCs w:val="20"/>
                <w:color w:val="auto"/>
              </w:rPr>
            </w:pPr>
            <w:r>
              <w:rPr>
                <w:rFonts w:ascii="Arial" w:cs="Arial" w:eastAsia="Arial" w:hAnsi="Arial"/>
                <w:sz w:val="14"/>
                <w:szCs w:val="14"/>
                <w:b w:val="1"/>
                <w:bCs w:val="1"/>
                <w:color w:val="auto"/>
              </w:rPr>
              <w:t>CONSOLIDATED SCHEDULE OF INVESTMENTS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30,2011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2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Coupon</w:t>
            </w:r>
          </w:p>
        </w:tc>
        <w:tc>
          <w:tcPr>
            <w:tcW w:w="2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2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5500" w:type="dxa"/>
            <w:vAlign w:val="bottom"/>
            <w:tcBorders>
              <w:top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Companies—167.2%</w:t>
            </w:r>
            <w:r>
              <w:rPr>
                <w:rFonts w:ascii="Arial" w:cs="Arial" w:eastAsia="Arial" w:hAnsi="Arial"/>
                <w:sz w:val="8"/>
                <w:szCs w:val="8"/>
                <w:b w:val="1"/>
                <w:bCs w:val="1"/>
                <w:color w:val="auto"/>
              </w:rPr>
              <w:t>(1),(2)</w:t>
            </w:r>
          </w:p>
        </w:tc>
        <w:tc>
          <w:tcPr>
            <w:tcW w:w="28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First Lien Secured Debt—60.6%</w:t>
            </w: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American Surgical Holdings, Inc.</w:t>
            </w:r>
          </w:p>
        </w:tc>
        <w:tc>
          <w:tcPr>
            <w:tcW w:w="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3/23/2015</w:t>
            </w:r>
          </w:p>
        </w:tc>
        <w:tc>
          <w:tcPr>
            <w:tcW w:w="17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Healthcare, Education and</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14.00%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L+1,000</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(8)</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20,300,000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9"/>
              </w:rPr>
              <w:t>19,748,930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20,300,000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color w:val="auto"/>
              </w:rPr>
              <w:t xml:space="preserve">CEVA Group PLC </w:t>
            </w:r>
            <w:r>
              <w:rPr>
                <w:rFonts w:ascii="Arial" w:cs="Arial" w:eastAsia="Arial" w:hAnsi="Arial"/>
                <w:sz w:val="8"/>
                <w:szCs w:val="8"/>
                <w:color w:val="auto"/>
              </w:rPr>
              <w:t>(5),(10)</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10/1/2016</w:t>
            </w:r>
          </w:p>
        </w:tc>
        <w:tc>
          <w:tcPr>
            <w:tcW w:w="1740" w:type="dxa"/>
            <w:vAlign w:val="bottom"/>
          </w:tcPr>
          <w:p>
            <w:pPr>
              <w:jc w:val="center"/>
              <w:spacing w:after="0"/>
              <w:rPr>
                <w:sz w:val="20"/>
                <w:szCs w:val="20"/>
                <w:color w:val="auto"/>
              </w:rPr>
            </w:pPr>
            <w:r>
              <w:rPr>
                <w:rFonts w:ascii="Arial" w:cs="Arial" w:eastAsia="Arial" w:hAnsi="Arial"/>
                <w:sz w:val="14"/>
                <w:szCs w:val="14"/>
                <w:color w:val="auto"/>
                <w:w w:val="99"/>
              </w:rPr>
              <w:t>Logistics</w:t>
            </w:r>
          </w:p>
        </w:tc>
        <w:tc>
          <w:tcPr>
            <w:tcW w:w="680" w:type="dxa"/>
            <w:vAlign w:val="bottom"/>
          </w:tcPr>
          <w:p>
            <w:pPr>
              <w:jc w:val="right"/>
              <w:spacing w:after="0"/>
              <w:rPr>
                <w:sz w:val="20"/>
                <w:szCs w:val="20"/>
                <w:color w:val="auto"/>
              </w:rPr>
            </w:pPr>
            <w:r>
              <w:rPr>
                <w:rFonts w:ascii="Arial" w:cs="Arial" w:eastAsia="Arial" w:hAnsi="Arial"/>
                <w:sz w:val="14"/>
                <w:szCs w:val="14"/>
                <w:color w:val="auto"/>
              </w:rPr>
              <w:t>11.63%</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7,328,729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7,331,250</w:t>
            </w: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CEVA Group PLC </w:t>
            </w:r>
            <w:r>
              <w:rPr>
                <w:rFonts w:ascii="Arial" w:cs="Arial" w:eastAsia="Arial" w:hAnsi="Arial"/>
                <w:sz w:val="8"/>
                <w:szCs w:val="8"/>
                <w:color w:val="auto"/>
              </w:rPr>
              <w:t>(5),(10)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4/1/2018</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Logistics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920,000</w:t>
            </w:r>
          </w:p>
        </w:tc>
        <w:tc>
          <w:tcPr>
            <w:tcW w:w="0" w:type="dxa"/>
            <w:vAlign w:val="bottom"/>
          </w:tcPr>
          <w:p>
            <w:pPr>
              <w:spacing w:after="0"/>
              <w:rPr>
                <w:sz w:val="1"/>
                <w:szCs w:val="1"/>
                <w:color w:val="auto"/>
              </w:rPr>
            </w:pPr>
          </w:p>
        </w:tc>
      </w:tr>
      <w:tr>
        <w:trPr>
          <w:trHeight w:val="80"/>
        </w:trPr>
        <w:tc>
          <w:tcPr>
            <w:tcW w:w="2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rPr>
              <w:t>Chester Downs and Marina, LLC</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3"/>
              </w:rPr>
              <w:t>7/29/2016</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4"/>
              </w:rPr>
              <w:t>Hotels, Motels, Inns and</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12.38%</w:t>
            </w:r>
          </w:p>
        </w:tc>
        <w:tc>
          <w:tcPr>
            <w:tcW w:w="2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L+988</w:t>
            </w:r>
          </w:p>
        </w:tc>
        <w:tc>
          <w:tcPr>
            <w:tcW w:w="280" w:type="dxa"/>
            <w:vAlign w:val="bottom"/>
          </w:tcPr>
          <w:p>
            <w:pPr>
              <w:jc w:val="right"/>
              <w:ind w:right="115"/>
              <w:spacing w:after="0"/>
              <w:rPr>
                <w:sz w:val="20"/>
                <w:szCs w:val="20"/>
                <w:color w:val="auto"/>
              </w:rPr>
            </w:pPr>
            <w:r>
              <w:rPr>
                <w:rFonts w:ascii="Arial" w:cs="Arial" w:eastAsia="Arial" w:hAnsi="Arial"/>
                <w:sz w:val="9"/>
                <w:szCs w:val="9"/>
                <w:color w:val="auto"/>
                <w:w w:val="90"/>
              </w:rPr>
              <w:t>(8)</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w w:val="96"/>
              </w:rPr>
              <w:t>11,358,254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w w:val="99"/>
              </w:rPr>
              <w:t>11,024,166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11,310,924</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Gaming</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8"/>
                <w:szCs w:val="8"/>
                <w:color w:val="auto"/>
              </w:rPr>
              <w:t>(5),(10)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11/20/2014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Communications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10,000,000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9,800,000</w:t>
            </w:r>
          </w:p>
        </w:tc>
        <w:tc>
          <w:tcPr>
            <w:tcW w:w="0" w:type="dxa"/>
            <w:vAlign w:val="bottom"/>
          </w:tcPr>
          <w:p>
            <w:pPr>
              <w:spacing w:after="0"/>
              <w:rPr>
                <w:sz w:val="1"/>
                <w:szCs w:val="1"/>
                <w:color w:val="auto"/>
              </w:rPr>
            </w:pPr>
          </w:p>
        </w:tc>
      </w:tr>
      <w:tr>
        <w:trPr>
          <w:trHeight w:val="80"/>
        </w:trPr>
        <w:tc>
          <w:tcPr>
            <w:tcW w:w="2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40"/>
              <w:spacing w:after="0"/>
              <w:rPr>
                <w:sz w:val="20"/>
                <w:szCs w:val="20"/>
                <w:color w:val="auto"/>
              </w:rPr>
            </w:pPr>
            <w:r>
              <w:rPr>
                <w:rFonts w:ascii="Arial" w:cs="Arial" w:eastAsia="Arial" w:hAnsi="Arial"/>
                <w:sz w:val="14"/>
                <w:szCs w:val="14"/>
                <w:color w:val="auto"/>
                <w:w w:val="97"/>
              </w:rPr>
              <w:t>Covad Communications Group, Inc.</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11/3/2015</w:t>
            </w: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Telecommunications</w:t>
            </w: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L+1,000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6,475,000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6,362,696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6,345,500</w:t>
            </w:r>
          </w:p>
        </w:tc>
        <w:tc>
          <w:tcPr>
            <w:tcW w:w="0" w:type="dxa"/>
            <w:vAlign w:val="bottom"/>
          </w:tcPr>
          <w:p>
            <w:pPr>
              <w:spacing w:after="0"/>
              <w:rPr>
                <w:sz w:val="1"/>
                <w:szCs w:val="1"/>
                <w:color w:val="auto"/>
              </w:rPr>
            </w:pPr>
          </w:p>
        </w:tc>
      </w:tr>
      <w:tr>
        <w:trPr>
          <w:trHeight w:val="114"/>
        </w:trPr>
        <w:tc>
          <w:tcPr>
            <w:tcW w:w="2220" w:type="dxa"/>
            <w:vAlign w:val="bottom"/>
          </w:tcPr>
          <w:p>
            <w:pPr>
              <w:ind w:left="40"/>
              <w:spacing w:after="0"/>
              <w:rPr>
                <w:sz w:val="20"/>
                <w:szCs w:val="20"/>
                <w:color w:val="auto"/>
              </w:rPr>
            </w:pPr>
            <w:r>
              <w:rPr>
                <w:rFonts w:ascii="Arial" w:cs="Arial" w:eastAsia="Arial" w:hAnsi="Arial"/>
                <w:sz w:val="9"/>
                <w:szCs w:val="9"/>
                <w:color w:val="auto"/>
              </w:rPr>
              <w:t>(5)</w:t>
            </w:r>
          </w:p>
        </w:tc>
        <w:tc>
          <w:tcPr>
            <w:tcW w:w="8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8"/>
                <w:szCs w:val="8"/>
                <w:color w:val="auto"/>
              </w:rPr>
              <w:t>(5)</w:t>
            </w:r>
          </w:p>
        </w:tc>
        <w:tc>
          <w:tcPr>
            <w:tcW w:w="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12/1/2016</w:t>
            </w:r>
          </w:p>
        </w:tc>
        <w:tc>
          <w:tcPr>
            <w:tcW w:w="17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Consumer Products</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11.50%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12,000,000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9"/>
              </w:rPr>
              <w:t>11,759,625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11,220,000</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1540"/>
              <w:spacing w:after="0" w:line="149" w:lineRule="exact"/>
              <w:rPr>
                <w:sz w:val="20"/>
                <w:szCs w:val="20"/>
                <w:color w:val="auto"/>
              </w:rPr>
            </w:pPr>
            <w:r>
              <w:rPr>
                <w:rFonts w:ascii="Arial" w:cs="Arial" w:eastAsia="Arial" w:hAnsi="Arial"/>
                <w:sz w:val="14"/>
                <w:szCs w:val="14"/>
                <w:color w:val="auto"/>
              </w:rPr>
              <w:t>(f/k/a</w:t>
            </w:r>
          </w:p>
        </w:tc>
        <w:tc>
          <w:tcPr>
            <w:tcW w:w="8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Affinity Group Holdings Inc.)</w:t>
            </w: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color w:val="auto"/>
              </w:rPr>
              <w:t>Hanley-Wood, L.L.C.</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3/10/2014</w:t>
            </w:r>
          </w:p>
        </w:tc>
        <w:tc>
          <w:tcPr>
            <w:tcW w:w="174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80" w:type="dxa"/>
            <w:vAlign w:val="bottom"/>
          </w:tcPr>
          <w:p>
            <w:pPr>
              <w:jc w:val="right"/>
              <w:spacing w:after="0"/>
              <w:rPr>
                <w:sz w:val="20"/>
                <w:szCs w:val="20"/>
                <w:color w:val="auto"/>
              </w:rPr>
            </w:pPr>
            <w:r>
              <w:rPr>
                <w:rFonts w:ascii="Arial" w:cs="Arial" w:eastAsia="Arial" w:hAnsi="Arial"/>
                <w:sz w:val="14"/>
                <w:szCs w:val="14"/>
                <w:color w:val="auto"/>
              </w:rPr>
              <w:t>2.56%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L+225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8,662,500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8,662,500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4,222,969</w:t>
            </w: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Instant Web, Inc.</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8/7/2014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Printing and Publishing</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L+950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24,625,000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24,227,464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25,683,875</w:t>
            </w:r>
          </w:p>
        </w:tc>
        <w:tc>
          <w:tcPr>
            <w:tcW w:w="0" w:type="dxa"/>
            <w:vAlign w:val="bottom"/>
          </w:tcPr>
          <w:p>
            <w:pPr>
              <w:spacing w:after="0"/>
              <w:rPr>
                <w:sz w:val="1"/>
                <w:szCs w:val="1"/>
                <w:color w:val="auto"/>
              </w:rPr>
            </w:pPr>
          </w:p>
        </w:tc>
      </w:tr>
      <w:tr>
        <w:trPr>
          <w:trHeight w:val="80"/>
        </w:trPr>
        <w:tc>
          <w:tcPr>
            <w:tcW w:w="2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rPr>
              <w:t>Interactive Health Solutions, Inc.</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3"/>
              </w:rPr>
              <w:t>10/4/2016</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3"/>
              </w:rPr>
              <w:t>Healthcare, Education and</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11.50%</w:t>
            </w:r>
          </w:p>
        </w:tc>
        <w:tc>
          <w:tcPr>
            <w:tcW w:w="2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L+950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w w:val="96"/>
              </w:rPr>
              <w:t>19,000,000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w w:val="99"/>
              </w:rPr>
              <w:t>18,572,500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18,572,500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Childcare</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Jacuzzi Brands Corp.</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2/7/2014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Home and Office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L+225</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9,671,622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9,671,622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6,866,851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Furnishings, Housewares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and Durable Consumer</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Products</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rPr>
              <w:t>K2 Pure Solutions NoCal, L.P.</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3"/>
              </w:rPr>
              <w:t>9/10/2015</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2"/>
              </w:rPr>
              <w:t>Chemicals, Plastics and</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10.00%</w:t>
            </w:r>
          </w:p>
        </w:tc>
        <w:tc>
          <w:tcPr>
            <w:tcW w:w="2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P+675</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w w:val="96"/>
              </w:rPr>
              <w:t>18,952,500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w w:val="99"/>
              </w:rPr>
              <w:t>18,002,959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18,004,875</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Kadmon Pharmaceuticals, LLC</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10/22/2011</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Healthcare, Education and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L+1,300</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(8)</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29,066,987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27,940,332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(f/k/a Three Rivers Pharmaceutical,</w:t>
            </w:r>
          </w:p>
        </w:tc>
        <w:tc>
          <w:tcPr>
            <w:tcW w:w="8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Childcare</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color w:val="auto"/>
              </w:rPr>
              <w:t>Learning Care Group, Inc.</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4/27/2016</w:t>
            </w: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Education</w:t>
            </w: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26,052,632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25,555,967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25,401,316</w:t>
            </w: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Penton Media, Inc.</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8/1/2014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 Media</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L+400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37,779,699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32,241,162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26,130,971</w:t>
            </w:r>
          </w:p>
        </w:tc>
        <w:tc>
          <w:tcPr>
            <w:tcW w:w="0" w:type="dxa"/>
            <w:vAlign w:val="bottom"/>
          </w:tcPr>
          <w:p>
            <w:pPr>
              <w:spacing w:after="0"/>
              <w:rPr>
                <w:sz w:val="1"/>
                <w:szCs w:val="1"/>
                <w:color w:val="auto"/>
              </w:rPr>
            </w:pPr>
          </w:p>
        </w:tc>
      </w:tr>
      <w:tr>
        <w:trPr>
          <w:trHeight w:val="79"/>
        </w:trPr>
        <w:tc>
          <w:tcPr>
            <w:tcW w:w="2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40"/>
              <w:spacing w:after="0" w:line="157" w:lineRule="exact"/>
              <w:rPr>
                <w:sz w:val="20"/>
                <w:szCs w:val="20"/>
                <w:color w:val="auto"/>
              </w:rPr>
            </w:pPr>
            <w:r>
              <w:rPr>
                <w:rFonts w:ascii="Arial" w:cs="Arial" w:eastAsia="Arial" w:hAnsi="Arial"/>
                <w:sz w:val="14"/>
                <w:szCs w:val="14"/>
                <w:color w:val="auto"/>
              </w:rPr>
              <w:t>Prepaid Legal Services, Inc.,</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4"/>
              </w:rPr>
              <w:t>12/30/2016</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89"/>
              </w:rPr>
              <w:t>Personal, Food and</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7.50%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(6)</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L+600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1,970,966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1,900,000</w:t>
            </w:r>
          </w:p>
        </w:tc>
        <w:tc>
          <w:tcPr>
            <w:tcW w:w="0" w:type="dxa"/>
            <w:vAlign w:val="bottom"/>
          </w:tcPr>
          <w:p>
            <w:pPr>
              <w:spacing w:after="0"/>
              <w:rPr>
                <w:sz w:val="1"/>
                <w:szCs w:val="1"/>
                <w:color w:val="auto"/>
              </w:rPr>
            </w:pPr>
          </w:p>
        </w:tc>
      </w:tr>
      <w:tr>
        <w:trPr>
          <w:trHeight w:val="188"/>
        </w:trPr>
        <w:tc>
          <w:tcPr>
            <w:tcW w:w="2220" w:type="dxa"/>
            <w:vAlign w:val="bottom"/>
          </w:tcPr>
          <w:p>
            <w:pPr>
              <w:ind w:left="40"/>
              <w:spacing w:after="0"/>
              <w:rPr>
                <w:sz w:val="20"/>
                <w:szCs w:val="20"/>
                <w:color w:val="auto"/>
              </w:rPr>
            </w:pPr>
            <w:r>
              <w:rPr>
                <w:rFonts w:ascii="Arial" w:cs="Arial" w:eastAsia="Arial" w:hAnsi="Arial"/>
                <w:sz w:val="14"/>
                <w:szCs w:val="14"/>
                <w:color w:val="auto"/>
              </w:rPr>
              <w:t>Tranche A</w:t>
            </w:r>
          </w:p>
        </w:tc>
        <w:tc>
          <w:tcPr>
            <w:tcW w:w="8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Legal Services, Inc.,</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12/30/2016</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Personal, Food and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L+950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35,000,000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33,978,263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33,250,000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Tranche B</w:t>
            </w: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Miscellaneous Services</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40"/>
              <w:spacing w:after="0"/>
              <w:rPr>
                <w:sz w:val="20"/>
                <w:szCs w:val="20"/>
                <w:color w:val="auto"/>
              </w:rPr>
            </w:pPr>
            <w:r>
              <w:rPr>
                <w:rFonts w:ascii="Arial" w:cs="Arial" w:eastAsia="Arial" w:hAnsi="Arial"/>
                <w:sz w:val="14"/>
                <w:szCs w:val="14"/>
                <w:color w:val="auto"/>
              </w:rPr>
              <w:t>Questex Media Group LLC</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12/16/2012</w:t>
            </w:r>
          </w:p>
        </w:tc>
        <w:tc>
          <w:tcPr>
            <w:tcW w:w="174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80" w:type="dxa"/>
            <w:vAlign w:val="bottom"/>
          </w:tcPr>
          <w:p>
            <w:pPr>
              <w:jc w:val="right"/>
              <w:spacing w:after="0"/>
              <w:rPr>
                <w:sz w:val="20"/>
                <w:szCs w:val="20"/>
                <w:color w:val="auto"/>
              </w:rPr>
            </w:pPr>
            <w:r>
              <w:rPr>
                <w:rFonts w:ascii="Arial" w:cs="Arial" w:eastAsia="Arial" w:hAnsi="Arial"/>
                <w:sz w:val="14"/>
                <w:szCs w:val="14"/>
                <w:color w:val="auto"/>
              </w:rPr>
              <w:t>10.50%</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26,721</w:t>
            </w:r>
          </w:p>
        </w:tc>
        <w:tc>
          <w:tcPr>
            <w:tcW w:w="0" w:type="dxa"/>
            <w:vAlign w:val="bottom"/>
          </w:tcPr>
          <w:p>
            <w:pPr>
              <w:spacing w:after="0"/>
              <w:rPr>
                <w:sz w:val="1"/>
                <w:szCs w:val="1"/>
                <w:color w:val="auto"/>
              </w:rPr>
            </w:pPr>
          </w:p>
        </w:tc>
      </w:tr>
      <w:tr>
        <w:trPr>
          <w:trHeight w:val="79"/>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Questex Media Group LLC </w:t>
            </w:r>
            <w:r>
              <w:rPr>
                <w:rFonts w:ascii="Arial" w:cs="Arial" w:eastAsia="Arial" w:hAnsi="Arial"/>
                <w:sz w:val="8"/>
                <w:szCs w:val="8"/>
                <w:color w:val="auto"/>
              </w:rPr>
              <w:t>(9)</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12/16/2012</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 Media</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240,485</w:t>
            </w:r>
          </w:p>
        </w:tc>
        <w:tc>
          <w:tcPr>
            <w:tcW w:w="0" w:type="dxa"/>
            <w:vAlign w:val="bottom"/>
          </w:tcPr>
          <w:p>
            <w:pPr>
              <w:spacing w:after="0"/>
              <w:rPr>
                <w:sz w:val="1"/>
                <w:szCs w:val="1"/>
                <w:color w:val="auto"/>
              </w:rPr>
            </w:pPr>
          </w:p>
        </w:tc>
      </w:tr>
      <w:tr>
        <w:trPr>
          <w:trHeight w:val="80"/>
        </w:trPr>
        <w:tc>
          <w:tcPr>
            <w:tcW w:w="2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Arial" w:cs="Arial" w:eastAsia="Arial" w:hAnsi="Arial"/>
                <w:sz w:val="14"/>
                <w:szCs w:val="14"/>
                <w:color w:val="auto"/>
              </w:rPr>
              <w:t>VPSI, Inc.</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12/23/2015</w:t>
            </w:r>
          </w:p>
        </w:tc>
        <w:tc>
          <w:tcPr>
            <w:tcW w:w="1740" w:type="dxa"/>
            <w:vAlign w:val="bottom"/>
          </w:tcPr>
          <w:p>
            <w:pPr>
              <w:jc w:val="center"/>
              <w:spacing w:after="0"/>
              <w:rPr>
                <w:sz w:val="20"/>
                <w:szCs w:val="20"/>
                <w:color w:val="auto"/>
              </w:rPr>
            </w:pPr>
            <w:r>
              <w:rPr>
                <w:rFonts w:ascii="Arial" w:cs="Arial" w:eastAsia="Arial" w:hAnsi="Arial"/>
                <w:sz w:val="14"/>
                <w:szCs w:val="14"/>
                <w:color w:val="auto"/>
                <w:w w:val="92"/>
              </w:rPr>
              <w:t>Personal Transportation</w:t>
            </w: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L+1,000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17,302,083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17,047,133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17,215,572</w:t>
            </w: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 xml:space="preserve">Yonkers Racing Corp. </w:t>
            </w:r>
            <w:r>
              <w:rPr>
                <w:rFonts w:ascii="Arial" w:cs="Arial" w:eastAsia="Arial" w:hAnsi="Arial"/>
                <w:sz w:val="8"/>
                <w:szCs w:val="8"/>
                <w:color w:val="auto"/>
              </w:rPr>
              <w:t>(5)</w:t>
            </w:r>
          </w:p>
        </w:tc>
        <w:tc>
          <w:tcPr>
            <w:tcW w:w="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7/15/2016</w:t>
            </w:r>
          </w:p>
        </w:tc>
        <w:tc>
          <w:tcPr>
            <w:tcW w:w="17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Hotels, Motels, Inns and</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11.38%</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4,391,231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4,590,000</w:t>
            </w: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Gaming</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Total First Lien Secured Debt</w:t>
            </w: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89"/>
              </w:rPr>
              <w:t>289,742,323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2"/>
              </w:rPr>
              <w:t>280,144,815</w:t>
            </w:r>
          </w:p>
        </w:tc>
        <w:tc>
          <w:tcPr>
            <w:tcW w:w="0" w:type="dxa"/>
            <w:vAlign w:val="bottom"/>
          </w:tcPr>
          <w:p>
            <w:pPr>
              <w:spacing w:after="0"/>
              <w:rPr>
                <w:sz w:val="1"/>
                <w:szCs w:val="1"/>
                <w:color w:val="auto"/>
              </w:rPr>
            </w:pPr>
          </w:p>
        </w:tc>
      </w:tr>
      <w:tr>
        <w:trPr>
          <w:trHeight w:val="66"/>
        </w:trPr>
        <w:tc>
          <w:tcPr>
            <w:tcW w:w="2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139"/>
          </w:cols>
          <w:pgMar w:left="320" w:top="122" w:right="1440"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Basis Point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Above</w:t>
            </w: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Coupon</w:t>
            </w:r>
          </w:p>
        </w:tc>
        <w:tc>
          <w:tcPr>
            <w:tcW w:w="280" w:type="dxa"/>
            <w:vAlign w:val="bottom"/>
          </w:tcPr>
          <w:p>
            <w:pPr>
              <w:spacing w:after="0"/>
              <w:rPr>
                <w:sz w:val="16"/>
                <w:szCs w:val="16"/>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0"/>
        </w:trPr>
        <w:tc>
          <w:tcPr>
            <w:tcW w:w="27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Second Lien Secured Debt—32.9%</w:t>
            </w:r>
          </w:p>
        </w:tc>
        <w:tc>
          <w:tcPr>
            <w:tcW w:w="17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00" w:type="dxa"/>
            <w:vAlign w:val="bottom"/>
          </w:tcPr>
          <w:p>
            <w:pPr>
              <w:ind w:left="40"/>
              <w:spacing w:after="0" w:line="157" w:lineRule="exact"/>
              <w:rPr>
                <w:sz w:val="20"/>
                <w:szCs w:val="20"/>
                <w:color w:val="auto"/>
              </w:rPr>
            </w:pPr>
            <w:r>
              <w:rPr>
                <w:rFonts w:ascii="Arial" w:cs="Arial" w:eastAsia="Arial" w:hAnsi="Arial"/>
                <w:sz w:val="14"/>
                <w:szCs w:val="14"/>
                <w:color w:val="auto"/>
              </w:rPr>
              <w:t>Brand Energy and</w:t>
            </w: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1"/>
              </w:rPr>
              <w:t>2/7/2015</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8"/>
              </w:rPr>
              <w:t>Energy/Utilities</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6.30%</w:t>
            </w:r>
          </w:p>
        </w:tc>
        <w:tc>
          <w:tcPr>
            <w:tcW w:w="2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L+600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w w:val="95"/>
              </w:rPr>
              <w:t>$ 13,600,000</w:t>
            </w:r>
          </w:p>
        </w:tc>
        <w:tc>
          <w:tcPr>
            <w:tcW w:w="4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13,300,431</w:t>
            </w:r>
          </w:p>
        </w:tc>
        <w:tc>
          <w:tcPr>
            <w:tcW w:w="100" w:type="dxa"/>
            <w:vAlign w:val="bottom"/>
          </w:tcPr>
          <w:p>
            <w:pPr>
              <w:spacing w:after="0"/>
              <w:rPr>
                <w:sz w:val="13"/>
                <w:szCs w:val="13"/>
                <w:color w:val="auto"/>
              </w:rPr>
            </w:pPr>
          </w:p>
        </w:tc>
        <w:tc>
          <w:tcPr>
            <w:tcW w:w="2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11,832,000</w:t>
            </w:r>
          </w:p>
        </w:tc>
        <w:tc>
          <w:tcPr>
            <w:tcW w:w="0" w:type="dxa"/>
            <w:vAlign w:val="bottom"/>
          </w:tcPr>
          <w:p>
            <w:pPr>
              <w:spacing w:after="0"/>
              <w:rPr>
                <w:sz w:val="1"/>
                <w:szCs w:val="1"/>
                <w:color w:val="auto"/>
              </w:rPr>
            </w:pPr>
          </w:p>
        </w:tc>
      </w:tr>
      <w:tr>
        <w:trPr>
          <w:trHeight w:val="188"/>
        </w:trPr>
        <w:tc>
          <w:tcPr>
            <w:tcW w:w="2000" w:type="dxa"/>
            <w:vAlign w:val="bottom"/>
          </w:tcPr>
          <w:p>
            <w:pPr>
              <w:ind w:left="40"/>
              <w:spacing w:after="0"/>
              <w:rPr>
                <w:sz w:val="20"/>
                <w:szCs w:val="20"/>
                <w:color w:val="auto"/>
              </w:rPr>
            </w:pPr>
            <w:r>
              <w:rPr>
                <w:rFonts w:ascii="Arial" w:cs="Arial" w:eastAsia="Arial" w:hAnsi="Arial"/>
                <w:sz w:val="14"/>
                <w:szCs w:val="14"/>
                <w:color w:val="auto"/>
              </w:rPr>
              <w:t>Infrastructure Services, Inc.</w:t>
            </w: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Brand Energy and</w:t>
            </w:r>
          </w:p>
        </w:tc>
        <w:tc>
          <w:tcPr>
            <w:tcW w:w="7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1"/>
              </w:rPr>
              <w:t>2/7/2015</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Energy/Utilities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L+700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11,821,275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10,680,000</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Services, Inc.</w:t>
            </w: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40"/>
              <w:spacing w:after="0"/>
              <w:rPr>
                <w:sz w:val="20"/>
                <w:szCs w:val="20"/>
                <w:color w:val="auto"/>
              </w:rPr>
            </w:pPr>
            <w:r>
              <w:rPr>
                <w:rFonts w:ascii="Arial" w:cs="Arial" w:eastAsia="Arial" w:hAnsi="Arial"/>
                <w:sz w:val="14"/>
                <w:szCs w:val="14"/>
                <w:color w:val="auto"/>
              </w:rPr>
              <w:t>DirectBuy Holdings, Inc.</w:t>
            </w:r>
            <w:r>
              <w:rPr>
                <w:rFonts w:ascii="Arial" w:cs="Arial" w:eastAsia="Arial" w:hAnsi="Arial"/>
                <w:sz w:val="8"/>
                <w:szCs w:val="8"/>
                <w:color w:val="auto"/>
              </w:rPr>
              <w:t>(5)</w:t>
            </w: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1"/>
              </w:rPr>
              <w:t>2/1/2017</w:t>
            </w:r>
          </w:p>
        </w:tc>
        <w:tc>
          <w:tcPr>
            <w:tcW w:w="1740" w:type="dxa"/>
            <w:vAlign w:val="bottom"/>
          </w:tcPr>
          <w:p>
            <w:pPr>
              <w:jc w:val="center"/>
              <w:spacing w:after="0"/>
              <w:rPr>
                <w:sz w:val="20"/>
                <w:szCs w:val="20"/>
                <w:color w:val="auto"/>
              </w:rPr>
            </w:pPr>
            <w:r>
              <w:rPr>
                <w:rFonts w:ascii="Arial" w:cs="Arial" w:eastAsia="Arial" w:hAnsi="Arial"/>
                <w:sz w:val="14"/>
                <w:szCs w:val="14"/>
                <w:color w:val="auto"/>
                <w:w w:val="92"/>
              </w:rPr>
              <w:t>Consumer Products</w:t>
            </w: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34,000,000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31,944,865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10,710,000</w:t>
            </w:r>
          </w:p>
        </w:tc>
        <w:tc>
          <w:tcPr>
            <w:tcW w:w="0" w:type="dxa"/>
            <w:vAlign w:val="bottom"/>
          </w:tcPr>
          <w:p>
            <w:pPr>
              <w:spacing w:after="0"/>
              <w:rPr>
                <w:sz w:val="1"/>
                <w:szCs w:val="1"/>
                <w:color w:val="auto"/>
              </w:rPr>
            </w:pPr>
          </w:p>
        </w:tc>
      </w:tr>
      <w:tr>
        <w:trPr>
          <w:trHeight w:val="80"/>
        </w:trPr>
        <w:tc>
          <w:tcPr>
            <w:tcW w:w="2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Eureka Hunter Pipeline, LLC</w:t>
            </w:r>
          </w:p>
        </w:tc>
        <w:tc>
          <w:tcPr>
            <w:tcW w:w="7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3"/>
              </w:rPr>
              <w:t>8/16/2018</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Energy/Utilities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31,000,000</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31,000,000</w:t>
            </w:r>
          </w:p>
        </w:tc>
        <w:tc>
          <w:tcPr>
            <w:tcW w:w="0" w:type="dxa"/>
            <w:vAlign w:val="bottom"/>
          </w:tcPr>
          <w:p>
            <w:pPr>
              <w:spacing w:after="0"/>
              <w:rPr>
                <w:sz w:val="1"/>
                <w:szCs w:val="1"/>
                <w:color w:val="auto"/>
              </w:rPr>
            </w:pPr>
          </w:p>
        </w:tc>
      </w:tr>
      <w:tr>
        <w:trPr>
          <w:trHeight w:val="80"/>
        </w:trPr>
        <w:tc>
          <w:tcPr>
            <w:tcW w:w="20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00" w:type="dxa"/>
            <w:vAlign w:val="bottom"/>
          </w:tcPr>
          <w:p>
            <w:pPr>
              <w:ind w:left="40"/>
              <w:spacing w:after="0"/>
              <w:rPr>
                <w:sz w:val="20"/>
                <w:szCs w:val="20"/>
                <w:color w:val="auto"/>
              </w:rPr>
            </w:pPr>
            <w:r>
              <w:rPr>
                <w:rFonts w:ascii="Arial" w:cs="Arial" w:eastAsia="Arial" w:hAnsi="Arial"/>
                <w:sz w:val="14"/>
                <w:szCs w:val="14"/>
                <w:color w:val="auto"/>
              </w:rPr>
              <w:t>Eureka Hunter Pipeline, LLC</w:t>
            </w: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3"/>
              </w:rPr>
              <w:t>8/15/2012</w:t>
            </w:r>
          </w:p>
        </w:tc>
        <w:tc>
          <w:tcPr>
            <w:tcW w:w="1740" w:type="dxa"/>
            <w:vAlign w:val="bottom"/>
          </w:tcPr>
          <w:p>
            <w:pPr>
              <w:jc w:val="center"/>
              <w:spacing w:after="0"/>
              <w:rPr>
                <w:sz w:val="20"/>
                <w:szCs w:val="20"/>
                <w:color w:val="auto"/>
              </w:rPr>
            </w:pPr>
            <w:r>
              <w:rPr>
                <w:rFonts w:ascii="Arial" w:cs="Arial" w:eastAsia="Arial" w:hAnsi="Arial"/>
                <w:sz w:val="14"/>
                <w:szCs w:val="14"/>
                <w:color w:val="auto"/>
                <w:w w:val="98"/>
              </w:rPr>
              <w:t>Energy/Utilities</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19,000,000</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18,525,000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18,525,000</w:t>
            </w:r>
          </w:p>
        </w:tc>
        <w:tc>
          <w:tcPr>
            <w:tcW w:w="0" w:type="dxa"/>
            <w:vAlign w:val="bottom"/>
          </w:tcPr>
          <w:p>
            <w:pPr>
              <w:spacing w:after="0"/>
              <w:rPr>
                <w:sz w:val="1"/>
                <w:szCs w:val="1"/>
                <w:color w:val="auto"/>
              </w:rPr>
            </w:pPr>
          </w:p>
        </w:tc>
      </w:tr>
      <w:tr>
        <w:trPr>
          <w:trHeight w:val="114"/>
        </w:trPr>
        <w:tc>
          <w:tcPr>
            <w:tcW w:w="2000" w:type="dxa"/>
            <w:vAlign w:val="bottom"/>
          </w:tcPr>
          <w:p>
            <w:pPr>
              <w:ind w:left="40"/>
              <w:spacing w:after="0"/>
              <w:rPr>
                <w:sz w:val="20"/>
                <w:szCs w:val="20"/>
                <w:color w:val="auto"/>
              </w:rPr>
            </w:pPr>
            <w:r>
              <w:rPr>
                <w:rFonts w:ascii="Arial" w:cs="Arial" w:eastAsia="Arial" w:hAnsi="Arial"/>
                <w:sz w:val="9"/>
                <w:szCs w:val="9"/>
                <w:color w:val="auto"/>
              </w:rPr>
              <w:t>(9)</w:t>
            </w: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Greatwide Logistics Services,</w:t>
            </w:r>
          </w:p>
        </w:tc>
        <w:tc>
          <w:tcPr>
            <w:tcW w:w="7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1"/>
              </w:rPr>
              <w:t>3/1/2014</w:t>
            </w:r>
          </w:p>
        </w:tc>
        <w:tc>
          <w:tcPr>
            <w:tcW w:w="17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Cargo Transport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11.00%</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(6)</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L+700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2,860,871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2,860,871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2,860,871</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00" w:type="dxa"/>
            <w:vAlign w:val="bottom"/>
          </w:tcPr>
          <w:p>
            <w:pPr>
              <w:ind w:left="40"/>
              <w:spacing w:after="0" w:line="157" w:lineRule="exact"/>
              <w:rPr>
                <w:sz w:val="20"/>
                <w:szCs w:val="20"/>
                <w:color w:val="auto"/>
              </w:rPr>
            </w:pPr>
            <w:r>
              <w:rPr>
                <w:rFonts w:ascii="Arial" w:cs="Arial" w:eastAsia="Arial" w:hAnsi="Arial"/>
                <w:sz w:val="14"/>
                <w:szCs w:val="14"/>
                <w:color w:val="auto"/>
              </w:rPr>
              <w:t>Questex Media Group LLC,</w:t>
            </w: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12/15/2014</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6"/>
              </w:rPr>
              <w:t>Other Media</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9.50%</w:t>
            </w:r>
          </w:p>
        </w:tc>
        <w:tc>
          <w:tcPr>
            <w:tcW w:w="2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L+650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2,971,450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2,971,450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2,692,134</w:t>
            </w:r>
          </w:p>
        </w:tc>
        <w:tc>
          <w:tcPr>
            <w:tcW w:w="0" w:type="dxa"/>
            <w:vAlign w:val="bottom"/>
          </w:tcPr>
          <w:p>
            <w:pPr>
              <w:spacing w:after="0"/>
              <w:rPr>
                <w:sz w:val="1"/>
                <w:szCs w:val="1"/>
                <w:color w:val="auto"/>
              </w:rPr>
            </w:pPr>
          </w:p>
        </w:tc>
      </w:tr>
      <w:tr>
        <w:trPr>
          <w:trHeight w:val="188"/>
        </w:trPr>
        <w:tc>
          <w:tcPr>
            <w:tcW w:w="2000" w:type="dxa"/>
            <w:vAlign w:val="bottom"/>
          </w:tcPr>
          <w:p>
            <w:pPr>
              <w:ind w:left="40"/>
              <w:spacing w:after="0"/>
              <w:rPr>
                <w:sz w:val="20"/>
                <w:szCs w:val="20"/>
                <w:color w:val="auto"/>
              </w:rPr>
            </w:pPr>
            <w:r>
              <w:rPr>
                <w:rFonts w:ascii="Arial" w:cs="Arial" w:eastAsia="Arial" w:hAnsi="Arial"/>
                <w:sz w:val="14"/>
                <w:szCs w:val="14"/>
                <w:color w:val="auto"/>
              </w:rPr>
              <w:t>Term Loan A</w:t>
            </w: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LLC,</w:t>
            </w:r>
          </w:p>
        </w:tc>
        <w:tc>
          <w:tcPr>
            <w:tcW w:w="7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4"/>
              </w:rPr>
              <w:t>12/15/2015</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 Media</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L+750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1,990,370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1,990,370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1,737,593</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B</w:t>
            </w: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40"/>
              <w:spacing w:after="0"/>
              <w:rPr>
                <w:sz w:val="20"/>
                <w:szCs w:val="20"/>
                <w:color w:val="auto"/>
              </w:rPr>
            </w:pPr>
            <w:r>
              <w:rPr>
                <w:rFonts w:ascii="Arial" w:cs="Arial" w:eastAsia="Arial" w:hAnsi="Arial"/>
                <w:sz w:val="14"/>
                <w:szCs w:val="14"/>
                <w:color w:val="auto"/>
              </w:rPr>
              <w:t>RAM Energy Resources, Inc.</w:t>
            </w: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3"/>
              </w:rPr>
              <w:t>9/13/2016</w:t>
            </w:r>
          </w:p>
        </w:tc>
        <w:tc>
          <w:tcPr>
            <w:tcW w:w="1740" w:type="dxa"/>
            <w:vAlign w:val="bottom"/>
          </w:tcPr>
          <w:p>
            <w:pPr>
              <w:jc w:val="center"/>
              <w:spacing w:after="0"/>
              <w:rPr>
                <w:sz w:val="20"/>
                <w:szCs w:val="20"/>
                <w:color w:val="auto"/>
              </w:rPr>
            </w:pPr>
            <w:r>
              <w:rPr>
                <w:rFonts w:ascii="Arial" w:cs="Arial" w:eastAsia="Arial" w:hAnsi="Arial"/>
                <w:sz w:val="14"/>
                <w:szCs w:val="14"/>
                <w:color w:val="auto"/>
                <w:w w:val="94"/>
              </w:rPr>
              <w:t>Oil and Gas</w:t>
            </w:r>
          </w:p>
        </w:tc>
        <w:tc>
          <w:tcPr>
            <w:tcW w:w="680" w:type="dxa"/>
            <w:vAlign w:val="bottom"/>
          </w:tcPr>
          <w:p>
            <w:pPr>
              <w:jc w:val="right"/>
              <w:spacing w:after="0"/>
              <w:rPr>
                <w:sz w:val="20"/>
                <w:szCs w:val="20"/>
                <w:color w:val="auto"/>
              </w:rPr>
            </w:pPr>
            <w:r>
              <w:rPr>
                <w:rFonts w:ascii="Arial" w:cs="Arial" w:eastAsia="Arial" w:hAnsi="Arial"/>
                <w:sz w:val="14"/>
                <w:szCs w:val="14"/>
                <w:color w:val="auto"/>
              </w:rPr>
              <w:t>11.00%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L+900</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17,000,000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16,672,749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16,830,000</w:t>
            </w:r>
          </w:p>
        </w:tc>
        <w:tc>
          <w:tcPr>
            <w:tcW w:w="0" w:type="dxa"/>
            <w:vAlign w:val="bottom"/>
          </w:tcPr>
          <w:p>
            <w:pPr>
              <w:spacing w:after="0"/>
              <w:rPr>
                <w:sz w:val="1"/>
                <w:szCs w:val="1"/>
                <w:color w:val="auto"/>
              </w:rPr>
            </w:pPr>
          </w:p>
        </w:tc>
      </w:tr>
      <w:tr>
        <w:trPr>
          <w:trHeight w:val="80"/>
        </w:trPr>
        <w:tc>
          <w:tcPr>
            <w:tcW w:w="2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Realogy Corp.</w:t>
            </w:r>
          </w:p>
        </w:tc>
        <w:tc>
          <w:tcPr>
            <w:tcW w:w="7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4"/>
              </w:rPr>
              <w:t>10/15/2017</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Buildings and Real Estate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9,760,000</w:t>
            </w:r>
          </w:p>
        </w:tc>
        <w:tc>
          <w:tcPr>
            <w:tcW w:w="0" w:type="dxa"/>
            <w:vAlign w:val="bottom"/>
          </w:tcPr>
          <w:p>
            <w:pPr>
              <w:spacing w:after="0"/>
              <w:rPr>
                <w:sz w:val="1"/>
                <w:szCs w:val="1"/>
                <w:color w:val="auto"/>
              </w:rPr>
            </w:pPr>
          </w:p>
        </w:tc>
      </w:tr>
      <w:tr>
        <w:trPr>
          <w:trHeight w:val="80"/>
        </w:trPr>
        <w:tc>
          <w:tcPr>
            <w:tcW w:w="20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00" w:type="dxa"/>
            <w:vAlign w:val="bottom"/>
          </w:tcPr>
          <w:p>
            <w:pPr>
              <w:ind w:left="40"/>
              <w:spacing w:after="0" w:line="157" w:lineRule="exact"/>
              <w:rPr>
                <w:sz w:val="20"/>
                <w:szCs w:val="20"/>
                <w:color w:val="auto"/>
              </w:rPr>
            </w:pPr>
            <w:r>
              <w:rPr>
                <w:rFonts w:ascii="Arial" w:cs="Arial" w:eastAsia="Arial" w:hAnsi="Arial"/>
                <w:sz w:val="14"/>
                <w:szCs w:val="14"/>
                <w:color w:val="auto"/>
              </w:rPr>
              <w:t>ROC Finance LLC and ROC</w:t>
            </w: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1"/>
              </w:rPr>
              <w:t>9/1/2018</w:t>
            </w:r>
          </w:p>
        </w:tc>
        <w:tc>
          <w:tcPr>
            <w:tcW w:w="1740" w:type="dxa"/>
            <w:vAlign w:val="bottom"/>
          </w:tcPr>
          <w:p>
            <w:pPr>
              <w:jc w:val="center"/>
              <w:spacing w:after="0" w:line="157" w:lineRule="exact"/>
              <w:rPr>
                <w:sz w:val="20"/>
                <w:szCs w:val="20"/>
                <w:color w:val="auto"/>
              </w:rPr>
            </w:pPr>
            <w:r>
              <w:rPr>
                <w:rFonts w:ascii="Arial" w:cs="Arial" w:eastAsia="Arial" w:hAnsi="Arial"/>
                <w:sz w:val="14"/>
                <w:szCs w:val="14"/>
                <w:color w:val="auto"/>
                <w:w w:val="94"/>
              </w:rPr>
              <w:t>Hotels, Motels, Inns and</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12.13%</w:t>
            </w:r>
          </w:p>
        </w:tc>
        <w:tc>
          <w:tcPr>
            <w:tcW w:w="2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16,000,000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15,726,668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16,160,000</w:t>
            </w:r>
          </w:p>
        </w:tc>
        <w:tc>
          <w:tcPr>
            <w:tcW w:w="0" w:type="dxa"/>
            <w:vAlign w:val="bottom"/>
          </w:tcPr>
          <w:p>
            <w:pPr>
              <w:spacing w:after="0"/>
              <w:rPr>
                <w:sz w:val="1"/>
                <w:szCs w:val="1"/>
                <w:color w:val="auto"/>
              </w:rPr>
            </w:pPr>
          </w:p>
        </w:tc>
      </w:tr>
      <w:tr>
        <w:trPr>
          <w:trHeight w:val="188"/>
        </w:trPr>
        <w:tc>
          <w:tcPr>
            <w:tcW w:w="2000" w:type="dxa"/>
            <w:vAlign w:val="bottom"/>
          </w:tcPr>
          <w:p>
            <w:pPr>
              <w:ind w:left="40"/>
              <w:spacing w:after="0"/>
              <w:rPr>
                <w:sz w:val="20"/>
                <w:szCs w:val="20"/>
                <w:color w:val="auto"/>
              </w:rPr>
            </w:pPr>
            <w:r>
              <w:rPr>
                <w:rFonts w:ascii="Arial" w:cs="Arial" w:eastAsia="Arial" w:hAnsi="Arial"/>
                <w:sz w:val="14"/>
                <w:szCs w:val="14"/>
                <w:color w:val="auto"/>
              </w:rPr>
              <w:t>Finance 1 Corp</w:t>
            </w:r>
          </w:p>
        </w:tc>
        <w:tc>
          <w:tcPr>
            <w:tcW w:w="7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Gaming</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3"/>
              </w:rPr>
              <w:t>6/15/2015</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Healthcare, Education and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0"/>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L+575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11,856,253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12,521,250</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Childcare</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40"/>
              <w:spacing w:after="0"/>
              <w:rPr>
                <w:sz w:val="20"/>
                <w:szCs w:val="20"/>
                <w:color w:val="auto"/>
              </w:rPr>
            </w:pPr>
            <w:r>
              <w:rPr>
                <w:rFonts w:ascii="Arial" w:cs="Arial" w:eastAsia="Arial" w:hAnsi="Arial"/>
                <w:sz w:val="14"/>
                <w:szCs w:val="14"/>
                <w:color w:val="auto"/>
              </w:rPr>
              <w:t>TransFirst Holdings, Inc.</w:t>
            </w: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3"/>
              </w:rPr>
              <w:t>6/15/2015</w:t>
            </w: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Financial Services</w:t>
            </w:r>
          </w:p>
        </w:tc>
        <w:tc>
          <w:tcPr>
            <w:tcW w:w="680" w:type="dxa"/>
            <w:vAlign w:val="bottom"/>
          </w:tcPr>
          <w:p>
            <w:pPr>
              <w:jc w:val="right"/>
              <w:spacing w:after="0"/>
              <w:rPr>
                <w:sz w:val="20"/>
                <w:szCs w:val="20"/>
                <w:color w:val="auto"/>
              </w:rPr>
            </w:pPr>
            <w:r>
              <w:rPr>
                <w:rFonts w:ascii="Arial" w:cs="Arial" w:eastAsia="Arial" w:hAnsi="Arial"/>
                <w:sz w:val="14"/>
                <w:szCs w:val="14"/>
                <w:color w:val="auto"/>
              </w:rPr>
              <w:t>6.24%</w:t>
            </w:r>
          </w:p>
        </w:tc>
        <w:tc>
          <w:tcPr>
            <w:tcW w:w="280" w:type="dxa"/>
            <w:vAlign w:val="bottom"/>
          </w:tcPr>
          <w:p>
            <w:pPr>
              <w:jc w:val="right"/>
              <w:ind w:right="115"/>
              <w:spacing w:after="0"/>
              <w:rPr>
                <w:sz w:val="20"/>
                <w:szCs w:val="20"/>
                <w:color w:val="auto"/>
              </w:rPr>
            </w:pPr>
            <w:r>
              <w:rPr>
                <w:rFonts w:ascii="Arial" w:cs="Arial" w:eastAsia="Arial" w:hAnsi="Arial"/>
                <w:sz w:val="9"/>
                <w:szCs w:val="9"/>
                <w:color w:val="auto"/>
                <w:w w:val="90"/>
              </w:rPr>
              <w:t>(6)</w:t>
            </w:r>
          </w:p>
        </w:tc>
        <w:tc>
          <w:tcPr>
            <w:tcW w:w="640" w:type="dxa"/>
            <w:vAlign w:val="bottom"/>
          </w:tcPr>
          <w:p>
            <w:pPr>
              <w:jc w:val="right"/>
              <w:spacing w:after="0"/>
              <w:rPr>
                <w:sz w:val="20"/>
                <w:szCs w:val="20"/>
                <w:color w:val="auto"/>
              </w:rPr>
            </w:pPr>
            <w:r>
              <w:rPr>
                <w:rFonts w:ascii="Arial" w:cs="Arial" w:eastAsia="Arial" w:hAnsi="Arial"/>
                <w:sz w:val="14"/>
                <w:szCs w:val="14"/>
                <w:color w:val="auto"/>
              </w:rPr>
              <w:t>L+600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7,811,488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7,422,480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6,756,937</w:t>
            </w:r>
          </w:p>
        </w:tc>
        <w:tc>
          <w:tcPr>
            <w:tcW w:w="0" w:type="dxa"/>
            <w:vAlign w:val="bottom"/>
          </w:tcPr>
          <w:p>
            <w:pPr>
              <w:spacing w:after="0"/>
              <w:rPr>
                <w:sz w:val="1"/>
                <w:szCs w:val="1"/>
                <w:color w:val="auto"/>
              </w:rPr>
            </w:pPr>
          </w:p>
        </w:tc>
      </w:tr>
      <w:tr>
        <w:trPr>
          <w:trHeight w:val="80"/>
        </w:trPr>
        <w:tc>
          <w:tcPr>
            <w:tcW w:w="200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0"/>
              </w:rPr>
              <w:t>Total Second Lien Secured Debt</w:t>
            </w: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176,092,412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152,065,785</w:t>
            </w:r>
          </w:p>
        </w:tc>
        <w:tc>
          <w:tcPr>
            <w:tcW w:w="0" w:type="dxa"/>
            <w:vAlign w:val="bottom"/>
          </w:tcPr>
          <w:p>
            <w:pPr>
              <w:spacing w:after="0"/>
              <w:rPr>
                <w:sz w:val="1"/>
                <w:szCs w:val="1"/>
                <w:color w:val="auto"/>
              </w:rPr>
            </w:pPr>
          </w:p>
        </w:tc>
      </w:tr>
      <w:tr>
        <w:trPr>
          <w:trHeight w:val="66"/>
        </w:trPr>
        <w:tc>
          <w:tcPr>
            <w:tcW w:w="20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139"/>
          </w:cols>
          <w:pgMar w:left="320" w:top="122" w:right="1440"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Basis Point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Spread</w:t>
            </w: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Maturity</w:t>
            </w:r>
          </w:p>
        </w:tc>
        <w:tc>
          <w:tcPr>
            <w:tcW w:w="13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Industry</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Above</w:t>
            </w: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Coupon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0"/>
        </w:trPr>
        <w:tc>
          <w:tcPr>
            <w:tcW w:w="3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Subordinated Debt/Corporate Notes—65.0%</w:t>
            </w: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Affinion Group Holdings, Inc.</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4"/>
              </w:rPr>
              <w:t>11/15/2015</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89"/>
              </w:rPr>
              <w:t>Consumer</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11.63%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w w:val="95"/>
              </w:rPr>
              <w:t>$ 26,345,000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8"/>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26,391,240</w:t>
            </w:r>
          </w:p>
        </w:tc>
        <w:tc>
          <w:tcPr>
            <w:tcW w:w="120" w:type="dxa"/>
            <w:vAlign w:val="bottom"/>
          </w:tcPr>
          <w:p>
            <w:pPr>
              <w:spacing w:after="0"/>
              <w:rPr>
                <w:sz w:val="13"/>
                <w:szCs w:val="13"/>
                <w:color w:val="auto"/>
              </w:rPr>
            </w:pP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20,285,650</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Products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Aquilex Holdings, LLC </w:t>
            </w:r>
            <w:r>
              <w:rPr>
                <w:rFonts w:ascii="Arial" w:cs="Arial" w:eastAsia="Arial" w:hAnsi="Arial"/>
                <w:sz w:val="8"/>
                <w:szCs w:val="8"/>
                <w:color w:val="auto"/>
              </w:rPr>
              <w:t>(5)</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12/15/2016</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Diversified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18,885,000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18,440,262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8,309,400</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3"/>
              </w:rPr>
              <w:t>Conglomerate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3"/>
              </w:rPr>
              <w:t>Services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Consolidated Foundries, Inc.</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3"/>
              </w:rPr>
              <w:t>4/17/2015</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1"/>
              </w:rPr>
              <w:t>Aerospace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14.25%</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8,109,468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7,997,216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8,109,468</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Defense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Diversitech Corporation</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1/29/2017</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7"/>
              </w:rPr>
              <w:t>Manufacturing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10,783,491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10,780,000</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3"/>
              </w:rPr>
              <w:t>Basic Industry</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Escort, Inc.</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6/1/2016</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Electronics</w:t>
            </w:r>
          </w:p>
        </w:tc>
        <w:tc>
          <w:tcPr>
            <w:tcW w:w="620" w:type="dxa"/>
            <w:vAlign w:val="bottom"/>
          </w:tcPr>
          <w:p>
            <w:pPr>
              <w:jc w:val="right"/>
              <w:spacing w:after="0"/>
              <w:rPr>
                <w:sz w:val="20"/>
                <w:szCs w:val="20"/>
                <w:color w:val="auto"/>
              </w:rPr>
            </w:pPr>
            <w:r>
              <w:rPr>
                <w:rFonts w:ascii="Arial" w:cs="Arial" w:eastAsia="Arial" w:hAnsi="Arial"/>
                <w:sz w:val="14"/>
                <w:szCs w:val="14"/>
                <w:color w:val="auto"/>
              </w:rPr>
              <w:t>14.75%</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24,560,142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23,964,150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24,314,541</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Last Mile Funding, Corp. (3PD, Inc.)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6/30/2016</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Cargo Transport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44,456,391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43,380,579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43,344,981</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Learning Care Group (US) Inc.</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6/30/2016</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Education</w:t>
            </w:r>
          </w:p>
        </w:tc>
        <w:tc>
          <w:tcPr>
            <w:tcW w:w="620" w:type="dxa"/>
            <w:vAlign w:val="bottom"/>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4,566,982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3,891,689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4,133,119</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LTI Flexible Products, Inc.</w:t>
            </w:r>
          </w:p>
        </w:tc>
        <w:tc>
          <w:tcPr>
            <w:tcW w:w="9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1/26/2017</w:t>
            </w:r>
          </w:p>
        </w:tc>
        <w:tc>
          <w:tcPr>
            <w:tcW w:w="1340" w:type="dxa"/>
            <w:vAlign w:val="bottom"/>
            <w:gridSpan w:val="2"/>
            <w:shd w:val="clear" w:color="auto" w:fill="CCEEFF"/>
          </w:tcPr>
          <w:p>
            <w:pPr>
              <w:jc w:val="center"/>
              <w:ind w:right="40"/>
              <w:spacing w:after="0" w:line="157" w:lineRule="exact"/>
              <w:rPr>
                <w:sz w:val="20"/>
                <w:szCs w:val="20"/>
                <w:color w:val="auto"/>
              </w:rPr>
            </w:pPr>
            <w:r>
              <w:rPr>
                <w:rFonts w:ascii="Arial" w:cs="Arial" w:eastAsia="Arial" w:hAnsi="Arial"/>
                <w:sz w:val="14"/>
                <w:szCs w:val="14"/>
                <w:color w:val="auto"/>
                <w:w w:val="94"/>
              </w:rPr>
              <w:t>Chemical, Plastic</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13.88%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33,937,985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33,119,280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33,768,295</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0"/>
              </w:rPr>
              <w:t>and Rubber</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Mailsouth, Inc.</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3"/>
              </w:rPr>
              <w:t>6/15/2017</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3"/>
              </w:rPr>
              <w:t>Printing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14.50%</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14,579,991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14,640,000</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Publishing</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MedQuist, Inc.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10/14/2016</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18,492,685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19,950,000</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PAS Technologies, Inc.</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3"/>
              </w:rPr>
              <w:t>5/12/2017</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1"/>
              </w:rPr>
              <w:t>Aerospace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14.02%</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16,785,000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16,400,403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16,600,365</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Defense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Prince Mineral Holdings Corp.</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12/3/2016</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6"/>
              </w:rPr>
              <w:t>Mining, Steel,</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26,169,195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25,667,843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25,645,811</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5"/>
              </w:rPr>
              <w:t>Iron and Non-</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Precious Metals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Realogy Corp.</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3"/>
              </w:rPr>
              <w:t>4/15/2018</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7"/>
              </w:rPr>
              <w:t>Buildings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11.00%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9,159,259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7,800,000</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Real Estate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TRAK Acquisition Corp.</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12/29/2015</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12,020,950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11,683,548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11,984,887</w:t>
            </w: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UP Support Services, Inc.</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2/8/2015</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Oil and Gas</w:t>
            </w:r>
          </w:p>
        </w:tc>
        <w:tc>
          <w:tcPr>
            <w:tcW w:w="620" w:type="dxa"/>
            <w:vAlign w:val="bottom"/>
          </w:tcPr>
          <w:p>
            <w:pPr>
              <w:jc w:val="right"/>
              <w:spacing w:after="0"/>
              <w:rPr>
                <w:sz w:val="20"/>
                <w:szCs w:val="20"/>
                <w:color w:val="auto"/>
              </w:rPr>
            </w:pPr>
            <w:r>
              <w:rPr>
                <w:rFonts w:ascii="Arial" w:cs="Arial" w:eastAsia="Arial" w:hAnsi="Arial"/>
                <w:sz w:val="14"/>
                <w:szCs w:val="14"/>
                <w:color w:val="auto"/>
              </w:rPr>
              <w:t>19.00%</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26,276,070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26,063,224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24,173,984</w:t>
            </w:r>
          </w:p>
        </w:tc>
        <w:tc>
          <w:tcPr>
            <w:tcW w:w="0" w:type="dxa"/>
            <w:vAlign w:val="bottom"/>
          </w:tcPr>
          <w:p>
            <w:pPr>
              <w:spacing w:after="0"/>
              <w:rPr>
                <w:sz w:val="1"/>
                <w:szCs w:val="1"/>
                <w:color w:val="auto"/>
              </w:rPr>
            </w:pPr>
          </w:p>
        </w:tc>
      </w:tr>
      <w:tr>
        <w:trPr>
          <w:trHeight w:val="79"/>
        </w:trPr>
        <w:tc>
          <w:tcPr>
            <w:tcW w:w="2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Veritext Corp.</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12/31/2015</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14,686,238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 xml:space="preserve">Veritext Corp. </w:t>
            </w:r>
            <w:r>
              <w:rPr>
                <w:rFonts w:ascii="Arial" w:cs="Arial" w:eastAsia="Arial" w:hAnsi="Arial"/>
                <w:sz w:val="8"/>
                <w:szCs w:val="8"/>
                <w:color w:val="auto"/>
              </w:rPr>
              <w:t>(9)</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12/31/2012</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Business Services</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79"/>
        </w:trPr>
        <w:tc>
          <w:tcPr>
            <w:tcW w:w="3320" w:type="dxa"/>
            <w:vAlign w:val="bottom"/>
            <w:tcBorders>
              <w:bottom w:val="single" w:sz="8" w:color="CCEEFF"/>
            </w:tcBorders>
            <w:gridSpan w:val="2"/>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Subordinated Debt/Corporate Notes</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316,401,098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300,840,501</w:t>
            </w:r>
          </w:p>
        </w:tc>
        <w:tc>
          <w:tcPr>
            <w:tcW w:w="0" w:type="dxa"/>
            <w:vAlign w:val="bottom"/>
          </w:tcPr>
          <w:p>
            <w:pPr>
              <w:spacing w:after="0"/>
              <w:rPr>
                <w:sz w:val="1"/>
                <w:szCs w:val="1"/>
                <w:color w:val="auto"/>
              </w:rPr>
            </w:pPr>
          </w:p>
        </w:tc>
      </w:tr>
      <w:tr>
        <w:trPr>
          <w:trHeight w:val="66"/>
        </w:trPr>
        <w:tc>
          <w:tcPr>
            <w:tcW w:w="23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80" w:type="dxa"/>
            <w:vAlign w:val="bottom"/>
            <w:gridSpan w:val="4"/>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960" w:type="dxa"/>
            <w:vAlign w:val="bottom"/>
            <w:gridSpan w:val="2"/>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20" w:type="dxa"/>
            <w:vAlign w:val="bottom"/>
            <w:gridSpan w:val="9"/>
          </w:tcPr>
          <w:p>
            <w:pPr>
              <w:jc w:val="center"/>
              <w:ind w:left="308"/>
              <w:spacing w:after="0"/>
              <w:rPr>
                <w:sz w:val="20"/>
                <w:szCs w:val="20"/>
                <w:color w:val="auto"/>
              </w:rPr>
            </w:pPr>
            <w:r>
              <w:rPr>
                <w:rFonts w:ascii="Arial" w:cs="Arial" w:eastAsia="Arial" w:hAnsi="Arial"/>
                <w:sz w:val="14"/>
                <w:szCs w:val="14"/>
                <w:color w:val="auto"/>
                <w:w w:val="97"/>
              </w:rPr>
              <w:t>SEE NOTES TO CONSOLIDATED FINANCIAL STATEMENTS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70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22" w:right="1440"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Basis Point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Spread</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5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Industry</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Above</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31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Preferred Equity/Partnership Interests—1.7%</w:t>
            </w:r>
            <w:r>
              <w:rPr>
                <w:rFonts w:ascii="Arial" w:cs="Arial" w:eastAsia="Arial" w:hAnsi="Arial"/>
                <w:sz w:val="8"/>
                <w:szCs w:val="8"/>
                <w:b w:val="1"/>
                <w:bCs w:val="1"/>
                <w:color w:val="auto"/>
                <w:w w:val="99"/>
              </w:rPr>
              <w:t>(7)</w:t>
            </w:r>
          </w:p>
        </w:tc>
        <w:tc>
          <w:tcPr>
            <w:tcW w:w="14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AH Holdings, Inc. (American</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2"/>
              </w:rPr>
              <w:t>Healthcare, Education</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6.00%</w:t>
            </w:r>
          </w:p>
        </w:tc>
        <w:tc>
          <w:tcPr>
            <w:tcW w:w="3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3"/>
                <w:szCs w:val="13"/>
                <w:color w:val="auto"/>
              </w:rPr>
            </w:pPr>
          </w:p>
        </w:tc>
        <w:tc>
          <w:tcPr>
            <w:tcW w:w="2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3"/>
                <w:szCs w:val="13"/>
                <w:color w:val="auto"/>
              </w:rPr>
            </w:pP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491,004</w:t>
            </w: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Surgical Holdings, Inc.)</w:t>
            </w:r>
          </w:p>
        </w:tc>
        <w:tc>
          <w:tcPr>
            <w:tcW w:w="88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and Childcare</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AHC Mezzanine, LLC (Advanstar</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Other Media</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8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CFHC Holdings, Inc., Class A</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89"/>
              </w:rPr>
              <w:t>Aerospace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12.00%</w:t>
            </w:r>
          </w:p>
        </w:tc>
        <w:tc>
          <w:tcPr>
            <w:tcW w:w="3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909,248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1,328,977</w:t>
            </w: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(Consolidated Foundries, Inc.)</w:t>
            </w:r>
          </w:p>
        </w:tc>
        <w:tc>
          <w:tcPr>
            <w:tcW w:w="88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Defense</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PAS Tech Holdings, Inc., Series A-</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Aerospace and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2,026,969</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 (PAS Technologies)</w:t>
            </w:r>
          </w:p>
        </w:tc>
        <w:tc>
          <w:tcPr>
            <w:tcW w:w="8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Defense</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TZ Holdings, L.P., Series A</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Insurance</w:t>
            </w:r>
          </w:p>
        </w:tc>
        <w:tc>
          <w:tcPr>
            <w:tcW w:w="96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(Trizetto Group, Inc.)</w:t>
            </w: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TZ Holdings, L.P., Series B</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Insurance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1,581,165</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(Trizetto Group, Inc.)</w:t>
            </w:r>
          </w:p>
        </w:tc>
        <w:tc>
          <w:tcPr>
            <w:tcW w:w="8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Universal Pegasus International,</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Oil and Gas</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8.00%</w:t>
            </w:r>
          </w:p>
        </w:tc>
        <w:tc>
          <w:tcPr>
            <w:tcW w:w="340" w:type="dxa"/>
            <w:vAlign w:val="bottom"/>
          </w:tcPr>
          <w:p>
            <w:pPr>
              <w:spacing w:after="0"/>
              <w:rPr>
                <w:sz w:val="13"/>
                <w:szCs w:val="13"/>
                <w:color w:val="auto"/>
              </w:rPr>
            </w:pPr>
          </w:p>
        </w:tc>
        <w:tc>
          <w:tcPr>
            <w:tcW w:w="9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101,175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2,738,050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Inc. (UP Support Services, Inc.)</w:t>
            </w: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Verde Parent Holdings, Inc. (VPSI,</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0"/>
              </w:rPr>
              <w:t>Personal</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1,824,167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1,824,167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1,911,003</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8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Transportation</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Preferred Equity/Partnership Interests</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10,268,187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8,024,938</w:t>
            </w:r>
          </w:p>
        </w:tc>
        <w:tc>
          <w:tcPr>
            <w:tcW w:w="0" w:type="dxa"/>
            <w:vAlign w:val="bottom"/>
          </w:tcPr>
          <w:p>
            <w:pPr>
              <w:spacing w:after="0"/>
              <w:rPr>
                <w:sz w:val="1"/>
                <w:szCs w:val="1"/>
                <w:color w:val="auto"/>
              </w:rPr>
            </w:pPr>
          </w:p>
        </w:tc>
      </w:tr>
      <w:tr>
        <w:trPr>
          <w:trHeight w:val="66"/>
        </w:trPr>
        <w:tc>
          <w:tcPr>
            <w:tcW w:w="2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139"/>
          </w:cols>
          <w:pgMar w:left="320" w:top="122" w:right="1440"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Basis Point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4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Above</w:t>
            </w: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Coupon</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Index</w:t>
            </w:r>
            <w:r>
              <w:rPr>
                <w:rFonts w:ascii="Arial" w:cs="Arial" w:eastAsia="Arial" w:hAnsi="Arial"/>
                <w:sz w:val="8"/>
                <w:szCs w:val="8"/>
                <w:b w:val="1"/>
                <w:bCs w:val="1"/>
                <w:color w:val="auto"/>
                <w:w w:val="94"/>
              </w:rPr>
              <w:t>(4)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Common Equity/Warrants/Partnership Interests—7.0%</w:t>
            </w:r>
            <w:r>
              <w:rPr>
                <w:rFonts w:ascii="Arial" w:cs="Arial" w:eastAsia="Arial" w:hAnsi="Arial"/>
                <w:sz w:val="8"/>
                <w:szCs w:val="8"/>
                <w:b w:val="1"/>
                <w:bCs w:val="1"/>
                <w:color w:val="auto"/>
              </w:rPr>
              <w:t>(7)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AH Holdings, Inc (American</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6"/>
              </w:rPr>
              <w:t>3/23/2021</w:t>
            </w:r>
          </w:p>
        </w:tc>
        <w:tc>
          <w:tcPr>
            <w:tcW w:w="15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2"/>
              </w:rPr>
              <w:t>Healthcare, Education</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753</w:t>
            </w:r>
          </w:p>
        </w:tc>
        <w:tc>
          <w:tcPr>
            <w:tcW w:w="40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w w:val="99"/>
              </w:rPr>
              <w:t>Surgical Holdings, Inc.) (Warrants)</w:t>
            </w:r>
          </w:p>
        </w:tc>
        <w:tc>
          <w:tcPr>
            <w:tcW w:w="90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and Childcare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CEA Autumn Management, LLC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Broadcasting and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280,176</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4"/>
              </w:rPr>
              <w:t>Entertainment</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CFHC Holdings, Inc.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89"/>
              </w:rPr>
              <w:t>Aerospace and</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1,856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18,556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1,443,556</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(Consolidated Foundries, Inc.)</w:t>
            </w:r>
          </w:p>
        </w:tc>
        <w:tc>
          <w:tcPr>
            <w:tcW w:w="90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Defense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CT Technologies Holdings, LLC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0"/>
              </w:rPr>
              <w:t>Business Services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2,277,209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8,431,871</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(CT Technologies Intermediate</w:t>
            </w: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Holdings, 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DirectBuy Investors, L.P.</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Consumer Products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469,500</w:t>
            </w:r>
          </w:p>
        </w:tc>
        <w:tc>
          <w:tcPr>
            <w:tcW w:w="0" w:type="dxa"/>
            <w:vAlign w:val="bottom"/>
          </w:tcPr>
          <w:p>
            <w:pPr>
              <w:spacing w:after="0"/>
              <w:rPr>
                <w:sz w:val="1"/>
                <w:szCs w:val="1"/>
                <w:color w:val="auto"/>
              </w:rPr>
            </w:pPr>
          </w:p>
        </w:tc>
      </w:tr>
      <w:tr>
        <w:trPr>
          <w:trHeight w:val="79"/>
        </w:trPr>
        <w:tc>
          <w:tcPr>
            <w:tcW w:w="2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Kadmon Corporation, LLC,</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60"/>
              <w:spacing w:after="0" w:line="157" w:lineRule="exact"/>
              <w:rPr>
                <w:sz w:val="20"/>
                <w:szCs w:val="20"/>
                <w:color w:val="auto"/>
              </w:rPr>
            </w:pPr>
            <w:r>
              <w:rPr>
                <w:rFonts w:ascii="Arial" w:cs="Arial" w:eastAsia="Arial" w:hAnsi="Arial"/>
                <w:sz w:val="14"/>
                <w:szCs w:val="14"/>
                <w:color w:val="auto"/>
                <w:w w:val="92"/>
              </w:rPr>
              <w:t>Healthcare, Education</w:t>
            </w: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1,079,920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1,236,832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295,205</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Class A (f/k/a Kadmon Holdings,</w:t>
            </w:r>
          </w:p>
        </w:tc>
        <w:tc>
          <w:tcPr>
            <w:tcW w:w="9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and Childcare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LLC) (Kadmon Pharmaceuticals,</w:t>
            </w: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Kadmon Corporation, LLC, Class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2"/>
              </w:rPr>
              <w:t>Healthcare, Education</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1,079,920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D (f/k/a Kadmon Holdings, LLC)</w:t>
            </w:r>
          </w:p>
        </w:tc>
        <w:tc>
          <w:tcPr>
            <w:tcW w:w="900" w:type="dxa"/>
            <w:vAlign w:val="bottom"/>
          </w:tcPr>
          <w:p>
            <w:pPr>
              <w:spacing w:after="0"/>
              <w:rPr>
                <w:sz w:val="12"/>
                <w:szCs w:val="12"/>
                <w:color w:val="auto"/>
              </w:rPr>
            </w:pPr>
          </w:p>
        </w:tc>
        <w:tc>
          <w:tcPr>
            <w:tcW w:w="1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and Childcare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(Kadmon Pharmaceuticals, LLC)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Learning Care Group (US) Inc.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4/27/2020</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3"/>
              </w:rPr>
              <w:t>Education</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112,064</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Magnum Hunter Resources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Oil and Gas</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1,221,932</w:t>
            </w:r>
          </w:p>
        </w:tc>
        <w:tc>
          <w:tcPr>
            <w:tcW w:w="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3,239,999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4,044,595</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Corporation</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Magnum Hunter Resources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10/14/2013</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Oil and Gas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122,193</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61,091</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Corporation (Warrants)</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MidOcean PPL Holdings, Inc.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89"/>
              </w:rPr>
              <w:t>Personal, Food and</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3,320,146</w:t>
            </w: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(Pre-Paid LegalServices, Inc.)</w:t>
            </w:r>
          </w:p>
        </w:tc>
        <w:tc>
          <w:tcPr>
            <w:tcW w:w="900" w:type="dxa"/>
            <w:vAlign w:val="bottom"/>
          </w:tcPr>
          <w:p>
            <w:pPr>
              <w:spacing w:after="0"/>
              <w:rPr>
                <w:sz w:val="12"/>
                <w:szCs w:val="12"/>
                <w:color w:val="auto"/>
              </w:rPr>
            </w:pPr>
          </w:p>
        </w:tc>
        <w:tc>
          <w:tcPr>
            <w:tcW w:w="1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Miscellaneous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Services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PAS Tech Holdings, Inc. (PAS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Aerospace and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101,931</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Technologies)</w:t>
            </w:r>
          </w:p>
        </w:tc>
        <w:tc>
          <w:tcPr>
            <w:tcW w:w="9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Defense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QMG HoldCo, LLC, Class A</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3"/>
              </w:rPr>
              <w:t>Other Media</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4,325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1,306,167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1,352,585</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QMG HoldCo, LLC, Class B</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Other Media</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166,063</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TRAK Acquisition Corp.</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1"/>
              </w:rPr>
              <w:t>12/29/2019</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0"/>
              </w:rPr>
              <w:t>Business Services</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29,400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577,061</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(Warrants)</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Transportation 100 Holdco, LLC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Cargo Transport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137,923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2,111,588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1,521,406</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(Greatwide Logistics Services,</w:t>
            </w: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TZ Holdings, L.P. (Trizetto Group,</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Insurance</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9,843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1,591,505</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Inc.)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Universal Pegasus International,</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Oil and Gas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 (UP Support Services, 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8"/>
              </w:rPr>
              <w:t>Verde Parent Holdings, Inc ( VPSI,</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0"/>
              </w:rPr>
              <w:t>Personal</w:t>
            </w: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9,166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9,166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Inc.)</w:t>
            </w:r>
          </w:p>
        </w:tc>
        <w:tc>
          <w:tcPr>
            <w:tcW w:w="90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Transportation</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VText Holdings, Inc. (Veritext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0"/>
              </w:rPr>
              <w:t>Business Services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7,501,780</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23,574,291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32,299,342</w:t>
            </w:r>
          </w:p>
        </w:tc>
        <w:tc>
          <w:tcPr>
            <w:tcW w:w="0" w:type="dxa"/>
            <w:vAlign w:val="bottom"/>
          </w:tcPr>
          <w:p>
            <w:pPr>
              <w:spacing w:after="0"/>
              <w:rPr>
                <w:sz w:val="1"/>
                <w:szCs w:val="1"/>
                <w:color w:val="auto"/>
              </w:rPr>
            </w:pPr>
          </w:p>
        </w:tc>
      </w:tr>
      <w:tr>
        <w:trPr>
          <w:trHeight w:val="66"/>
        </w:trPr>
        <w:tc>
          <w:tcPr>
            <w:tcW w:w="21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816,078,311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773,375,381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39"/>
          </w:cols>
          <w:pgMar w:left="320" w:top="122" w:right="1440"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Basis Point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Par/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Maturity</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Coupon</w:t>
            </w:r>
          </w:p>
        </w:tc>
        <w:tc>
          <w:tcPr>
            <w:tcW w:w="14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466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5"/>
              </w:rPr>
              <w:t>Investments in Non-Controlled, Affiliated Portfolio Companies—8.8%</w:t>
            </w:r>
            <w:r>
              <w:rPr>
                <w:rFonts w:ascii="Arial" w:cs="Arial" w:eastAsia="Arial" w:hAnsi="Arial"/>
                <w:sz w:val="8"/>
                <w:szCs w:val="8"/>
                <w:b w:val="1"/>
                <w:bCs w:val="1"/>
                <w:color w:val="auto"/>
                <w:w w:val="95"/>
              </w:rPr>
              <w:t>(1),(2)</w:t>
            </w:r>
          </w:p>
        </w:tc>
        <w:tc>
          <w:tcPr>
            <w:tcW w:w="6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First Lien Secured Debt—</w:t>
            </w: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1.4%</w:t>
            </w:r>
          </w:p>
        </w:tc>
        <w:tc>
          <w:tcPr>
            <w:tcW w:w="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w:t>
            </w:r>
            <w:r>
              <w:rPr>
                <w:rFonts w:ascii="Arial" w:cs="Arial" w:eastAsia="Arial" w:hAnsi="Arial"/>
                <w:sz w:val="8"/>
                <w:szCs w:val="8"/>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7/29/2013</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Environmental Services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6,666,666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6,666,666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6,666,666</w:t>
            </w:r>
          </w:p>
        </w:tc>
        <w:tc>
          <w:tcPr>
            <w:tcW w:w="0" w:type="dxa"/>
            <w:vAlign w:val="bottom"/>
          </w:tcPr>
          <w:p>
            <w:pPr>
              <w:spacing w:after="0"/>
              <w:rPr>
                <w:sz w:val="1"/>
                <w:szCs w:val="1"/>
                <w:color w:val="auto"/>
              </w:rPr>
            </w:pPr>
          </w:p>
        </w:tc>
      </w:tr>
      <w:tr>
        <w:trPr>
          <w:trHeight w:val="80"/>
        </w:trPr>
        <w:tc>
          <w:tcPr>
            <w:tcW w:w="1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Second Lien Secured Debt</w:t>
            </w: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—2.9%</w:t>
            </w:r>
          </w:p>
        </w:tc>
        <w:tc>
          <w:tcPr>
            <w:tcW w:w="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7/29/2014</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Environmental Services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L+600</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5,870,416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5,870,416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5,870,416</w:t>
            </w:r>
          </w:p>
        </w:tc>
        <w:tc>
          <w:tcPr>
            <w:tcW w:w="0" w:type="dxa"/>
            <w:vAlign w:val="bottom"/>
          </w:tcPr>
          <w:p>
            <w:pPr>
              <w:spacing w:after="0"/>
              <w:rPr>
                <w:sz w:val="1"/>
                <w:szCs w:val="1"/>
                <w:color w:val="auto"/>
              </w:rPr>
            </w:pPr>
          </w:p>
        </w:tc>
      </w:tr>
      <w:tr>
        <w:trPr>
          <w:trHeight w:val="80"/>
        </w:trPr>
        <w:tc>
          <w:tcPr>
            <w:tcW w:w="1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Performance, Inc.</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1/16/2015</w:t>
            </w:r>
          </w:p>
        </w:tc>
        <w:tc>
          <w:tcPr>
            <w:tcW w:w="1880" w:type="dxa"/>
            <w:vAlign w:val="bottom"/>
          </w:tcPr>
          <w:p>
            <w:pPr>
              <w:jc w:val="center"/>
              <w:ind w:right="8"/>
              <w:spacing w:after="0" w:line="157" w:lineRule="exact"/>
              <w:rPr>
                <w:sz w:val="20"/>
                <w:szCs w:val="20"/>
                <w:color w:val="auto"/>
              </w:rPr>
            </w:pPr>
            <w:r>
              <w:rPr>
                <w:rFonts w:ascii="Arial" w:cs="Arial" w:eastAsia="Arial" w:hAnsi="Arial"/>
                <w:sz w:val="14"/>
                <w:szCs w:val="14"/>
                <w:color w:val="auto"/>
                <w:w w:val="94"/>
              </w:rPr>
              <w:t>Leisure, Amusement, Motion</w:t>
            </w:r>
          </w:p>
        </w:tc>
        <w:tc>
          <w:tcPr>
            <w:tcW w:w="6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rPr>
              <w:t>L+625</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(8)</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8,000,000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7,336,000</w:t>
            </w:r>
          </w:p>
        </w:tc>
        <w:tc>
          <w:tcPr>
            <w:tcW w:w="0" w:type="dxa"/>
            <w:vAlign w:val="bottom"/>
          </w:tcPr>
          <w:p>
            <w:pPr>
              <w:spacing w:after="0"/>
              <w:rPr>
                <w:sz w:val="1"/>
                <w:szCs w:val="1"/>
                <w:color w:val="auto"/>
              </w:rPr>
            </w:pPr>
          </w:p>
        </w:tc>
      </w:tr>
      <w:tr>
        <w:trPr>
          <w:trHeight w:val="188"/>
        </w:trPr>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jc w:val="center"/>
              <w:ind w:right="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Second Lien Secured Debt</w:t>
            </w: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13,870,416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13,206,416</w:t>
            </w:r>
          </w:p>
        </w:tc>
        <w:tc>
          <w:tcPr>
            <w:tcW w:w="0" w:type="dxa"/>
            <w:vAlign w:val="bottom"/>
          </w:tcPr>
          <w:p>
            <w:pPr>
              <w:spacing w:after="0"/>
              <w:rPr>
                <w:sz w:val="1"/>
                <w:szCs w:val="1"/>
                <w:color w:val="auto"/>
              </w:rPr>
            </w:pPr>
          </w:p>
        </w:tc>
      </w:tr>
      <w:tr>
        <w:trPr>
          <w:trHeight w:val="66"/>
        </w:trPr>
        <w:tc>
          <w:tcPr>
            <w:tcW w:w="2780" w:type="dxa"/>
            <w:vAlign w:val="bottom"/>
            <w:gridSpan w:val="2"/>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Subordinated Debt/Corporate Notes—1.4%</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Holdings, Inc.</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7/16/2015</w:t>
            </w:r>
          </w:p>
        </w:tc>
        <w:tc>
          <w:tcPr>
            <w:tcW w:w="1880" w:type="dxa"/>
            <w:vAlign w:val="bottom"/>
            <w:shd w:val="clear" w:color="auto" w:fill="CCEEFF"/>
          </w:tcPr>
          <w:p>
            <w:pPr>
              <w:jc w:val="center"/>
              <w:ind w:right="8"/>
              <w:spacing w:after="0" w:line="157" w:lineRule="exact"/>
              <w:rPr>
                <w:sz w:val="20"/>
                <w:szCs w:val="20"/>
                <w:color w:val="auto"/>
              </w:rPr>
            </w:pPr>
            <w:r>
              <w:rPr>
                <w:rFonts w:ascii="Arial" w:cs="Arial" w:eastAsia="Arial" w:hAnsi="Arial"/>
                <w:sz w:val="14"/>
                <w:szCs w:val="14"/>
                <w:color w:val="auto"/>
                <w:w w:val="94"/>
              </w:rPr>
              <w:t>Leisure, Amusement, Motion</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6,775,991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6,617,860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6,403,311</w:t>
            </w:r>
          </w:p>
        </w:tc>
        <w:tc>
          <w:tcPr>
            <w:tcW w:w="0" w:type="dxa"/>
            <w:vAlign w:val="bottom"/>
          </w:tcPr>
          <w:p>
            <w:pPr>
              <w:spacing w:after="0"/>
              <w:rPr>
                <w:sz w:val="1"/>
                <w:szCs w:val="1"/>
                <w:color w:val="auto"/>
              </w:rPr>
            </w:pPr>
          </w:p>
        </w:tc>
      </w:tr>
      <w:tr>
        <w:trPr>
          <w:trHeight w:val="194"/>
        </w:trPr>
        <w:tc>
          <w:tcPr>
            <w:tcW w:w="1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Equity/Partnership Interest—3.1%</w:t>
            </w:r>
            <w:r>
              <w:rPr>
                <w:rFonts w:ascii="Arial" w:cs="Arial" w:eastAsia="Arial" w:hAnsi="Arial"/>
                <w:sz w:val="8"/>
                <w:szCs w:val="8"/>
                <w:b w:val="1"/>
                <w:bCs w:val="1"/>
                <w:color w:val="auto"/>
              </w:rPr>
              <w:t>(7)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Environmental Services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2,710,036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5,641,925</w:t>
            </w:r>
          </w:p>
        </w:tc>
        <w:tc>
          <w:tcPr>
            <w:tcW w:w="0" w:type="dxa"/>
            <w:vAlign w:val="bottom"/>
          </w:tcPr>
          <w:p>
            <w:pPr>
              <w:spacing w:after="0"/>
              <w:rPr>
                <w:sz w:val="1"/>
                <w:szCs w:val="1"/>
                <w:color w:val="auto"/>
              </w:rPr>
            </w:pPr>
          </w:p>
        </w:tc>
      </w:tr>
      <w:tr>
        <w:trPr>
          <w:trHeight w:val="80"/>
        </w:trPr>
        <w:tc>
          <w:tcPr>
            <w:tcW w:w="1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EnviroSolutions, Inc.</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93"/>
              </w:rPr>
              <w:t>Environmental Services</w:t>
            </w:r>
          </w:p>
        </w:tc>
        <w:tc>
          <w:tcPr>
            <w:tcW w:w="82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50,102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3,129,447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7,561,205</w:t>
            </w:r>
          </w:p>
        </w:tc>
        <w:tc>
          <w:tcPr>
            <w:tcW w:w="0" w:type="dxa"/>
            <w:vAlign w:val="bottom"/>
          </w:tcPr>
          <w:p>
            <w:pPr>
              <w:spacing w:after="0"/>
              <w:rPr>
                <w:sz w:val="1"/>
                <w:szCs w:val="1"/>
                <w:color w:val="auto"/>
              </w:rPr>
            </w:pPr>
          </w:p>
        </w:tc>
      </w:tr>
      <w:tr>
        <w:trPr>
          <w:trHeight w:val="188"/>
        </w:trPr>
        <w:tc>
          <w:tcPr>
            <w:tcW w:w="1980" w:type="dxa"/>
            <w:vAlign w:val="bottom"/>
          </w:tcPr>
          <w:p>
            <w:pPr>
              <w:ind w:left="40"/>
              <w:spacing w:after="0"/>
              <w:rPr>
                <w:sz w:val="20"/>
                <w:szCs w:val="20"/>
                <w:color w:val="auto"/>
              </w:rPr>
            </w:pPr>
            <w:r>
              <w:rPr>
                <w:rFonts w:ascii="Arial" w:cs="Arial" w:eastAsia="Arial" w:hAnsi="Arial"/>
                <w:sz w:val="14"/>
                <w:szCs w:val="14"/>
                <w:color w:val="auto"/>
              </w:rPr>
              <w:t>(Warrants)</w:t>
            </w:r>
          </w:p>
        </w:tc>
        <w:tc>
          <w:tcPr>
            <w:tcW w:w="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NCP-Performance</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4"/>
              </w:rPr>
              <w:t>Leisure, Amusement, Motion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1,193,610</w:t>
            </w:r>
          </w:p>
        </w:tc>
        <w:tc>
          <w:tcPr>
            <w:tcW w:w="0" w:type="dxa"/>
            <w:vAlign w:val="bottom"/>
          </w:tcPr>
          <w:p>
            <w:pPr>
              <w:spacing w:after="0"/>
              <w:rPr>
                <w:sz w:val="1"/>
                <w:szCs w:val="1"/>
                <w:color w:val="auto"/>
              </w:rPr>
            </w:pPr>
          </w:p>
        </w:tc>
      </w:tr>
      <w:tr>
        <w:trPr>
          <w:trHeight w:val="194"/>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Holdings, Inc.)</w:t>
            </w:r>
          </w:p>
        </w:tc>
        <w:tc>
          <w:tcPr>
            <w:tcW w:w="8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Total Common Equity/Partnership Interest</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9,589,483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14,396,740</w:t>
            </w:r>
          </w:p>
        </w:tc>
        <w:tc>
          <w:tcPr>
            <w:tcW w:w="0" w:type="dxa"/>
            <w:vAlign w:val="bottom"/>
          </w:tcPr>
          <w:p>
            <w:pPr>
              <w:spacing w:after="0"/>
              <w:rPr>
                <w:sz w:val="1"/>
                <w:szCs w:val="1"/>
                <w:color w:val="auto"/>
              </w:rPr>
            </w:pPr>
          </w:p>
        </w:tc>
      </w:tr>
      <w:tr>
        <w:trPr>
          <w:trHeight w:val="66"/>
        </w:trPr>
        <w:tc>
          <w:tcPr>
            <w:tcW w:w="4660" w:type="dxa"/>
            <w:vAlign w:val="bottom"/>
            <w:tcBorders>
              <w:bottom w:val="single" w:sz="8" w:color="CCEEFF"/>
            </w:tcBorders>
            <w:gridSpan w:val="3"/>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36,744,425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40,673,133</w:t>
            </w:r>
          </w:p>
        </w:tc>
        <w:tc>
          <w:tcPr>
            <w:tcW w:w="0" w:type="dxa"/>
            <w:vAlign w:val="bottom"/>
          </w:tcPr>
          <w:p>
            <w:pPr>
              <w:spacing w:after="0"/>
              <w:rPr>
                <w:sz w:val="1"/>
                <w:szCs w:val="1"/>
                <w:color w:val="auto"/>
              </w:rPr>
            </w:pPr>
          </w:p>
        </w:tc>
      </w:tr>
      <w:tr>
        <w:trPr>
          <w:trHeight w:val="66"/>
        </w:trPr>
        <w:tc>
          <w:tcPr>
            <w:tcW w:w="4660" w:type="dxa"/>
            <w:vAlign w:val="bottom"/>
            <w:gridSpan w:val="3"/>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Companies—2.9%</w:t>
            </w:r>
            <w:r>
              <w:rPr>
                <w:rFonts w:ascii="Arial" w:cs="Arial" w:eastAsia="Arial" w:hAnsi="Arial"/>
                <w:sz w:val="8"/>
                <w:szCs w:val="8"/>
                <w:b w:val="1"/>
                <w:bCs w:val="1"/>
                <w:color w:val="auto"/>
              </w:rPr>
              <w:t>(1),(2)</w:t>
            </w: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w w:val="94"/>
              </w:rPr>
              <w:t>First Lien Secured Debt—2.1%</w:t>
            </w:r>
          </w:p>
        </w:tc>
        <w:tc>
          <w:tcPr>
            <w:tcW w:w="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80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3"/>
              </w:rPr>
              <w:t>6/30/2020</w:t>
            </w: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0"/>
              </w:rPr>
              <w:t>Business Services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9,676,650</w:t>
            </w:r>
          </w:p>
        </w:tc>
        <w:tc>
          <w:tcPr>
            <w:tcW w:w="0" w:type="dxa"/>
            <w:vAlign w:val="bottom"/>
          </w:tcPr>
          <w:p>
            <w:pPr>
              <w:spacing w:after="0"/>
              <w:rPr>
                <w:sz w:val="1"/>
                <w:szCs w:val="1"/>
                <w:color w:val="auto"/>
              </w:rPr>
            </w:pPr>
          </w:p>
        </w:tc>
      </w:tr>
      <w:tr>
        <w:trPr>
          <w:trHeight w:val="79"/>
        </w:trPr>
        <w:tc>
          <w:tcPr>
            <w:tcW w:w="2780" w:type="dxa"/>
            <w:vAlign w:val="bottom"/>
            <w:gridSpan w:val="2"/>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Subordinated Debt/Corporate Notes—0.5%</w:t>
            </w: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80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3"/>
              </w:rPr>
              <w:t>6/30/2020</w:t>
            </w: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0"/>
              </w:rPr>
              <w:t>Business Services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2,085,357</w:t>
            </w:r>
          </w:p>
        </w:tc>
        <w:tc>
          <w:tcPr>
            <w:tcW w:w="0" w:type="dxa"/>
            <w:vAlign w:val="bottom"/>
          </w:tcPr>
          <w:p>
            <w:pPr>
              <w:spacing w:after="0"/>
              <w:rPr>
                <w:sz w:val="1"/>
                <w:szCs w:val="1"/>
                <w:color w:val="auto"/>
              </w:rPr>
            </w:pPr>
          </w:p>
        </w:tc>
      </w:tr>
      <w:tr>
        <w:trPr>
          <w:trHeight w:val="79"/>
        </w:trPr>
        <w:tc>
          <w:tcPr>
            <w:tcW w:w="1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8"/>
                <w:szCs w:val="8"/>
                <w:b w:val="1"/>
                <w:bCs w:val="1"/>
                <w:color w:val="auto"/>
              </w:rPr>
              <w:t>(7)</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80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9"/>
              </w:rPr>
              <w:t>—</w:t>
            </w: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0"/>
              </w:rPr>
              <w:t>Business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1,737,994</w:t>
            </w:r>
          </w:p>
        </w:tc>
        <w:tc>
          <w:tcPr>
            <w:tcW w:w="0" w:type="dxa"/>
            <w:vAlign w:val="bottom"/>
          </w:tcPr>
          <w:p>
            <w:pPr>
              <w:spacing w:after="0"/>
              <w:rPr>
                <w:sz w:val="1"/>
                <w:szCs w:val="1"/>
                <w:color w:val="auto"/>
              </w:rPr>
            </w:pPr>
          </w:p>
        </w:tc>
      </w:tr>
      <w:tr>
        <w:trPr>
          <w:trHeight w:val="79"/>
        </w:trPr>
        <w:tc>
          <w:tcPr>
            <w:tcW w:w="19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8"/>
                <w:szCs w:val="8"/>
                <w:b w:val="1"/>
                <w:bCs w:val="1"/>
                <w:color w:val="auto"/>
              </w:rPr>
              <w:t>(7)</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80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9"/>
              </w:rPr>
              <w:t>—</w:t>
            </w:r>
          </w:p>
        </w:tc>
        <w:tc>
          <w:tcPr>
            <w:tcW w:w="18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0"/>
              </w:rPr>
              <w:t>Business Services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4660" w:type="dxa"/>
            <w:vAlign w:val="bottom"/>
            <w:gridSpan w:val="3"/>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13,500,100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13,500,001</w:t>
            </w:r>
          </w:p>
        </w:tc>
        <w:tc>
          <w:tcPr>
            <w:tcW w:w="0" w:type="dxa"/>
            <w:vAlign w:val="bottom"/>
          </w:tcPr>
          <w:p>
            <w:pPr>
              <w:spacing w:after="0"/>
              <w:rPr>
                <w:sz w:val="1"/>
                <w:szCs w:val="1"/>
                <w:color w:val="auto"/>
              </w:rPr>
            </w:pPr>
          </w:p>
        </w:tc>
      </w:tr>
      <w:tr>
        <w:trPr>
          <w:trHeight w:val="66"/>
        </w:trPr>
        <w:tc>
          <w:tcPr>
            <w:tcW w:w="198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Investments—178.9%</w:t>
            </w:r>
          </w:p>
        </w:tc>
        <w:tc>
          <w:tcPr>
            <w:tcW w:w="8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866,322,836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827,548,515</w:t>
            </w:r>
          </w:p>
        </w:tc>
        <w:tc>
          <w:tcPr>
            <w:tcW w:w="0" w:type="dxa"/>
            <w:vAlign w:val="bottom"/>
          </w:tcPr>
          <w:p>
            <w:pPr>
              <w:spacing w:after="0"/>
              <w:rPr>
                <w:sz w:val="1"/>
                <w:szCs w:val="1"/>
                <w:color w:val="auto"/>
              </w:rPr>
            </w:pPr>
          </w:p>
        </w:tc>
      </w:tr>
      <w:tr>
        <w:trPr>
          <w:trHeight w:val="66"/>
        </w:trPr>
        <w:tc>
          <w:tcPr>
            <w:tcW w:w="19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Cash Equivalents—15.5%</w:t>
            </w:r>
          </w:p>
        </w:tc>
        <w:tc>
          <w:tcPr>
            <w:tcW w:w="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71,604,519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71,604,519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71,604,519</w:t>
            </w:r>
          </w:p>
        </w:tc>
        <w:tc>
          <w:tcPr>
            <w:tcW w:w="0" w:type="dxa"/>
            <w:vAlign w:val="bottom"/>
          </w:tcPr>
          <w:p>
            <w:pPr>
              <w:spacing w:after="0"/>
              <w:rPr>
                <w:sz w:val="1"/>
                <w:szCs w:val="1"/>
                <w:color w:val="auto"/>
              </w:rPr>
            </w:pPr>
          </w:p>
        </w:tc>
      </w:tr>
      <w:tr>
        <w:trPr>
          <w:trHeight w:val="80"/>
        </w:trPr>
        <w:tc>
          <w:tcPr>
            <w:tcW w:w="198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88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and Cash Equivalents—194.3%</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937,927,355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899,153,034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b w:val="1"/>
                <w:bCs w:val="1"/>
                <w:color w:val="auto"/>
              </w:rPr>
              <w:t>Liabilities in Excess of Other Assets—(94.3%)</w:t>
            </w: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w w:val="96"/>
              </w:rPr>
              <w:t>(436,495,838)</w:t>
            </w: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Assets—100.0%</w:t>
            </w:r>
          </w:p>
        </w:tc>
        <w:tc>
          <w:tcPr>
            <w:tcW w:w="8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462,657,196</w:t>
            </w:r>
          </w:p>
        </w:tc>
        <w:tc>
          <w:tcPr>
            <w:tcW w:w="0" w:type="dxa"/>
            <w:vAlign w:val="bottom"/>
          </w:tcPr>
          <w:p>
            <w:pPr>
              <w:spacing w:after="0"/>
              <w:rPr>
                <w:sz w:val="1"/>
                <w:szCs w:val="1"/>
                <w:color w:val="auto"/>
              </w:rPr>
            </w:pPr>
          </w:p>
        </w:tc>
      </w:tr>
      <w:tr>
        <w:trPr>
          <w:trHeight w:val="66"/>
        </w:trPr>
        <w:tc>
          <w:tcPr>
            <w:tcW w:w="198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8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448"/>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22" w:right="1440"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12" w:lineRule="exact"/>
        <w:rPr>
          <w:sz w:val="20"/>
          <w:szCs w:val="20"/>
          <w:color w:val="auto"/>
        </w:rPr>
      </w:pPr>
    </w:p>
    <w:p>
      <w:pPr>
        <w:ind w:left="340" w:right="20" w:hanging="332"/>
        <w:spacing w:after="0" w:line="247"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hanging="332"/>
        <w:spacing w:after="0" w:line="23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40" w:hanging="332"/>
        <w:spacing w:after="0" w:line="23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SEE NOTES TO CONSOLIDATED FINANCIAL STATEMENTS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060"/>
          </w:cols>
          <w:pgMar w:left="320" w:top="122" w:right="5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gridSpan w:val="11"/>
          </w:tcPr>
          <w:p>
            <w:pPr>
              <w:jc w:val="center"/>
              <w:ind w:right="5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20" w:type="dxa"/>
            <w:vAlign w:val="bottom"/>
            <w:gridSpan w:val="8"/>
          </w:tcPr>
          <w:p>
            <w:pPr>
              <w:jc w:val="center"/>
              <w:ind w:left="488"/>
              <w:spacing w:after="0"/>
              <w:rPr>
                <w:sz w:val="20"/>
                <w:szCs w:val="20"/>
                <w:color w:val="auto"/>
              </w:rPr>
            </w:pPr>
            <w:r>
              <w:rPr>
                <w:rFonts w:ascii="Arial" w:cs="Arial" w:eastAsia="Arial" w:hAnsi="Arial"/>
                <w:sz w:val="14"/>
                <w:szCs w:val="14"/>
                <w:b w:val="1"/>
                <w:bCs w:val="1"/>
                <w:color w:val="auto"/>
              </w:rPr>
              <w:t>CONSOLIDATED SCHEDULE OF INVESTMENTS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 2010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Basis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Point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Spread</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Above</w:t>
            </w: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Coupon</w:t>
            </w:r>
          </w:p>
        </w:tc>
        <w:tc>
          <w:tcPr>
            <w:tcW w:w="22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5340" w:type="dxa"/>
            <w:vAlign w:val="bottom"/>
            <w:tcBorders>
              <w:top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Companies—165.9%</w:t>
            </w:r>
            <w:r>
              <w:rPr>
                <w:rFonts w:ascii="Arial" w:cs="Arial" w:eastAsia="Arial" w:hAnsi="Arial"/>
                <w:sz w:val="8"/>
                <w:szCs w:val="8"/>
                <w:b w:val="1"/>
                <w:bCs w:val="1"/>
                <w:color w:val="auto"/>
              </w:rPr>
              <w:t>(1),(2)</w:t>
            </w:r>
          </w:p>
        </w:tc>
        <w:tc>
          <w:tcPr>
            <w:tcW w:w="22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First Lien Secured Debt—59.3%</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Airvana Networks Solution, Inc.</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8/27/2014</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Communications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L+900</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$ 13,583,333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13,316,337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13,447,500</w:t>
            </w: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Birch Communications, Inc.</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6/21/2015</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Telecommunications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L+1,300</w:t>
            </w:r>
          </w:p>
        </w:tc>
        <w:tc>
          <w:tcPr>
            <w:tcW w:w="240" w:type="dxa"/>
            <w:vAlign w:val="bottom"/>
          </w:tcPr>
          <w:p>
            <w:pPr>
              <w:jc w:val="right"/>
              <w:ind w:right="95"/>
              <w:spacing w:after="0"/>
              <w:rPr>
                <w:sz w:val="20"/>
                <w:szCs w:val="20"/>
                <w:color w:val="auto"/>
              </w:rPr>
            </w:pPr>
            <w:r>
              <w:rPr>
                <w:rFonts w:ascii="Arial" w:cs="Arial" w:eastAsia="Arial" w:hAnsi="Arial"/>
                <w:sz w:val="9"/>
                <w:szCs w:val="9"/>
                <w:color w:val="auto"/>
                <w:w w:val="72"/>
              </w:rPr>
              <w:t>(8)</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16,363,636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15,786,257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16,363,636</w:t>
            </w:r>
          </w:p>
        </w:tc>
        <w:tc>
          <w:tcPr>
            <w:tcW w:w="0" w:type="dxa"/>
            <w:vAlign w:val="bottom"/>
          </w:tcPr>
          <w:p>
            <w:pPr>
              <w:spacing w:after="0"/>
              <w:rPr>
                <w:sz w:val="1"/>
                <w:szCs w:val="1"/>
                <w:color w:val="auto"/>
              </w:rPr>
            </w:pPr>
          </w:p>
        </w:tc>
      </w:tr>
      <w:tr>
        <w:trPr>
          <w:trHeight w:val="79"/>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Birch Communications, Inc.</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1/31/2011</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Telecommunications</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3,636,364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3,636,364</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 xml:space="preserve">CEVA Group PLC </w:t>
            </w:r>
            <w:r>
              <w:rPr>
                <w:rFonts w:ascii="Arial" w:cs="Arial" w:eastAsia="Arial" w:hAnsi="Arial"/>
                <w:sz w:val="8"/>
                <w:szCs w:val="8"/>
                <w:color w:val="auto"/>
              </w:rPr>
              <w:t>(5),(10)</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10/1/2016</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Logistics</w:t>
            </w:r>
          </w:p>
        </w:tc>
        <w:tc>
          <w:tcPr>
            <w:tcW w:w="660" w:type="dxa"/>
            <w:vAlign w:val="bottom"/>
          </w:tcPr>
          <w:p>
            <w:pPr>
              <w:jc w:val="right"/>
              <w:spacing w:after="0"/>
              <w:rPr>
                <w:sz w:val="20"/>
                <w:szCs w:val="20"/>
                <w:color w:val="auto"/>
              </w:rPr>
            </w:pPr>
            <w:r>
              <w:rPr>
                <w:rFonts w:ascii="Arial" w:cs="Arial" w:eastAsia="Arial" w:hAnsi="Arial"/>
                <w:sz w:val="14"/>
                <w:szCs w:val="14"/>
                <w:color w:val="auto"/>
              </w:rPr>
              <w:t>11.63%</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7,305,603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7,912,500</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CEVA Group PLC </w:t>
            </w:r>
            <w:r>
              <w:rPr>
                <w:rFonts w:ascii="Arial" w:cs="Arial" w:eastAsia="Arial" w:hAnsi="Arial"/>
                <w:sz w:val="8"/>
                <w:szCs w:val="8"/>
                <w:color w:val="auto"/>
              </w:rPr>
              <w:t>(5),(10)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4/1/2018</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Logistics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987,774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1,045,000</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Chester Downs and Marina, LLC</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w w:val="93"/>
              </w:rPr>
              <w:t>7/31/2016</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5"/>
              </w:rPr>
              <w:t>Hotels, Motels, Inns</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12.38%</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L+988</w:t>
            </w:r>
          </w:p>
        </w:tc>
        <w:tc>
          <w:tcPr>
            <w:tcW w:w="240" w:type="dxa"/>
            <w:vAlign w:val="bottom"/>
          </w:tcPr>
          <w:p>
            <w:pPr>
              <w:jc w:val="right"/>
              <w:ind w:right="95"/>
              <w:spacing w:after="0"/>
              <w:rPr>
                <w:sz w:val="20"/>
                <w:szCs w:val="20"/>
                <w:color w:val="auto"/>
              </w:rPr>
            </w:pPr>
            <w:r>
              <w:rPr>
                <w:rFonts w:ascii="Arial" w:cs="Arial" w:eastAsia="Arial" w:hAnsi="Arial"/>
                <w:sz w:val="9"/>
                <w:szCs w:val="9"/>
                <w:color w:val="auto"/>
                <w:w w:val="72"/>
              </w:rPr>
              <w:t>(8)</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9,250,000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8,765,468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9,296,250</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and Gaming</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8"/>
                <w:szCs w:val="8"/>
                <w:color w:val="auto"/>
              </w:rPr>
              <w:t>(5),(10)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11/20/2014</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Communications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11,048,000</w:t>
            </w: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 xml:space="preserve">EnviroSolutions, Inc. </w:t>
            </w:r>
            <w:r>
              <w:rPr>
                <w:rFonts w:ascii="Arial" w:cs="Arial" w:eastAsia="Arial" w:hAnsi="Arial"/>
                <w:sz w:val="8"/>
                <w:szCs w:val="8"/>
                <w:color w:val="auto"/>
              </w:rPr>
              <w:t>(9)</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w w:val="93"/>
              </w:rPr>
              <w:t>7/29/2013</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6"/>
              </w:rPr>
              <w:t>Environmental</w:t>
            </w:r>
          </w:p>
        </w:tc>
        <w:tc>
          <w:tcPr>
            <w:tcW w:w="6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6,666,666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6,666,666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6,666,666</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Fairway Group Acquisition Company</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10/1/2014</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Grocery</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L+950</w:t>
            </w: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11,905,025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11,650,744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11,845,500</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P+850</w:t>
            </w:r>
          </w:p>
        </w:tc>
        <w:tc>
          <w:tcPr>
            <w:tcW w:w="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Hanley-Wood, L.L.C.</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3/8/2014</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60" w:type="dxa"/>
            <w:vAlign w:val="bottom"/>
          </w:tcPr>
          <w:p>
            <w:pPr>
              <w:jc w:val="right"/>
              <w:spacing w:after="0"/>
              <w:rPr>
                <w:sz w:val="20"/>
                <w:szCs w:val="20"/>
                <w:color w:val="auto"/>
              </w:rPr>
            </w:pPr>
            <w:r>
              <w:rPr>
                <w:rFonts w:ascii="Arial" w:cs="Arial" w:eastAsia="Arial" w:hAnsi="Arial"/>
                <w:sz w:val="14"/>
                <w:szCs w:val="14"/>
                <w:color w:val="auto"/>
              </w:rPr>
              <w:t>2.62%</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L+225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8,752,500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8,752,500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3,894,863</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Instant Web, Inc.</w:t>
            </w:r>
          </w:p>
        </w:tc>
        <w:tc>
          <w:tcPr>
            <w:tcW w:w="8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8/7/2014</w:t>
            </w:r>
          </w:p>
        </w:tc>
        <w:tc>
          <w:tcPr>
            <w:tcW w:w="14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Printing and</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14.50%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24,875,000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24,402,321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24,875,000</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Publishing</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Jacuzzi Brands Corp.</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w w:val="95"/>
              </w:rPr>
              <w:t>2/7/2014</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3"/>
              </w:rPr>
              <w:t>Home and Office</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2.71%</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L+225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9,744,595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9,744,595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7,874,850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Housewares 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Products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K2 Pure Solutions NoCal, L.P.</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9/10/2015</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Chemicals, Plastics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L+675</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17,866,826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18,240,000</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and Rubber</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Learning Care Group, Inc.</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4/27/2016</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Education</w:t>
            </w:r>
          </w:p>
        </w:tc>
        <w:tc>
          <w:tcPr>
            <w:tcW w:w="660" w:type="dxa"/>
            <w:vAlign w:val="bottom"/>
          </w:tcPr>
          <w:p>
            <w:pPr>
              <w:jc w:val="right"/>
              <w:spacing w:after="0"/>
              <w:rPr>
                <w:sz w:val="20"/>
                <w:szCs w:val="20"/>
                <w:color w:val="auto"/>
              </w:rPr>
            </w:pPr>
            <w:r>
              <w:rPr>
                <w:rFonts w:ascii="Arial" w:cs="Arial" w:eastAsia="Arial" w:hAnsi="Arial"/>
                <w:sz w:val="14"/>
                <w:szCs w:val="14"/>
                <w:color w:val="auto"/>
              </w:rPr>
              <w:t>12.00%</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26,052,631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25,481,512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26,052,631</w:t>
            </w:r>
          </w:p>
        </w:tc>
        <w:tc>
          <w:tcPr>
            <w:tcW w:w="0" w:type="dxa"/>
            <w:vAlign w:val="bottom"/>
          </w:tcPr>
          <w:p>
            <w:pPr>
              <w:spacing w:after="0"/>
              <w:rPr>
                <w:sz w:val="1"/>
                <w:szCs w:val="1"/>
                <w:color w:val="auto"/>
              </w:rPr>
            </w:pPr>
          </w:p>
        </w:tc>
      </w:tr>
      <w:tr>
        <w:trPr>
          <w:trHeight w:val="79"/>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Mattress Holding Corp.</w:t>
            </w:r>
          </w:p>
        </w:tc>
        <w:tc>
          <w:tcPr>
            <w:tcW w:w="8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1/18/2014</w:t>
            </w:r>
          </w:p>
        </w:tc>
        <w:tc>
          <w:tcPr>
            <w:tcW w:w="14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Home and Office</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2.54%</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L+225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3,844,931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3,844,931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3,345,090</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Housewares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Products</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Penton Media, Inc.</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8/1/2014</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6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(6)</w:t>
            </w:r>
          </w:p>
        </w:tc>
        <w:tc>
          <w:tcPr>
            <w:tcW w:w="600" w:type="dxa"/>
            <w:vAlign w:val="bottom"/>
          </w:tcPr>
          <w:p>
            <w:pPr>
              <w:jc w:val="right"/>
              <w:spacing w:after="0"/>
              <w:rPr>
                <w:sz w:val="20"/>
                <w:szCs w:val="20"/>
                <w:color w:val="auto"/>
              </w:rPr>
            </w:pPr>
            <w:r>
              <w:rPr>
                <w:rFonts w:ascii="Arial" w:cs="Arial" w:eastAsia="Arial" w:hAnsi="Arial"/>
                <w:sz w:val="14"/>
                <w:szCs w:val="14"/>
                <w:color w:val="auto"/>
              </w:rPr>
              <w:t>L+400</w:t>
            </w:r>
          </w:p>
        </w:tc>
        <w:tc>
          <w:tcPr>
            <w:tcW w:w="240" w:type="dxa"/>
            <w:vAlign w:val="bottom"/>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9,829,738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8,432,037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6,995,500</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LLC</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12/16/2012</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 Media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L+650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64,263</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40"/>
              <w:spacing w:after="0"/>
              <w:rPr>
                <w:sz w:val="20"/>
                <w:szCs w:val="20"/>
                <w:color w:val="auto"/>
              </w:rPr>
            </w:pPr>
            <w:r>
              <w:rPr>
                <w:rFonts w:ascii="Arial" w:cs="Arial" w:eastAsia="Arial" w:hAnsi="Arial"/>
                <w:sz w:val="14"/>
                <w:szCs w:val="14"/>
                <w:color w:val="auto"/>
              </w:rPr>
              <w:t xml:space="preserve">Questex Media Group LLC </w:t>
            </w:r>
            <w:r>
              <w:rPr>
                <w:rFonts w:ascii="Arial" w:cs="Arial" w:eastAsia="Arial" w:hAnsi="Arial"/>
                <w:sz w:val="8"/>
                <w:szCs w:val="8"/>
                <w:color w:val="auto"/>
              </w:rPr>
              <w:t>(9)</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12/16/2012</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200,404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192,789</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Sugarhouse HSP Gaming Prop.</w:t>
            </w:r>
          </w:p>
        </w:tc>
        <w:tc>
          <w:tcPr>
            <w:tcW w:w="8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9/23/2014</w:t>
            </w:r>
          </w:p>
        </w:tc>
        <w:tc>
          <w:tcPr>
            <w:tcW w:w="14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Hotels, Motels, Inns</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11.25%</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L+825</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29,500,000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28,756,343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29,702,813</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and Gaming</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Arial" w:cs="Arial" w:eastAsia="Arial" w:hAnsi="Arial"/>
                <w:sz w:val="14"/>
                <w:szCs w:val="14"/>
                <w:color w:val="auto"/>
              </w:rPr>
              <w:t>Three Rivers Pharmaceutical, L.L.C.</w:t>
            </w:r>
          </w:p>
        </w:tc>
        <w:tc>
          <w:tcPr>
            <w:tcW w:w="880" w:type="dxa"/>
            <w:vAlign w:val="bottom"/>
          </w:tcPr>
          <w:p>
            <w:pPr>
              <w:jc w:val="center"/>
              <w:spacing w:after="0" w:line="157" w:lineRule="exact"/>
              <w:rPr>
                <w:sz w:val="20"/>
                <w:szCs w:val="20"/>
                <w:color w:val="auto"/>
              </w:rPr>
            </w:pPr>
            <w:r>
              <w:rPr>
                <w:rFonts w:ascii="Arial" w:cs="Arial" w:eastAsia="Arial" w:hAnsi="Arial"/>
                <w:sz w:val="14"/>
                <w:szCs w:val="14"/>
                <w:color w:val="auto"/>
                <w:w w:val="91"/>
              </w:rPr>
              <w:t>10/22/2011</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2"/>
              </w:rPr>
              <w:t>Healthcare,</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15.25%</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L+1,300</w:t>
            </w:r>
          </w:p>
        </w:tc>
        <w:tc>
          <w:tcPr>
            <w:tcW w:w="240" w:type="dxa"/>
            <w:vAlign w:val="bottom"/>
            <w:vMerge w:val="restart"/>
          </w:tcPr>
          <w:p>
            <w:pPr>
              <w:jc w:val="right"/>
              <w:ind w:right="55"/>
              <w:spacing w:after="0"/>
              <w:rPr>
                <w:sz w:val="20"/>
                <w:szCs w:val="20"/>
                <w:color w:val="auto"/>
              </w:rPr>
            </w:pPr>
            <w:r>
              <w:rPr>
                <w:rFonts w:ascii="Arial" w:cs="Arial" w:eastAsia="Arial" w:hAnsi="Arial"/>
                <w:sz w:val="9"/>
                <w:szCs w:val="9"/>
                <w:color w:val="auto"/>
              </w:rPr>
              <w:t>(8)</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21,861,968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21,861,968</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Education 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P+1,200</w:t>
            </w:r>
          </w:p>
        </w:tc>
        <w:tc>
          <w:tcPr>
            <w:tcW w:w="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Childcare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Yonkers Racing Corp. </w:t>
            </w:r>
            <w:r>
              <w:rPr>
                <w:rFonts w:ascii="Arial" w:cs="Arial" w:eastAsia="Arial" w:hAnsi="Arial"/>
                <w:sz w:val="8"/>
                <w:szCs w:val="8"/>
                <w:color w:val="auto"/>
              </w:rPr>
              <w:t>(5)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7/15/2016</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Hotels, Motels, Inns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4,381,967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4,882,500</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and Gaming</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Total First Lien Secured Debt</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97"/>
              </w:rPr>
              <w:t>231,907,418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97"/>
              </w:rPr>
              <w:t>229,243,683</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139"/>
          </w:cols>
          <w:pgMar w:left="320" w:top="121" w:right="1440"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2010</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Basis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3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Spread</w:t>
            </w: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20" w:type="dxa"/>
            <w:vAlign w:val="bottom"/>
            <w:vMerge w:val="restart"/>
          </w:tcPr>
          <w:p>
            <w:pPr>
              <w:spacing w:after="0"/>
              <w:rPr>
                <w:sz w:val="12"/>
                <w:szCs w:val="12"/>
                <w:color w:val="auto"/>
              </w:rPr>
            </w:pPr>
          </w:p>
        </w:tc>
        <w:tc>
          <w:tcPr>
            <w:tcW w:w="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Above</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Coupon</w:t>
            </w:r>
          </w:p>
        </w:tc>
        <w:tc>
          <w:tcPr>
            <w:tcW w:w="3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0"/>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Second Lien Secured Debt—38.6%</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Brand Energy and Infrastructure</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1"/>
              </w:rPr>
              <w:t>2/7/2015</w:t>
            </w:r>
          </w:p>
        </w:tc>
        <w:tc>
          <w:tcPr>
            <w:tcW w:w="120" w:type="dxa"/>
            <w:vAlign w:val="bottom"/>
          </w:tcPr>
          <w:p>
            <w:pPr>
              <w:spacing w:after="0"/>
              <w:rPr>
                <w:sz w:val="13"/>
                <w:szCs w:val="13"/>
                <w:color w:val="auto"/>
              </w:rPr>
            </w:pPr>
          </w:p>
        </w:tc>
        <w:tc>
          <w:tcPr>
            <w:tcW w:w="17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8"/>
              </w:rPr>
              <w:t>Energy/Utilities</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6.43%</w:t>
            </w:r>
          </w:p>
        </w:tc>
        <w:tc>
          <w:tcPr>
            <w:tcW w:w="3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L+600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13,600,000</w:t>
            </w:r>
          </w:p>
        </w:tc>
        <w:tc>
          <w:tcPr>
            <w:tcW w:w="120" w:type="dxa"/>
            <w:vAlign w:val="bottom"/>
          </w:tcPr>
          <w:p>
            <w:pPr>
              <w:spacing w:after="0"/>
              <w:rPr>
                <w:sz w:val="13"/>
                <w:szCs w:val="13"/>
                <w:color w:val="auto"/>
              </w:rPr>
            </w:pP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13,216,845</w:t>
            </w:r>
          </w:p>
        </w:tc>
        <w:tc>
          <w:tcPr>
            <w:tcW w:w="100" w:type="dxa"/>
            <w:vAlign w:val="bottom"/>
          </w:tcPr>
          <w:p>
            <w:pPr>
              <w:spacing w:after="0"/>
              <w:rPr>
                <w:sz w:val="13"/>
                <w:szCs w:val="13"/>
                <w:color w:val="auto"/>
              </w:rPr>
            </w:pPr>
          </w:p>
        </w:tc>
        <w:tc>
          <w:tcPr>
            <w:tcW w:w="2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11,696,000</w:t>
            </w:r>
          </w:p>
        </w:tc>
        <w:tc>
          <w:tcPr>
            <w:tcW w:w="0" w:type="dxa"/>
            <w:vAlign w:val="bottom"/>
          </w:tcPr>
          <w:p>
            <w:pPr>
              <w:spacing w:after="0"/>
              <w:rPr>
                <w:sz w:val="1"/>
                <w:szCs w:val="1"/>
                <w:color w:val="auto"/>
              </w:rPr>
            </w:pPr>
          </w:p>
        </w:tc>
      </w:tr>
      <w:tr>
        <w:trPr>
          <w:trHeight w:val="188"/>
        </w:trPr>
        <w:tc>
          <w:tcPr>
            <w:tcW w:w="2060" w:type="dxa"/>
            <w:vAlign w:val="bottom"/>
          </w:tcPr>
          <w:p>
            <w:pPr>
              <w:ind w:left="40"/>
              <w:spacing w:after="0"/>
              <w:rPr>
                <w:sz w:val="20"/>
                <w:szCs w:val="20"/>
                <w:color w:val="auto"/>
              </w:rPr>
            </w:pPr>
            <w:r>
              <w:rPr>
                <w:rFonts w:ascii="Arial" w:cs="Arial" w:eastAsia="Arial" w:hAnsi="Arial"/>
                <w:sz w:val="14"/>
                <w:szCs w:val="14"/>
                <w:color w:val="auto"/>
              </w:rPr>
              <w:t>Services, Inc.</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Brand Energy and Infrastructure</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2/7/2015</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Energy/Utilities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L+700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11,776,589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10,410,000</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Inc.</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60" w:type="dxa"/>
            <w:vAlign w:val="bottom"/>
          </w:tcPr>
          <w:p>
            <w:pPr>
              <w:ind w:left="40"/>
              <w:spacing w:after="0"/>
              <w:rPr>
                <w:sz w:val="20"/>
                <w:szCs w:val="20"/>
                <w:color w:val="auto"/>
              </w:rPr>
            </w:pPr>
            <w:r>
              <w:rPr>
                <w:rFonts w:ascii="Arial" w:cs="Arial" w:eastAsia="Arial" w:hAnsi="Arial"/>
                <w:sz w:val="14"/>
                <w:szCs w:val="14"/>
                <w:color w:val="auto"/>
              </w:rPr>
              <w:t>EnviroSolutions, Inc.</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7/29/2014</w:t>
            </w:r>
          </w:p>
        </w:tc>
        <w:tc>
          <w:tcPr>
            <w:tcW w:w="12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Environmental Services</w:t>
            </w:r>
          </w:p>
        </w:tc>
        <w:tc>
          <w:tcPr>
            <w:tcW w:w="620" w:type="dxa"/>
            <w:vAlign w:val="bottom"/>
          </w:tcPr>
          <w:p>
            <w:pPr>
              <w:jc w:val="right"/>
              <w:spacing w:after="0"/>
              <w:rPr>
                <w:sz w:val="20"/>
                <w:szCs w:val="20"/>
                <w:color w:val="auto"/>
              </w:rPr>
            </w:pPr>
            <w:r>
              <w:rPr>
                <w:rFonts w:ascii="Arial" w:cs="Arial" w:eastAsia="Arial" w:hAnsi="Arial"/>
                <w:sz w:val="14"/>
                <w:szCs w:val="14"/>
                <w:color w:val="auto"/>
              </w:rPr>
              <w:t>8.00%</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L+600</w:t>
            </w:r>
          </w:p>
        </w:tc>
        <w:tc>
          <w:tcPr>
            <w:tcW w:w="240" w:type="dxa"/>
            <w:vAlign w:val="bottom"/>
          </w:tcPr>
          <w:p>
            <w:pPr>
              <w:jc w:val="right"/>
              <w:ind w:right="95"/>
              <w:spacing w:after="0"/>
              <w:rPr>
                <w:sz w:val="20"/>
                <w:szCs w:val="20"/>
                <w:color w:val="auto"/>
              </w:rPr>
            </w:pPr>
            <w:r>
              <w:rPr>
                <w:rFonts w:ascii="Arial" w:cs="Arial" w:eastAsia="Arial" w:hAnsi="Arial"/>
                <w:sz w:val="9"/>
                <w:szCs w:val="9"/>
                <w:color w:val="auto"/>
                <w:w w:val="72"/>
              </w:rPr>
              <w:t>(8)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6,237,317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6,237,317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5,950,400</w:t>
            </w: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Generics International (U.S.),</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4/30/2015</w:t>
            </w:r>
          </w:p>
        </w:tc>
        <w:tc>
          <w:tcPr>
            <w:tcW w:w="1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92"/>
              </w:rPr>
              <w:t>Healthcare, Education and</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7.79%</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L+750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12,000,000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11,958,469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11,940,000</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Childcare</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Greatwide Logistics Services,</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1"/>
              </w:rPr>
              <w:t>3/1/2014</w:t>
            </w:r>
          </w:p>
        </w:tc>
        <w:tc>
          <w:tcPr>
            <w:tcW w:w="120" w:type="dxa"/>
            <w:vAlign w:val="bottom"/>
          </w:tcPr>
          <w:p>
            <w:pPr>
              <w:spacing w:after="0"/>
              <w:rPr>
                <w:sz w:val="13"/>
                <w:szCs w:val="13"/>
                <w:color w:val="auto"/>
              </w:rPr>
            </w:pPr>
          </w:p>
        </w:tc>
        <w:tc>
          <w:tcPr>
            <w:tcW w:w="17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Cargo Transport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11.00%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L+700</w:t>
            </w:r>
          </w:p>
        </w:tc>
        <w:tc>
          <w:tcPr>
            <w:tcW w:w="240" w:type="dxa"/>
            <w:vAlign w:val="bottom"/>
          </w:tcPr>
          <w:p>
            <w:pPr>
              <w:jc w:val="right"/>
              <w:ind w:right="55"/>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2,570,357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2,570,357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2,594,775</w:t>
            </w:r>
          </w:p>
        </w:tc>
        <w:tc>
          <w:tcPr>
            <w:tcW w:w="0" w:type="dxa"/>
            <w:vAlign w:val="bottom"/>
          </w:tcPr>
          <w:p>
            <w:pPr>
              <w:spacing w:after="0"/>
              <w:rPr>
                <w:sz w:val="1"/>
                <w:szCs w:val="1"/>
                <w:color w:val="auto"/>
              </w:rPr>
            </w:pPr>
          </w:p>
        </w:tc>
      </w:tr>
      <w:tr>
        <w:trPr>
          <w:trHeight w:val="188"/>
        </w:trPr>
        <w:tc>
          <w:tcPr>
            <w:tcW w:w="2060" w:type="dxa"/>
            <w:vAlign w:val="bottom"/>
          </w:tcPr>
          <w:p>
            <w:pPr>
              <w:ind w:left="40"/>
              <w:spacing w:after="0"/>
              <w:rPr>
                <w:sz w:val="20"/>
                <w:szCs w:val="20"/>
                <w:color w:val="auto"/>
              </w:rPr>
            </w:pPr>
            <w:r>
              <w:rPr>
                <w:rFonts w:ascii="Arial" w:cs="Arial" w:eastAsia="Arial" w:hAnsi="Arial"/>
                <w:sz w:val="14"/>
                <w:szCs w:val="14"/>
                <w:color w:val="auto"/>
              </w:rPr>
              <w:t>L.L.C.</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Mohegan Tribal Gaming</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11/1/2017</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Hotels, Motels, Inns and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4,825,762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4,475,000</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Authority</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Gaming</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Questex Media Group LLC,</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4"/>
              </w:rPr>
              <w:t>12/15/2014</w:t>
            </w:r>
          </w:p>
        </w:tc>
        <w:tc>
          <w:tcPr>
            <w:tcW w:w="120" w:type="dxa"/>
            <w:vAlign w:val="bottom"/>
          </w:tcPr>
          <w:p>
            <w:pPr>
              <w:spacing w:after="0"/>
              <w:rPr>
                <w:sz w:val="13"/>
                <w:szCs w:val="13"/>
                <w:color w:val="auto"/>
              </w:rPr>
            </w:pPr>
          </w:p>
        </w:tc>
        <w:tc>
          <w:tcPr>
            <w:tcW w:w="17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3"/>
              </w:rPr>
              <w:t>Other Media</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9.50%</w:t>
            </w:r>
          </w:p>
        </w:tc>
        <w:tc>
          <w:tcPr>
            <w:tcW w:w="3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L+650</w:t>
            </w:r>
          </w:p>
        </w:tc>
        <w:tc>
          <w:tcPr>
            <w:tcW w:w="240" w:type="dxa"/>
            <w:vAlign w:val="bottom"/>
          </w:tcPr>
          <w:p>
            <w:pPr>
              <w:jc w:val="right"/>
              <w:ind w:right="55"/>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3,219,319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3,219,319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2,675,254</w:t>
            </w:r>
          </w:p>
        </w:tc>
        <w:tc>
          <w:tcPr>
            <w:tcW w:w="0" w:type="dxa"/>
            <w:vAlign w:val="bottom"/>
          </w:tcPr>
          <w:p>
            <w:pPr>
              <w:spacing w:after="0"/>
              <w:rPr>
                <w:sz w:val="1"/>
                <w:szCs w:val="1"/>
                <w:color w:val="auto"/>
              </w:rPr>
            </w:pPr>
          </w:p>
        </w:tc>
      </w:tr>
      <w:tr>
        <w:trPr>
          <w:trHeight w:val="188"/>
        </w:trPr>
        <w:tc>
          <w:tcPr>
            <w:tcW w:w="2060" w:type="dxa"/>
            <w:vAlign w:val="bottom"/>
          </w:tcPr>
          <w:p>
            <w:pPr>
              <w:ind w:left="40"/>
              <w:spacing w:after="0"/>
              <w:rPr>
                <w:sz w:val="20"/>
                <w:szCs w:val="20"/>
                <w:color w:val="auto"/>
              </w:rPr>
            </w:pPr>
            <w:r>
              <w:rPr>
                <w:rFonts w:ascii="Arial" w:cs="Arial" w:eastAsia="Arial" w:hAnsi="Arial"/>
                <w:sz w:val="14"/>
                <w:szCs w:val="14"/>
                <w:color w:val="auto"/>
              </w:rPr>
              <w:t>Term Loan 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LLC,</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12/15/2015</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Other Media</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L+850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1,773,703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1,773,703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1,349,788</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B</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60" w:type="dxa"/>
            <w:vAlign w:val="bottom"/>
          </w:tcPr>
          <w:p>
            <w:pPr>
              <w:ind w:left="40"/>
              <w:spacing w:after="0"/>
              <w:rPr>
                <w:sz w:val="20"/>
                <w:szCs w:val="20"/>
                <w:color w:val="auto"/>
              </w:rPr>
            </w:pPr>
            <w:r>
              <w:rPr>
                <w:rFonts w:ascii="Arial" w:cs="Arial" w:eastAsia="Arial" w:hAnsi="Arial"/>
                <w:sz w:val="14"/>
                <w:szCs w:val="14"/>
                <w:color w:val="auto"/>
              </w:rPr>
              <w:t>Realogy Corp.</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10/15/2017</w:t>
            </w: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Buildings and Real Estate</w:t>
            </w:r>
          </w:p>
        </w:tc>
        <w:tc>
          <w:tcPr>
            <w:tcW w:w="620" w:type="dxa"/>
            <w:vAlign w:val="bottom"/>
          </w:tcPr>
          <w:p>
            <w:pPr>
              <w:jc w:val="right"/>
              <w:spacing w:after="0"/>
              <w:rPr>
                <w:sz w:val="20"/>
                <w:szCs w:val="20"/>
                <w:color w:val="auto"/>
              </w:rPr>
            </w:pPr>
            <w:r>
              <w:rPr>
                <w:rFonts w:ascii="Arial" w:cs="Arial" w:eastAsia="Arial" w:hAnsi="Arial"/>
                <w:sz w:val="14"/>
                <w:szCs w:val="14"/>
                <w:color w:val="auto"/>
              </w:rPr>
              <w:t>13.50%</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10,600,000</w:t>
            </w: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Saint Acquisition Corp.(5)</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5/15/2015</w:t>
            </w: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Transportation</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L+775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9,950,907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9,325,000</w:t>
            </w:r>
          </w:p>
        </w:tc>
        <w:tc>
          <w:tcPr>
            <w:tcW w:w="0" w:type="dxa"/>
            <w:vAlign w:val="bottom"/>
          </w:tcPr>
          <w:p>
            <w:pPr>
              <w:spacing w:after="0"/>
              <w:rPr>
                <w:sz w:val="1"/>
                <w:szCs w:val="1"/>
                <w:color w:val="auto"/>
              </w:rPr>
            </w:pPr>
          </w:p>
        </w:tc>
      </w:tr>
      <w:tr>
        <w:trPr>
          <w:trHeight w:val="80"/>
        </w:trPr>
        <w:tc>
          <w:tcPr>
            <w:tcW w:w="20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60" w:type="dxa"/>
            <w:vAlign w:val="bottom"/>
          </w:tcPr>
          <w:p>
            <w:pPr>
              <w:ind w:left="40"/>
              <w:spacing w:after="0"/>
              <w:rPr>
                <w:sz w:val="20"/>
                <w:szCs w:val="20"/>
                <w:color w:val="auto"/>
              </w:rPr>
            </w:pPr>
            <w:r>
              <w:rPr>
                <w:rFonts w:ascii="Arial" w:cs="Arial" w:eastAsia="Arial" w:hAnsi="Arial"/>
                <w:sz w:val="14"/>
                <w:szCs w:val="14"/>
                <w:color w:val="auto"/>
              </w:rPr>
              <w:t>Saint Acquisition Corp.(5)</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5/15/2017</w:t>
            </w: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Transportation</w:t>
            </w:r>
          </w:p>
        </w:tc>
        <w:tc>
          <w:tcPr>
            <w:tcW w:w="620" w:type="dxa"/>
            <w:vAlign w:val="bottom"/>
          </w:tcPr>
          <w:p>
            <w:pPr>
              <w:jc w:val="right"/>
              <w:spacing w:after="0"/>
              <w:rPr>
                <w:sz w:val="20"/>
                <w:szCs w:val="20"/>
                <w:color w:val="auto"/>
              </w:rPr>
            </w:pPr>
            <w:r>
              <w:rPr>
                <w:rFonts w:ascii="Arial" w:cs="Arial" w:eastAsia="Arial" w:hAnsi="Arial"/>
                <w:sz w:val="14"/>
                <w:szCs w:val="14"/>
                <w:color w:val="auto"/>
              </w:rPr>
              <w:t>12.50%</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17,039,991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19,118,750</w:t>
            </w: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Sheridan Holdings, Inc.</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6/15/2015</w:t>
            </w:r>
          </w:p>
        </w:tc>
        <w:tc>
          <w:tcPr>
            <w:tcW w:w="1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92"/>
              </w:rPr>
              <w:t>Healthcare, Education and</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6.05%</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L+575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21,500,000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19,211,412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19,887,500</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Childcare</w:t>
            </w: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Specialized Technology</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4"/>
              </w:rPr>
              <w:t>12/15/2014</w:t>
            </w:r>
          </w:p>
        </w:tc>
        <w:tc>
          <w:tcPr>
            <w:tcW w:w="120" w:type="dxa"/>
            <w:vAlign w:val="bottom"/>
          </w:tcPr>
          <w:p>
            <w:pPr>
              <w:spacing w:after="0"/>
              <w:rPr>
                <w:sz w:val="13"/>
                <w:szCs w:val="13"/>
                <w:color w:val="auto"/>
              </w:rPr>
            </w:pPr>
          </w:p>
        </w:tc>
        <w:tc>
          <w:tcPr>
            <w:tcW w:w="17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3"/>
              </w:rPr>
              <w:t>Chemical, Plastics and</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7.26%</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L+700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22,490,129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88"/>
        </w:trPr>
        <w:tc>
          <w:tcPr>
            <w:tcW w:w="2060" w:type="dxa"/>
            <w:vAlign w:val="bottom"/>
          </w:tcPr>
          <w:p>
            <w:pPr>
              <w:ind w:left="40"/>
              <w:spacing w:after="0"/>
              <w:rPr>
                <w:sz w:val="20"/>
                <w:szCs w:val="20"/>
                <w:color w:val="auto"/>
              </w:rPr>
            </w:pPr>
            <w:r>
              <w:rPr>
                <w:rFonts w:ascii="Arial" w:cs="Arial" w:eastAsia="Arial" w:hAnsi="Arial"/>
                <w:sz w:val="14"/>
                <w:szCs w:val="14"/>
                <w:color w:val="auto"/>
              </w:rPr>
              <w:t>Resources, Inc.</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Rubber</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TransFirst Holdings, Inc.</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6/15/2015</w:t>
            </w:r>
          </w:p>
        </w:tc>
        <w:tc>
          <w:tcPr>
            <w:tcW w:w="1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L+600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17,811,488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17,341,134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16,564,684</w:t>
            </w:r>
          </w:p>
        </w:tc>
        <w:tc>
          <w:tcPr>
            <w:tcW w:w="0" w:type="dxa"/>
            <w:vAlign w:val="bottom"/>
          </w:tcPr>
          <w:p>
            <w:pPr>
              <w:spacing w:after="0"/>
              <w:rPr>
                <w:sz w:val="1"/>
                <w:szCs w:val="1"/>
                <w:color w:val="auto"/>
              </w:rPr>
            </w:pPr>
          </w:p>
        </w:tc>
      </w:tr>
      <w:tr>
        <w:trPr>
          <w:trHeight w:val="80"/>
        </w:trPr>
        <w:tc>
          <w:tcPr>
            <w:tcW w:w="20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w w:val="93"/>
              </w:rPr>
              <w:t>Total Second Lien Secured Debt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151,611,934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149,087,151</w:t>
            </w:r>
          </w:p>
        </w:tc>
        <w:tc>
          <w:tcPr>
            <w:tcW w:w="0" w:type="dxa"/>
            <w:vAlign w:val="bottom"/>
          </w:tcPr>
          <w:p>
            <w:pPr>
              <w:spacing w:after="0"/>
              <w:rPr>
                <w:sz w:val="1"/>
                <w:szCs w:val="1"/>
                <w:color w:val="auto"/>
              </w:rPr>
            </w:pPr>
          </w:p>
        </w:tc>
      </w:tr>
      <w:tr>
        <w:trPr>
          <w:trHeight w:val="66"/>
        </w:trPr>
        <w:tc>
          <w:tcPr>
            <w:tcW w:w="2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139"/>
          </w:cols>
          <w:pgMar w:left="320" w:top="121" w:right="1440"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Basis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22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Coupon</w:t>
            </w:r>
          </w:p>
        </w:tc>
        <w:tc>
          <w:tcPr>
            <w:tcW w:w="40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0"/>
        </w:trPr>
        <w:tc>
          <w:tcPr>
            <w:tcW w:w="4620" w:type="dxa"/>
            <w:vAlign w:val="bottom"/>
            <w:gridSpan w:val="4"/>
          </w:tcPr>
          <w:p>
            <w:pPr>
              <w:ind w:left="40"/>
              <w:spacing w:after="0"/>
              <w:rPr>
                <w:sz w:val="20"/>
                <w:szCs w:val="20"/>
                <w:color w:val="auto"/>
              </w:rPr>
            </w:pPr>
            <w:r>
              <w:rPr>
                <w:rFonts w:ascii="Arial" w:cs="Arial" w:eastAsia="Arial" w:hAnsi="Arial"/>
                <w:sz w:val="14"/>
                <w:szCs w:val="14"/>
                <w:b w:val="1"/>
                <w:bCs w:val="1"/>
                <w:color w:val="auto"/>
              </w:rPr>
              <w:t>Subordinated Debt/Corporate Notes—56.1%</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Affinion Group</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11/15/2015</w:t>
            </w:r>
          </w:p>
        </w:tc>
        <w:tc>
          <w:tcPr>
            <w:tcW w:w="2320" w:type="dxa"/>
            <w:vAlign w:val="bottom"/>
            <w:gridSpan w:val="2"/>
            <w:shd w:val="clear" w:color="auto" w:fill="CCEEFF"/>
          </w:tcPr>
          <w:p>
            <w:pPr>
              <w:jc w:val="center"/>
              <w:ind w:right="20"/>
              <w:spacing w:after="0" w:line="157" w:lineRule="exact"/>
              <w:rPr>
                <w:sz w:val="20"/>
                <w:szCs w:val="20"/>
                <w:color w:val="auto"/>
              </w:rPr>
            </w:pPr>
            <w:r>
              <w:rPr>
                <w:rFonts w:ascii="Arial" w:cs="Arial" w:eastAsia="Arial" w:hAnsi="Arial"/>
                <w:sz w:val="14"/>
                <w:szCs w:val="14"/>
                <w:color w:val="auto"/>
                <w:w w:val="92"/>
              </w:rPr>
              <w:t>Consumer Products</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11.63%</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9,855,000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9,855,000</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Holdings, Inc. </w:t>
            </w:r>
            <w:r>
              <w:rPr>
                <w:rFonts w:ascii="Arial" w:cs="Arial" w:eastAsia="Arial" w:hAnsi="Arial"/>
                <w:sz w:val="8"/>
                <w:szCs w:val="8"/>
                <w:color w:val="auto"/>
              </w:rPr>
              <w:t>(5)</w:t>
            </w:r>
          </w:p>
        </w:tc>
        <w:tc>
          <w:tcPr>
            <w:tcW w:w="9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Aquilex Holdings,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4"/>
              </w:rPr>
              <w:t>12/15/2016</w:t>
            </w:r>
          </w:p>
        </w:tc>
        <w:tc>
          <w:tcPr>
            <w:tcW w:w="232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5"/>
              </w:rPr>
              <w:t>Diversified / Conglomerate</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11.13%</w:t>
            </w:r>
          </w:p>
        </w:tc>
        <w:tc>
          <w:tcPr>
            <w:tcW w:w="400" w:type="dxa"/>
            <w:vAlign w:val="bottom"/>
          </w:tcPr>
          <w:p>
            <w:pPr>
              <w:spacing w:after="0"/>
              <w:rPr>
                <w:sz w:val="13"/>
                <w:szCs w:val="13"/>
                <w:color w:val="auto"/>
              </w:rPr>
            </w:pPr>
          </w:p>
        </w:tc>
        <w:tc>
          <w:tcPr>
            <w:tcW w:w="82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18,885,000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18,380,337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18,696,150</w:t>
            </w:r>
          </w:p>
        </w:tc>
        <w:tc>
          <w:tcPr>
            <w:tcW w:w="0" w:type="dxa"/>
            <w:vAlign w:val="bottom"/>
          </w:tcPr>
          <w:p>
            <w:pPr>
              <w:spacing w:after="0"/>
              <w:rPr>
                <w:sz w:val="1"/>
                <w:szCs w:val="1"/>
                <w:color w:val="auto"/>
              </w:rPr>
            </w:pPr>
          </w:p>
        </w:tc>
      </w:tr>
      <w:tr>
        <w:trPr>
          <w:trHeight w:val="188"/>
        </w:trPr>
        <w:tc>
          <w:tcPr>
            <w:tcW w:w="1400" w:type="dxa"/>
            <w:vAlign w:val="bottom"/>
          </w:tcPr>
          <w:p>
            <w:pPr>
              <w:ind w:left="40"/>
              <w:spacing w:after="0"/>
              <w:rPr>
                <w:sz w:val="20"/>
                <w:szCs w:val="20"/>
                <w:color w:val="auto"/>
              </w:rPr>
            </w:pPr>
            <w:r>
              <w:rPr>
                <w:rFonts w:ascii="Arial" w:cs="Arial" w:eastAsia="Arial" w:hAnsi="Arial"/>
                <w:sz w:val="14"/>
                <w:szCs w:val="14"/>
                <w:color w:val="auto"/>
              </w:rPr>
              <w:t xml:space="preserve">LLC </w:t>
            </w:r>
            <w:r>
              <w:rPr>
                <w:rFonts w:ascii="Arial" w:cs="Arial" w:eastAsia="Arial" w:hAnsi="Arial"/>
                <w:sz w:val="8"/>
                <w:szCs w:val="8"/>
                <w:color w:val="auto"/>
              </w:rPr>
              <w:t>(5)</w:t>
            </w:r>
          </w:p>
        </w:tc>
        <w:tc>
          <w:tcPr>
            <w:tcW w:w="900" w:type="dxa"/>
            <w:vAlign w:val="bottom"/>
          </w:tcPr>
          <w:p>
            <w:pPr>
              <w:spacing w:after="0"/>
              <w:rPr>
                <w:sz w:val="16"/>
                <w:szCs w:val="16"/>
                <w:color w:val="auto"/>
              </w:rPr>
            </w:pPr>
          </w:p>
        </w:tc>
        <w:tc>
          <w:tcPr>
            <w:tcW w:w="232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Services</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4/17/2015</w:t>
            </w:r>
          </w:p>
        </w:tc>
        <w:tc>
          <w:tcPr>
            <w:tcW w:w="23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Aerospace and Defense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14.25% </w:t>
            </w:r>
            <w:r>
              <w:rPr>
                <w:rFonts w:ascii="Arial" w:cs="Arial" w:eastAsia="Arial" w:hAnsi="Arial"/>
                <w:sz w:val="8"/>
                <w:szCs w:val="8"/>
                <w:color w:val="auto"/>
              </w:rPr>
              <w:t>(6)</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8,109,468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7,973,429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8,170,289</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Foundries, Inc.</w:t>
            </w:r>
          </w:p>
        </w:tc>
        <w:tc>
          <w:tcPr>
            <w:tcW w:w="9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CT Technologies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3"/>
              </w:rPr>
              <w:t>3/22/2014</w:t>
            </w:r>
          </w:p>
        </w:tc>
        <w:tc>
          <w:tcPr>
            <w:tcW w:w="232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89"/>
              </w:rPr>
              <w:t>Business Services</w:t>
            </w:r>
          </w:p>
        </w:tc>
        <w:tc>
          <w:tcPr>
            <w:tcW w:w="10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82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20,720,892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20,359,932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21,425,401</w:t>
            </w:r>
          </w:p>
        </w:tc>
        <w:tc>
          <w:tcPr>
            <w:tcW w:w="0" w:type="dxa"/>
            <w:vAlign w:val="bottom"/>
          </w:tcPr>
          <w:p>
            <w:pPr>
              <w:spacing w:after="0"/>
              <w:rPr>
                <w:sz w:val="1"/>
                <w:szCs w:val="1"/>
                <w:color w:val="auto"/>
              </w:rPr>
            </w:pPr>
          </w:p>
        </w:tc>
      </w:tr>
      <w:tr>
        <w:trPr>
          <w:trHeight w:val="149"/>
        </w:trPr>
        <w:tc>
          <w:tcPr>
            <w:tcW w:w="1400" w:type="dxa"/>
            <w:vAlign w:val="bottom"/>
          </w:tcPr>
          <w:p>
            <w:pPr>
              <w:ind w:left="40"/>
              <w:spacing w:after="0" w:line="149" w:lineRule="exact"/>
              <w:rPr>
                <w:sz w:val="20"/>
                <w:szCs w:val="20"/>
                <w:color w:val="auto"/>
              </w:rPr>
            </w:pPr>
            <w:r>
              <w:rPr>
                <w:rFonts w:ascii="Arial" w:cs="Arial" w:eastAsia="Arial" w:hAnsi="Arial"/>
                <w:sz w:val="14"/>
                <w:szCs w:val="14"/>
                <w:color w:val="auto"/>
              </w:rPr>
              <w:t>Intermediate</w:t>
            </w: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Pr>
          <w:p>
            <w:pPr>
              <w:ind w:left="40"/>
              <w:spacing w:after="0"/>
              <w:rPr>
                <w:sz w:val="20"/>
                <w:szCs w:val="20"/>
                <w:color w:val="auto"/>
              </w:rPr>
            </w:pPr>
            <w:r>
              <w:rPr>
                <w:rFonts w:ascii="Arial" w:cs="Arial" w:eastAsia="Arial" w:hAnsi="Arial"/>
                <w:sz w:val="14"/>
                <w:szCs w:val="14"/>
                <w:color w:val="auto"/>
              </w:rPr>
              <w:t>Holdings, Inc.</w:t>
            </w:r>
          </w:p>
        </w:tc>
        <w:tc>
          <w:tcPr>
            <w:tcW w:w="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Da-Lite Screen</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4/1/2015</w:t>
            </w:r>
          </w:p>
        </w:tc>
        <w:tc>
          <w:tcPr>
            <w:tcW w:w="23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Home and Office Furnishings,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24,379,843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25,625,000</w:t>
            </w: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xml:space="preserve">Company, Inc. </w:t>
            </w:r>
            <w:r>
              <w:rPr>
                <w:rFonts w:ascii="Arial" w:cs="Arial" w:eastAsia="Arial" w:hAnsi="Arial"/>
                <w:sz w:val="8"/>
                <w:szCs w:val="8"/>
                <w:color w:val="auto"/>
              </w:rPr>
              <w:t>(5)</w:t>
            </w:r>
          </w:p>
        </w:tc>
        <w:tc>
          <w:tcPr>
            <w:tcW w:w="90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0"/>
              </w:rPr>
              <w:t>Housewares and Durable Consumer</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0"/>
              </w:rPr>
              <w:t>Products</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ind w:left="40"/>
              <w:spacing w:after="0"/>
              <w:rPr>
                <w:sz w:val="20"/>
                <w:szCs w:val="20"/>
                <w:color w:val="auto"/>
              </w:rPr>
            </w:pPr>
            <w:r>
              <w:rPr>
                <w:rFonts w:ascii="Arial" w:cs="Arial" w:eastAsia="Arial" w:hAnsi="Arial"/>
                <w:sz w:val="14"/>
                <w:szCs w:val="14"/>
                <w:color w:val="auto"/>
              </w:rPr>
              <w:t xml:space="preserve">i2 Holdings Ltd. </w:t>
            </w:r>
            <w:r>
              <w:rPr>
                <w:rFonts w:ascii="Arial" w:cs="Arial" w:eastAsia="Arial" w:hAnsi="Arial"/>
                <w:sz w:val="8"/>
                <w:szCs w:val="8"/>
                <w:color w:val="auto"/>
              </w:rPr>
              <w:t>(10)</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6/6/2014</w:t>
            </w:r>
          </w:p>
        </w:tc>
        <w:tc>
          <w:tcPr>
            <w:tcW w:w="232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Aerospace and Defense</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 xml:space="preserve">14.75% </w:t>
            </w:r>
            <w:r>
              <w:rPr>
                <w:rFonts w:ascii="Arial" w:cs="Arial" w:eastAsia="Arial" w:hAnsi="Arial"/>
                <w:sz w:val="8"/>
                <w:szCs w:val="8"/>
                <w:color w:val="auto"/>
              </w:rPr>
              <w:t>(6)</w:t>
            </w: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23,283,292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22,970,124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23,283,292</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Learning Care Group</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6/30/2016</w:t>
            </w:r>
          </w:p>
        </w:tc>
        <w:tc>
          <w:tcPr>
            <w:tcW w:w="2320" w:type="dxa"/>
            <w:vAlign w:val="bottom"/>
            <w:gridSpan w:val="2"/>
            <w:shd w:val="clear" w:color="auto" w:fill="CCEEFF"/>
          </w:tcPr>
          <w:p>
            <w:pPr>
              <w:jc w:val="center"/>
              <w:ind w:right="20"/>
              <w:spacing w:after="0" w:line="157" w:lineRule="exact"/>
              <w:rPr>
                <w:sz w:val="20"/>
                <w:szCs w:val="20"/>
                <w:color w:val="auto"/>
              </w:rPr>
            </w:pPr>
            <w:r>
              <w:rPr>
                <w:rFonts w:ascii="Arial" w:cs="Arial" w:eastAsia="Arial" w:hAnsi="Arial"/>
                <w:sz w:val="14"/>
                <w:szCs w:val="14"/>
                <w:color w:val="auto"/>
                <w:w w:val="93"/>
              </w:rPr>
              <w:t>Education</w:t>
            </w:r>
          </w:p>
        </w:tc>
        <w:tc>
          <w:tcPr>
            <w:tcW w:w="10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82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3,947,368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3,194,611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3,592,105</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Inc.</w:t>
            </w:r>
          </w:p>
        </w:tc>
        <w:tc>
          <w:tcPr>
            <w:tcW w:w="9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ind w:left="40"/>
              <w:spacing w:after="0"/>
              <w:rPr>
                <w:sz w:val="20"/>
                <w:szCs w:val="20"/>
                <w:color w:val="auto"/>
              </w:rPr>
            </w:pPr>
            <w:r>
              <w:rPr>
                <w:rFonts w:ascii="Arial" w:cs="Arial" w:eastAsia="Arial" w:hAnsi="Arial"/>
                <w:sz w:val="14"/>
                <w:szCs w:val="14"/>
                <w:color w:val="auto"/>
              </w:rPr>
              <w:t>MedQuist, Inc.</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10/15/2016</w:t>
            </w:r>
          </w:p>
        </w:tc>
        <w:tc>
          <w:tcPr>
            <w:tcW w:w="232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 xml:space="preserve">13.00% </w:t>
            </w:r>
            <w:r>
              <w:rPr>
                <w:rFonts w:ascii="Arial" w:cs="Arial" w:eastAsia="Arial" w:hAnsi="Arial"/>
                <w:sz w:val="8"/>
                <w:szCs w:val="8"/>
                <w:color w:val="auto"/>
              </w:rPr>
              <w:t>(6)</w:t>
            </w: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18,430,000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18,430,000</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Realogy Corp.</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4/15/2015</w:t>
            </w:r>
          </w:p>
        </w:tc>
        <w:tc>
          <w:tcPr>
            <w:tcW w:w="23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Buildings and Real Estate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 xml:space="preserve">12.38% </w:t>
            </w:r>
            <w:r>
              <w:rPr>
                <w:rFonts w:ascii="Arial" w:cs="Arial" w:eastAsia="Arial" w:hAnsi="Arial"/>
                <w:sz w:val="8"/>
                <w:szCs w:val="8"/>
                <w:color w:val="auto"/>
              </w:rPr>
              <w:t>(6)</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9,055,731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7,900,000</w:t>
            </w:r>
          </w:p>
        </w:tc>
        <w:tc>
          <w:tcPr>
            <w:tcW w:w="0" w:type="dxa"/>
            <w:vAlign w:val="bottom"/>
          </w:tcPr>
          <w:p>
            <w:pPr>
              <w:spacing w:after="0"/>
              <w:rPr>
                <w:sz w:val="1"/>
                <w:szCs w:val="1"/>
                <w:color w:val="auto"/>
              </w:rPr>
            </w:pPr>
          </w:p>
        </w:tc>
      </w:tr>
      <w:tr>
        <w:trPr>
          <w:trHeight w:val="80"/>
        </w:trPr>
        <w:tc>
          <w:tcPr>
            <w:tcW w:w="14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TRAK Acquisition</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4"/>
              </w:rPr>
              <w:t>12/29/2015</w:t>
            </w:r>
          </w:p>
        </w:tc>
        <w:tc>
          <w:tcPr>
            <w:tcW w:w="232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89"/>
              </w:rPr>
              <w:t>Business Services</w:t>
            </w:r>
          </w:p>
        </w:tc>
        <w:tc>
          <w:tcPr>
            <w:tcW w:w="10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82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11,721,019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11,361,858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11,838,229</w:t>
            </w:r>
          </w:p>
        </w:tc>
        <w:tc>
          <w:tcPr>
            <w:tcW w:w="0" w:type="dxa"/>
            <w:vAlign w:val="bottom"/>
          </w:tcPr>
          <w:p>
            <w:pPr>
              <w:spacing w:after="0"/>
              <w:rPr>
                <w:sz w:val="1"/>
                <w:szCs w:val="1"/>
                <w:color w:val="auto"/>
              </w:rPr>
            </w:pPr>
          </w:p>
        </w:tc>
      </w:tr>
      <w:tr>
        <w:trPr>
          <w:trHeight w:val="188"/>
        </w:trPr>
        <w:tc>
          <w:tcPr>
            <w:tcW w:w="1400" w:type="dxa"/>
            <w:vAlign w:val="bottom"/>
          </w:tcPr>
          <w:p>
            <w:pPr>
              <w:ind w:left="40"/>
              <w:spacing w:after="0"/>
              <w:rPr>
                <w:sz w:val="20"/>
                <w:szCs w:val="20"/>
                <w:color w:val="auto"/>
              </w:rPr>
            </w:pPr>
            <w:r>
              <w:rPr>
                <w:rFonts w:ascii="Arial" w:cs="Arial" w:eastAsia="Arial" w:hAnsi="Arial"/>
                <w:sz w:val="14"/>
                <w:szCs w:val="14"/>
                <w:color w:val="auto"/>
              </w:rPr>
              <w:t>Corp.</w:t>
            </w:r>
          </w:p>
        </w:tc>
        <w:tc>
          <w:tcPr>
            <w:tcW w:w="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Trizetto Group, Inc.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10/1/2016</w:t>
            </w:r>
          </w:p>
        </w:tc>
        <w:tc>
          <w:tcPr>
            <w:tcW w:w="23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Insurance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13.50% </w:t>
            </w:r>
            <w:r>
              <w:rPr>
                <w:rFonts w:ascii="Arial" w:cs="Arial" w:eastAsia="Arial" w:hAnsi="Arial"/>
                <w:sz w:val="8"/>
                <w:szCs w:val="8"/>
                <w:color w:val="auto"/>
              </w:rPr>
              <w:t>(6)</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20,501,960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20,331,704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21,117,018</w:t>
            </w:r>
          </w:p>
        </w:tc>
        <w:tc>
          <w:tcPr>
            <w:tcW w:w="0" w:type="dxa"/>
            <w:vAlign w:val="bottom"/>
          </w:tcPr>
          <w:p>
            <w:pPr>
              <w:spacing w:after="0"/>
              <w:rPr>
                <w:sz w:val="1"/>
                <w:szCs w:val="1"/>
                <w:color w:val="auto"/>
              </w:rPr>
            </w:pPr>
          </w:p>
        </w:tc>
      </w:tr>
      <w:tr>
        <w:trPr>
          <w:trHeight w:val="80"/>
        </w:trPr>
        <w:tc>
          <w:tcPr>
            <w:tcW w:w="14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UP Acquisition Sub</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1"/>
              </w:rPr>
              <w:t>2/8/2015</w:t>
            </w:r>
          </w:p>
        </w:tc>
        <w:tc>
          <w:tcPr>
            <w:tcW w:w="232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4"/>
              </w:rPr>
              <w:t>Oil and Gas</w:t>
            </w:r>
          </w:p>
        </w:tc>
        <w:tc>
          <w:tcPr>
            <w:tcW w:w="10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 xml:space="preserve">15.50% </w:t>
            </w:r>
            <w:r>
              <w:rPr>
                <w:rFonts w:ascii="Arial" w:cs="Arial" w:eastAsia="Arial" w:hAnsi="Arial"/>
                <w:sz w:val="8"/>
                <w:szCs w:val="8"/>
                <w:color w:val="auto"/>
              </w:rPr>
              <w:t>(6)</w:t>
            </w:r>
          </w:p>
        </w:tc>
        <w:tc>
          <w:tcPr>
            <w:tcW w:w="82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21,098,000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20,642,507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20,148,590</w:t>
            </w:r>
          </w:p>
        </w:tc>
        <w:tc>
          <w:tcPr>
            <w:tcW w:w="0" w:type="dxa"/>
            <w:vAlign w:val="bottom"/>
          </w:tcPr>
          <w:p>
            <w:pPr>
              <w:spacing w:after="0"/>
              <w:rPr>
                <w:sz w:val="1"/>
                <w:szCs w:val="1"/>
                <w:color w:val="auto"/>
              </w:rPr>
            </w:pPr>
          </w:p>
        </w:tc>
      </w:tr>
      <w:tr>
        <w:trPr>
          <w:trHeight w:val="188"/>
        </w:trPr>
        <w:tc>
          <w:tcPr>
            <w:tcW w:w="1400" w:type="dxa"/>
            <w:vAlign w:val="bottom"/>
          </w:tcPr>
          <w:p>
            <w:pPr>
              <w:ind w:left="40"/>
              <w:spacing w:after="0"/>
              <w:rPr>
                <w:sz w:val="20"/>
                <w:szCs w:val="20"/>
                <w:color w:val="auto"/>
              </w:rPr>
            </w:pPr>
            <w:r>
              <w:rPr>
                <w:rFonts w:ascii="Arial" w:cs="Arial" w:eastAsia="Arial" w:hAnsi="Arial"/>
                <w:sz w:val="14"/>
                <w:szCs w:val="14"/>
                <w:color w:val="auto"/>
              </w:rPr>
              <w:t>Inc.</w:t>
            </w:r>
          </w:p>
        </w:tc>
        <w:tc>
          <w:tcPr>
            <w:tcW w:w="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Veritext Corp.</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12/31/2015</w:t>
            </w:r>
          </w:p>
        </w:tc>
        <w:tc>
          <w:tcPr>
            <w:tcW w:w="23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14,636,487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80"/>
        </w:trPr>
        <w:tc>
          <w:tcPr>
            <w:tcW w:w="14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400" w:type="dxa"/>
            <w:vAlign w:val="bottom"/>
          </w:tcPr>
          <w:p>
            <w:pPr>
              <w:ind w:left="40"/>
              <w:spacing w:after="0"/>
              <w:rPr>
                <w:sz w:val="20"/>
                <w:szCs w:val="20"/>
                <w:color w:val="auto"/>
              </w:rPr>
            </w:pPr>
            <w:r>
              <w:rPr>
                <w:rFonts w:ascii="Arial" w:cs="Arial" w:eastAsia="Arial" w:hAnsi="Arial"/>
                <w:sz w:val="14"/>
                <w:szCs w:val="14"/>
                <w:color w:val="auto"/>
              </w:rPr>
              <w:t xml:space="preserve">Veritext Corp. </w:t>
            </w:r>
            <w:r>
              <w:rPr>
                <w:rFonts w:ascii="Arial" w:cs="Arial" w:eastAsia="Arial" w:hAnsi="Arial"/>
                <w:sz w:val="8"/>
                <w:szCs w:val="8"/>
                <w:color w:val="auto"/>
              </w:rPr>
              <w:t>(9)</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12/31/2012</w:t>
            </w:r>
          </w:p>
        </w:tc>
        <w:tc>
          <w:tcPr>
            <w:tcW w:w="232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80"/>
        </w:trPr>
        <w:tc>
          <w:tcPr>
            <w:tcW w:w="4520" w:type="dxa"/>
            <w:vAlign w:val="bottom"/>
            <w:tcBorders>
              <w:bottom w:val="single" w:sz="8" w:color="CCEEFF"/>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Subordinated Debt/Corporate Notes</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213,271,563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217,081,074</w:t>
            </w:r>
          </w:p>
        </w:tc>
        <w:tc>
          <w:tcPr>
            <w:tcW w:w="0" w:type="dxa"/>
            <w:vAlign w:val="bottom"/>
          </w:tcPr>
          <w:p>
            <w:pPr>
              <w:spacing w:after="0"/>
              <w:rPr>
                <w:sz w:val="1"/>
                <w:szCs w:val="1"/>
                <w:color w:val="auto"/>
              </w:rPr>
            </w:pPr>
          </w:p>
        </w:tc>
      </w:tr>
      <w:tr>
        <w:trPr>
          <w:trHeight w:val="66"/>
        </w:trPr>
        <w:tc>
          <w:tcPr>
            <w:tcW w:w="14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139"/>
          </w:cols>
          <w:pgMar w:left="320" w:top="121" w:right="1440"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Basis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Point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Par/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Maturity</w:t>
            </w: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Industry</w:t>
            </w:r>
          </w:p>
        </w:tc>
        <w:tc>
          <w:tcPr>
            <w:tcW w:w="96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30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7"/>
              </w:rPr>
              <w:t>Preferred Equity/Partnership Interests—2.0%</w:t>
            </w:r>
            <w:r>
              <w:rPr>
                <w:rFonts w:ascii="Arial" w:cs="Arial" w:eastAsia="Arial" w:hAnsi="Arial"/>
                <w:sz w:val="8"/>
                <w:szCs w:val="8"/>
                <w:b w:val="1"/>
                <w:bCs w:val="1"/>
                <w:color w:val="auto"/>
                <w:w w:val="97"/>
              </w:rPr>
              <w:t>(7)</w:t>
            </w: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AHC Mezzanine, LLC (Advanstar</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62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6"/>
              </w:rPr>
              <w:t>Other Media</w:t>
            </w:r>
          </w:p>
        </w:tc>
        <w:tc>
          <w:tcPr>
            <w:tcW w:w="96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3"/>
                <w:szCs w:val="13"/>
                <w:color w:val="auto"/>
              </w:rPr>
            </w:pPr>
          </w:p>
        </w:tc>
        <w:tc>
          <w:tcPr>
            <w:tcW w:w="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160" w:type="dxa"/>
            <w:vAlign w:val="bottom"/>
          </w:tcPr>
          <w:p>
            <w:pPr>
              <w:ind w:left="40"/>
              <w:spacing w:after="0"/>
              <w:rPr>
                <w:sz w:val="20"/>
                <w:szCs w:val="20"/>
                <w:color w:val="auto"/>
              </w:rPr>
            </w:pPr>
            <w:r>
              <w:rPr>
                <w:rFonts w:ascii="Arial" w:cs="Arial" w:eastAsia="Arial" w:hAnsi="Arial"/>
                <w:sz w:val="14"/>
                <w:szCs w:val="14"/>
                <w:color w:val="auto"/>
              </w:rPr>
              <w:t>Inc.)</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CFHC Holdings, Inc., Class A</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1,070,352</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Foundries, Inc.)</w:t>
            </w:r>
          </w:p>
        </w:tc>
        <w:tc>
          <w:tcPr>
            <w:tcW w:w="9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CT Technologies Holdings, LLC</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62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89"/>
              </w:rPr>
              <w:t>Business Services</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9.00%</w:t>
            </w:r>
          </w:p>
        </w:tc>
        <w:tc>
          <w:tcPr>
            <w:tcW w:w="340" w:type="dxa"/>
            <w:vAlign w:val="bottom"/>
          </w:tcPr>
          <w:p>
            <w:pPr>
              <w:spacing w:after="0"/>
              <w:rPr>
                <w:sz w:val="13"/>
                <w:szCs w:val="13"/>
                <w:color w:val="auto"/>
              </w:rPr>
            </w:pPr>
          </w:p>
        </w:tc>
        <w:tc>
          <w:tcPr>
            <w:tcW w:w="920" w:type="dxa"/>
            <w:vAlign w:val="bottom"/>
          </w:tcPr>
          <w:p>
            <w:pPr>
              <w:ind w:left="4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144,375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144,376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148,909</w:t>
            </w:r>
          </w:p>
        </w:tc>
        <w:tc>
          <w:tcPr>
            <w:tcW w:w="0" w:type="dxa"/>
            <w:vAlign w:val="bottom"/>
          </w:tcPr>
          <w:p>
            <w:pPr>
              <w:spacing w:after="0"/>
              <w:rPr>
                <w:sz w:val="1"/>
                <w:szCs w:val="1"/>
                <w:color w:val="auto"/>
              </w:rPr>
            </w:pPr>
          </w:p>
        </w:tc>
      </w:tr>
      <w:tr>
        <w:trPr>
          <w:trHeight w:val="148"/>
        </w:trPr>
        <w:tc>
          <w:tcPr>
            <w:tcW w:w="2160" w:type="dxa"/>
            <w:vAlign w:val="bottom"/>
          </w:tcPr>
          <w:p>
            <w:pPr>
              <w:ind w:left="40"/>
              <w:spacing w:after="0" w:line="149" w:lineRule="exact"/>
              <w:rPr>
                <w:sz w:val="20"/>
                <w:szCs w:val="20"/>
                <w:color w:val="auto"/>
              </w:rPr>
            </w:pPr>
            <w:r>
              <w:rPr>
                <w:rFonts w:ascii="Arial" w:cs="Arial" w:eastAsia="Arial" w:hAnsi="Arial"/>
                <w:sz w:val="14"/>
                <w:szCs w:val="14"/>
                <w:color w:val="auto"/>
              </w:rPr>
              <w:t>(CT Technologies Intermediate</w:t>
            </w: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40"/>
              <w:spacing w:after="0"/>
              <w:rPr>
                <w:sz w:val="20"/>
                <w:szCs w:val="20"/>
                <w:color w:val="auto"/>
              </w:rPr>
            </w:pPr>
            <w:r>
              <w:rPr>
                <w:rFonts w:ascii="Arial" w:cs="Arial" w:eastAsia="Arial" w:hAnsi="Arial"/>
                <w:sz w:val="14"/>
                <w:szCs w:val="14"/>
                <w:color w:val="auto"/>
              </w:rPr>
              <w:t>Holdings, Inc.)</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i2 Holdings Ltd. (10)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Aerospace and Defense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4,137,240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4,137,240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3,869,263</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TZ Holdings, L.P., Series A</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6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Insurance</w:t>
            </w:r>
          </w:p>
        </w:tc>
        <w:tc>
          <w:tcPr>
            <w:tcW w:w="96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686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88"/>
        </w:trPr>
        <w:tc>
          <w:tcPr>
            <w:tcW w:w="2160" w:type="dxa"/>
            <w:vAlign w:val="bottom"/>
          </w:tcPr>
          <w:p>
            <w:pPr>
              <w:ind w:left="40"/>
              <w:spacing w:after="0"/>
              <w:rPr>
                <w:sz w:val="20"/>
                <w:szCs w:val="20"/>
                <w:color w:val="auto"/>
              </w:rPr>
            </w:pPr>
            <w:r>
              <w:rPr>
                <w:rFonts w:ascii="Arial" w:cs="Arial" w:eastAsia="Arial" w:hAnsi="Arial"/>
                <w:sz w:val="14"/>
                <w:szCs w:val="14"/>
                <w:color w:val="auto"/>
              </w:rPr>
              <w:t>(Trizetto Group, Inc.)</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TZ Holdings, L.P., Series B</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Insurance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1,495,885</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(Trizetto Group, Inc.)</w:t>
            </w:r>
          </w:p>
        </w:tc>
        <w:tc>
          <w:tcPr>
            <w:tcW w:w="9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UP Holdings Inc., Class A-1 (UP</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62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4"/>
              </w:rPr>
              <w:t>Oil and Gas</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8.00%</w:t>
            </w:r>
          </w:p>
        </w:tc>
        <w:tc>
          <w:tcPr>
            <w:tcW w:w="340" w:type="dxa"/>
            <w:vAlign w:val="bottom"/>
          </w:tcPr>
          <w:p>
            <w:pPr>
              <w:spacing w:after="0"/>
              <w:rPr>
                <w:sz w:val="13"/>
                <w:szCs w:val="13"/>
                <w:color w:val="auto"/>
              </w:rPr>
            </w:pPr>
          </w:p>
        </w:tc>
        <w:tc>
          <w:tcPr>
            <w:tcW w:w="920" w:type="dxa"/>
            <w:vAlign w:val="bottom"/>
          </w:tcPr>
          <w:p>
            <w:pPr>
              <w:ind w:left="4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91,608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2,499,066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495,851</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Acquisitions Sub Inc.)</w:t>
            </w:r>
          </w:p>
        </w:tc>
        <w:tc>
          <w:tcPr>
            <w:tcW w:w="9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Preferred Equity/Partnership Interests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9,894,692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7,766,080</w:t>
            </w:r>
          </w:p>
        </w:tc>
        <w:tc>
          <w:tcPr>
            <w:tcW w:w="0" w:type="dxa"/>
            <w:vAlign w:val="bottom"/>
          </w:tcPr>
          <w:p>
            <w:pPr>
              <w:spacing w:after="0"/>
              <w:rPr>
                <w:sz w:val="1"/>
                <w:szCs w:val="1"/>
                <w:color w:val="auto"/>
              </w:rPr>
            </w:pPr>
          </w:p>
        </w:tc>
      </w:tr>
      <w:tr>
        <w:trPr>
          <w:trHeight w:val="66"/>
        </w:trPr>
        <w:tc>
          <w:tcPr>
            <w:tcW w:w="2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139"/>
          </w:cols>
          <w:pgMar w:left="320" w:top="121" w:right="1440"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Basis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4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Coupon</w:t>
            </w:r>
          </w:p>
        </w:tc>
        <w:tc>
          <w:tcPr>
            <w:tcW w:w="3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474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Equity/Warrants/Partnership Interests—9.9%</w:t>
            </w:r>
            <w:r>
              <w:rPr>
                <w:rFonts w:ascii="Arial" w:cs="Arial" w:eastAsia="Arial" w:hAnsi="Arial"/>
                <w:sz w:val="8"/>
                <w:szCs w:val="8"/>
                <w:b w:val="1"/>
                <w:bCs w:val="1"/>
                <w:color w:val="auto"/>
              </w:rPr>
              <w:t>(7)</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CEA Autumn Management, L.L.C.</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line="157" w:lineRule="exact"/>
              <w:rPr>
                <w:sz w:val="20"/>
                <w:szCs w:val="20"/>
                <w:color w:val="auto"/>
              </w:rPr>
            </w:pPr>
            <w:r>
              <w:rPr>
                <w:rFonts w:ascii="Arial" w:cs="Arial" w:eastAsia="Arial" w:hAnsi="Arial"/>
                <w:sz w:val="14"/>
                <w:szCs w:val="14"/>
                <w:color w:val="auto"/>
                <w:w w:val="93"/>
              </w:rPr>
              <w:t>Broadcasting and</w:t>
            </w:r>
          </w:p>
        </w:tc>
        <w:tc>
          <w:tcPr>
            <w:tcW w:w="94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Entertainment</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CFHC Holdings, Inc. (Consolidated</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Aerospace and</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1,627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16,271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Foundries, Inc.)</w:t>
            </w:r>
          </w:p>
        </w:tc>
        <w:tc>
          <w:tcPr>
            <w:tcW w:w="900" w:type="dxa"/>
            <w:vAlign w:val="bottom"/>
          </w:tcPr>
          <w:p>
            <w:pPr>
              <w:spacing w:after="0"/>
              <w:rPr>
                <w:sz w:val="16"/>
                <w:szCs w:val="16"/>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Defense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CT Technologies Holdings, LLC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(CT Technologies Intermediate</w:t>
            </w:r>
          </w:p>
        </w:tc>
        <w:tc>
          <w:tcPr>
            <w:tcW w:w="9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Holdings, 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EnviroSolutions, Inc.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6"/>
              </w:rPr>
              <w:t>Environmental</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24,375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1,506,076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Services</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EnviroSolutions, Inc.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6"/>
              </w:rPr>
              <w:t>Environmental</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3,027,906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Services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i2 Holdings Ltd. (10)</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1"/>
              </w:rPr>
              <w:t>Aerospace and</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457,322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454,030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Defense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Kadmon Holdings, L.L.C., Class 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Healthcare, Education</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(Three Rivers Pharmaceutical,</w:t>
            </w:r>
          </w:p>
        </w:tc>
        <w:tc>
          <w:tcPr>
            <w:tcW w:w="9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and Childcare</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Kadmon Holdings, L.L.C., Class D</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40"/>
              <w:spacing w:after="0" w:line="157" w:lineRule="exact"/>
              <w:rPr>
                <w:sz w:val="20"/>
                <w:szCs w:val="20"/>
                <w:color w:val="auto"/>
              </w:rPr>
            </w:pPr>
            <w:r>
              <w:rPr>
                <w:rFonts w:ascii="Arial" w:cs="Arial" w:eastAsia="Arial" w:hAnsi="Arial"/>
                <w:sz w:val="14"/>
                <w:szCs w:val="14"/>
                <w:color w:val="auto"/>
                <w:w w:val="92"/>
              </w:rPr>
              <w:t>Healthcare, Education</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8,999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857,339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8"/>
        </w:trPr>
        <w:tc>
          <w:tcPr>
            <w:tcW w:w="2280" w:type="dxa"/>
            <w:vAlign w:val="bottom"/>
          </w:tcPr>
          <w:p>
            <w:pPr>
              <w:ind w:left="40"/>
              <w:spacing w:after="0" w:line="149" w:lineRule="exact"/>
              <w:rPr>
                <w:sz w:val="20"/>
                <w:szCs w:val="20"/>
                <w:color w:val="auto"/>
              </w:rPr>
            </w:pPr>
            <w:r>
              <w:rPr>
                <w:rFonts w:ascii="Arial" w:cs="Arial" w:eastAsia="Arial" w:hAnsi="Arial"/>
                <w:sz w:val="14"/>
                <w:szCs w:val="14"/>
                <w:color w:val="auto"/>
              </w:rPr>
              <w:t>(Three Rivers Pharmaceutical,</w:t>
            </w:r>
          </w:p>
        </w:tc>
        <w:tc>
          <w:tcPr>
            <w:tcW w:w="90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and Childcare</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L.L.C.)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Learning Care Group (US) Inc.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4/27/2020</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Education</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Magnum Hunter Resources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4"/>
              </w:rPr>
              <w:t>Oil and Gas</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1,055,932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2,464,999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Corporation</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QMG HoldCo, LLC, Class 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6"/>
              </w:rPr>
              <w:t>Other Media</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QMG HoldCo, LLC, Class B</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6"/>
              </w:rPr>
              <w:t>Other Media</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(Questex Media Group, Inc.)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TRAK Acquisition Corp.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12/29/2019</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79"/>
        </w:trPr>
        <w:tc>
          <w:tcPr>
            <w:tcW w:w="2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Transportation 100 Holdco, L.L.C.</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2"/>
              </w:rPr>
              <w:t>Cargo Transport</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137,923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2,111,588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148"/>
        </w:trPr>
        <w:tc>
          <w:tcPr>
            <w:tcW w:w="2280" w:type="dxa"/>
            <w:vAlign w:val="bottom"/>
          </w:tcPr>
          <w:p>
            <w:pPr>
              <w:ind w:left="40"/>
              <w:spacing w:after="0" w:line="149" w:lineRule="exact"/>
              <w:rPr>
                <w:sz w:val="20"/>
                <w:szCs w:val="20"/>
                <w:color w:val="auto"/>
              </w:rPr>
            </w:pPr>
            <w:r>
              <w:rPr>
                <w:rFonts w:ascii="Arial" w:cs="Arial" w:eastAsia="Arial" w:hAnsi="Arial"/>
                <w:sz w:val="14"/>
                <w:szCs w:val="14"/>
                <w:color w:val="auto"/>
              </w:rPr>
              <w:t>(Greatwide Logistics Services,</w:t>
            </w: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L.L.C)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TZ Holdings, L.P. (Trizetto Group,</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7"/>
              </w:rPr>
              <w:t>Insurance</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9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40"/>
              <w:spacing w:after="0" w:line="157" w:lineRule="exact"/>
              <w:rPr>
                <w:sz w:val="20"/>
                <w:szCs w:val="20"/>
                <w:color w:val="auto"/>
              </w:rPr>
            </w:pPr>
            <w:r>
              <w:rPr>
                <w:rFonts w:ascii="Arial" w:cs="Arial" w:eastAsia="Arial" w:hAnsi="Arial"/>
                <w:sz w:val="14"/>
                <w:szCs w:val="14"/>
                <w:color w:val="auto"/>
              </w:rPr>
              <w:t>UP Holdings Inc. (UP Acquisitions</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w w:val="94"/>
              </w:rPr>
              <w:t>Oil and Gas</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91,608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80" w:type="dxa"/>
            <w:vAlign w:val="bottom"/>
          </w:tcPr>
          <w:p>
            <w:pPr>
              <w:ind w:left="40"/>
              <w:spacing w:after="0"/>
              <w:rPr>
                <w:sz w:val="20"/>
                <w:szCs w:val="20"/>
                <w:color w:val="auto"/>
              </w:rPr>
            </w:pPr>
            <w:r>
              <w:rPr>
                <w:rFonts w:ascii="Arial" w:cs="Arial" w:eastAsia="Arial" w:hAnsi="Arial"/>
                <w:sz w:val="14"/>
                <w:szCs w:val="14"/>
                <w:color w:val="auto"/>
              </w:rPr>
              <w:t>Sub Inc.)</w:t>
            </w: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VText Holdings, Inc.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Business Services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79"/>
        </w:trPr>
        <w:tc>
          <w:tcPr>
            <w:tcW w:w="4640" w:type="dxa"/>
            <w:vAlign w:val="bottom"/>
            <w:gridSpan w:val="3"/>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4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24,595,148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jc w:val="right"/>
              <w:ind w:right="26"/>
              <w:spacing w:after="0" w:line="68" w:lineRule="exact"/>
              <w:rPr>
                <w:sz w:val="20"/>
                <w:szCs w:val="20"/>
                <w:color w:val="auto"/>
              </w:rPr>
            </w:pPr>
            <w:r>
              <w:rPr>
                <w:rFonts w:ascii="Arial" w:cs="Arial" w:eastAsia="Arial" w:hAnsi="Arial"/>
                <w:sz w:val="7"/>
                <w:szCs w:val="7"/>
                <w:color w:val="auto"/>
              </w:rPr>
              <w:t>$</w:t>
            </w:r>
          </w:p>
        </w:tc>
        <w:tc>
          <w:tcPr>
            <w:tcW w:w="840" w:type="dxa"/>
            <w:vAlign w:val="bottom"/>
          </w:tcPr>
          <w:p>
            <w:pPr>
              <w:jc w:val="right"/>
              <w:spacing w:after="0" w:line="68" w:lineRule="exact"/>
              <w:rPr>
                <w:sz w:val="20"/>
                <w:szCs w:val="20"/>
                <w:color w:val="auto"/>
              </w:rPr>
            </w:pPr>
            <w:r>
              <w:rPr>
                <w:rFonts w:ascii="Arial" w:cs="Arial" w:eastAsia="Arial" w:hAnsi="Arial"/>
                <w:sz w:val="7"/>
                <w:szCs w:val="7"/>
                <w:color w:val="auto"/>
              </w:rPr>
              <w:t>631,280,755</w:t>
            </w:r>
          </w:p>
        </w:tc>
        <w:tc>
          <w:tcPr>
            <w:tcW w:w="100" w:type="dxa"/>
            <w:vAlign w:val="bottom"/>
          </w:tcPr>
          <w:p>
            <w:pPr>
              <w:spacing w:after="0"/>
              <w:rPr>
                <w:sz w:val="5"/>
                <w:szCs w:val="5"/>
                <w:color w:val="auto"/>
              </w:rPr>
            </w:pPr>
          </w:p>
        </w:tc>
        <w:tc>
          <w:tcPr>
            <w:tcW w:w="200" w:type="dxa"/>
            <w:vAlign w:val="bottom"/>
          </w:tcPr>
          <w:p>
            <w:pPr>
              <w:jc w:val="right"/>
              <w:ind w:right="46"/>
              <w:spacing w:after="0" w:line="68" w:lineRule="exact"/>
              <w:rPr>
                <w:sz w:val="20"/>
                <w:szCs w:val="20"/>
                <w:color w:val="auto"/>
              </w:rPr>
            </w:pPr>
            <w:r>
              <w:rPr>
                <w:rFonts w:ascii="Arial" w:cs="Arial" w:eastAsia="Arial" w:hAnsi="Arial"/>
                <w:sz w:val="7"/>
                <w:szCs w:val="7"/>
                <w:color w:val="auto"/>
              </w:rPr>
              <w:t>$</w:t>
            </w:r>
          </w:p>
        </w:tc>
        <w:tc>
          <w:tcPr>
            <w:tcW w:w="840" w:type="dxa"/>
            <w:vAlign w:val="bottom"/>
          </w:tcPr>
          <w:p>
            <w:pPr>
              <w:jc w:val="right"/>
              <w:spacing w:after="0" w:line="68" w:lineRule="exact"/>
              <w:rPr>
                <w:sz w:val="20"/>
                <w:szCs w:val="20"/>
                <w:color w:val="auto"/>
              </w:rPr>
            </w:pPr>
            <w:r>
              <w:rPr>
                <w:rFonts w:ascii="Arial" w:cs="Arial" w:eastAsia="Arial" w:hAnsi="Arial"/>
                <w:sz w:val="7"/>
                <w:szCs w:val="7"/>
                <w:color w:val="auto"/>
              </w:rPr>
              <w:t>641,290,626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16331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331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13335</wp:posOffset>
            </wp:positionV>
            <wp:extent cx="13716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58"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39"/>
          </w:cols>
          <w:pgMar w:left="320" w:top="121" w:right="1440"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September 30, 2010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Basis Point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Spread</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8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Industry</w:t>
            </w:r>
          </w:p>
        </w:tc>
        <w:tc>
          <w:tcPr>
            <w:tcW w:w="1000" w:type="dxa"/>
            <w:vAlign w:val="bottom"/>
            <w:gridSpan w:val="2"/>
            <w:vMerge w:val="continue"/>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Above</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Coupon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(4)</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25"/>
        </w:trPr>
        <w:tc>
          <w:tcPr>
            <w:tcW w:w="464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5"/>
              </w:rPr>
              <w:t>Investments in Non-Controlled, Affiliated Portfolio Companies—4.0%</w:t>
            </w:r>
            <w:r>
              <w:rPr>
                <w:rFonts w:ascii="Arial" w:cs="Arial" w:eastAsia="Arial" w:hAnsi="Arial"/>
                <w:sz w:val="8"/>
                <w:szCs w:val="8"/>
                <w:b w:val="1"/>
                <w:bCs w:val="1"/>
                <w:color w:val="auto"/>
                <w:w w:val="95"/>
              </w:rPr>
              <w:t>(1),(2)</w:t>
            </w:r>
          </w:p>
        </w:tc>
        <w:tc>
          <w:tcPr>
            <w:tcW w:w="6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760" w:type="dxa"/>
            <w:vAlign w:val="bottom"/>
            <w:gridSpan w:val="2"/>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Lien Secured Debt—2.0%</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Inc.</w:t>
            </w:r>
          </w:p>
        </w:tc>
        <w:tc>
          <w:tcPr>
            <w:tcW w:w="900" w:type="dxa"/>
            <w:vAlign w:val="bottom"/>
            <w:shd w:val="clear" w:color="auto" w:fill="CCEEFF"/>
          </w:tcPr>
          <w:p>
            <w:pPr>
              <w:jc w:val="center"/>
              <w:ind w:right="8"/>
              <w:spacing w:after="0" w:line="157" w:lineRule="exact"/>
              <w:rPr>
                <w:sz w:val="20"/>
                <w:szCs w:val="20"/>
                <w:color w:val="auto"/>
              </w:rPr>
            </w:pPr>
            <w:r>
              <w:rPr>
                <w:rFonts w:ascii="Arial" w:cs="Arial" w:eastAsia="Arial" w:hAnsi="Arial"/>
                <w:sz w:val="14"/>
                <w:szCs w:val="14"/>
                <w:color w:val="auto"/>
                <w:w w:val="93"/>
              </w:rPr>
              <w:t>1/16/2015</w:t>
            </w:r>
          </w:p>
        </w:tc>
        <w:tc>
          <w:tcPr>
            <w:tcW w:w="18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4"/>
              </w:rPr>
              <w:t>Leisure, Amusement, Motion</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7.50%</w:t>
            </w: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 xml:space="preserve">L+650 </w:t>
            </w:r>
            <w:r>
              <w:rPr>
                <w:rFonts w:ascii="Arial" w:cs="Arial" w:eastAsia="Arial" w:hAnsi="Arial"/>
                <w:sz w:val="8"/>
                <w:szCs w:val="8"/>
                <w:color w:val="auto"/>
              </w:rPr>
              <w:t>(8)</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8,000,000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8,000,000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Subordinated Debt/Corporate Notes—1.5%</w:t>
            </w: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Performance Holdings, Inc.</w:t>
            </w:r>
          </w:p>
        </w:tc>
        <w:tc>
          <w:tcPr>
            <w:tcW w:w="900" w:type="dxa"/>
            <w:vAlign w:val="bottom"/>
            <w:shd w:val="clear" w:color="auto" w:fill="CCEEFF"/>
          </w:tcPr>
          <w:p>
            <w:pPr>
              <w:jc w:val="center"/>
              <w:ind w:right="8"/>
              <w:spacing w:after="0" w:line="157" w:lineRule="exact"/>
              <w:rPr>
                <w:sz w:val="20"/>
                <w:szCs w:val="20"/>
                <w:color w:val="auto"/>
              </w:rPr>
            </w:pPr>
            <w:r>
              <w:rPr>
                <w:rFonts w:ascii="Arial" w:cs="Arial" w:eastAsia="Arial" w:hAnsi="Arial"/>
                <w:sz w:val="14"/>
                <w:szCs w:val="14"/>
                <w:color w:val="auto"/>
                <w:w w:val="93"/>
              </w:rPr>
              <w:t>7/16/2015</w:t>
            </w:r>
          </w:p>
        </w:tc>
        <w:tc>
          <w:tcPr>
            <w:tcW w:w="18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4"/>
              </w:rPr>
              <w:t>Leisure, Amusement, Motion</w:t>
            </w:r>
          </w:p>
        </w:tc>
        <w:tc>
          <w:tcPr>
            <w:tcW w:w="10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 xml:space="preserve">15.00% </w:t>
            </w:r>
            <w:r>
              <w:rPr>
                <w:rFonts w:ascii="Arial" w:cs="Arial" w:eastAsia="Arial" w:hAnsi="Arial"/>
                <w:sz w:val="8"/>
                <w:szCs w:val="8"/>
                <w:color w:val="auto"/>
              </w:rPr>
              <w:t>(6)</w:t>
            </w:r>
          </w:p>
        </w:tc>
        <w:tc>
          <w:tcPr>
            <w:tcW w:w="96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5,848,176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5,677,648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46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8"/>
                <w:szCs w:val="8"/>
                <w:b w:val="1"/>
                <w:bCs w:val="1"/>
                <w:color w:val="auto"/>
              </w:rPr>
              <w:t>(7)</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NCP-Performance</w:t>
            </w:r>
          </w:p>
        </w:tc>
        <w:tc>
          <w:tcPr>
            <w:tcW w:w="900" w:type="dxa"/>
            <w:vAlign w:val="bottom"/>
            <w:shd w:val="clear" w:color="auto" w:fill="CCEEFF"/>
          </w:tcPr>
          <w:p>
            <w:pPr>
              <w:jc w:val="center"/>
              <w:ind w:right="8"/>
              <w:spacing w:after="0" w:line="157" w:lineRule="exact"/>
              <w:rPr>
                <w:sz w:val="20"/>
                <w:szCs w:val="20"/>
                <w:color w:val="auto"/>
              </w:rPr>
            </w:pPr>
            <w:r>
              <w:rPr>
                <w:rFonts w:ascii="Arial" w:cs="Arial" w:eastAsia="Arial" w:hAnsi="Arial"/>
                <w:sz w:val="14"/>
                <w:szCs w:val="14"/>
                <w:color w:val="auto"/>
                <w:w w:val="99"/>
              </w:rPr>
              <w:t>—</w:t>
            </w:r>
          </w:p>
        </w:tc>
        <w:tc>
          <w:tcPr>
            <w:tcW w:w="18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4"/>
              </w:rPr>
              <w:t>Leisure, Amusement, Motion</w:t>
            </w:r>
          </w:p>
        </w:tc>
        <w:tc>
          <w:tcPr>
            <w:tcW w:w="1000" w:type="dxa"/>
            <w:vAlign w:val="bottom"/>
            <w:gridSpan w:val="2"/>
            <w:shd w:val="clear" w:color="auto" w:fill="CCEEFF"/>
          </w:tcPr>
          <w:p>
            <w:pPr>
              <w:jc w:val="right"/>
              <w:ind w:right="52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37,500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Holdings, Inc.)</w:t>
            </w:r>
          </w:p>
        </w:tc>
        <w:tc>
          <w:tcPr>
            <w:tcW w:w="9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2"/>
              </w:rPr>
              <w:t>Pictures and Entertainment</w:t>
            </w: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17,427,648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15,433,680</w:t>
            </w:r>
          </w:p>
        </w:tc>
        <w:tc>
          <w:tcPr>
            <w:tcW w:w="0" w:type="dxa"/>
            <w:vAlign w:val="bottom"/>
          </w:tcPr>
          <w:p>
            <w:pPr>
              <w:spacing w:after="0"/>
              <w:rPr>
                <w:sz w:val="1"/>
                <w:szCs w:val="1"/>
                <w:color w:val="auto"/>
              </w:rPr>
            </w:pPr>
          </w:p>
        </w:tc>
      </w:tr>
      <w:tr>
        <w:trPr>
          <w:trHeight w:val="66"/>
        </w:trPr>
        <w:tc>
          <w:tcPr>
            <w:tcW w:w="4640" w:type="dxa"/>
            <w:vAlign w:val="bottom"/>
            <w:tcBorders>
              <w:bottom w:val="single" w:sz="8" w:color="CCEEFF"/>
            </w:tcBorders>
            <w:gridSpan w:val="3"/>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Companies—2.1%</w:t>
            </w:r>
            <w:r>
              <w:rPr>
                <w:rFonts w:ascii="Arial" w:cs="Arial" w:eastAsia="Arial" w:hAnsi="Arial"/>
                <w:sz w:val="8"/>
                <w:szCs w:val="8"/>
                <w:b w:val="1"/>
                <w:bCs w:val="1"/>
                <w:color w:val="auto"/>
              </w:rPr>
              <w:t>(1),(2)</w:t>
            </w:r>
          </w:p>
        </w:tc>
        <w:tc>
          <w:tcPr>
            <w:tcW w:w="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760" w:type="dxa"/>
            <w:vAlign w:val="bottom"/>
            <w:gridSpan w:val="2"/>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 Lien Secured Debt—1.4%</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6/30/2020</w:t>
            </w: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5,352,000</w:t>
            </w:r>
          </w:p>
        </w:tc>
        <w:tc>
          <w:tcPr>
            <w:tcW w:w="0" w:type="dxa"/>
            <w:vAlign w:val="bottom"/>
          </w:tcPr>
          <w:p>
            <w:pPr>
              <w:spacing w:after="0"/>
              <w:rPr>
                <w:sz w:val="1"/>
                <w:szCs w:val="1"/>
                <w:color w:val="auto"/>
              </w:rPr>
            </w:pPr>
          </w:p>
        </w:tc>
      </w:tr>
      <w:tr>
        <w:trPr>
          <w:trHeight w:val="80"/>
        </w:trPr>
        <w:tc>
          <w:tcPr>
            <w:tcW w:w="2760" w:type="dxa"/>
            <w:vAlign w:val="bottom"/>
            <w:gridSpan w:val="2"/>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Subordinated Debt/Corporate Notes—0.3%</w:t>
            </w: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6/30/2020</w:t>
            </w: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xml:space="preserve">14.00% </w:t>
            </w:r>
            <w:r>
              <w:rPr>
                <w:rFonts w:ascii="Arial" w:cs="Arial" w:eastAsia="Arial" w:hAnsi="Arial"/>
                <w:sz w:val="8"/>
                <w:szCs w:val="8"/>
                <w:color w:val="auto"/>
              </w:rPr>
              <w:t>(6)</w:t>
            </w: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1,142,398</w:t>
            </w:r>
          </w:p>
        </w:tc>
        <w:tc>
          <w:tcPr>
            <w:tcW w:w="0" w:type="dxa"/>
            <w:vAlign w:val="bottom"/>
          </w:tcPr>
          <w:p>
            <w:pPr>
              <w:spacing w:after="0"/>
              <w:rPr>
                <w:sz w:val="1"/>
                <w:szCs w:val="1"/>
                <w:color w:val="auto"/>
              </w:rPr>
            </w:pPr>
          </w:p>
        </w:tc>
      </w:tr>
      <w:tr>
        <w:trPr>
          <w:trHeight w:val="80"/>
        </w:trPr>
        <w:tc>
          <w:tcPr>
            <w:tcW w:w="1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8"/>
                <w:szCs w:val="8"/>
                <w:b w:val="1"/>
                <w:bCs w:val="1"/>
                <w:color w:val="auto"/>
              </w:rPr>
              <w:t>(7)</w:t>
            </w: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0"/>
              </w:rPr>
              <w:t>Business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1,505,602</w:t>
            </w:r>
          </w:p>
        </w:tc>
        <w:tc>
          <w:tcPr>
            <w:tcW w:w="0" w:type="dxa"/>
            <w:vAlign w:val="bottom"/>
          </w:tcPr>
          <w:p>
            <w:pPr>
              <w:spacing w:after="0"/>
              <w:rPr>
                <w:sz w:val="1"/>
                <w:szCs w:val="1"/>
                <w:color w:val="auto"/>
              </w:rPr>
            </w:pPr>
          </w:p>
        </w:tc>
      </w:tr>
      <w:tr>
        <w:trPr>
          <w:trHeight w:val="80"/>
        </w:trPr>
        <w:tc>
          <w:tcPr>
            <w:tcW w:w="1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8"/>
                <w:szCs w:val="8"/>
                <w:b w:val="1"/>
                <w:bCs w:val="1"/>
                <w:color w:val="auto"/>
              </w:rPr>
              <w:t>(7)</w:t>
            </w: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SuttonPark Holdings, Inc.</w:t>
            </w:r>
          </w:p>
        </w:tc>
        <w:tc>
          <w:tcPr>
            <w:tcW w:w="9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88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0"/>
        </w:trPr>
        <w:tc>
          <w:tcPr>
            <w:tcW w:w="4640" w:type="dxa"/>
            <w:vAlign w:val="bottom"/>
            <w:gridSpan w:val="3"/>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Investments in Controlled, Affiliated Portfolio Companies</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8,000,100</w:t>
            </w:r>
          </w:p>
        </w:tc>
        <w:tc>
          <w:tcPr>
            <w:tcW w:w="0" w:type="dxa"/>
            <w:vAlign w:val="bottom"/>
          </w:tcPr>
          <w:p>
            <w:pPr>
              <w:spacing w:after="0"/>
              <w:rPr>
                <w:sz w:val="1"/>
                <w:szCs w:val="1"/>
                <w:color w:val="auto"/>
              </w:rPr>
            </w:pPr>
          </w:p>
        </w:tc>
      </w:tr>
      <w:tr>
        <w:trPr>
          <w:trHeight w:val="66"/>
        </w:trPr>
        <w:tc>
          <w:tcPr>
            <w:tcW w:w="18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Total Investments—172.0%</w:t>
            </w:r>
          </w:p>
        </w:tc>
        <w:tc>
          <w:tcPr>
            <w:tcW w:w="9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656,708,503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664,724,406</w:t>
            </w:r>
          </w:p>
        </w:tc>
        <w:tc>
          <w:tcPr>
            <w:tcW w:w="0" w:type="dxa"/>
            <w:vAlign w:val="bottom"/>
          </w:tcPr>
          <w:p>
            <w:pPr>
              <w:spacing w:after="0"/>
              <w:rPr>
                <w:sz w:val="1"/>
                <w:szCs w:val="1"/>
                <w:color w:val="auto"/>
              </w:rPr>
            </w:pPr>
          </w:p>
        </w:tc>
      </w:tr>
      <w:tr>
        <w:trPr>
          <w:trHeight w:val="66"/>
        </w:trPr>
        <w:tc>
          <w:tcPr>
            <w:tcW w:w="18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rPr>
              <w:t>Cash Equivalents—0.5%</w:t>
            </w:r>
          </w:p>
        </w:tc>
        <w:tc>
          <w:tcPr>
            <w:tcW w:w="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1,814,451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1,814,451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1,814,451</w:t>
            </w:r>
          </w:p>
        </w:tc>
        <w:tc>
          <w:tcPr>
            <w:tcW w:w="0" w:type="dxa"/>
            <w:vAlign w:val="bottom"/>
          </w:tcPr>
          <w:p>
            <w:pPr>
              <w:spacing w:after="0"/>
              <w:rPr>
                <w:sz w:val="1"/>
                <w:szCs w:val="1"/>
                <w:color w:val="auto"/>
              </w:rPr>
            </w:pPr>
          </w:p>
        </w:tc>
      </w:tr>
      <w:tr>
        <w:trPr>
          <w:trHeight w:val="66"/>
        </w:trPr>
        <w:tc>
          <w:tcPr>
            <w:tcW w:w="18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and Cash Equivalents—172.5%</w:t>
            </w:r>
          </w:p>
        </w:tc>
        <w:tc>
          <w:tcPr>
            <w:tcW w:w="6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658,522,954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666,538,857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b w:val="1"/>
                <w:bCs w:val="1"/>
                <w:color w:val="auto"/>
              </w:rPr>
              <w:t>Liabilities in Excess of Other Assets—(72.5%)</w:t>
            </w:r>
          </w:p>
        </w:tc>
        <w:tc>
          <w:tcPr>
            <w:tcW w:w="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w w:val="98"/>
              </w:rPr>
              <w:t>(279,963,634)</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Assets—100.0%</w:t>
            </w:r>
          </w:p>
        </w:tc>
        <w:tc>
          <w:tcPr>
            <w:tcW w:w="9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386,575,223</w:t>
            </w:r>
          </w:p>
        </w:tc>
        <w:tc>
          <w:tcPr>
            <w:tcW w:w="0" w:type="dxa"/>
            <w:vAlign w:val="bottom"/>
          </w:tcPr>
          <w:p>
            <w:pPr>
              <w:spacing w:after="0"/>
              <w:rPr>
                <w:sz w:val="1"/>
                <w:szCs w:val="1"/>
                <w:color w:val="auto"/>
              </w:rPr>
            </w:pPr>
          </w:p>
        </w:tc>
      </w:tr>
      <w:tr>
        <w:trPr>
          <w:trHeight w:val="66"/>
        </w:trPr>
        <w:tc>
          <w:tcPr>
            <w:tcW w:w="186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18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2" w:lineRule="exact"/>
        <w:rPr>
          <w:sz w:val="20"/>
          <w:szCs w:val="20"/>
          <w:color w:val="auto"/>
        </w:rPr>
      </w:pPr>
    </w:p>
    <w:p>
      <w:pPr>
        <w:ind w:left="340" w:hanging="332"/>
        <w:spacing w:after="0" w:line="24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prov</w:t>
      </w:r>
      <w:r>
        <w:rPr>
          <w:rFonts w:ascii="Arial" w:cs="Arial" w:eastAsia="Arial" w:hAnsi="Arial"/>
          <w:sz w:val="12"/>
          <w:szCs w:val="12"/>
          <w:color w:val="auto"/>
        </w:rPr>
        <w:t>isions of the 1940 Act classify investments based on the level of control that we maintain in a particular portfolio company. As defined in the 1940 Act, a company is deemed as “non-controlled” when we</w:t>
      </w:r>
      <w:r>
        <w:rPr>
          <w:rFonts w:ascii="Arial" w:cs="Arial" w:eastAsia="Arial" w:hAnsi="Arial"/>
          <w:sz w:val="14"/>
          <w:szCs w:val="14"/>
          <w:color w:val="auto"/>
        </w:rPr>
        <w:t xml:space="preserve"> </w:t>
      </w:r>
      <w:r>
        <w:rPr>
          <w:rFonts w:ascii="Arial" w:cs="Arial" w:eastAsia="Arial" w:hAnsi="Arial"/>
          <w:sz w:val="12"/>
          <w:szCs w:val="12"/>
          <w:color w:val="auto"/>
        </w:rPr>
        <w:t>own less than 25% of a portfolio company’s voting securities and “controlled” when we own 25% or more of a portfolio company’s voting securities.</w:t>
      </w:r>
    </w:p>
    <w:p>
      <w:pPr>
        <w:ind w:left="340" w:right="60" w:hanging="332"/>
        <w:spacing w:after="0" w:line="238"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100" w:hanging="332"/>
        <w:spacing w:after="0" w:line="238"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SEE NOTES TO CONSOLIDATED FINANCIAL STATEMENTS</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120"/>
          </w:cols>
          <w:pgMar w:left="320" w:top="121" w:right="45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51" w:lineRule="exact"/>
        <w:rPr>
          <w:sz w:val="20"/>
          <w:szCs w:val="20"/>
          <w:color w:val="auto"/>
        </w:rPr>
      </w:pPr>
    </w:p>
    <w:p>
      <w:pPr>
        <w:ind w:right="640" w:firstLine="324"/>
        <w:spacing w:after="0" w:line="273" w:lineRule="auto"/>
        <w:rPr>
          <w:sz w:val="20"/>
          <w:szCs w:val="20"/>
          <w:color w:val="auto"/>
        </w:rPr>
      </w:pPr>
      <w:r>
        <w:rPr>
          <w:rFonts w:ascii="Arial" w:cs="Arial" w:eastAsia="Arial" w:hAnsi="Arial"/>
          <w:sz w:val="14"/>
          <w:szCs w:val="14"/>
          <w:b w:val="1"/>
          <w:bCs w:val="1"/>
          <w:i w:val="1"/>
          <w:iCs w:val="1"/>
          <w:color w:val="auto"/>
        </w:rPr>
        <w:t>Except where the context suggests otherwise, the terms “we,” “us,” “our” and “PennantPark Investment” refer to PennantPark Investment Corporation and its consolidated subsidiaries. "SBIC LP " refer to our wholly owned, consolidated Small Business Investment Company, or SBIC, PennantPark SBIC LP.</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34"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120" w:lineRule="exact"/>
        <w:rPr>
          <w:sz w:val="20"/>
          <w:szCs w:val="20"/>
          <w:color w:val="auto"/>
        </w:rPr>
      </w:pPr>
    </w:p>
    <w:p>
      <w:pPr>
        <w:ind w:right="260" w:firstLine="432"/>
        <w:spacing w:after="0" w:line="273" w:lineRule="auto"/>
        <w:rPr>
          <w:sz w:val="20"/>
          <w:szCs w:val="20"/>
          <w:color w:val="auto"/>
        </w:rPr>
      </w:pPr>
      <w:r>
        <w:rPr>
          <w:rFonts w:ascii="Arial" w:cs="Arial" w:eastAsia="Arial" w:hAnsi="Arial"/>
          <w:sz w:val="13"/>
          <w:szCs w:val="13"/>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2" w:lineRule="exact"/>
        <w:rPr>
          <w:sz w:val="20"/>
          <w:szCs w:val="20"/>
          <w:color w:val="auto"/>
        </w:rPr>
      </w:pPr>
    </w:p>
    <w:p>
      <w:pPr>
        <w:ind w:right="60" w:firstLine="432"/>
        <w:spacing w:after="0" w:line="257" w:lineRule="auto"/>
        <w:rPr>
          <w:sz w:val="20"/>
          <w:szCs w:val="20"/>
          <w:color w:val="auto"/>
        </w:rPr>
      </w:pPr>
      <w:r>
        <w:rPr>
          <w:rFonts w:ascii="Arial" w:cs="Arial" w:eastAsia="Arial" w:hAnsi="Arial"/>
          <w:sz w:val="14"/>
          <w:szCs w:val="14"/>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86" w:lineRule="exact"/>
        <w:rPr>
          <w:sz w:val="20"/>
          <w:szCs w:val="20"/>
          <w:color w:val="auto"/>
        </w:rPr>
      </w:pPr>
    </w:p>
    <w:p>
      <w:pPr>
        <w:ind w:right="60" w:firstLine="432"/>
        <w:spacing w:after="0" w:line="273" w:lineRule="auto"/>
        <w:rPr>
          <w:sz w:val="20"/>
          <w:szCs w:val="20"/>
          <w:color w:val="auto"/>
        </w:rPr>
      </w:pPr>
      <w:r>
        <w:rPr>
          <w:rFonts w:ascii="Arial" w:cs="Arial" w:eastAsia="Arial" w:hAnsi="Arial"/>
          <w:sz w:val="13"/>
          <w:szCs w:val="13"/>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2"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82" w:lineRule="exact"/>
        <w:rPr>
          <w:sz w:val="20"/>
          <w:szCs w:val="20"/>
          <w:color w:val="auto"/>
        </w:rPr>
      </w:pPr>
    </w:p>
    <w:p>
      <w:pPr>
        <w:ind w:right="20" w:firstLine="432"/>
        <w:spacing w:after="0" w:line="249"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56" w:lineRule="exact"/>
        <w:rPr>
          <w:sz w:val="20"/>
          <w:szCs w:val="20"/>
          <w:color w:val="auto"/>
        </w:rPr>
      </w:pPr>
    </w:p>
    <w:p>
      <w:pPr>
        <w:ind w:right="20" w:firstLine="432"/>
        <w:spacing w:after="0" w:line="268"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7" w:lineRule="exact"/>
        <w:rPr>
          <w:sz w:val="20"/>
          <w:szCs w:val="20"/>
          <w:color w:val="auto"/>
        </w:rPr>
      </w:pPr>
    </w:p>
    <w:p>
      <w:pPr>
        <w:ind w:right="440" w:firstLine="432"/>
        <w:spacing w:after="0" w:line="27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 w:lineRule="exact"/>
        <w:rPr>
          <w:sz w:val="20"/>
          <w:szCs w:val="20"/>
          <w:color w:val="auto"/>
        </w:rPr>
      </w:pPr>
    </w:p>
    <w:p>
      <w:pPr>
        <w:ind w:left="820" w:right="60" w:hanging="326"/>
        <w:spacing w:after="0" w:line="273" w:lineRule="auto"/>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1" w:lineRule="exact"/>
        <w:rPr>
          <w:rFonts w:ascii="Arial" w:cs="Arial" w:eastAsia="Arial" w:hAnsi="Arial"/>
          <w:sz w:val="14"/>
          <w:szCs w:val="14"/>
          <w:color w:val="auto"/>
        </w:rPr>
      </w:pPr>
    </w:p>
    <w:p>
      <w:pPr>
        <w:ind w:left="820" w:hanging="326"/>
        <w:spacing w:after="0"/>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55" w:lineRule="exact"/>
        <w:rPr>
          <w:rFonts w:ascii="Arial" w:cs="Arial" w:eastAsia="Arial" w:hAnsi="Arial"/>
          <w:sz w:val="14"/>
          <w:szCs w:val="14"/>
          <w:color w:val="auto"/>
        </w:rPr>
      </w:pPr>
    </w:p>
    <w:p>
      <w:pPr>
        <w:jc w:val="both"/>
        <w:ind w:left="820" w:right="120" w:hanging="326"/>
        <w:spacing w:after="0" w:line="286" w:lineRule="auto"/>
        <w:tabs>
          <w:tab w:leader="none" w:pos="8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 w:lineRule="exact"/>
        <w:rPr>
          <w:rFonts w:ascii="Arial" w:cs="Arial" w:eastAsia="Arial" w:hAnsi="Arial"/>
          <w:sz w:val="13"/>
          <w:szCs w:val="13"/>
          <w:color w:val="auto"/>
        </w:rPr>
      </w:pPr>
    </w:p>
    <w:p>
      <w:pPr>
        <w:ind w:left="820" w:right="620" w:hanging="326"/>
        <w:spacing w:after="0" w:line="273" w:lineRule="auto"/>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1" w:lineRule="exact"/>
        <w:rPr>
          <w:rFonts w:ascii="Arial" w:cs="Arial" w:eastAsia="Arial" w:hAnsi="Arial"/>
          <w:sz w:val="14"/>
          <w:szCs w:val="14"/>
          <w:color w:val="auto"/>
        </w:rPr>
      </w:pPr>
    </w:p>
    <w:p>
      <w:pPr>
        <w:ind w:left="820" w:right="160" w:hanging="326"/>
        <w:spacing w:after="0" w:line="273" w:lineRule="auto"/>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180"/>
          </w:cols>
          <w:pgMar w:left="320" w:top="121" w:right="39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82" w:lineRule="exact"/>
        <w:rPr>
          <w:sz w:val="20"/>
          <w:szCs w:val="20"/>
          <w:color w:val="auto"/>
        </w:rPr>
      </w:pPr>
    </w:p>
    <w:p>
      <w:pPr>
        <w:ind w:right="40" w:firstLine="432"/>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34" w:lineRule="exact"/>
        <w:rPr>
          <w:sz w:val="20"/>
          <w:szCs w:val="20"/>
          <w:color w:val="auto"/>
        </w:rPr>
      </w:pPr>
    </w:p>
    <w:p>
      <w:pPr>
        <w:ind w:right="60" w:firstLine="432"/>
        <w:spacing w:after="0" w:line="247"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40"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 Income Taxes</w:t>
      </w:r>
    </w:p>
    <w:p>
      <w:pPr>
        <w:spacing w:after="0" w:line="82" w:lineRule="exact"/>
        <w:rPr>
          <w:sz w:val="20"/>
          <w:szCs w:val="20"/>
          <w:color w:val="auto"/>
        </w:rPr>
      </w:pPr>
    </w:p>
    <w:p>
      <w:pPr>
        <w:ind w:firstLine="432"/>
        <w:spacing w:after="0" w:line="247" w:lineRule="auto"/>
        <w:rPr>
          <w:sz w:val="20"/>
          <w:szCs w:val="20"/>
          <w:color w:val="auto"/>
        </w:rPr>
      </w:pPr>
      <w:r>
        <w:rPr>
          <w:rFonts w:ascii="Arial" w:cs="Arial" w:eastAsia="Arial" w:hAnsi="Arial"/>
          <w:sz w:val="14"/>
          <w:szCs w:val="14"/>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59" w:lineRule="exact"/>
        <w:rPr>
          <w:sz w:val="20"/>
          <w:szCs w:val="20"/>
          <w:color w:val="auto"/>
        </w:rPr>
      </w:pPr>
    </w:p>
    <w:p>
      <w:pPr>
        <w:ind w:right="20" w:firstLine="432"/>
        <w:spacing w:after="0" w:line="252"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34" w:lineRule="exact"/>
        <w:rPr>
          <w:sz w:val="20"/>
          <w:szCs w:val="20"/>
          <w:color w:val="auto"/>
        </w:rPr>
      </w:pPr>
    </w:p>
    <w:p>
      <w:pPr>
        <w:ind w:right="320" w:firstLine="432"/>
        <w:spacing w:after="0" w:line="312" w:lineRule="auto"/>
        <w:rPr>
          <w:sz w:val="20"/>
          <w:szCs w:val="20"/>
          <w:color w:val="auto"/>
        </w:rPr>
      </w:pPr>
      <w:r>
        <w:rPr>
          <w:rFonts w:ascii="Arial" w:cs="Arial" w:eastAsia="Arial" w:hAnsi="Arial"/>
          <w:sz w:val="13"/>
          <w:szCs w:val="13"/>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00"/>
          </w:cols>
          <w:pgMar w:left="320" w:top="121" w:right="37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82" w:lineRule="exact"/>
        <w:rPr>
          <w:sz w:val="20"/>
          <w:szCs w:val="20"/>
          <w:color w:val="auto"/>
        </w:rPr>
      </w:pPr>
    </w:p>
    <w:p>
      <w:pPr>
        <w:ind w:right="20" w:firstLine="432"/>
        <w:spacing w:after="0" w:line="273"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63" w:lineRule="exact"/>
        <w:rPr>
          <w:sz w:val="20"/>
          <w:szCs w:val="20"/>
          <w:color w:val="auto"/>
        </w:rPr>
      </w:pPr>
    </w:p>
    <w:p>
      <w:pPr>
        <w:ind w:right="80" w:firstLine="432"/>
        <w:spacing w:after="0" w:line="257"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325"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67" w:lineRule="exact"/>
        <w:rPr>
          <w:sz w:val="20"/>
          <w:szCs w:val="20"/>
          <w:color w:val="auto"/>
        </w:rPr>
      </w:pPr>
    </w:p>
    <w:p>
      <w:pPr>
        <w:ind w:right="240" w:firstLine="405"/>
        <w:spacing w:after="0" w:line="273" w:lineRule="auto"/>
        <w:rPr>
          <w:sz w:val="20"/>
          <w:szCs w:val="20"/>
          <w:color w:val="auto"/>
        </w:rPr>
      </w:pPr>
      <w:r>
        <w:rPr>
          <w:rFonts w:ascii="Arial" w:cs="Arial" w:eastAsia="Arial" w:hAnsi="Arial"/>
          <w:sz w:val="13"/>
          <w:szCs w:val="13"/>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2" w:lineRule="exact"/>
        <w:rPr>
          <w:sz w:val="20"/>
          <w:szCs w:val="20"/>
          <w:color w:val="auto"/>
        </w:rPr>
      </w:pPr>
    </w:p>
    <w:p>
      <w:pPr>
        <w:ind w:right="80" w:firstLine="405"/>
        <w:spacing w:after="0" w:line="277" w:lineRule="auto"/>
        <w:rPr>
          <w:sz w:val="20"/>
          <w:szCs w:val="20"/>
          <w:color w:val="auto"/>
        </w:rPr>
      </w:pPr>
      <w:r>
        <w:rPr>
          <w:rFonts w:ascii="Arial" w:cs="Arial" w:eastAsia="Arial" w:hAnsi="Arial"/>
          <w:sz w:val="13"/>
          <w:szCs w:val="13"/>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63" w:lineRule="exact"/>
        <w:rPr>
          <w:sz w:val="20"/>
          <w:szCs w:val="20"/>
          <w:color w:val="auto"/>
        </w:rPr>
      </w:pPr>
    </w:p>
    <w:p>
      <w:pPr>
        <w:ind w:right="20" w:firstLine="432"/>
        <w:spacing w:after="0" w:line="264" w:lineRule="auto"/>
        <w:rPr>
          <w:sz w:val="20"/>
          <w:szCs w:val="20"/>
          <w:color w:val="auto"/>
        </w:rPr>
      </w:pPr>
      <w:r>
        <w:rPr>
          <w:rFonts w:ascii="Arial" w:cs="Arial" w:eastAsia="Arial" w:hAnsi="Arial"/>
          <w:sz w:val="13"/>
          <w:szCs w:val="13"/>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3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20" w:lineRule="exact"/>
        <w:rPr>
          <w:sz w:val="20"/>
          <w:szCs w:val="20"/>
          <w:color w:val="auto"/>
        </w:rPr>
      </w:pPr>
    </w:p>
    <w:p>
      <w:pPr>
        <w:ind w:firstLine="405"/>
        <w:spacing w:after="0" w:line="266" w:lineRule="auto"/>
        <w:rPr>
          <w:sz w:val="20"/>
          <w:szCs w:val="20"/>
          <w:color w:val="auto"/>
        </w:rPr>
      </w:pPr>
      <w:r>
        <w:rPr>
          <w:rFonts w:ascii="Arial" w:cs="Arial" w:eastAsia="Arial" w:hAnsi="Arial"/>
          <w:sz w:val="13"/>
          <w:szCs w:val="13"/>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3"/>
          <w:szCs w:val="13"/>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Purchases of long-term investments, including PIK, for the fiscal years ended September 30, 2011, 2010 and 2009 totaled $490.6 million, $315.8 million and $117.4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long-term investments for the fiscal years ended September 30, 2011, 2010 and 2009 totaled $304.0 million, $145.2 million and $28.0 million, respectively.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September 30, 2010</w:t>
            </w: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22"/>
                <w:szCs w:val="22"/>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22"/>
                <w:szCs w:val="22"/>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305,608,989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296,488,131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236,707,418</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234,595,683</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38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189,962,828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165,272,201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159,611,934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156,671,151</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 / corporate notes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325,318,958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309,329,169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220,149,211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223,969,304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20"/>
              <w:spacing w:after="0"/>
              <w:rPr>
                <w:sz w:val="20"/>
                <w:szCs w:val="20"/>
                <w:color w:val="auto"/>
              </w:rPr>
            </w:pPr>
            <w:r>
              <w:rPr>
                <w:rFonts w:ascii="Arial" w:cs="Arial" w:eastAsia="Arial" w:hAnsi="Arial"/>
                <w:sz w:val="14"/>
                <w:szCs w:val="14"/>
                <w:color w:val="auto"/>
              </w:rPr>
              <w:t>Preferred equity</w:t>
            </w:r>
          </w:p>
        </w:tc>
        <w:tc>
          <w:tcPr>
            <w:tcW w:w="38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12,268,187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9,762,932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11,894,692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9,271,682</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33,163,874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46,696,082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28,345,248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40,216,586</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4"/>
                <w:szCs w:val="14"/>
                <w:color w:val="auto"/>
              </w:rPr>
              <w:t>Total Investments</w:t>
            </w:r>
          </w:p>
        </w:tc>
        <w:tc>
          <w:tcPr>
            <w:tcW w:w="38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866,322,836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827,548,515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656,708,503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664,724,406</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3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71,604,519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71,604,519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1,814,451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1,814,451</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4"/>
                <w:szCs w:val="14"/>
                <w:color w:val="auto"/>
              </w:rPr>
              <w:t>Total Investments and cash equivalents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937,927,355</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899,153,034</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658,522,954</w:t>
            </w:r>
          </w:p>
        </w:tc>
        <w:tc>
          <w:tcPr>
            <w:tcW w:w="120" w:type="dxa"/>
            <w:vAlign w:val="bottom"/>
          </w:tcPr>
          <w:p>
            <w:pPr>
              <w:spacing w:after="0"/>
              <w:rPr>
                <w:sz w:val="14"/>
                <w:szCs w:val="14"/>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666,538,857</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September 30, 2011 and September 30, 2010.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Industry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23495</wp:posOffset>
            </wp:positionV>
            <wp:extent cx="57435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Business Services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Healthcare, Education and Childcare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Energy / Utilities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Cargo Transport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Chemicals, Plastics and Rubber</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Consumer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Oil and Gas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Personal, Food and Miscellaneous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Printing and Publishing</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Aerospace and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Education</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Hotels, Motels, Inns and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 Media</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Environmental Services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Mining, Steel, Iron and Non-Precious Metals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Buildings and Real Estate</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Leisure, Amusement, Motion Pictures,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Personal Transportation</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Manufacturing / Basic Industry</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Diversified / Conglomerate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Home and Office Furnishings, Housewares &amp; Durable Consumer Products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Telecommunications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64135</wp:posOffset>
            </wp:positionV>
            <wp:extent cx="57435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35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74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r>
      <w:tr>
        <w:trPr>
          <w:trHeight w:val="244"/>
        </w:trPr>
        <w:tc>
          <w:tcPr>
            <w:tcW w:w="1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6</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6</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5</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0"/>
        </w:trPr>
        <w:tc>
          <w:tcPr>
            <w:tcW w:w="15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0"/>
        </w:trPr>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6</w:t>
            </w:r>
          </w:p>
        </w:tc>
      </w:tr>
      <w:tr>
        <w:trPr>
          <w:trHeight w:val="270"/>
        </w:trPr>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0"/>
        </w:trPr>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6"/>
        </w:trPr>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r>
      <w:tr>
        <w:trPr>
          <w:trHeight w:val="244"/>
        </w:trPr>
        <w:tc>
          <w:tcPr>
            <w:tcW w:w="15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ectPr>
          <w:pgSz w:w="11900" w:h="16838" w:orient="portrait"/>
          <w:cols w:equalWidth="0" w:num="2">
            <w:col w:w="6160" w:space="720"/>
            <w:col w:w="4360"/>
          </w:cols>
          <w:pgMar w:left="320" w:top="121" w:right="33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86" w:lineRule="exact"/>
        <w:rPr>
          <w:sz w:val="20"/>
          <w:szCs w:val="20"/>
          <w:color w:val="auto"/>
        </w:rPr>
      </w:pPr>
    </w:p>
    <w:p>
      <w:pPr>
        <w:ind w:right="220" w:firstLine="432"/>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82"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1" w:lineRule="exact"/>
        <w:rPr>
          <w:sz w:val="20"/>
          <w:szCs w:val="20"/>
          <w:color w:val="auto"/>
        </w:rPr>
      </w:pPr>
    </w:p>
    <w:p>
      <w:pPr>
        <w:ind w:firstLine="432"/>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3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3"/>
          <w:szCs w:val="13"/>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2" w:lineRule="exact"/>
        <w:rPr>
          <w:sz w:val="20"/>
          <w:szCs w:val="20"/>
          <w:color w:val="auto"/>
        </w:rPr>
      </w:pPr>
    </w:p>
    <w:p>
      <w:pPr>
        <w:ind w:right="280" w:firstLine="432"/>
        <w:spacing w:after="0" w:line="252"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34" w:lineRule="exact"/>
        <w:rPr>
          <w:sz w:val="20"/>
          <w:szCs w:val="20"/>
          <w:color w:val="auto"/>
        </w:rPr>
      </w:pPr>
    </w:p>
    <w:p>
      <w:pPr>
        <w:ind w:right="440" w:firstLine="432"/>
        <w:spacing w:after="0" w:line="257" w:lineRule="auto"/>
        <w:rPr>
          <w:sz w:val="20"/>
          <w:szCs w:val="20"/>
          <w:color w:val="auto"/>
        </w:rPr>
      </w:pPr>
      <w:r>
        <w:rPr>
          <w:rFonts w:ascii="Arial" w:cs="Arial" w:eastAsia="Arial" w:hAnsi="Arial"/>
          <w:sz w:val="14"/>
          <w:szCs w:val="14"/>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At September 30, 2011 and 2010, our cash equivalents, investments and our Credit Facility were categorized as follows in the fair value hierarchy for ASC 820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Loan and debt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investments</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4"/>
          <w:szCs w:val="14"/>
          <w:color w:val="auto"/>
        </w:rPr>
        <w:t>Total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Equivalents</w:t>
      </w:r>
    </w:p>
    <w:p>
      <w:pPr>
        <w:spacing w:after="0" w:line="109" w:lineRule="exact"/>
        <w:rPr>
          <w:sz w:val="20"/>
          <w:szCs w:val="20"/>
          <w:color w:val="auto"/>
        </w:rPr>
      </w:pPr>
    </w:p>
    <w:p>
      <w:pPr>
        <w:ind w:left="380" w:right="560" w:firstLine="351"/>
        <w:spacing w:after="0" w:line="434" w:lineRule="auto"/>
        <w:rPr>
          <w:sz w:val="20"/>
          <w:szCs w:val="20"/>
          <w:color w:val="auto"/>
        </w:rPr>
      </w:pPr>
      <w:r>
        <w:rPr>
          <w:rFonts w:ascii="Arial" w:cs="Arial" w:eastAsia="Arial" w:hAnsi="Arial"/>
          <w:sz w:val="14"/>
          <w:szCs w:val="14"/>
          <w:color w:val="auto"/>
        </w:rPr>
        <w:t>Total Investments and cash equivalents Credit Facility</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Loan and debt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investments</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4"/>
          <w:szCs w:val="14"/>
          <w:color w:val="auto"/>
        </w:rPr>
        <w:t>Total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Equivalents</w:t>
      </w:r>
    </w:p>
    <w:p>
      <w:pPr>
        <w:spacing w:after="0" w:line="109" w:lineRule="exact"/>
        <w:rPr>
          <w:sz w:val="20"/>
          <w:szCs w:val="20"/>
          <w:color w:val="auto"/>
        </w:rPr>
      </w:pPr>
    </w:p>
    <w:p>
      <w:pPr>
        <w:ind w:left="380" w:right="560" w:firstLine="351"/>
        <w:spacing w:after="0" w:line="434" w:lineRule="auto"/>
        <w:rPr>
          <w:sz w:val="20"/>
          <w:szCs w:val="20"/>
          <w:color w:val="auto"/>
        </w:rPr>
      </w:pPr>
      <w:r>
        <w:rPr>
          <w:rFonts w:ascii="Arial" w:cs="Arial" w:eastAsia="Arial" w:hAnsi="Arial"/>
          <w:sz w:val="14"/>
          <w:szCs w:val="14"/>
          <w:color w:val="auto"/>
        </w:rPr>
        <w:t>Total Investments and cash equivalents Credit Facility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Fair Value Measurements at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217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3</w:t>
            </w:r>
          </w:p>
        </w:tc>
      </w:tr>
      <w:tr>
        <w:trPr>
          <w:trHeight w:val="24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771,089,501</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38,395,050</w:t>
            </w:r>
          </w:p>
        </w:tc>
        <w:tc>
          <w:tcPr>
            <w:tcW w:w="1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732,694,451</w:t>
            </w:r>
          </w:p>
        </w:tc>
      </w:tr>
      <w:tr>
        <w:trPr>
          <w:trHeight w:val="276"/>
        </w:trPr>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56,459,014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4,044,595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61,091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52,353,328</w:t>
            </w:r>
          </w:p>
        </w:tc>
      </w:tr>
      <w:tr>
        <w:trPr>
          <w:trHeight w:val="244"/>
        </w:trPr>
        <w:tc>
          <w:tcPr>
            <w:tcW w:w="28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827,548,515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4,044,595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38,456,141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785,047,779</w:t>
            </w:r>
          </w:p>
        </w:tc>
      </w:tr>
      <w:tr>
        <w:trPr>
          <w:trHeight w:val="276"/>
        </w:trPr>
        <w:tc>
          <w:tcPr>
            <w:tcW w:w="280" w:type="dxa"/>
            <w:vAlign w:val="bottom"/>
          </w:tcPr>
          <w:p>
            <w:pPr>
              <w:spacing w:after="0"/>
              <w:rPr>
                <w:sz w:val="24"/>
                <w:szCs w:val="2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71,604,519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71,604,519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899,153,034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75,649,114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38,456,141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785,047,779</w:t>
            </w:r>
          </w:p>
        </w:tc>
      </w:tr>
      <w:tr>
        <w:trPr>
          <w:trHeight w:val="237"/>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238,792,125</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238,792,125</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-1045210</wp:posOffset>
            </wp:positionV>
            <wp:extent cx="669480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-702310</wp:posOffset>
            </wp:positionV>
            <wp:extent cx="669480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-359410</wp:posOffset>
            </wp:positionV>
            <wp:extent cx="669480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26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Fair Value Measurements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2176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3</w:t>
            </w:r>
          </w:p>
        </w:tc>
      </w:tr>
      <w:tr>
        <w:trPr>
          <w:trHeight w:val="24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615,236,138</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615,236,138</w:t>
            </w:r>
          </w:p>
        </w:tc>
      </w:tr>
      <w:tr>
        <w:trPr>
          <w:trHeight w:val="276"/>
        </w:trPr>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49,488,268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4,350,440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45,137,828</w:t>
            </w:r>
          </w:p>
        </w:tc>
      </w:tr>
      <w:tr>
        <w:trPr>
          <w:trHeight w:val="244"/>
        </w:trPr>
        <w:tc>
          <w:tcPr>
            <w:tcW w:w="28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664,724,406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4,350,440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660,373,966</w:t>
            </w:r>
          </w:p>
        </w:tc>
      </w:tr>
      <w:tr>
        <w:trPr>
          <w:trHeight w:val="276"/>
        </w:trPr>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1,814,451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1,814,451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6"/>
        </w:trPr>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666,538,857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6,164,891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660,373,966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213,941,125</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213,941,125</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-873760</wp:posOffset>
            </wp:positionV>
            <wp:extent cx="669480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-530860</wp:posOffset>
            </wp:positionV>
            <wp:extent cx="669480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-187960</wp:posOffset>
            </wp:positionV>
            <wp:extent cx="669480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3540" w:space="720"/>
            <w:col w:w="6980"/>
          </w:cols>
          <w:pgMar w:left="320" w:top="121" w:right="339" w:bottom="1440" w:gutter="0" w:footer="0" w:header="0"/>
          <w:type w:val="continuous"/>
        </w:sectPr>
      </w:pPr>
    </w:p>
    <w:p>
      <w:pPr>
        <w:ind w:left="44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 for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2011 and 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left="928"/>
              <w:spacing w:after="0"/>
              <w:rPr>
                <w:sz w:val="20"/>
                <w:szCs w:val="20"/>
                <w:color w:val="auto"/>
              </w:rPr>
            </w:pPr>
            <w:r>
              <w:rPr>
                <w:rFonts w:ascii="Arial" w:cs="Arial" w:eastAsia="Arial" w:hAnsi="Arial"/>
                <w:sz w:val="14"/>
                <w:szCs w:val="14"/>
                <w:b w:val="1"/>
                <w:bCs w:val="1"/>
                <w:color w:val="auto"/>
                <w:w w:val="92"/>
              </w:rPr>
              <w:t>Year Ended September 30, 2011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3"/>
                <w:szCs w:val="13"/>
                <w:color w:val="auto"/>
              </w:rPr>
            </w:pPr>
          </w:p>
        </w:tc>
        <w:tc>
          <w:tcPr>
            <w:tcW w:w="15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Loan and debt</w:t>
            </w:r>
          </w:p>
        </w:tc>
        <w:tc>
          <w:tcPr>
            <w:tcW w:w="26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3"/>
                <w:szCs w:val="13"/>
                <w:color w:val="auto"/>
              </w:rPr>
            </w:pPr>
          </w:p>
        </w:tc>
        <w:tc>
          <w:tcPr>
            <w:tcW w:w="12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3"/>
                <w:szCs w:val="13"/>
                <w:color w:val="auto"/>
              </w:rPr>
            </w:pPr>
          </w:p>
        </w:tc>
        <w:tc>
          <w:tcPr>
            <w:tcW w:w="14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 September 30, 2010</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615,236,138</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45,137,828</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660,373,966</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Realized (losses)</w:t>
            </w:r>
          </w:p>
        </w:tc>
        <w:tc>
          <w:tcPr>
            <w:tcW w:w="2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10,194,422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6,065,196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16,259,618</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Unrealized appreciation</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(48,568,848)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2,904,075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(45,664,773)</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Purchases, PIK and net discount accretion</w:t>
            </w:r>
          </w:p>
        </w:tc>
        <w:tc>
          <w:tcPr>
            <w:tcW w:w="2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486,512,694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9,969,861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496,482,555</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Sales / repayments</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(292,284,905)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(11,723,632)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(304,008,537)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Non-cash exchanges</w:t>
            </w:r>
          </w:p>
        </w:tc>
        <w:tc>
          <w:tcPr>
            <w:tcW w:w="2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Transfers in and /or out of Level 3</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(38,395,050)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(38,395,050)</w:t>
            </w:r>
          </w:p>
        </w:tc>
        <w:tc>
          <w:tcPr>
            <w:tcW w:w="0" w:type="dxa"/>
            <w:vAlign w:val="bottom"/>
          </w:tcPr>
          <w:p>
            <w:pPr>
              <w:spacing w:after="0"/>
              <w:rPr>
                <w:sz w:val="1"/>
                <w:szCs w:val="1"/>
                <w:color w:val="auto"/>
              </w:rPr>
            </w:pPr>
          </w:p>
        </w:tc>
      </w:tr>
      <w:tr>
        <w:trPr>
          <w:trHeight w:val="79"/>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Ending Balance, September 30, 2011</w:t>
            </w: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732,694,451</w:t>
            </w:r>
          </w:p>
        </w:tc>
        <w:tc>
          <w:tcPr>
            <w:tcW w:w="12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52,353,328</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785,047,779</w:t>
            </w:r>
          </w:p>
        </w:tc>
        <w:tc>
          <w:tcPr>
            <w:tcW w:w="0" w:type="dxa"/>
            <w:vAlign w:val="bottom"/>
          </w:tcPr>
          <w:p>
            <w:pPr>
              <w:spacing w:after="0"/>
              <w:rPr>
                <w:sz w:val="1"/>
                <w:szCs w:val="1"/>
                <w:color w:val="auto"/>
              </w:rPr>
            </w:pPr>
          </w:p>
        </w:tc>
      </w:tr>
      <w:tr>
        <w:trPr>
          <w:trHeight w:val="100"/>
        </w:trPr>
        <w:tc>
          <w:tcPr>
            <w:tcW w:w="4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55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0" w:type="dxa"/>
            <w:vAlign w:val="bottom"/>
            <w:shd w:val="clear" w:color="auto" w:fill="CCEEFF"/>
          </w:tcPr>
          <w:p>
            <w:pPr>
              <w:spacing w:after="0"/>
              <w:rPr>
                <w:sz w:val="10"/>
                <w:szCs w:val="10"/>
                <w:color w:val="auto"/>
              </w:rPr>
            </w:pPr>
          </w:p>
        </w:tc>
        <w:tc>
          <w:tcPr>
            <w:tcW w:w="626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Net change in unrealized appreciation (depreciation) for the period above reported within the net change in</w:t>
            </w: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unrealized (depreciation) appreciation on investments in our Consolidated Statement of Operations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(24,916,057)</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2,186,601</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(22,729,456)</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3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jc w:val="right"/>
              <w:ind w:right="600"/>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3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left="928"/>
              <w:spacing w:after="0"/>
              <w:rPr>
                <w:sz w:val="20"/>
                <w:szCs w:val="20"/>
                <w:color w:val="auto"/>
              </w:rPr>
            </w:pPr>
            <w:r>
              <w:rPr>
                <w:rFonts w:ascii="Arial" w:cs="Arial" w:eastAsia="Arial" w:hAnsi="Arial"/>
                <w:sz w:val="14"/>
                <w:szCs w:val="14"/>
                <w:b w:val="1"/>
                <w:bCs w:val="1"/>
                <w:color w:val="auto"/>
                <w:w w:val="92"/>
              </w:rPr>
              <w:t>Year Ended September 30, 2010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3"/>
                <w:szCs w:val="13"/>
                <w:color w:val="auto"/>
              </w:rPr>
            </w:pPr>
          </w:p>
        </w:tc>
        <w:tc>
          <w:tcPr>
            <w:tcW w:w="15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Loan and debt</w:t>
            </w:r>
          </w:p>
        </w:tc>
        <w:tc>
          <w:tcPr>
            <w:tcW w:w="260" w:type="dxa"/>
            <w:vAlign w:val="bottom"/>
          </w:tcPr>
          <w:p>
            <w:pPr>
              <w:spacing w:after="0"/>
              <w:rPr>
                <w:sz w:val="13"/>
                <w:szCs w:val="13"/>
                <w:color w:val="auto"/>
              </w:rPr>
            </w:pPr>
          </w:p>
        </w:tc>
        <w:tc>
          <w:tcPr>
            <w:tcW w:w="14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3"/>
                <w:szCs w:val="13"/>
                <w:color w:val="auto"/>
              </w:rPr>
            </w:pPr>
          </w:p>
        </w:tc>
        <w:tc>
          <w:tcPr>
            <w:tcW w:w="12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3"/>
                <w:szCs w:val="13"/>
                <w:color w:val="auto"/>
              </w:rPr>
            </w:pPr>
          </w:p>
        </w:tc>
        <w:tc>
          <w:tcPr>
            <w:tcW w:w="14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 September 30, 2009</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442,128,049</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27,632,024</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469,760,073</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Realized (losses)</w:t>
            </w:r>
          </w:p>
        </w:tc>
        <w:tc>
          <w:tcPr>
            <w:tcW w:w="22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(12,411,934)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(3,005,163)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(15,417,097)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Unrealized (depreciation)</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31,964,795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1,693,480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33,658,275</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Purchases, PIK and net discount accretion</w:t>
            </w:r>
          </w:p>
        </w:tc>
        <w:tc>
          <w:tcPr>
            <w:tcW w:w="2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304,625,814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12,984,260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317,610,074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Sales / repayments</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(138,765,449)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(138,772,371)</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Non-cash exchanges</w:t>
            </w:r>
          </w:p>
        </w:tc>
        <w:tc>
          <w:tcPr>
            <w:tcW w:w="22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(12,305,137)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5,840,149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(6,464,988)</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Transfers in and /or out of Level 3</w:t>
            </w:r>
          </w:p>
        </w:tc>
        <w:tc>
          <w:tcPr>
            <w:tcW w:w="2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Ending Balance, September 30, 2010</w:t>
            </w: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615,236,138</w:t>
            </w:r>
          </w:p>
        </w:tc>
        <w:tc>
          <w:tcPr>
            <w:tcW w:w="12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45,137,828</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660,373,966</w:t>
            </w:r>
          </w:p>
        </w:tc>
        <w:tc>
          <w:tcPr>
            <w:tcW w:w="0" w:type="dxa"/>
            <w:vAlign w:val="bottom"/>
          </w:tcPr>
          <w:p>
            <w:pPr>
              <w:spacing w:after="0"/>
              <w:rPr>
                <w:sz w:val="1"/>
                <w:szCs w:val="1"/>
                <w:color w:val="auto"/>
              </w:rPr>
            </w:pPr>
          </w:p>
        </w:tc>
      </w:tr>
      <w:tr>
        <w:trPr>
          <w:trHeight w:val="100"/>
        </w:trPr>
        <w:tc>
          <w:tcPr>
            <w:tcW w:w="4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55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0" w:type="dxa"/>
            <w:vAlign w:val="bottom"/>
            <w:shd w:val="clear" w:color="auto" w:fill="CCEEFF"/>
          </w:tcPr>
          <w:p>
            <w:pPr>
              <w:spacing w:after="0"/>
              <w:rPr>
                <w:sz w:val="10"/>
                <w:szCs w:val="10"/>
                <w:color w:val="auto"/>
              </w:rPr>
            </w:pPr>
          </w:p>
        </w:tc>
        <w:tc>
          <w:tcPr>
            <w:tcW w:w="626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Net change in unrealized appreciation (depreciation) for the period above reported within the net change in</w:t>
            </w: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unrealized (depreciation) appreciation on investments in our Consolidated Statement of Operations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15,408,002</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(1,311,683)</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14,096,319</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3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300" w:firstLine="432"/>
        <w:spacing w:after="0" w:line="273"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September 30, 2011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Beginning balance, September 30, 2010 (Cost - $227,900,000)</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8"/>
          <w:szCs w:val="8"/>
          <w:color w:val="auto"/>
        </w:rPr>
        <w:t>(1)</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of Credit Facility, September 30, 2011, at fair value, (Cost – $240,900,000)</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Carrying /</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Fair Value</w:t>
      </w:r>
    </w:p>
    <w:p>
      <w:pPr>
        <w:spacing w:after="0" w:line="57" w:lineRule="exact"/>
        <w:rPr>
          <w:sz w:val="20"/>
          <w:szCs w:val="20"/>
          <w:color w:val="auto"/>
        </w:rPr>
      </w:pPr>
    </w:p>
    <w:p>
      <w:pPr>
        <w:ind w:left="720" w:hanging="719"/>
        <w:spacing w:after="0"/>
        <w:tabs>
          <w:tab w:leader="none" w:pos="7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213,941,125</w:t>
      </w:r>
    </w:p>
    <w:p>
      <w:pPr>
        <w:spacing w:after="0" w:line="6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11,851,000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3"/>
          <w:szCs w:val="13"/>
          <w:color w:val="auto"/>
        </w:rPr>
        <w:t>407,500,000</w:t>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(394,500,000)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9944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9" w:lineRule="exact"/>
        <w:rPr>
          <w:sz w:val="20"/>
          <w:szCs w:val="20"/>
          <w:color w:val="auto"/>
        </w:rPr>
      </w:pPr>
    </w:p>
    <w:p>
      <w:pPr>
        <w:ind w:left="720" w:hanging="719"/>
        <w:spacing w:after="0"/>
        <w:tabs>
          <w:tab w:leader="none" w:pos="7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238,792,125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994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720"/>
            <w:col w:w="1540"/>
          </w:cols>
          <w:pgMar w:left="320" w:top="121" w:right="339" w:bottom="144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September 30, 2010</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Beginning balance, September 30, 2009 (Cost - $218,100,000)</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unrealized (depreciation)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8"/>
          <w:szCs w:val="8"/>
          <w:color w:val="auto"/>
        </w:rPr>
        <w:t>(1)</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Ending balance of Credit Facility, September 30, 2010, at fair value, (Cost – $227,900,000)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Temporary draw outstanding, at cost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Credit Facility, September 30, 2010 (Cost – $233,100,000)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13"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Excludes temporary draws.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Carrying /</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Fair Value</w:t>
      </w:r>
    </w:p>
    <w:p>
      <w:pPr>
        <w:spacing w:after="0" w:line="57" w:lineRule="exact"/>
        <w:rPr>
          <w:sz w:val="20"/>
          <w:szCs w:val="20"/>
          <w:color w:val="auto"/>
        </w:rPr>
      </w:pPr>
    </w:p>
    <w:p>
      <w:pPr>
        <w:ind w:left="720" w:hanging="719"/>
        <w:spacing w:after="0"/>
        <w:tabs>
          <w:tab w:leader="none" w:pos="7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168,475,380</w:t>
      </w:r>
    </w:p>
    <w:p>
      <w:pPr>
        <w:spacing w:after="0" w:line="66" w:lineRule="exact"/>
        <w:rPr>
          <w:rFonts w:ascii="Arial" w:cs="Arial" w:eastAsia="Arial" w:hAnsi="Arial"/>
          <w:sz w:val="13"/>
          <w:szCs w:val="13"/>
          <w:color w:val="auto"/>
        </w:rPr>
      </w:pPr>
    </w:p>
    <w:p>
      <w:pPr>
        <w:ind w:left="780"/>
        <w:spacing w:after="0"/>
        <w:rPr>
          <w:rFonts w:ascii="Arial" w:cs="Arial" w:eastAsia="Arial" w:hAnsi="Arial"/>
          <w:sz w:val="13"/>
          <w:szCs w:val="13"/>
          <w:color w:val="auto"/>
        </w:rPr>
      </w:pPr>
      <w:r>
        <w:rPr>
          <w:rFonts w:ascii="Arial" w:cs="Arial" w:eastAsia="Arial" w:hAnsi="Arial"/>
          <w:sz w:val="13"/>
          <w:szCs w:val="13"/>
          <w:color w:val="auto"/>
        </w:rPr>
        <w:t>35,665,745</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177,700,000</w:t>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(167,900,000)</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994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9" w:lineRule="exact"/>
        <w:rPr>
          <w:sz w:val="20"/>
          <w:szCs w:val="20"/>
          <w:color w:val="auto"/>
        </w:rPr>
      </w:pPr>
    </w:p>
    <w:p>
      <w:pPr>
        <w:ind w:left="720" w:hanging="719"/>
        <w:spacing w:after="0"/>
        <w:tabs>
          <w:tab w:leader="none" w:pos="7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213,941,125</w:t>
      </w:r>
    </w:p>
    <w:p>
      <w:pPr>
        <w:spacing w:after="0" w:line="80"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3"/>
          <w:szCs w:val="13"/>
          <w:color w:val="auto"/>
        </w:rPr>
        <w:t>5,200,000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994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0" w:lineRule="exact"/>
        <w:rPr>
          <w:sz w:val="20"/>
          <w:szCs w:val="20"/>
          <w:color w:val="auto"/>
        </w:rPr>
      </w:pPr>
    </w:p>
    <w:p>
      <w:pPr>
        <w:ind w:left="720" w:hanging="719"/>
        <w:spacing w:after="0"/>
        <w:tabs>
          <w:tab w:leader="none" w:pos="7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219,141,125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994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45720</wp:posOffset>
            </wp:positionV>
            <wp:extent cx="994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8980" w:space="720"/>
            <w:col w:w="1540"/>
          </w:cols>
          <w:pgMar w:left="320" w:top="121" w:right="339" w:bottom="1440" w:gutter="0" w:footer="0" w:header="0"/>
        </w:sectPr>
      </w:pPr>
    </w:p>
    <w:p>
      <w:pPr>
        <w:ind w:right="20" w:firstLine="432"/>
        <w:spacing w:after="0" w:line="266"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67" w:lineRule="exact"/>
        <w:rPr>
          <w:sz w:val="20"/>
          <w:szCs w:val="20"/>
          <w:color w:val="auto"/>
        </w:rPr>
      </w:pPr>
    </w:p>
    <w:p>
      <w:pPr>
        <w:ind w:right="300" w:firstLine="432"/>
        <w:spacing w:after="0" w:line="257" w:lineRule="auto"/>
        <w:rPr>
          <w:sz w:val="20"/>
          <w:szCs w:val="20"/>
          <w:color w:val="auto"/>
        </w:rPr>
      </w:pPr>
      <w:r>
        <w:rPr>
          <w:rFonts w:ascii="Arial" w:cs="Arial" w:eastAsia="Arial" w:hAnsi="Arial"/>
          <w:sz w:val="14"/>
          <w:szCs w:val="14"/>
          <w:color w:val="auto"/>
        </w:rPr>
        <w:t>An affiliated company is a company in which we own 5% or more of the portfolio company's voting securities. A controlled affiliate is a company in which we own 25% or more of a portfolio company's voting 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14"/>
                <w:szCs w:val="1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Advances to</w:t>
            </w:r>
          </w:p>
        </w:tc>
        <w:tc>
          <w:tcPr>
            <w:tcW w:w="22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Distributions</w:t>
            </w:r>
          </w:p>
        </w:tc>
        <w:tc>
          <w:tcPr>
            <w:tcW w:w="30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20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affiliates</w:t>
            </w:r>
          </w:p>
        </w:tc>
        <w:tc>
          <w:tcPr>
            <w:tcW w:w="220" w:type="dxa"/>
            <w:vAlign w:val="bottom"/>
          </w:tcPr>
          <w:p>
            <w:pPr>
              <w:spacing w:after="0"/>
              <w:rPr>
                <w:sz w:val="13"/>
                <w:szCs w:val="13"/>
                <w:color w:val="auto"/>
              </w:rPr>
            </w:pPr>
          </w:p>
        </w:tc>
        <w:tc>
          <w:tcPr>
            <w:tcW w:w="14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from affiliates</w:t>
            </w:r>
          </w:p>
        </w:tc>
        <w:tc>
          <w:tcPr>
            <w:tcW w:w="300" w:type="dxa"/>
            <w:vAlign w:val="bottom"/>
          </w:tcPr>
          <w:p>
            <w:pPr>
              <w:spacing w:after="0"/>
              <w:rPr>
                <w:sz w:val="13"/>
                <w:szCs w:val="13"/>
                <w:color w:val="auto"/>
              </w:rPr>
            </w:pPr>
          </w:p>
        </w:tc>
        <w:tc>
          <w:tcPr>
            <w:tcW w:w="13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Received</w:t>
            </w:r>
          </w:p>
        </w:tc>
        <w:tc>
          <w:tcPr>
            <w:tcW w:w="200" w:type="dxa"/>
            <w:vAlign w:val="bottom"/>
          </w:tcPr>
          <w:p>
            <w:pPr>
              <w:spacing w:after="0"/>
              <w:rPr>
                <w:sz w:val="13"/>
                <w:szCs w:val="13"/>
                <w:color w:val="auto"/>
              </w:rPr>
            </w:pPr>
          </w:p>
        </w:tc>
        <w:tc>
          <w:tcPr>
            <w:tcW w:w="136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Controlled Affiliates</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8,000,100</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5,500,000</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785,167</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13,500,001</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Non-Controlled Affiliates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200" w:type="dxa"/>
            <w:vAlign w:val="bottom"/>
          </w:tcPr>
          <w:p>
            <w:pPr>
              <w:spacing w:after="0"/>
              <w:rPr>
                <w:sz w:val="16"/>
                <w:szCs w:val="16"/>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15,433,680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1,537,489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14,932,921</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Envirosolutions, Inc.</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18,631,503</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1,305,502</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366,901</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759,320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25,740,212</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Total Controlled and Non-Controlled Affiliates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42,065,283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6,805,502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366,901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3,081,976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54,173,134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net increase in net assets resulting from operations.</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Years ended September 30,</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360" w:type="dxa"/>
            <w:vAlign w:val="bottom"/>
          </w:tcPr>
          <w:p>
            <w:pPr>
              <w:spacing w:after="0"/>
              <w:rPr>
                <w:sz w:val="19"/>
                <w:szCs w:val="19"/>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Numerator for net increase (decrease) in net assets resulting from operations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10,263,474</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16,535,491</w:t>
            </w:r>
          </w:p>
        </w:tc>
        <w:tc>
          <w:tcPr>
            <w:tcW w:w="2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35,802,029</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512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3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42,196,076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29,546,772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21,092,334</w:t>
            </w:r>
          </w:p>
        </w:tc>
        <w:tc>
          <w:tcPr>
            <w:tcW w:w="260" w:type="dxa"/>
            <w:vAlign w:val="bottom"/>
          </w:tcPr>
          <w:p>
            <w:pPr>
              <w:jc w:val="right"/>
              <w:ind w:right="115"/>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0.24</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2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6"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4"/>
          <w:szCs w:val="14"/>
          <w:color w:val="auto"/>
        </w:rPr>
        <w:t>Denominator for diluted weighted average shares is 21,094,745 based the over-allotment exercised subsequent to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86"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200" w:lineRule="exact"/>
        <w:rPr>
          <w:sz w:val="20"/>
          <w:szCs w:val="20"/>
          <w:color w:val="auto"/>
        </w:rPr>
      </w:pPr>
    </w:p>
    <w:p>
      <w:pPr>
        <w:spacing w:after="0" w:line="240"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paid-in capital</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(228,824)</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(98,294)</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80"/>
        </w:trPr>
        <w:tc>
          <w:tcPr>
            <w:tcW w:w="38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(Increase) in accumulated net realized loss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(87,991)</w:t>
            </w:r>
          </w:p>
        </w:tc>
        <w:tc>
          <w:tcPr>
            <w:tcW w:w="0" w:type="dxa"/>
            <w:vAlign w:val="bottom"/>
          </w:tcPr>
          <w:p>
            <w:pPr>
              <w:spacing w:after="0"/>
              <w:rPr>
                <w:sz w:val="1"/>
                <w:szCs w:val="1"/>
                <w:color w:val="auto"/>
              </w:rPr>
            </w:pPr>
          </w:p>
        </w:tc>
      </w:tr>
      <w:tr>
        <w:trPr>
          <w:trHeight w:val="73"/>
        </w:trPr>
        <w:tc>
          <w:tcPr>
            <w:tcW w:w="3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undistributed net investment income</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228,824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98,294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89,527</w:t>
            </w:r>
          </w:p>
        </w:tc>
        <w:tc>
          <w:tcPr>
            <w:tcW w:w="0" w:type="dxa"/>
            <w:vAlign w:val="bottom"/>
          </w:tcPr>
          <w:p>
            <w:pPr>
              <w:spacing w:after="0"/>
              <w:rPr>
                <w:sz w:val="1"/>
                <w:szCs w:val="1"/>
                <w:color w:val="auto"/>
              </w:rPr>
            </w:pPr>
          </w:p>
        </w:tc>
      </w:tr>
      <w:tr>
        <w:trPr>
          <w:trHeight w:val="80"/>
        </w:trPr>
        <w:tc>
          <w:tcPr>
            <w:tcW w:w="38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600" w:firstLine="432"/>
        <w:spacing w:after="0" w:line="273" w:lineRule="auto"/>
        <w:rPr>
          <w:sz w:val="20"/>
          <w:szCs w:val="20"/>
          <w:color w:val="auto"/>
        </w:rPr>
      </w:pPr>
      <w:r>
        <w:rPr>
          <w:rFonts w:ascii="Arial" w:cs="Arial" w:eastAsia="Arial" w:hAnsi="Arial"/>
          <w:sz w:val="14"/>
          <w:szCs w:val="14"/>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5940" w:type="dxa"/>
            <w:vAlign w:val="bottom"/>
            <w:gridSpan w:val="2"/>
          </w:tcPr>
          <w:p>
            <w:pPr>
              <w:jc w:val="right"/>
              <w:ind w:right="388"/>
              <w:spacing w:after="0"/>
              <w:rPr>
                <w:sz w:val="20"/>
                <w:szCs w:val="20"/>
                <w:color w:val="auto"/>
              </w:rPr>
            </w:pPr>
            <w:r>
              <w:rPr>
                <w:rFonts w:ascii="Arial" w:cs="Arial" w:eastAsia="Arial" w:hAnsi="Arial"/>
                <w:sz w:val="14"/>
                <w:szCs w:val="14"/>
                <w:color w:val="auto"/>
                <w:w w:val="92"/>
              </w:rPr>
              <w:t>The following reconciles net increase in net assets resulting from operations to taxable income: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7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5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10,263,474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16,535,491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35,802,029</w:t>
            </w:r>
          </w:p>
        </w:tc>
        <w:tc>
          <w:tcPr>
            <w:tcW w:w="0" w:type="dxa"/>
            <w:vAlign w:val="bottom"/>
          </w:tcPr>
          <w:p>
            <w:pPr>
              <w:spacing w:after="0"/>
              <w:rPr>
                <w:sz w:val="1"/>
                <w:szCs w:val="1"/>
                <w:color w:val="auto"/>
              </w:rPr>
            </w:pPr>
          </w:p>
        </w:tc>
      </w:tr>
      <w:tr>
        <w:trPr>
          <w:trHeight w:val="79"/>
        </w:trPr>
        <w:tc>
          <w:tcPr>
            <w:tcW w:w="700" w:type="dxa"/>
            <w:vAlign w:val="bottom"/>
          </w:tcPr>
          <w:p>
            <w:pPr>
              <w:spacing w:after="0"/>
              <w:rPr>
                <w:sz w:val="6"/>
                <w:szCs w:val="6"/>
                <w:color w:val="auto"/>
              </w:rPr>
            </w:pPr>
          </w:p>
        </w:tc>
        <w:tc>
          <w:tcPr>
            <w:tcW w:w="524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Arial" w:cs="Arial" w:eastAsia="Arial" w:hAnsi="Arial"/>
                <w:sz w:val="14"/>
                <w:szCs w:val="14"/>
                <w:color w:val="auto"/>
              </w:rPr>
              <w:t>Net realized gain(loss) on investments not taxable</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(16,259,622)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15,417,097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39,243,879</w:t>
            </w:r>
          </w:p>
        </w:tc>
        <w:tc>
          <w:tcPr>
            <w:tcW w:w="0" w:type="dxa"/>
            <w:vAlign w:val="bottom"/>
          </w:tcPr>
          <w:p>
            <w:pPr>
              <w:spacing w:after="0"/>
              <w:rPr>
                <w:sz w:val="1"/>
                <w:szCs w:val="1"/>
                <w:color w:val="auto"/>
              </w:rPr>
            </w:pPr>
          </w:p>
        </w:tc>
      </w:tr>
      <w:tr>
        <w:trPr>
          <w:trHeight w:val="73"/>
        </w:trPr>
        <w:tc>
          <w:tcPr>
            <w:tcW w:w="70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unrealized (depreciation) appreciation on investments and Credit Facility</w:t>
            </w:r>
          </w:p>
        </w:tc>
        <w:tc>
          <w:tcPr>
            <w:tcW w:w="2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58,641,223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122,029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(52,326,993)</w:t>
            </w:r>
          </w:p>
        </w:tc>
        <w:tc>
          <w:tcPr>
            <w:tcW w:w="0" w:type="dxa"/>
            <w:vAlign w:val="bottom"/>
          </w:tcPr>
          <w:p>
            <w:pPr>
              <w:spacing w:after="0"/>
              <w:rPr>
                <w:sz w:val="1"/>
                <w:szCs w:val="1"/>
                <w:color w:val="auto"/>
              </w:rPr>
            </w:pPr>
          </w:p>
        </w:tc>
      </w:tr>
      <w:tr>
        <w:trPr>
          <w:trHeight w:val="79"/>
        </w:trPr>
        <w:tc>
          <w:tcPr>
            <w:tcW w:w="700" w:type="dxa"/>
            <w:vAlign w:val="bottom"/>
          </w:tcPr>
          <w:p>
            <w:pPr>
              <w:spacing w:after="0"/>
              <w:rPr>
                <w:sz w:val="6"/>
                <w:szCs w:val="6"/>
                <w:color w:val="auto"/>
              </w:rPr>
            </w:pPr>
          </w:p>
        </w:tc>
        <w:tc>
          <w:tcPr>
            <w:tcW w:w="5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Arial" w:cs="Arial" w:eastAsia="Arial" w:hAnsi="Arial"/>
                <w:sz w:val="14"/>
                <w:szCs w:val="14"/>
                <w:color w:val="auto"/>
              </w:rPr>
              <w:t>Other temporary book-to-tax differences</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(3,178,194)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(321,805)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827,527</w:t>
            </w:r>
          </w:p>
        </w:tc>
        <w:tc>
          <w:tcPr>
            <w:tcW w:w="0" w:type="dxa"/>
            <w:vAlign w:val="bottom"/>
          </w:tcPr>
          <w:p>
            <w:pPr>
              <w:spacing w:after="0"/>
              <w:rPr>
                <w:sz w:val="1"/>
                <w:szCs w:val="1"/>
                <w:color w:val="auto"/>
              </w:rPr>
            </w:pPr>
          </w:p>
        </w:tc>
      </w:tr>
      <w:tr>
        <w:trPr>
          <w:trHeight w:val="73"/>
        </w:trPr>
        <w:tc>
          <w:tcPr>
            <w:tcW w:w="70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non-deductible expenses</w:t>
            </w:r>
          </w:p>
        </w:tc>
        <w:tc>
          <w:tcPr>
            <w:tcW w:w="2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228,824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52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240" w:type="dxa"/>
            <w:vAlign w:val="bottom"/>
          </w:tcPr>
          <w:p>
            <w:pPr>
              <w:ind w:left="20"/>
              <w:spacing w:after="0"/>
              <w:rPr>
                <w:sz w:val="20"/>
                <w:szCs w:val="20"/>
                <w:color w:val="auto"/>
              </w:rPr>
            </w:pPr>
            <w:r>
              <w:rPr>
                <w:rFonts w:ascii="Arial" w:cs="Arial" w:eastAsia="Arial" w:hAnsi="Arial"/>
                <w:sz w:val="14"/>
                <w:szCs w:val="14"/>
                <w:color w:val="auto"/>
              </w:rPr>
              <w:t>Taxable income before deductions for distributions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49,695,705</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31,752,812</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23,546,442</w:t>
            </w:r>
          </w:p>
        </w:tc>
        <w:tc>
          <w:tcPr>
            <w:tcW w:w="0" w:type="dxa"/>
            <w:vAlign w:val="bottom"/>
          </w:tcPr>
          <w:p>
            <w:pPr>
              <w:spacing w:after="0"/>
              <w:rPr>
                <w:sz w:val="1"/>
                <w:szCs w:val="1"/>
                <w:color w:val="auto"/>
              </w:rPr>
            </w:pPr>
          </w:p>
        </w:tc>
      </w:tr>
      <w:tr>
        <w:trPr>
          <w:trHeight w:val="87"/>
        </w:trPr>
        <w:tc>
          <w:tcPr>
            <w:tcW w:w="700" w:type="dxa"/>
            <w:vAlign w:val="bottom"/>
          </w:tcPr>
          <w:p>
            <w:pPr>
              <w:spacing w:after="0"/>
              <w:rPr>
                <w:sz w:val="7"/>
                <w:szCs w:val="7"/>
                <w:color w:val="auto"/>
              </w:rPr>
            </w:pPr>
          </w:p>
        </w:tc>
        <w:tc>
          <w:tcPr>
            <w:tcW w:w="5240" w:type="dxa"/>
            <w:vAlign w:val="bottom"/>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608"/>
              <w:spacing w:after="0"/>
              <w:rPr>
                <w:sz w:val="20"/>
                <w:szCs w:val="20"/>
                <w:color w:val="auto"/>
              </w:rPr>
            </w:pPr>
            <w:r>
              <w:rPr>
                <w:rFonts w:ascii="Arial" w:cs="Arial" w:eastAsia="Arial" w:hAnsi="Arial"/>
                <w:sz w:val="14"/>
                <w:szCs w:val="14"/>
                <w:color w:val="auto"/>
              </w:rPr>
              <w:t>94</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1" w:right="39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components of accumulated losses on book basis and reconciliation to accumulated losses on a tax basis are as follows:</w:t>
      </w:r>
    </w:p>
    <w:p>
      <w:pPr>
        <w:spacing w:after="0" w:line="159" w:lineRule="exact"/>
        <w:rPr>
          <w:sz w:val="20"/>
          <w:szCs w:val="20"/>
          <w:color w:val="auto"/>
        </w:rPr>
      </w:pPr>
    </w:p>
    <w:p>
      <w:pPr>
        <w:jc w:val="right"/>
        <w:ind w:right="1820"/>
        <w:spacing w:after="0"/>
        <w:rPr>
          <w:sz w:val="20"/>
          <w:szCs w:val="20"/>
          <w:color w:val="auto"/>
        </w:rPr>
      </w:pPr>
      <w:r>
        <w:rPr>
          <w:rFonts w:ascii="Arial" w:cs="Arial" w:eastAsia="Arial" w:hAnsi="Arial"/>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260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Undistributed ordinary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-106680</wp:posOffset>
            </wp:positionV>
            <wp:extent cx="633476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4760" cy="171450"/>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Undistributed long-term net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64135</wp:posOffset>
            </wp:positionV>
            <wp:extent cx="633476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4760" cy="179705"/>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undistributed net earnings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Capital loss carry forwards</w:t>
      </w:r>
      <w:r>
        <w:rPr>
          <w:rFonts w:ascii="Arial" w:cs="Arial" w:eastAsia="Arial" w:hAnsi="Arial"/>
          <w:sz w:val="8"/>
          <w:szCs w:val="8"/>
          <w:color w:val="auto"/>
        </w:rPr>
        <w:t>(1)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106680</wp:posOffset>
            </wp:positionV>
            <wp:extent cx="633476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4760" cy="300355"/>
                    </a:xfrm>
                    <a:prstGeom prst="rect">
                      <a:avLst/>
                    </a:prstGeom>
                    <a:noFill/>
                  </pic:spPr>
                </pic:pic>
              </a:graphicData>
            </a:graphic>
          </wp:anchor>
        </w:drawing>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Post-October capital losses</w:t>
      </w:r>
      <w:r>
        <w:rPr>
          <w:rFonts w:ascii="Arial" w:cs="Arial" w:eastAsia="Arial" w:hAnsi="Arial"/>
          <w:sz w:val="8"/>
          <w:szCs w:val="8"/>
          <w:color w:val="auto"/>
        </w:rPr>
        <w:t>(2)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Dividends payable and 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64135</wp:posOffset>
            </wp:positionV>
            <wp:extent cx="633476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4760" cy="171450"/>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Net unrealized appreciation (depreciation) of investments and Credit Facility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accumulated deficit</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2009</w:t>
            </w:r>
          </w:p>
        </w:tc>
      </w:tr>
      <w:tr>
        <w:trPr>
          <w:trHeight w:val="244"/>
        </w:trPr>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17,639,482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11,451,782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7,618,230</w:t>
            </w:r>
          </w:p>
        </w:tc>
      </w:tr>
      <w:tr>
        <w:trPr>
          <w:trHeight w:val="276"/>
        </w:trPr>
        <w:tc>
          <w:tcPr>
            <w:tcW w:w="3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17,639,482</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11,451,782</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7,618,230</w:t>
            </w:r>
          </w:p>
        </w:tc>
      </w:tr>
      <w:tr>
        <w:trPr>
          <w:trHeight w:val="473"/>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(47,030,821)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(54,591,911)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(11,250,568)</w:t>
            </w:r>
          </w:p>
        </w:tc>
      </w:tr>
      <w:tr>
        <w:trPr>
          <w:trHeight w:val="472"/>
        </w:trPr>
        <w:tc>
          <w:tcPr>
            <w:tcW w:w="3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(8,645,354)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(39,331,872)</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(12,477,778)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(9,651,137)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(5,638,469)</w:t>
            </w:r>
          </w:p>
        </w:tc>
      </w:tr>
      <w:tr>
        <w:trPr>
          <w:trHeight w:val="276"/>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(36,122,397)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19,300,499</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22,096,807</w:t>
            </w:r>
          </w:p>
        </w:tc>
      </w:tr>
      <w:tr>
        <w:trPr>
          <w:trHeight w:val="263"/>
        </w:trPr>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(77,991,514)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(42,136,121)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(26,505,872)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ectPr>
          <w:pgSz w:w="11900" w:h="16838" w:orient="portrait"/>
          <w:cols w:equalWidth="0" w:num="2">
            <w:col w:w="5800" w:space="720"/>
            <w:col w:w="4700"/>
          </w:cols>
          <w:pgMar w:left="320" w:top="121" w:right="359" w:bottom="1440" w:gutter="0" w:footer="0" w:header="0"/>
          <w:type w:val="continuous"/>
        </w:sectPr>
      </w:pPr>
    </w:p>
    <w:p>
      <w:pPr>
        <w:ind w:left="660" w:hanging="328"/>
        <w:spacing w:after="0"/>
        <w:tabs>
          <w:tab w:leader="none" w:pos="6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 of September 30, 2011, the capital loss carry forward of $47.0 million expires, if not utilized against future capital gains, as follows: $3.7 million in 2017 and $43.3 million in 2018.</w:t>
      </w:r>
    </w:p>
    <w:p>
      <w:pPr>
        <w:spacing w:after="0" w:line="66" w:lineRule="exact"/>
        <w:rPr>
          <w:rFonts w:ascii="Arial" w:cs="Arial" w:eastAsia="Arial" w:hAnsi="Arial"/>
          <w:sz w:val="13"/>
          <w:szCs w:val="13"/>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Under federal tax law, capital losses realized after October 31 may be deferred and treated as having arisen on the first day of the following fiscal year.</w:t>
      </w:r>
    </w:p>
    <w:p>
      <w:pPr>
        <w:spacing w:after="0" w:line="55" w:lineRule="exact"/>
        <w:rPr>
          <w:rFonts w:ascii="Arial" w:cs="Arial" w:eastAsia="Arial" w:hAnsi="Arial"/>
          <w:sz w:val="14"/>
          <w:szCs w:val="14"/>
          <w:color w:val="auto"/>
        </w:rPr>
      </w:pPr>
    </w:p>
    <w:p>
      <w:pPr>
        <w:ind w:left="660" w:right="300" w:hanging="328"/>
        <w:spacing w:after="0" w:line="273"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20"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The tax characteristics of dividends during the fiscal years ended September 30, 2011 and 2010 were solely from ordinary income and totaled $46.3 million, or $1.10 per share, and $32.3 million, or $1.09 per share,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3"/>
          <w:szCs w:val="13"/>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gridSpan w:val="3"/>
          </w:tcPr>
          <w:p>
            <w:pPr>
              <w:ind w:left="440"/>
              <w:spacing w:after="0"/>
              <w:rPr>
                <w:sz w:val="20"/>
                <w:szCs w:val="20"/>
                <w:color w:val="auto"/>
              </w:rPr>
            </w:pPr>
            <w:r>
              <w:rPr>
                <w:rFonts w:ascii="Arial" w:cs="Arial" w:eastAsia="Arial" w:hAnsi="Arial"/>
                <w:sz w:val="14"/>
                <w:szCs w:val="14"/>
                <w:color w:val="auto"/>
              </w:rPr>
              <w:t>Below are the financial highlights for the respective periods: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740" w:type="dxa"/>
            <w:vAlign w:val="bottom"/>
          </w:tcPr>
          <w:p>
            <w:pPr>
              <w:spacing w:after="0"/>
              <w:rPr>
                <w:sz w:val="24"/>
                <w:szCs w:val="2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January 11, 2007</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92"/>
        </w:trPr>
        <w:tc>
          <w:tcPr>
            <w:tcW w:w="4980" w:type="dxa"/>
            <w:vAlign w:val="bottom"/>
            <w:gridSpan w:val="2"/>
          </w:tcPr>
          <w:p>
            <w:pPr>
              <w:jc w:val="center"/>
              <w:ind w:left="350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176"/>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Per Share Data:</w:t>
            </w: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7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139"/>
          </w:cols>
          <w:pgMar w:left="320" w:top="121" w:right="1440" w:bottom="1440" w:gutter="0" w:footer="0" w:header="0"/>
        </w:sectPr>
      </w:pPr>
    </w:p>
    <w:p>
      <w:pPr>
        <w:ind w:left="40"/>
        <w:spacing w:after="0"/>
        <w:rPr>
          <w:sz w:val="20"/>
          <w:szCs w:val="20"/>
          <w:color w:val="auto"/>
        </w:rPr>
      </w:pPr>
      <w:r>
        <w:rPr>
          <w:rFonts w:ascii="Arial" w:cs="Arial" w:eastAsia="Arial" w:hAnsi="Arial"/>
          <w:sz w:val="14"/>
          <w:szCs w:val="14"/>
          <w:color w:val="auto"/>
        </w:rPr>
        <w:t>Net asset value, beginning of period</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Cumulative effect of adoption of fair value option</w:t>
      </w:r>
      <w:r>
        <w:rPr>
          <w:rFonts w:ascii="Arial" w:cs="Arial" w:eastAsia="Arial" w:hAnsi="Arial"/>
          <w:sz w:val="8"/>
          <w:szCs w:val="8"/>
          <w:color w:val="auto"/>
        </w:rPr>
        <w:t>(1)</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net asset value, beginning of period</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8"/>
          <w:szCs w:val="8"/>
          <w:color w:val="auto"/>
        </w:rPr>
        <w:t>(2)</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8"/>
          <w:szCs w:val="8"/>
          <w:color w:val="auto"/>
        </w:rPr>
        <w:t>(2)</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increase (decrease) in net assets resulting from operations</w:t>
      </w:r>
      <w:r>
        <w:rPr>
          <w:rFonts w:ascii="Arial" w:cs="Arial" w:eastAsia="Arial" w:hAnsi="Arial"/>
          <w:sz w:val="7"/>
          <w:szCs w:val="7"/>
          <w:color w:val="auto"/>
        </w:rPr>
        <w:t>(2)</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to stockholders</w:t>
      </w:r>
      <w:r>
        <w:rPr>
          <w:rFonts w:ascii="Arial" w:cs="Arial" w:eastAsia="Arial" w:hAnsi="Arial"/>
          <w:sz w:val="8"/>
          <w:szCs w:val="8"/>
          <w:color w:val="auto"/>
        </w:rPr>
        <w:t>(3)</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(Dilutive) offering costs</w:t>
      </w:r>
      <w:r>
        <w:rPr>
          <w:rFonts w:ascii="Arial" w:cs="Arial" w:eastAsia="Arial" w:hAnsi="Arial"/>
          <w:sz w:val="8"/>
          <w:szCs w:val="8"/>
          <w:color w:val="auto"/>
        </w:rPr>
        <w:t>(2)</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Accretive (Dilutive) effect of common stock issuance</w:t>
      </w:r>
      <w:r>
        <w:rPr>
          <w:rFonts w:ascii="Arial" w:cs="Arial" w:eastAsia="Arial" w:hAnsi="Arial"/>
          <w:sz w:val="8"/>
          <w:szCs w:val="8"/>
          <w:color w:val="auto"/>
        </w:rPr>
        <w:t>(2)</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 value,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 share market value, end of period</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return</w:t>
      </w:r>
      <w:r>
        <w:rPr>
          <w:rFonts w:ascii="Arial" w:cs="Arial" w:eastAsia="Arial" w:hAnsi="Arial"/>
          <w:sz w:val="8"/>
          <w:szCs w:val="8"/>
          <w:color w:val="auto"/>
        </w:rPr>
        <w:t>* (4)</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outstanding at end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Ratio** / Supplemental Data:</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12.83</w:t>
            </w:r>
          </w:p>
        </w:tc>
        <w:tc>
          <w:tcPr>
            <w:tcW w:w="180" w:type="dxa"/>
            <w:vAlign w:val="bottom"/>
          </w:tcPr>
          <w:p>
            <w:pPr>
              <w:spacing w:after="0"/>
              <w:rPr>
                <w:sz w:val="15"/>
                <w:szCs w:val="15"/>
                <w:color w:val="auto"/>
              </w:rPr>
            </w:pPr>
          </w:p>
        </w:tc>
      </w:tr>
      <w:tr>
        <w:trPr>
          <w:trHeight w:val="478"/>
        </w:trPr>
        <w:tc>
          <w:tcPr>
            <w:tcW w:w="2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r>
      <w:tr>
        <w:trPr>
          <w:trHeight w:val="244"/>
        </w:trPr>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12.83</w:t>
            </w:r>
          </w:p>
        </w:tc>
        <w:tc>
          <w:tcPr>
            <w:tcW w:w="180" w:type="dxa"/>
            <w:vAlign w:val="bottom"/>
          </w:tcPr>
          <w:p>
            <w:pPr>
              <w:spacing w:after="0"/>
              <w:rPr>
                <w:sz w:val="21"/>
                <w:szCs w:val="21"/>
                <w:color w:val="auto"/>
              </w:rPr>
            </w:pPr>
          </w:p>
        </w:tc>
      </w:tr>
      <w:tr>
        <w:trPr>
          <w:trHeight w:val="472"/>
        </w:trPr>
        <w:tc>
          <w:tcPr>
            <w:tcW w:w="240" w:type="dxa"/>
            <w:vAlign w:val="bottom"/>
          </w:tcPr>
          <w:p>
            <w:pPr>
              <w:spacing w:after="0"/>
              <w:rPr>
                <w:sz w:val="24"/>
                <w:szCs w:val="24"/>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0.88</w:t>
            </w:r>
          </w:p>
        </w:tc>
        <w:tc>
          <w:tcPr>
            <w:tcW w:w="180" w:type="dxa"/>
            <w:vAlign w:val="bottom"/>
          </w:tcPr>
          <w:p>
            <w:pPr>
              <w:spacing w:after="0"/>
              <w:rPr>
                <w:sz w:val="24"/>
                <w:szCs w:val="24"/>
                <w:color w:val="auto"/>
              </w:rPr>
            </w:pPr>
          </w:p>
        </w:tc>
      </w:tr>
      <w:tr>
        <w:trPr>
          <w:trHeight w:val="478"/>
        </w:trPr>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w:t>
            </w:r>
          </w:p>
        </w:tc>
        <w:tc>
          <w:tcPr>
            <w:tcW w:w="180" w:type="dxa"/>
            <w:vAlign w:val="bottom"/>
          </w:tcPr>
          <w:p>
            <w:pPr>
              <w:spacing w:after="0"/>
              <w:rPr>
                <w:sz w:val="24"/>
                <w:szCs w:val="24"/>
                <w:color w:val="auto"/>
              </w:rPr>
            </w:pPr>
          </w:p>
        </w:tc>
      </w:tr>
      <w:tr>
        <w:trPr>
          <w:trHeight w:val="447"/>
        </w:trPr>
        <w:tc>
          <w:tcPr>
            <w:tcW w:w="240" w:type="dxa"/>
            <w:vAlign w:val="bottom"/>
          </w:tcPr>
          <w:p>
            <w:pPr>
              <w:spacing w:after="0"/>
              <w:rPr>
                <w:sz w:val="24"/>
                <w:szCs w:val="24"/>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180" w:type="dxa"/>
            <w:vAlign w:val="bottom"/>
          </w:tcPr>
          <w:p>
            <w:pPr>
              <w:spacing w:after="0"/>
              <w:rPr>
                <w:sz w:val="24"/>
                <w:szCs w:val="24"/>
                <w:color w:val="auto"/>
              </w:rPr>
            </w:pPr>
          </w:p>
        </w:tc>
      </w:tr>
      <w:tr>
        <w:trPr>
          <w:trHeight w:val="473"/>
        </w:trPr>
        <w:tc>
          <w:tcPr>
            <w:tcW w:w="2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(0.90)</w:t>
            </w:r>
          </w:p>
        </w:tc>
        <w:tc>
          <w:tcPr>
            <w:tcW w:w="180" w:type="dxa"/>
            <w:vAlign w:val="bottom"/>
          </w:tcPr>
          <w:p>
            <w:pPr>
              <w:spacing w:after="0"/>
              <w:rPr>
                <w:sz w:val="24"/>
                <w:szCs w:val="24"/>
                <w:color w:val="auto"/>
              </w:rPr>
            </w:pPr>
          </w:p>
        </w:tc>
      </w:tr>
      <w:tr>
        <w:trPr>
          <w:trHeight w:val="473"/>
        </w:trPr>
        <w:tc>
          <w:tcPr>
            <w:tcW w:w="2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r>
      <w:tr>
        <w:trPr>
          <w:trHeight w:val="479"/>
        </w:trPr>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r>
      <w:tr>
        <w:trPr>
          <w:trHeight w:val="244"/>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21"/>
                <w:szCs w:val="21"/>
                <w:color w:val="auto"/>
              </w:rPr>
            </w:pPr>
          </w:p>
        </w:tc>
      </w:tr>
      <w:tr>
        <w:trPr>
          <w:trHeight w:val="27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7.41</w:t>
            </w:r>
          </w:p>
        </w:tc>
        <w:tc>
          <w:tcPr>
            <w:tcW w:w="180" w:type="dxa"/>
            <w:vAlign w:val="bottom"/>
          </w:tcPr>
          <w:p>
            <w:pPr>
              <w:spacing w:after="0"/>
              <w:rPr>
                <w:sz w:val="23"/>
                <w:szCs w:val="23"/>
                <w:color w:val="auto"/>
              </w:rPr>
            </w:pPr>
          </w:p>
        </w:tc>
      </w:tr>
      <w:tr>
        <w:trPr>
          <w:trHeight w:val="473"/>
        </w:trPr>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(38.58)%</w:t>
            </w:r>
          </w:p>
        </w:tc>
        <w:tc>
          <w:tcPr>
            <w:tcW w:w="18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240" w:type="dxa"/>
            <w:vAlign w:val="bottom"/>
          </w:tcPr>
          <w:p>
            <w:pPr>
              <w:spacing w:after="0"/>
              <w:rPr>
                <w:sz w:val="23"/>
                <w:szCs w:val="23"/>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45,689,781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36,158,772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25,368,772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21,068,772</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-3077845</wp:posOffset>
            </wp:positionV>
            <wp:extent cx="5846445"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-2606040</wp:posOffset>
            </wp:positionV>
            <wp:extent cx="5846445"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-2005965</wp:posOffset>
            </wp:positionV>
            <wp:extent cx="584644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-1405890</wp:posOffset>
            </wp:positionV>
            <wp:extent cx="5846445"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-805815</wp:posOffset>
            </wp:positionV>
            <wp:extent cx="584644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-462915</wp:posOffset>
            </wp:positionV>
            <wp:extent cx="5846445"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7620</wp:posOffset>
            </wp:positionV>
            <wp:extent cx="584644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3700" w:space="40"/>
            <w:col w:w="6399"/>
          </w:cols>
          <w:pgMar w:left="320" w:top="121" w:right="1440"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8"/>
          <w:szCs w:val="8"/>
          <w:color w:val="auto"/>
        </w:rPr>
        <w:t>(5)</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Ratio of Credit Facility related expenses to average net assets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8"/>
          <w:szCs w:val="8"/>
          <w:color w:val="auto"/>
        </w:rPr>
        <w:t>(6)</w:t>
      </w:r>
    </w:p>
    <w:p>
      <w:pPr>
        <w:spacing w:after="0" w:line="177" w:lineRule="exact"/>
        <w:rPr>
          <w:sz w:val="20"/>
          <w:szCs w:val="20"/>
          <w:color w:val="auto"/>
        </w:rPr>
      </w:pPr>
    </w:p>
    <w:p>
      <w:pPr>
        <w:ind w:left="40" w:right="520"/>
        <w:spacing w:after="0" w:line="434" w:lineRule="auto"/>
        <w:rPr>
          <w:sz w:val="20"/>
          <w:szCs w:val="20"/>
          <w:color w:val="auto"/>
        </w:rPr>
      </w:pPr>
      <w:r>
        <w:rPr>
          <w:rFonts w:ascii="Arial" w:cs="Arial" w:eastAsia="Arial" w:hAnsi="Arial"/>
          <w:sz w:val="14"/>
          <w:szCs w:val="14"/>
          <w:color w:val="auto"/>
        </w:rPr>
        <w:t>Ratio of net investment income to average net assets Net assets at end of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debt outstanding</w:t>
      </w:r>
      <w:r>
        <w:rPr>
          <w:rFonts w:ascii="Arial" w:cs="Arial" w:eastAsia="Arial" w:hAnsi="Arial"/>
          <w:sz w:val="8"/>
          <w:szCs w:val="8"/>
          <w:color w:val="auto"/>
        </w:rPr>
        <w:t>(8)</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debt per share</w:t>
      </w:r>
      <w:r>
        <w:rPr>
          <w:rFonts w:ascii="Arial" w:cs="Arial" w:eastAsia="Arial" w:hAnsi="Arial"/>
          <w:sz w:val="8"/>
          <w:szCs w:val="8"/>
          <w:color w:val="auto"/>
        </w:rPr>
        <w:t>(8)</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Portfolio turnover ratio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7.28 %</w:t>
            </w:r>
          </w:p>
        </w:tc>
        <w:tc>
          <w:tcPr>
            <w:tcW w:w="28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7.16%</w:t>
            </w: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7.42%</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6.30 %</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1.15 %</w:t>
            </w:r>
          </w:p>
        </w:tc>
        <w:tc>
          <w:tcPr>
            <w:tcW w:w="28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28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2.66 %</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473"/>
        </w:trPr>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8.43 %</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8.24%</w:t>
            </w:r>
          </w:p>
        </w:tc>
        <w:tc>
          <w:tcPr>
            <w:tcW w:w="28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9.35%</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8.96 %</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11.35 %</w:t>
            </w:r>
          </w:p>
        </w:tc>
        <w:tc>
          <w:tcPr>
            <w:tcW w:w="28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9.45%</w:t>
            </w:r>
          </w:p>
        </w:tc>
        <w:tc>
          <w:tcPr>
            <w:tcW w:w="28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9.49%</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7.82 %</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462,657,196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386,575,223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300,580,268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210,728,260</w:t>
            </w:r>
          </w:p>
        </w:tc>
        <w:tc>
          <w:tcPr>
            <w:tcW w:w="160" w:type="dxa"/>
            <w:vAlign w:val="bottom"/>
          </w:tcPr>
          <w:p>
            <w:pPr>
              <w:spacing w:after="0"/>
              <w:rPr>
                <w:sz w:val="23"/>
                <w:szCs w:val="23"/>
                <w:color w:val="auto"/>
              </w:rPr>
            </w:pPr>
          </w:p>
        </w:tc>
      </w:tr>
      <w:tr>
        <w:trPr>
          <w:trHeight w:val="473"/>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278,294,433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246,216,548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182,490,685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119,472,732</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473"/>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6.60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8.33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8.65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5.67</w:t>
            </w: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40.89 %</w:t>
            </w:r>
          </w:p>
        </w:tc>
        <w:tc>
          <w:tcPr>
            <w:tcW w:w="28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25.97%</w:t>
            </w:r>
          </w:p>
        </w:tc>
        <w:tc>
          <w:tcPr>
            <w:tcW w:w="28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7.47%</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20.10 %</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-1577340</wp:posOffset>
            </wp:positionV>
            <wp:extent cx="584644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6445"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-1106170</wp:posOffset>
            </wp:positionV>
            <wp:extent cx="584644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6445"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-763270</wp:posOffset>
            </wp:positionV>
            <wp:extent cx="5846445"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6445" cy="3003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-163195</wp:posOffset>
            </wp:positionV>
            <wp:extent cx="584644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200"/>
            <w:col w:w="6359"/>
          </w:cols>
          <w:pgMar w:left="320" w:top="121" w:right="1440" w:bottom="1440" w:gutter="0" w:footer="0" w:header="0"/>
          <w:type w:val="continuous"/>
        </w:sectPr>
      </w:pPr>
    </w:p>
    <w:p>
      <w:pPr>
        <w:spacing w:after="0" w:line="3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39"/>
          </w:cols>
          <w:pgMar w:left="320" w:top="121" w:right="1440"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64"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8"/>
          <w:szCs w:val="18"/>
          <w:color w:val="auto"/>
        </w:rPr>
      </w:pPr>
      <w:r>
        <w:rPr>
          <w:rFonts w:ascii="Arial" w:cs="Arial" w:eastAsia="Arial" w:hAnsi="Arial"/>
          <w:sz w:val="14"/>
          <w:szCs w:val="14"/>
          <w:color w:val="auto"/>
        </w:rPr>
        <w:t>Not annualized for a period of less than a year.</w:t>
      </w:r>
    </w:p>
    <w:p>
      <w:pPr>
        <w:spacing w:after="0" w:line="12" w:lineRule="exact"/>
        <w:rPr>
          <w:sz w:val="20"/>
          <w:szCs w:val="20"/>
          <w:color w:val="auto"/>
        </w:rPr>
      </w:pPr>
    </w:p>
    <w:p>
      <w:pPr>
        <w:ind w:left="340" w:right="220" w:hanging="332"/>
        <w:spacing w:after="0" w:line="246"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and may differ from amounts determined under GAAP.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on the change in market price per share during the periods and takes into account dividends and distributions, if any, reinvested in accordance with our dividend reinvestment plan.</w:t>
      </w:r>
    </w:p>
    <w:p>
      <w:pPr>
        <w:spacing w:after="0" w:line="12" w:lineRule="exact"/>
        <w:rPr>
          <w:rFonts w:ascii="Arial" w:cs="Arial" w:eastAsia="Arial" w:hAnsi="Arial"/>
          <w:sz w:val="13"/>
          <w:szCs w:val="13"/>
          <w:color w:val="auto"/>
        </w:rPr>
      </w:pPr>
    </w:p>
    <w:p>
      <w:pPr>
        <w:ind w:left="340" w:hanging="332"/>
        <w:spacing w:after="0" w:line="260"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jc w:val="both"/>
        <w:ind w:left="340" w:right="320" w:hanging="332"/>
        <w:spacing w:after="0" w:line="24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Since initial public offering on April 24, 2007.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the SBA debentures outstanding.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CREDIT FACILITY AND SBA DEBENTURES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Credit Facility</w:t>
      </w:r>
    </w:p>
    <w:p>
      <w:pPr>
        <w:spacing w:after="0" w:line="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4"/>
          <w:szCs w:val="14"/>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31" w:lineRule="exact"/>
        <w:rPr>
          <w:sz w:val="20"/>
          <w:szCs w:val="20"/>
          <w:color w:val="auto"/>
        </w:rPr>
      </w:pPr>
    </w:p>
    <w:p>
      <w:pPr>
        <w:ind w:right="40" w:firstLine="432"/>
        <w:spacing w:after="0" w:line="246" w:lineRule="auto"/>
        <w:rPr>
          <w:sz w:val="20"/>
          <w:szCs w:val="20"/>
          <w:color w:val="auto"/>
        </w:rPr>
      </w:pPr>
      <w:r>
        <w:rPr>
          <w:rFonts w:ascii="Arial" w:cs="Arial" w:eastAsia="Arial" w:hAnsi="Arial"/>
          <w:sz w:val="14"/>
          <w:szCs w:val="14"/>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SBA Debentures</w:t>
      </w:r>
    </w:p>
    <w:p>
      <w:pPr>
        <w:spacing w:after="0" w:line="82"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As of September 30, 2011 the SBIC LP has accessed the maximum borrowing with its $75.0 million in regulatory capital.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356"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As of September 30, 2011</w:t>
            </w: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52"/>
        </w:trPr>
        <w:tc>
          <w:tcPr>
            <w:tcW w:w="1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Issuance Dates</w:t>
            </w:r>
          </w:p>
        </w:tc>
        <w:tc>
          <w:tcPr>
            <w:tcW w:w="120" w:type="dxa"/>
            <w:vAlign w:val="bottom"/>
          </w:tcPr>
          <w:p>
            <w:pPr>
              <w:spacing w:after="0"/>
              <w:rPr>
                <w:sz w:val="13"/>
                <w:szCs w:val="13"/>
                <w:color w:val="auto"/>
              </w:rPr>
            </w:pP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All-in Coupon</w:t>
            </w:r>
          </w:p>
        </w:tc>
        <w:tc>
          <w:tcPr>
            <w:tcW w:w="16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 Balance</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All-in Coupon</w:t>
            </w:r>
          </w:p>
        </w:tc>
        <w:tc>
          <w:tcPr>
            <w:tcW w:w="160" w:type="dxa"/>
            <w:vAlign w:val="bottom"/>
          </w:tcPr>
          <w:p>
            <w:pPr>
              <w:spacing w:after="0"/>
              <w:rPr>
                <w:sz w:val="13"/>
                <w:szCs w:val="13"/>
                <w:color w:val="auto"/>
              </w:rPr>
            </w:pP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 xml:space="preserve">Rate </w:t>
            </w:r>
            <w:r>
              <w:rPr>
                <w:rFonts w:ascii="Arial" w:cs="Arial" w:eastAsia="Arial" w:hAnsi="Arial"/>
                <w:sz w:val="8"/>
                <w:szCs w:val="8"/>
                <w:b w:val="1"/>
                <w:bCs w:val="1"/>
                <w:color w:val="auto"/>
                <w:w w:val="99"/>
              </w:rPr>
              <w:t>(1)</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 xml:space="preserve">Rate </w:t>
            </w:r>
            <w:r>
              <w:rPr>
                <w:rFonts w:ascii="Arial" w:cs="Arial" w:eastAsia="Arial" w:hAnsi="Arial"/>
                <w:sz w:val="8"/>
                <w:szCs w:val="8"/>
                <w:b w:val="1"/>
                <w:bCs w:val="1"/>
                <w:color w:val="auto"/>
                <w:w w:val="90"/>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Fixed SBA Debentures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60" w:type="dxa"/>
            <w:vAlign w:val="bottom"/>
          </w:tcPr>
          <w:p>
            <w:pPr>
              <w:ind w:left="20"/>
              <w:spacing w:after="0"/>
              <w:rPr>
                <w:sz w:val="20"/>
                <w:szCs w:val="20"/>
                <w:color w:val="auto"/>
              </w:rPr>
            </w:pPr>
            <w:r>
              <w:rPr>
                <w:rFonts w:ascii="Arial" w:cs="Arial" w:eastAsia="Arial" w:hAnsi="Arial"/>
                <w:sz w:val="14"/>
                <w:szCs w:val="14"/>
                <w:color w:val="auto"/>
              </w:rPr>
              <w:t>September 22, 2010</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September 1, 2020</w:t>
            </w: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Arial" w:cs="Arial" w:eastAsia="Arial" w:hAnsi="Arial"/>
                <w:sz w:val="14"/>
                <w:szCs w:val="14"/>
                <w:color w:val="auto"/>
              </w:rPr>
              <w:t>March 29, 2011</w:t>
            </w:r>
          </w:p>
        </w:tc>
        <w:tc>
          <w:tcPr>
            <w:tcW w:w="120" w:type="dxa"/>
            <w:vAlign w:val="bottom"/>
          </w:tcPr>
          <w:p>
            <w:pPr>
              <w:spacing w:after="0"/>
              <w:rPr>
                <w:sz w:val="23"/>
                <w:szCs w:val="23"/>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March 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44,500,000</w:t>
            </w:r>
          </w:p>
        </w:tc>
        <w:tc>
          <w:tcPr>
            <w:tcW w:w="1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60" w:type="dxa"/>
            <w:vAlign w:val="bottom"/>
          </w:tcPr>
          <w:p>
            <w:pPr>
              <w:ind w:left="20"/>
              <w:spacing w:after="0"/>
              <w:rPr>
                <w:sz w:val="20"/>
                <w:szCs w:val="20"/>
                <w:color w:val="auto"/>
              </w:rPr>
            </w:pPr>
            <w:r>
              <w:rPr>
                <w:rFonts w:ascii="Arial" w:cs="Arial" w:eastAsia="Arial" w:hAnsi="Arial"/>
                <w:sz w:val="14"/>
                <w:szCs w:val="14"/>
                <w:color w:val="auto"/>
              </w:rPr>
              <w:t>September 21, 2011</w:t>
            </w:r>
          </w:p>
        </w:tc>
        <w:tc>
          <w:tcPr>
            <w:tcW w:w="1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September 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105,000,000</w:t>
            </w:r>
          </w:p>
        </w:tc>
        <w:tc>
          <w:tcPr>
            <w:tcW w:w="1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76"/>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Interim SBA Debentures</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14,000,000</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Total SBA Debentures</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14,500,000</w:t>
            </w:r>
          </w:p>
        </w:tc>
        <w:tc>
          <w:tcPr>
            <w:tcW w:w="0" w:type="dxa"/>
            <w:vAlign w:val="bottom"/>
          </w:tcPr>
          <w:p>
            <w:pPr>
              <w:spacing w:after="0"/>
              <w:rPr>
                <w:sz w:val="1"/>
                <w:szCs w:val="1"/>
                <w:color w:val="auto"/>
              </w:rPr>
            </w:pPr>
          </w:p>
        </w:tc>
      </w:tr>
      <w:tr>
        <w:trPr>
          <w:trHeight w:val="258"/>
        </w:trPr>
        <w:tc>
          <w:tcPr>
            <w:tcW w:w="1960" w:type="dxa"/>
            <w:vAlign w:val="bottom"/>
          </w:tcPr>
          <w:p>
            <w:pPr>
              <w:ind w:left="20"/>
              <w:spacing w:after="0"/>
              <w:rPr>
                <w:sz w:val="20"/>
                <w:szCs w:val="20"/>
                <w:color w:val="auto"/>
              </w:rPr>
            </w:pPr>
            <w:r>
              <w:rPr>
                <w:rFonts w:ascii="Arial" w:cs="Arial" w:eastAsia="Arial" w:hAnsi="Arial"/>
                <w:sz w:val="14"/>
                <w:szCs w:val="14"/>
                <w:color w:val="auto"/>
              </w:rPr>
              <w:t>SBA Commitment</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33,500,000</w:t>
            </w:r>
          </w:p>
        </w:tc>
        <w:tc>
          <w:tcPr>
            <w:tcW w:w="0" w:type="dxa"/>
            <w:vAlign w:val="bottom"/>
          </w:tcPr>
          <w:p>
            <w:pPr>
              <w:spacing w:after="0"/>
              <w:rPr>
                <w:sz w:val="1"/>
                <w:szCs w:val="1"/>
                <w:color w:val="auto"/>
              </w:rPr>
            </w:pPr>
          </w:p>
        </w:tc>
      </w:tr>
      <w:tr>
        <w:trPr>
          <w:trHeight w:val="270"/>
        </w:trPr>
        <w:tc>
          <w:tcPr>
            <w:tcW w:w="3720" w:type="dxa"/>
            <w:vAlign w:val="bottom"/>
            <w:gridSpan w:val="4"/>
          </w:tcPr>
          <w:p>
            <w:pPr>
              <w:ind w:left="20"/>
              <w:spacing w:after="0"/>
              <w:rPr>
                <w:sz w:val="20"/>
                <w:szCs w:val="20"/>
                <w:color w:val="auto"/>
              </w:rPr>
            </w:pPr>
            <w:r>
              <w:rPr>
                <w:rFonts w:ascii="Arial" w:cs="Arial" w:eastAsia="Arial" w:hAnsi="Arial"/>
                <w:sz w:val="14"/>
                <w:szCs w:val="14"/>
                <w:color w:val="auto"/>
              </w:rPr>
              <w:t>Available Undrawn SBA Commitment</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19,000,000</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 Excluding 3.43% of upfront fees.</w:t>
      </w:r>
    </w:p>
    <w:p>
      <w:pPr>
        <w:spacing w:after="0" w:line="163" w:lineRule="exact"/>
        <w:rPr>
          <w:sz w:val="20"/>
          <w:szCs w:val="20"/>
          <w:color w:val="auto"/>
        </w:rPr>
      </w:pPr>
    </w:p>
    <w:p>
      <w:pPr>
        <w:ind w:right="80" w:firstLine="432"/>
        <w:spacing w:after="0" w:line="246" w:lineRule="auto"/>
        <w:rPr>
          <w:sz w:val="20"/>
          <w:szCs w:val="20"/>
          <w:color w:val="auto"/>
        </w:rPr>
      </w:pPr>
      <w:r>
        <w:rPr>
          <w:rFonts w:ascii="Arial" w:cs="Arial" w:eastAsia="Arial" w:hAnsi="Arial"/>
          <w:sz w:val="14"/>
          <w:szCs w:val="14"/>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41"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4"/>
          <w:szCs w:val="14"/>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31" w:lineRule="exact"/>
        <w:rPr>
          <w:sz w:val="20"/>
          <w:szCs w:val="20"/>
          <w:color w:val="auto"/>
        </w:rPr>
      </w:pPr>
    </w:p>
    <w:p>
      <w:pPr>
        <w:ind w:right="440" w:firstLine="405"/>
        <w:spacing w:after="0" w:line="286" w:lineRule="auto"/>
        <w:rPr>
          <w:sz w:val="20"/>
          <w:szCs w:val="20"/>
          <w:color w:val="auto"/>
        </w:rPr>
      </w:pPr>
      <w:r>
        <w:rPr>
          <w:rFonts w:ascii="Arial" w:cs="Arial" w:eastAsia="Arial" w:hAnsi="Arial"/>
          <w:sz w:val="13"/>
          <w:szCs w:val="13"/>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86" w:lineRule="exact"/>
        <w:rPr>
          <w:sz w:val="20"/>
          <w:szCs w:val="20"/>
          <w:color w:val="auto"/>
        </w:rPr>
      </w:pPr>
    </w:p>
    <w:p>
      <w:pPr>
        <w:ind w:right="80" w:firstLine="432"/>
        <w:spacing w:after="0" w:line="252"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8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Evaluation of Disclosure Controls and Procedures</w:t>
      </w:r>
    </w:p>
    <w:p>
      <w:pPr>
        <w:spacing w:after="0" w:line="82"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As of September 30, 2011,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208"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Management’s Report on Internal Control Over Financial Reporting, which appears on page 63 of this Form 10-K, is incorporated by reference herein.</w:t>
      </w:r>
    </w:p>
    <w:p>
      <w:pPr>
        <w:spacing w:after="0" w:line="8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Changes in Internal Controls Over Financial Reporting.</w:t>
      </w:r>
    </w:p>
    <w:p>
      <w:pPr>
        <w:spacing w:after="0" w:line="109" w:lineRule="exact"/>
        <w:rPr>
          <w:sz w:val="20"/>
          <w:szCs w:val="20"/>
          <w:color w:val="auto"/>
        </w:rPr>
      </w:pPr>
    </w:p>
    <w:p>
      <w:pPr>
        <w:ind w:right="80" w:firstLine="324"/>
        <w:spacing w:after="0" w:line="273" w:lineRule="auto"/>
        <w:rPr>
          <w:sz w:val="20"/>
          <w:szCs w:val="20"/>
          <w:color w:val="auto"/>
        </w:rPr>
      </w:pPr>
      <w:r>
        <w:rPr>
          <w:rFonts w:ascii="Arial" w:cs="Arial" w:eastAsia="Arial" w:hAnsi="Arial"/>
          <w:sz w:val="14"/>
          <w:szCs w:val="14"/>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III</w:t>
      </w:r>
    </w:p>
    <w:p>
      <w:pPr>
        <w:spacing w:after="0" w:line="167" w:lineRule="exact"/>
        <w:rPr>
          <w:sz w:val="20"/>
          <w:szCs w:val="20"/>
          <w:color w:val="auto"/>
        </w:rPr>
      </w:pPr>
    </w:p>
    <w:p>
      <w:pPr>
        <w:ind w:firstLine="432"/>
        <w:spacing w:after="0" w:line="257" w:lineRule="auto"/>
        <w:rPr>
          <w:sz w:val="20"/>
          <w:szCs w:val="20"/>
          <w:color w:val="auto"/>
        </w:rPr>
      </w:pPr>
      <w:r>
        <w:rPr>
          <w:rFonts w:ascii="Arial" w:cs="Arial" w:eastAsia="Arial" w:hAnsi="Arial"/>
          <w:sz w:val="14"/>
          <w:szCs w:val="14"/>
          <w:color w:val="auto"/>
        </w:rPr>
        <w:t>We will file a definitive Proxy Statement for our 2012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2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2012 Annual Meeting of Stockholders, to be filed with the SEC within 120 days following the end of our fiscal year.</w:t>
      </w:r>
    </w:p>
    <w:p>
      <w:pPr>
        <w:spacing w:after="0" w:line="11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8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2012 Annual Meeting of Stockholders, to be filed with the SEC within 120 days following the end of our fiscal year.</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120"/>
          </w:cols>
          <w:pgMar w:left="320" w:top="121" w:right="45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IV</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55" w:lineRule="exact"/>
        <w:rPr>
          <w:sz w:val="20"/>
          <w:szCs w:val="20"/>
          <w:color w:val="auto"/>
        </w:rPr>
      </w:pPr>
    </w:p>
    <w:p>
      <w:pPr>
        <w:ind w:left="820" w:hanging="326"/>
        <w:spacing w:after="0"/>
        <w:tabs>
          <w:tab w:leader="none" w:pos="8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62.</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55" w:lineRule="exact"/>
        <w:rPr>
          <w:rFonts w:ascii="Arial" w:cs="Arial" w:eastAsia="Arial" w:hAnsi="Arial"/>
          <w:sz w:val="14"/>
          <w:szCs w:val="14"/>
          <w:color w:val="auto"/>
        </w:rPr>
      </w:pPr>
    </w:p>
    <w:p>
      <w:pPr>
        <w:ind w:left="820" w:hanging="326"/>
        <w:spacing w:after="0"/>
        <w:tabs>
          <w:tab w:leader="none" w:pos="8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Exhibits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ind w:left="140"/>
              <w:spacing w:after="0"/>
              <w:rPr>
                <w:sz w:val="20"/>
                <w:szCs w:val="20"/>
                <w:color w:val="auto"/>
              </w:rPr>
            </w:pPr>
            <w:r>
              <w:rPr>
                <w:rFonts w:ascii="Arial" w:cs="Arial" w:eastAsia="Arial" w:hAnsi="Arial"/>
                <w:sz w:val="14"/>
                <w:szCs w:val="14"/>
                <w:color w:val="auto"/>
              </w:rPr>
              <w:t>3.1</w:t>
            </w:r>
          </w:p>
        </w:tc>
        <w:tc>
          <w:tcPr>
            <w:tcW w:w="10580" w:type="dxa"/>
            <w:vAlign w:val="bottom"/>
          </w:tcPr>
          <w:p>
            <w:pPr>
              <w:ind w:left="220"/>
              <w:spacing w:after="0"/>
              <w:rPr>
                <w:sz w:val="20"/>
                <w:szCs w:val="20"/>
                <w:color w:val="auto"/>
              </w:rPr>
            </w:pPr>
            <w:r>
              <w:rPr>
                <w:rFonts w:ascii="Arial" w:cs="Arial" w:eastAsia="Arial" w:hAnsi="Arial"/>
                <w:sz w:val="14"/>
                <w:szCs w:val="14"/>
                <w:color w:val="auto"/>
                <w:w w:val="95"/>
              </w:rPr>
              <w:t>Articles of Incorporation (Incorporated by reference to the Registrant’s Pre-Effective Amendment No.1 to the Registration Statement on Form N-2/A (File No. 333-140092), filed</w:t>
            </w:r>
          </w:p>
        </w:tc>
      </w:tr>
      <w:tr>
        <w:trPr>
          <w:trHeight w:val="182"/>
        </w:trPr>
        <w:tc>
          <w:tcPr>
            <w:tcW w:w="580" w:type="dxa"/>
            <w:vAlign w:val="bottom"/>
          </w:tcPr>
          <w:p>
            <w:pPr>
              <w:spacing w:after="0"/>
              <w:rPr>
                <w:sz w:val="15"/>
                <w:szCs w:val="15"/>
                <w:color w:val="auto"/>
              </w:rPr>
            </w:pPr>
          </w:p>
        </w:tc>
        <w:tc>
          <w:tcPr>
            <w:tcW w:w="10580" w:type="dxa"/>
            <w:vAlign w:val="bottom"/>
          </w:tcPr>
          <w:p>
            <w:pPr>
              <w:ind w:left="220"/>
              <w:spacing w:after="0"/>
              <w:rPr>
                <w:sz w:val="20"/>
                <w:szCs w:val="20"/>
                <w:color w:val="auto"/>
              </w:rPr>
            </w:pPr>
            <w:r>
              <w:rPr>
                <w:rFonts w:ascii="Arial" w:cs="Arial" w:eastAsia="Arial" w:hAnsi="Arial"/>
                <w:sz w:val="14"/>
                <w:szCs w:val="14"/>
                <w:color w:val="auto"/>
              </w:rPr>
              <w:t>on March 5, 2007).</w:t>
            </w:r>
          </w:p>
        </w:tc>
      </w:tr>
      <w:tr>
        <w:trPr>
          <w:trHeight w:val="324"/>
        </w:trPr>
        <w:tc>
          <w:tcPr>
            <w:tcW w:w="580" w:type="dxa"/>
            <w:vAlign w:val="bottom"/>
          </w:tcPr>
          <w:p>
            <w:pPr>
              <w:ind w:left="140"/>
              <w:spacing w:after="0"/>
              <w:rPr>
                <w:sz w:val="20"/>
                <w:szCs w:val="20"/>
                <w:color w:val="auto"/>
              </w:rPr>
            </w:pPr>
            <w:r>
              <w:rPr>
                <w:rFonts w:ascii="Arial" w:cs="Arial" w:eastAsia="Arial" w:hAnsi="Arial"/>
                <w:sz w:val="14"/>
                <w:szCs w:val="14"/>
                <w:color w:val="auto"/>
              </w:rPr>
              <w:t>3.2*</w:t>
            </w:r>
          </w:p>
        </w:tc>
        <w:tc>
          <w:tcPr>
            <w:tcW w:w="10580" w:type="dxa"/>
            <w:vAlign w:val="bottom"/>
          </w:tcPr>
          <w:p>
            <w:pPr>
              <w:ind w:left="220"/>
              <w:spacing w:after="0"/>
              <w:rPr>
                <w:sz w:val="20"/>
                <w:szCs w:val="20"/>
                <w:color w:val="auto"/>
              </w:rPr>
            </w:pPr>
            <w:r>
              <w:rPr>
                <w:rFonts w:ascii="Arial" w:cs="Arial" w:eastAsia="Arial" w:hAnsi="Arial"/>
                <w:sz w:val="14"/>
                <w:szCs w:val="14"/>
                <w:color w:val="auto"/>
              </w:rPr>
              <w:t>Amended and Restated Bylaws of the Registrant.</w:t>
            </w:r>
          </w:p>
        </w:tc>
      </w:tr>
      <w:tr>
        <w:trPr>
          <w:trHeight w:val="324"/>
        </w:trPr>
        <w:tc>
          <w:tcPr>
            <w:tcW w:w="580" w:type="dxa"/>
            <w:vAlign w:val="bottom"/>
          </w:tcPr>
          <w:p>
            <w:pPr>
              <w:ind w:left="140"/>
              <w:spacing w:after="0"/>
              <w:rPr>
                <w:sz w:val="20"/>
                <w:szCs w:val="20"/>
                <w:color w:val="auto"/>
              </w:rPr>
            </w:pPr>
            <w:r>
              <w:rPr>
                <w:rFonts w:ascii="Arial" w:cs="Arial" w:eastAsia="Arial" w:hAnsi="Arial"/>
                <w:sz w:val="14"/>
                <w:szCs w:val="14"/>
                <w:color w:val="auto"/>
              </w:rPr>
              <w:t>4.1</w:t>
            </w:r>
          </w:p>
        </w:tc>
        <w:tc>
          <w:tcPr>
            <w:tcW w:w="10580" w:type="dxa"/>
            <w:vAlign w:val="bottom"/>
          </w:tcPr>
          <w:p>
            <w:pPr>
              <w:ind w:left="220"/>
              <w:spacing w:after="0"/>
              <w:rPr>
                <w:sz w:val="20"/>
                <w:szCs w:val="20"/>
                <w:color w:val="auto"/>
              </w:rPr>
            </w:pPr>
            <w:r>
              <w:rPr>
                <w:rFonts w:ascii="Arial" w:cs="Arial" w:eastAsia="Arial" w:hAnsi="Arial"/>
                <w:sz w:val="14"/>
                <w:szCs w:val="14"/>
                <w:color w:val="auto"/>
                <w:w w:val="96"/>
              </w:rPr>
              <w:t>Form of Share Certificate (Incorporated by reference to Exhibit 99(d)(1) to the Registrant’s Registration Statement on Form N-2 (File No. 333-150033), filed on April 2, 2008).</w:t>
            </w:r>
          </w:p>
        </w:tc>
      </w:tr>
      <w:tr>
        <w:trPr>
          <w:trHeight w:val="290"/>
        </w:trPr>
        <w:tc>
          <w:tcPr>
            <w:tcW w:w="580" w:type="dxa"/>
            <w:vAlign w:val="bottom"/>
          </w:tcPr>
          <w:p>
            <w:pPr>
              <w:spacing w:after="0"/>
              <w:rPr>
                <w:sz w:val="20"/>
                <w:szCs w:val="20"/>
                <w:color w:val="auto"/>
              </w:rPr>
            </w:pPr>
            <w:r>
              <w:rPr>
                <w:rFonts w:ascii="Arial" w:cs="Arial" w:eastAsia="Arial" w:hAnsi="Arial"/>
                <w:sz w:val="14"/>
                <w:szCs w:val="14"/>
                <w:color w:val="auto"/>
              </w:rPr>
              <w:t>10.1</w:t>
            </w:r>
          </w:p>
        </w:tc>
        <w:tc>
          <w:tcPr>
            <w:tcW w:w="10580" w:type="dxa"/>
            <w:vAlign w:val="bottom"/>
          </w:tcPr>
          <w:p>
            <w:pPr>
              <w:ind w:left="220"/>
              <w:spacing w:after="0"/>
              <w:rPr>
                <w:sz w:val="20"/>
                <w:szCs w:val="20"/>
                <w:color w:val="auto"/>
              </w:rPr>
            </w:pPr>
            <w:r>
              <w:rPr>
                <w:rFonts w:ascii="Arial" w:cs="Arial" w:eastAsia="Arial" w:hAnsi="Arial"/>
                <w:sz w:val="14"/>
                <w:szCs w:val="14"/>
                <w:color w:val="auto"/>
                <w:w w:val="95"/>
              </w:rPr>
              <w:t>Form of Investment Management Agreement between the Registrant and PennantPark Investment Advisers, LLC (Incorporated by reference to Exhibit 99(g) to the Registrant’s</w:t>
            </w:r>
          </w:p>
        </w:tc>
      </w:tr>
      <w:tr>
        <w:trPr>
          <w:trHeight w:val="182"/>
        </w:trPr>
        <w:tc>
          <w:tcPr>
            <w:tcW w:w="580" w:type="dxa"/>
            <w:vAlign w:val="bottom"/>
          </w:tcPr>
          <w:p>
            <w:pPr>
              <w:spacing w:after="0"/>
              <w:rPr>
                <w:sz w:val="15"/>
                <w:szCs w:val="15"/>
                <w:color w:val="auto"/>
              </w:rPr>
            </w:pPr>
          </w:p>
        </w:tc>
        <w:tc>
          <w:tcPr>
            <w:tcW w:w="10580" w:type="dxa"/>
            <w:vAlign w:val="bottom"/>
          </w:tcPr>
          <w:p>
            <w:pPr>
              <w:ind w:left="220"/>
              <w:spacing w:after="0"/>
              <w:rPr>
                <w:sz w:val="20"/>
                <w:szCs w:val="20"/>
                <w:color w:val="auto"/>
              </w:rPr>
            </w:pPr>
            <w:r>
              <w:rPr>
                <w:rFonts w:ascii="Arial" w:cs="Arial" w:eastAsia="Arial" w:hAnsi="Arial"/>
                <w:sz w:val="14"/>
                <w:szCs w:val="14"/>
                <w:color w:val="auto"/>
              </w:rPr>
              <w:t>Registration Statement on Form N-2 (File No. 333-150033), filed on April 2, 2008).</w:t>
            </w:r>
          </w:p>
        </w:tc>
      </w:tr>
      <w:tr>
        <w:trPr>
          <w:trHeight w:val="290"/>
        </w:trPr>
        <w:tc>
          <w:tcPr>
            <w:tcW w:w="580" w:type="dxa"/>
            <w:vAlign w:val="bottom"/>
          </w:tcPr>
          <w:p>
            <w:pPr>
              <w:spacing w:after="0"/>
              <w:rPr>
                <w:sz w:val="20"/>
                <w:szCs w:val="20"/>
                <w:color w:val="auto"/>
              </w:rPr>
            </w:pPr>
            <w:r>
              <w:rPr>
                <w:rFonts w:ascii="Arial" w:cs="Arial" w:eastAsia="Arial" w:hAnsi="Arial"/>
                <w:sz w:val="14"/>
                <w:szCs w:val="14"/>
                <w:color w:val="auto"/>
              </w:rPr>
              <w:t>10.2</w:t>
            </w:r>
          </w:p>
        </w:tc>
        <w:tc>
          <w:tcPr>
            <w:tcW w:w="10580" w:type="dxa"/>
            <w:vAlign w:val="bottom"/>
          </w:tcPr>
          <w:p>
            <w:pPr>
              <w:ind w:left="220"/>
              <w:spacing w:after="0"/>
              <w:rPr>
                <w:sz w:val="20"/>
                <w:szCs w:val="20"/>
                <w:color w:val="auto"/>
              </w:rPr>
            </w:pPr>
            <w:r>
              <w:rPr>
                <w:rFonts w:ascii="Arial" w:cs="Arial" w:eastAsia="Arial" w:hAnsi="Arial"/>
                <w:sz w:val="14"/>
                <w:szCs w:val="14"/>
                <w:color w:val="auto"/>
                <w:w w:val="93"/>
              </w:rPr>
              <w:t>Form of Custodian Agreement between the Registrant and PFPC Trust Company (Incorporated by reference to Exhibit 99(j)(1) to the Registrant’s Registration Statement on Form</w:t>
            </w:r>
          </w:p>
        </w:tc>
      </w:tr>
      <w:tr>
        <w:trPr>
          <w:trHeight w:val="182"/>
        </w:trPr>
        <w:tc>
          <w:tcPr>
            <w:tcW w:w="580" w:type="dxa"/>
            <w:vAlign w:val="bottom"/>
          </w:tcPr>
          <w:p>
            <w:pPr>
              <w:spacing w:after="0"/>
              <w:rPr>
                <w:sz w:val="15"/>
                <w:szCs w:val="15"/>
                <w:color w:val="auto"/>
              </w:rPr>
            </w:pPr>
          </w:p>
        </w:tc>
        <w:tc>
          <w:tcPr>
            <w:tcW w:w="10580" w:type="dxa"/>
            <w:vAlign w:val="bottom"/>
          </w:tcPr>
          <w:p>
            <w:pPr>
              <w:ind w:left="220"/>
              <w:spacing w:after="0"/>
              <w:rPr>
                <w:sz w:val="20"/>
                <w:szCs w:val="20"/>
                <w:color w:val="auto"/>
              </w:rPr>
            </w:pPr>
            <w:r>
              <w:rPr>
                <w:rFonts w:ascii="Arial" w:cs="Arial" w:eastAsia="Arial" w:hAnsi="Arial"/>
                <w:sz w:val="14"/>
                <w:szCs w:val="14"/>
                <w:color w:val="auto"/>
              </w:rPr>
              <w:t>N-2 (File No. 333-150033), filed on April 2, 2008).</w:t>
            </w:r>
          </w:p>
        </w:tc>
      </w:tr>
      <w:tr>
        <w:trPr>
          <w:trHeight w:val="290"/>
        </w:trPr>
        <w:tc>
          <w:tcPr>
            <w:tcW w:w="580" w:type="dxa"/>
            <w:vAlign w:val="bottom"/>
          </w:tcPr>
          <w:p>
            <w:pPr>
              <w:spacing w:after="0"/>
              <w:rPr>
                <w:sz w:val="20"/>
                <w:szCs w:val="20"/>
                <w:color w:val="auto"/>
              </w:rPr>
            </w:pPr>
            <w:r>
              <w:rPr>
                <w:rFonts w:ascii="Arial" w:cs="Arial" w:eastAsia="Arial" w:hAnsi="Arial"/>
                <w:sz w:val="14"/>
                <w:szCs w:val="14"/>
                <w:color w:val="auto"/>
              </w:rPr>
              <w:t>10.3</w:t>
            </w:r>
          </w:p>
        </w:tc>
        <w:tc>
          <w:tcPr>
            <w:tcW w:w="10580" w:type="dxa"/>
            <w:vAlign w:val="bottom"/>
          </w:tcPr>
          <w:p>
            <w:pPr>
              <w:ind w:left="220"/>
              <w:spacing w:after="0"/>
              <w:rPr>
                <w:sz w:val="20"/>
                <w:szCs w:val="20"/>
                <w:color w:val="auto"/>
              </w:rPr>
            </w:pPr>
            <w:r>
              <w:rPr>
                <w:rFonts w:ascii="Arial" w:cs="Arial" w:eastAsia="Arial" w:hAnsi="Arial"/>
                <w:sz w:val="14"/>
                <w:szCs w:val="14"/>
                <w:color w:val="auto"/>
                <w:w w:val="94"/>
              </w:rPr>
              <w:t>Form of Administration Agreement between the Registrant and various lenders (Incorporated by reference to Exhibit 99(k)(1) to the Registrant’s Registration Statement on Form</w:t>
            </w:r>
          </w:p>
        </w:tc>
      </w:tr>
      <w:tr>
        <w:trPr>
          <w:trHeight w:val="182"/>
        </w:trPr>
        <w:tc>
          <w:tcPr>
            <w:tcW w:w="580" w:type="dxa"/>
            <w:vAlign w:val="bottom"/>
          </w:tcPr>
          <w:p>
            <w:pPr>
              <w:spacing w:after="0"/>
              <w:rPr>
                <w:sz w:val="15"/>
                <w:szCs w:val="15"/>
                <w:color w:val="auto"/>
              </w:rPr>
            </w:pPr>
          </w:p>
        </w:tc>
        <w:tc>
          <w:tcPr>
            <w:tcW w:w="10580" w:type="dxa"/>
            <w:vAlign w:val="bottom"/>
          </w:tcPr>
          <w:p>
            <w:pPr>
              <w:ind w:left="220"/>
              <w:spacing w:after="0"/>
              <w:rPr>
                <w:sz w:val="20"/>
                <w:szCs w:val="20"/>
                <w:color w:val="auto"/>
              </w:rPr>
            </w:pPr>
            <w:r>
              <w:rPr>
                <w:rFonts w:ascii="Arial" w:cs="Arial" w:eastAsia="Arial" w:hAnsi="Arial"/>
                <w:sz w:val="14"/>
                <w:szCs w:val="14"/>
                <w:color w:val="auto"/>
              </w:rPr>
              <w:t>N-2 (File No. 333-150033), filed on April 2, 2008).</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10.4</w:t>
            </w:r>
          </w:p>
        </w:tc>
        <w:tc>
          <w:tcPr>
            <w:tcW w:w="10580" w:type="dxa"/>
            <w:vAlign w:val="bottom"/>
          </w:tcPr>
          <w:p>
            <w:pPr>
              <w:ind w:left="220"/>
              <w:spacing w:after="0"/>
              <w:rPr>
                <w:sz w:val="20"/>
                <w:szCs w:val="20"/>
                <w:color w:val="auto"/>
              </w:rPr>
            </w:pPr>
            <w:r>
              <w:rPr>
                <w:rFonts w:ascii="Arial" w:cs="Arial" w:eastAsia="Arial" w:hAnsi="Arial"/>
                <w:sz w:val="14"/>
                <w:szCs w:val="14"/>
                <w:color w:val="auto"/>
                <w:w w:val="96"/>
              </w:rPr>
              <w:t>Dividend Reinvestment Plan (Incorporated by reference to Exhibit 99(e) to the Registrant’s Registration Statement on Form N-2 (File No. 333-150033), filed on April 2, 2008).</w:t>
            </w:r>
          </w:p>
        </w:tc>
      </w:tr>
      <w:tr>
        <w:trPr>
          <w:trHeight w:val="290"/>
        </w:trPr>
        <w:tc>
          <w:tcPr>
            <w:tcW w:w="580" w:type="dxa"/>
            <w:vAlign w:val="bottom"/>
          </w:tcPr>
          <w:p>
            <w:pPr>
              <w:spacing w:after="0"/>
              <w:rPr>
                <w:sz w:val="20"/>
                <w:szCs w:val="20"/>
                <w:color w:val="auto"/>
              </w:rPr>
            </w:pPr>
            <w:r>
              <w:rPr>
                <w:rFonts w:ascii="Arial" w:cs="Arial" w:eastAsia="Arial" w:hAnsi="Arial"/>
                <w:sz w:val="14"/>
                <w:szCs w:val="14"/>
                <w:color w:val="auto"/>
              </w:rPr>
              <w:t>10.5</w:t>
            </w:r>
          </w:p>
        </w:tc>
        <w:tc>
          <w:tcPr>
            <w:tcW w:w="10580" w:type="dxa"/>
            <w:vAlign w:val="bottom"/>
          </w:tcPr>
          <w:p>
            <w:pPr>
              <w:ind w:left="220"/>
              <w:spacing w:after="0"/>
              <w:rPr>
                <w:sz w:val="20"/>
                <w:szCs w:val="20"/>
                <w:color w:val="auto"/>
              </w:rPr>
            </w:pPr>
            <w:r>
              <w:rPr>
                <w:rFonts w:ascii="Arial" w:cs="Arial" w:eastAsia="Arial" w:hAnsi="Arial"/>
                <w:sz w:val="14"/>
                <w:szCs w:val="14"/>
                <w:color w:val="auto"/>
                <w:w w:val="93"/>
              </w:rPr>
              <w:t>Senior Secured Revolving Credit Agreement between Registrant and various lenders (Incorporated by reference to the Registrant's Report on Form 8-K. (File No. 814-00736), filed</w:t>
            </w:r>
          </w:p>
        </w:tc>
      </w:tr>
      <w:tr>
        <w:trPr>
          <w:trHeight w:val="182"/>
        </w:trPr>
        <w:tc>
          <w:tcPr>
            <w:tcW w:w="580" w:type="dxa"/>
            <w:vAlign w:val="bottom"/>
          </w:tcPr>
          <w:p>
            <w:pPr>
              <w:spacing w:after="0"/>
              <w:rPr>
                <w:sz w:val="15"/>
                <w:szCs w:val="15"/>
                <w:color w:val="auto"/>
              </w:rPr>
            </w:pPr>
          </w:p>
        </w:tc>
        <w:tc>
          <w:tcPr>
            <w:tcW w:w="10580" w:type="dxa"/>
            <w:vAlign w:val="bottom"/>
          </w:tcPr>
          <w:p>
            <w:pPr>
              <w:ind w:left="220"/>
              <w:spacing w:after="0"/>
              <w:rPr>
                <w:sz w:val="20"/>
                <w:szCs w:val="20"/>
                <w:color w:val="auto"/>
              </w:rPr>
            </w:pPr>
            <w:r>
              <w:rPr>
                <w:rFonts w:ascii="Arial" w:cs="Arial" w:eastAsia="Arial" w:hAnsi="Arial"/>
                <w:sz w:val="14"/>
                <w:szCs w:val="14"/>
                <w:color w:val="auto"/>
              </w:rPr>
              <w:t>on June 28, 2007 and May 5, 2010, as amended).</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11</w:t>
            </w:r>
          </w:p>
        </w:tc>
        <w:tc>
          <w:tcPr>
            <w:tcW w:w="10580" w:type="dxa"/>
            <w:vAlign w:val="bottom"/>
          </w:tcPr>
          <w:p>
            <w:pPr>
              <w:ind w:left="220"/>
              <w:spacing w:after="0"/>
              <w:rPr>
                <w:sz w:val="20"/>
                <w:szCs w:val="20"/>
                <w:color w:val="auto"/>
              </w:rPr>
            </w:pPr>
            <w:r>
              <w:rPr>
                <w:rFonts w:ascii="Arial" w:cs="Arial" w:eastAsia="Arial" w:hAnsi="Arial"/>
                <w:sz w:val="14"/>
                <w:szCs w:val="14"/>
                <w:color w:val="auto"/>
              </w:rPr>
              <w:t>Computation of Per Share Earnings (included in the notes to the audited financial statements contained in this Report).</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14.1*</w:t>
            </w:r>
          </w:p>
        </w:tc>
        <w:tc>
          <w:tcPr>
            <w:tcW w:w="10580" w:type="dxa"/>
            <w:vAlign w:val="bottom"/>
          </w:tcPr>
          <w:p>
            <w:pPr>
              <w:ind w:left="220"/>
              <w:spacing w:after="0"/>
              <w:rPr>
                <w:sz w:val="20"/>
                <w:szCs w:val="20"/>
                <w:color w:val="auto"/>
              </w:rPr>
            </w:pPr>
            <w:r>
              <w:rPr>
                <w:rFonts w:ascii="Arial" w:cs="Arial" w:eastAsia="Arial" w:hAnsi="Arial"/>
                <w:sz w:val="14"/>
                <w:szCs w:val="14"/>
                <w:color w:val="auto"/>
              </w:rPr>
              <w:t>Joint Code of Ethics of the Registrant.</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21.1*</w:t>
            </w:r>
          </w:p>
        </w:tc>
        <w:tc>
          <w:tcPr>
            <w:tcW w:w="10580" w:type="dxa"/>
            <w:vAlign w:val="bottom"/>
          </w:tcPr>
          <w:p>
            <w:pPr>
              <w:ind w:left="220"/>
              <w:spacing w:after="0"/>
              <w:rPr>
                <w:sz w:val="20"/>
                <w:szCs w:val="20"/>
                <w:color w:val="auto"/>
              </w:rPr>
            </w:pPr>
            <w:r>
              <w:rPr>
                <w:rFonts w:ascii="Arial" w:cs="Arial" w:eastAsia="Arial" w:hAnsi="Arial"/>
                <w:sz w:val="14"/>
                <w:szCs w:val="14"/>
                <w:color w:val="auto"/>
              </w:rPr>
              <w:t>List of Subsidiaries</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31.1*</w:t>
            </w:r>
          </w:p>
        </w:tc>
        <w:tc>
          <w:tcPr>
            <w:tcW w:w="10580" w:type="dxa"/>
            <w:vAlign w:val="bottom"/>
          </w:tcPr>
          <w:p>
            <w:pPr>
              <w:ind w:left="220"/>
              <w:spacing w:after="0"/>
              <w:rPr>
                <w:sz w:val="20"/>
                <w:szCs w:val="20"/>
                <w:color w:val="auto"/>
              </w:rPr>
            </w:pPr>
            <w:r>
              <w:rPr>
                <w:rFonts w:ascii="Arial" w:cs="Arial" w:eastAsia="Arial" w:hAnsi="Arial"/>
                <w:sz w:val="14"/>
                <w:szCs w:val="14"/>
                <w:color w:val="auto"/>
              </w:rPr>
              <w:t>Certification of Chief Executive Officer pursuant to Rule 13a-14 of the Securities Exchange Act of 1934, as amended.</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31.2*</w:t>
            </w:r>
          </w:p>
        </w:tc>
        <w:tc>
          <w:tcPr>
            <w:tcW w:w="10580" w:type="dxa"/>
            <w:vAlign w:val="bottom"/>
          </w:tcPr>
          <w:p>
            <w:pPr>
              <w:ind w:left="220"/>
              <w:spacing w:after="0"/>
              <w:rPr>
                <w:sz w:val="20"/>
                <w:szCs w:val="20"/>
                <w:color w:val="auto"/>
              </w:rPr>
            </w:pPr>
            <w:r>
              <w:rPr>
                <w:rFonts w:ascii="Arial" w:cs="Arial" w:eastAsia="Arial" w:hAnsi="Arial"/>
                <w:sz w:val="14"/>
                <w:szCs w:val="14"/>
                <w:color w:val="auto"/>
              </w:rPr>
              <w:t>Certification of Chief Financial Officer pursuant to Rule 13a-14 of the Securities Exchange Act of 1934, as amended.</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32.1*</w:t>
            </w:r>
          </w:p>
        </w:tc>
        <w:tc>
          <w:tcPr>
            <w:tcW w:w="10580" w:type="dxa"/>
            <w:vAlign w:val="bottom"/>
          </w:tcPr>
          <w:p>
            <w:pPr>
              <w:ind w:left="220"/>
              <w:spacing w:after="0"/>
              <w:rPr>
                <w:sz w:val="20"/>
                <w:szCs w:val="20"/>
                <w:color w:val="auto"/>
              </w:rPr>
            </w:pPr>
            <w:r>
              <w:rPr>
                <w:rFonts w:ascii="Arial" w:cs="Arial" w:eastAsia="Arial" w:hAnsi="Arial"/>
                <w:sz w:val="14"/>
                <w:szCs w:val="14"/>
                <w:color w:val="auto"/>
              </w:rPr>
              <w:t>Certification of Chief Executive Officer pursuant to section 906 of The Sarbanes-Oxley Act of 2002.</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32.2*</w:t>
            </w:r>
          </w:p>
        </w:tc>
        <w:tc>
          <w:tcPr>
            <w:tcW w:w="10580" w:type="dxa"/>
            <w:vAlign w:val="bottom"/>
          </w:tcPr>
          <w:p>
            <w:pPr>
              <w:ind w:left="220"/>
              <w:spacing w:after="0"/>
              <w:rPr>
                <w:sz w:val="20"/>
                <w:szCs w:val="20"/>
                <w:color w:val="auto"/>
              </w:rPr>
            </w:pPr>
            <w:r>
              <w:rPr>
                <w:rFonts w:ascii="Arial" w:cs="Arial" w:eastAsia="Arial" w:hAnsi="Arial"/>
                <w:sz w:val="14"/>
                <w:szCs w:val="14"/>
                <w:color w:val="auto"/>
              </w:rPr>
              <w:t>Certification of Chief Financial Officer pursuant to section 906 of The Sarbanes-Oxley Act of 2002.</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99.1*</w:t>
            </w:r>
          </w:p>
        </w:tc>
        <w:tc>
          <w:tcPr>
            <w:tcW w:w="10580" w:type="dxa"/>
            <w:vAlign w:val="bottom"/>
          </w:tcPr>
          <w:p>
            <w:pPr>
              <w:ind w:left="220"/>
              <w:spacing w:after="0"/>
              <w:rPr>
                <w:sz w:val="20"/>
                <w:szCs w:val="20"/>
                <w:color w:val="auto"/>
              </w:rPr>
            </w:pPr>
            <w:r>
              <w:rPr>
                <w:rFonts w:ascii="Arial" w:cs="Arial" w:eastAsia="Arial" w:hAnsi="Arial"/>
                <w:sz w:val="14"/>
                <w:szCs w:val="14"/>
                <w:color w:val="auto"/>
                <w:w w:val="96"/>
              </w:rPr>
              <w:t>Privacy Policy of the Registrant (Incorporated by reference to Exhibit 99.1 to the Registrant’s Annual Report on Form 10-K (File No. 814-00736), filed on December 13, 2007).</w:t>
            </w:r>
          </w:p>
        </w:tc>
      </w:tr>
    </w:tbl>
    <w:p>
      <w:pPr>
        <w:spacing w:after="0"/>
        <w:rPr>
          <w:sz w:val="20"/>
          <w:szCs w:val="20"/>
          <w:color w:val="auto"/>
        </w:rPr>
      </w:pPr>
      <w:r>
        <w:rPr>
          <w:rFonts w:ascii="Arial" w:cs="Arial" w:eastAsia="Arial" w:hAnsi="Arial"/>
          <w:sz w:val="18"/>
          <w:szCs w:val="18"/>
          <w:color w:val="auto"/>
        </w:rPr>
        <w:t>______________________</w:t>
      </w:r>
    </w:p>
    <w:p>
      <w:pPr>
        <w:spacing w:after="0" w:line="14"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right="460" w:firstLine="432"/>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3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/S/  ARTHUR H. PENN</w:t>
            </w:r>
          </w:p>
        </w:tc>
      </w:tr>
      <w:tr>
        <w:trPr>
          <w:trHeight w:val="191"/>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Arthur H. Penn</w:t>
            </w:r>
          </w:p>
        </w:tc>
      </w:tr>
      <w:tr>
        <w:trPr>
          <w:trHeight w:val="20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w:t>
            </w:r>
          </w:p>
        </w:tc>
      </w:tr>
    </w:tbl>
    <w:p>
      <w:pPr>
        <w:spacing w:after="0" w:line="37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spacing w:after="0"/>
              <w:rPr>
                <w:sz w:val="20"/>
                <w:szCs w:val="20"/>
                <w:color w:val="auto"/>
              </w:rPr>
            </w:pPr>
            <w:r>
              <w:rPr>
                <w:rFonts w:ascii="Arial" w:cs="Arial" w:eastAsia="Arial" w:hAnsi="Arial"/>
                <w:sz w:val="14"/>
                <w:szCs w:val="14"/>
                <w:color w:val="auto"/>
              </w:rPr>
              <w:t>dates indicated.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2"/>
              </w:rPr>
              <w:t>Signature</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7"/>
              </w:rPr>
              <w:t>Title</w:t>
            </w:r>
          </w:p>
        </w:tc>
        <w:tc>
          <w:tcPr>
            <w:tcW w:w="10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00" w:type="dxa"/>
            <w:vAlign w:val="bottom"/>
            <w:gridSpan w:val="3"/>
          </w:tcPr>
          <w:p>
            <w:pPr>
              <w:jc w:val="center"/>
              <w:ind w:left="408"/>
              <w:spacing w:after="0"/>
              <w:rPr>
                <w:sz w:val="20"/>
                <w:szCs w:val="20"/>
                <w:color w:val="auto"/>
              </w:rPr>
            </w:pPr>
            <w:r>
              <w:rPr>
                <w:rFonts w:ascii="Arial" w:cs="Arial" w:eastAsia="Arial" w:hAnsi="Arial"/>
                <w:sz w:val="14"/>
                <w:szCs w:val="14"/>
                <w:color w:val="auto"/>
                <w:w w:val="94"/>
              </w:rPr>
              <w:t>Chairman of the Board of Directors and Chief Executive</w:t>
            </w:r>
          </w:p>
        </w:tc>
        <w:tc>
          <w:tcPr>
            <w:tcW w:w="1520" w:type="dxa"/>
            <w:vAlign w:val="bottom"/>
            <w:gridSpan w:val="3"/>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202"/>
        </w:trPr>
        <w:tc>
          <w:tcPr>
            <w:tcW w:w="180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w w:val="97"/>
              </w:rPr>
              <w:t>ARTHUR H. PENN</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7"/>
              </w:rPr>
              <w:t>Officer (Principal Executive Officer)</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7"/>
              </w:rPr>
              <w:t>Arthur H. Penn</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4"/>
              </w:rPr>
              <w:t>Chief Financial Officer and Treasurer (Principal</w:t>
            </w:r>
          </w:p>
        </w:tc>
        <w:tc>
          <w:tcPr>
            <w:tcW w:w="1520" w:type="dxa"/>
            <w:vAlign w:val="bottom"/>
            <w:gridSpan w:val="3"/>
            <w:vMerge w:val="restart"/>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115"/>
        </w:trPr>
        <w:tc>
          <w:tcPr>
            <w:tcW w:w="1600" w:type="dxa"/>
            <w:vAlign w:val="bottom"/>
          </w:tcPr>
          <w:p>
            <w:pPr>
              <w:spacing w:after="0"/>
              <w:rPr>
                <w:sz w:val="9"/>
                <w:szCs w:val="9"/>
                <w:color w:val="auto"/>
              </w:rPr>
            </w:pPr>
          </w:p>
        </w:tc>
        <w:tc>
          <w:tcPr>
            <w:tcW w:w="3220" w:type="dxa"/>
            <w:vAlign w:val="bottom"/>
            <w:gridSpan w:val="4"/>
            <w:vMerge w:val="restart"/>
          </w:tcPr>
          <w:p>
            <w:pPr>
              <w:ind w:left="120"/>
              <w:spacing w:after="0"/>
              <w:rPr>
                <w:sz w:val="20"/>
                <w:szCs w:val="20"/>
                <w:color w:val="auto"/>
              </w:rPr>
            </w:pPr>
            <w:r>
              <w:rPr>
                <w:rFonts w:ascii="Arial" w:cs="Arial" w:eastAsia="Arial" w:hAnsi="Arial"/>
                <w:sz w:val="14"/>
                <w:szCs w:val="14"/>
                <w:color w:val="auto"/>
              </w:rPr>
              <w:t>/S/  AVIV EFRAT</w:t>
            </w:r>
          </w:p>
        </w:tc>
        <w:tc>
          <w:tcPr>
            <w:tcW w:w="4500" w:type="dxa"/>
            <w:vAlign w:val="bottom"/>
            <w:gridSpan w:val="3"/>
            <w:vMerge w:val="restart"/>
          </w:tcPr>
          <w:p>
            <w:pPr>
              <w:jc w:val="center"/>
              <w:ind w:left="408"/>
              <w:spacing w:after="0"/>
              <w:rPr>
                <w:sz w:val="20"/>
                <w:szCs w:val="20"/>
                <w:color w:val="auto"/>
              </w:rPr>
            </w:pPr>
            <w:r>
              <w:rPr>
                <w:rFonts w:ascii="Arial" w:cs="Arial" w:eastAsia="Arial" w:hAnsi="Arial"/>
                <w:sz w:val="14"/>
                <w:szCs w:val="14"/>
                <w:color w:val="auto"/>
                <w:w w:val="96"/>
              </w:rPr>
              <w:t>Financial and Accounting Officer)</w:t>
            </w:r>
          </w:p>
        </w:tc>
        <w:tc>
          <w:tcPr>
            <w:tcW w:w="15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gridSpan w:val="4"/>
            <w:vMerge w:val="continue"/>
          </w:tcPr>
          <w:p>
            <w:pPr>
              <w:spacing w:after="0"/>
              <w:rPr>
                <w:sz w:val="7"/>
                <w:szCs w:val="7"/>
                <w:color w:val="auto"/>
              </w:rPr>
            </w:pPr>
          </w:p>
        </w:tc>
        <w:tc>
          <w:tcPr>
            <w:tcW w:w="450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7"/>
              </w:rPr>
              <w:t>Aviv Efrat</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/S/</w:t>
            </w:r>
          </w:p>
        </w:tc>
        <w:tc>
          <w:tcPr>
            <w:tcW w:w="3220" w:type="dxa"/>
            <w:vAlign w:val="bottom"/>
            <w:tcBorders>
              <w:bottom w:val="single" w:sz="8" w:color="auto"/>
            </w:tcBorders>
            <w:gridSpan w:val="4"/>
          </w:tcPr>
          <w:p>
            <w:pPr>
              <w:jc w:val="center"/>
              <w:ind w:right="1580"/>
              <w:spacing w:after="0"/>
              <w:rPr>
                <w:sz w:val="20"/>
                <w:szCs w:val="20"/>
                <w:color w:val="auto"/>
              </w:rPr>
            </w:pPr>
            <w:r>
              <w:rPr>
                <w:rFonts w:ascii="Arial" w:cs="Arial" w:eastAsia="Arial" w:hAnsi="Arial"/>
                <w:sz w:val="14"/>
                <w:szCs w:val="14"/>
                <w:color w:val="auto"/>
              </w:rPr>
              <w:t>ADAM K. BERNSTEIN</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7"/>
              </w:rPr>
              <w:t>Director</w:t>
            </w:r>
          </w:p>
        </w:tc>
        <w:tc>
          <w:tcPr>
            <w:tcW w:w="1520" w:type="dxa"/>
            <w:vAlign w:val="bottom"/>
            <w:gridSpan w:val="3"/>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5"/>
              </w:rPr>
              <w:t>Adam K. Bernstein</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3"/>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w w:val="96"/>
              </w:rPr>
              <w:t>JEFFREY FLUG</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7"/>
              </w:rPr>
              <w:t>Director</w:t>
            </w:r>
          </w:p>
        </w:tc>
        <w:tc>
          <w:tcPr>
            <w:tcW w:w="1520" w:type="dxa"/>
            <w:vAlign w:val="bottom"/>
            <w:gridSpan w:val="3"/>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5"/>
              </w:rPr>
              <w:t>Jeffrey Flug</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/S/</w:t>
            </w:r>
          </w:p>
        </w:tc>
        <w:tc>
          <w:tcPr>
            <w:tcW w:w="3220" w:type="dxa"/>
            <w:vAlign w:val="bottom"/>
            <w:tcBorders>
              <w:bottom w:val="single" w:sz="8" w:color="auto"/>
            </w:tcBorders>
            <w:gridSpan w:val="4"/>
          </w:tcPr>
          <w:p>
            <w:pPr>
              <w:jc w:val="center"/>
              <w:ind w:right="1580"/>
              <w:spacing w:after="0"/>
              <w:rPr>
                <w:sz w:val="20"/>
                <w:szCs w:val="20"/>
                <w:color w:val="auto"/>
              </w:rPr>
            </w:pPr>
            <w:r>
              <w:rPr>
                <w:rFonts w:ascii="Arial" w:cs="Arial" w:eastAsia="Arial" w:hAnsi="Arial"/>
                <w:sz w:val="14"/>
                <w:szCs w:val="14"/>
                <w:color w:val="auto"/>
              </w:rPr>
              <w:t>MARSHALL BROZOST</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7"/>
              </w:rPr>
              <w:t>Director</w:t>
            </w:r>
          </w:p>
        </w:tc>
        <w:tc>
          <w:tcPr>
            <w:tcW w:w="1520" w:type="dxa"/>
            <w:vAlign w:val="bottom"/>
            <w:gridSpan w:val="3"/>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Marshall Brozost</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4"/>
                <w:szCs w:val="14"/>
                <w:color w:val="auto"/>
              </w:rPr>
              <w:t>SAMUEL L. KATZ</w:t>
            </w:r>
          </w:p>
        </w:tc>
        <w:tc>
          <w:tcPr>
            <w:tcW w:w="4500" w:type="dxa"/>
            <w:vAlign w:val="bottom"/>
            <w:gridSpan w:val="3"/>
          </w:tcPr>
          <w:p>
            <w:pPr>
              <w:jc w:val="center"/>
              <w:ind w:left="428"/>
              <w:spacing w:after="0"/>
              <w:rPr>
                <w:sz w:val="20"/>
                <w:szCs w:val="20"/>
                <w:color w:val="auto"/>
              </w:rPr>
            </w:pPr>
            <w:r>
              <w:rPr>
                <w:rFonts w:ascii="Arial" w:cs="Arial" w:eastAsia="Arial" w:hAnsi="Arial"/>
                <w:sz w:val="14"/>
                <w:szCs w:val="14"/>
                <w:color w:val="auto"/>
                <w:w w:val="97"/>
              </w:rPr>
              <w:t>Director</w:t>
            </w:r>
          </w:p>
        </w:tc>
        <w:tc>
          <w:tcPr>
            <w:tcW w:w="1520" w:type="dxa"/>
            <w:vAlign w:val="bottom"/>
            <w:gridSpan w:val="3"/>
          </w:tcPr>
          <w:p>
            <w:pPr>
              <w:ind w:left="380"/>
              <w:spacing w:after="0"/>
              <w:rPr>
                <w:sz w:val="20"/>
                <w:szCs w:val="20"/>
                <w:color w:val="auto"/>
              </w:rPr>
            </w:pPr>
            <w:r>
              <w:rPr>
                <w:rFonts w:ascii="Arial" w:cs="Arial" w:eastAsia="Arial" w:hAnsi="Arial"/>
                <w:sz w:val="14"/>
                <w:szCs w:val="14"/>
                <w:color w:val="auto"/>
                <w:w w:val="91"/>
              </w:rPr>
              <w:t>November 16, 2011</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6"/>
              </w:rPr>
              <w:t>Samuel L. Katz</w:t>
            </w: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jc w:val="right"/>
              <w:ind w:right="1368"/>
              <w:spacing w:after="0"/>
              <w:rPr>
                <w:sz w:val="20"/>
                <w:szCs w:val="20"/>
                <w:color w:val="auto"/>
              </w:rPr>
            </w:pPr>
            <w:r>
              <w:rPr>
                <w:rFonts w:ascii="Arial" w:cs="Arial" w:eastAsia="Arial" w:hAnsi="Arial"/>
                <w:sz w:val="14"/>
                <w:szCs w:val="14"/>
                <w:color w:val="auto"/>
              </w:rPr>
              <w:t>103</w:t>
            </w: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1" w:right="379" w:bottom="1440" w:gutter="0" w:footer="0" w:header="0"/>
        </w:sectPr>
      </w:pPr>
    </w:p>
    <w:bookmarkStart w:id="103" w:name="page104"/>
    <w:bookmarkEnd w:id="103"/>
    <w:p>
      <w:pPr>
        <w:ind w:left="8760"/>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OFFICES</w:t>
      </w:r>
    </w:p>
    <w:p>
      <w:pPr>
        <w:spacing w:after="0" w:line="17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16"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MEETINGS OF STOCKHOLDERS</w:t>
      </w:r>
    </w:p>
    <w:p>
      <w:pPr>
        <w:spacing w:after="0" w:line="17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16"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Commencing with the 2008 annual meeting of stockholders of the Corporation, an annual meeting of the stockholders for the election of directors and the transaction of any business within the powers of the Corporation shall be held on a date and at the time set by the Board of Directors during the month of February of each year.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right="400" w:firstLine="872"/>
        <w:spacing w:after="0" w:line="286" w:lineRule="auto"/>
        <w:tabs>
          <w:tab w:leader="none" w:pos="110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Chairman of the Board, the president or the Board of Directors may call a special meeting of the stockholders. Subject to subsection (b) 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111" w:lineRule="exact"/>
        <w:rPr>
          <w:rFonts w:ascii="Arial" w:cs="Arial" w:eastAsia="Arial" w:hAnsi="Arial"/>
          <w:sz w:val="17"/>
          <w:szCs w:val="17"/>
          <w:color w:val="auto"/>
        </w:rPr>
      </w:pPr>
    </w:p>
    <w:p>
      <w:pPr>
        <w:ind w:left="1120" w:hanging="248"/>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466"/>
        <w:spacing w:after="0" w:line="287" w:lineRule="auto"/>
        <w:tabs>
          <w:tab w:leader="none" w:pos="1703"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ectPr>
          <w:pgSz w:w="11900" w:h="16838" w:orient="portrait"/>
          <w:cols w:equalWidth="0" w:num="1">
            <w:col w:w="11200"/>
          </w:cols>
          <w:pgMar w:left="320" w:top="661" w:right="379" w:bottom="1440" w:gutter="0" w:footer="0" w:header="0"/>
        </w:sectPr>
      </w:pPr>
    </w:p>
    <w:bookmarkStart w:id="104" w:name="page105"/>
    <w:bookmarkEnd w:id="104"/>
    <w:p>
      <w:pPr>
        <w:ind w:left="-8" w:right="20" w:firstLine="1425"/>
        <w:spacing w:after="0" w:line="284" w:lineRule="auto"/>
        <w:tabs>
          <w:tab w:leader="none" w:pos="1664"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w:t>
      </w:r>
    </w:p>
    <w:p>
      <w:pPr>
        <w:ind w:left="-8" w:right="80" w:firstLine="8"/>
        <w:spacing w:after="0" w:line="255" w:lineRule="auto"/>
        <w:tabs>
          <w:tab w:leader="none" w:pos="2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35" w:lineRule="exact"/>
        <w:rPr>
          <w:rFonts w:ascii="Arial" w:cs="Arial" w:eastAsia="Arial" w:hAnsi="Arial"/>
          <w:sz w:val="18"/>
          <w:szCs w:val="18"/>
          <w:color w:val="auto"/>
        </w:rPr>
      </w:pPr>
    </w:p>
    <w:p>
      <w:pPr>
        <w:ind w:left="-8" w:right="440" w:firstLine="1425"/>
        <w:spacing w:after="0" w:line="259" w:lineRule="auto"/>
        <w:tabs>
          <w:tab w:leader="none" w:pos="16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32" w:lineRule="exact"/>
        <w:rPr>
          <w:rFonts w:ascii="Arial" w:cs="Arial" w:eastAsia="Arial" w:hAnsi="Arial"/>
          <w:sz w:val="18"/>
          <w:szCs w:val="18"/>
          <w:color w:val="auto"/>
        </w:rPr>
      </w:pPr>
    </w:p>
    <w:p>
      <w:pPr>
        <w:ind w:left="-8" w:firstLine="1425"/>
        <w:spacing w:after="0" w:line="286" w:lineRule="auto"/>
        <w:tabs>
          <w:tab w:leader="none" w:pos="16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ectPr>
          <w:pgSz w:w="11900" w:h="16838" w:orient="portrait"/>
          <w:cols w:equalWidth="0" w:num="1">
            <w:col w:w="11212"/>
          </w:cols>
          <w:pgMar w:left="328" w:top="746" w:right="359" w:bottom="1440" w:gutter="0" w:footer="0" w:header="0"/>
        </w:sectPr>
      </w:pPr>
    </w:p>
    <w:bookmarkStart w:id="105" w:name="page106"/>
    <w:bookmarkEnd w:id="105"/>
    <w:p>
      <w:pPr>
        <w:ind w:right="120" w:firstLine="1425"/>
        <w:spacing w:after="0" w:line="290" w:lineRule="auto"/>
        <w:tabs>
          <w:tab w:leader="none" w:pos="16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111" w:lineRule="exact"/>
        <w:rPr>
          <w:rFonts w:ascii="Arial" w:cs="Arial" w:eastAsia="Arial" w:hAnsi="Arial"/>
          <w:sz w:val="16"/>
          <w:szCs w:val="16"/>
          <w:color w:val="auto"/>
        </w:rPr>
      </w:pPr>
    </w:p>
    <w:p>
      <w:pPr>
        <w:ind w:right="80" w:firstLine="1425"/>
        <w:spacing w:after="0" w:line="290" w:lineRule="auto"/>
        <w:tabs>
          <w:tab w:leader="none" w:pos="16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11" w:lineRule="exact"/>
        <w:rPr>
          <w:rFonts w:ascii="Arial" w:cs="Arial" w:eastAsia="Arial" w:hAnsi="Arial"/>
          <w:sz w:val="16"/>
          <w:szCs w:val="16"/>
          <w:color w:val="auto"/>
        </w:rPr>
      </w:pPr>
    </w:p>
    <w:p>
      <w:pPr>
        <w:ind w:right="200" w:firstLine="1425"/>
        <w:spacing w:after="0" w:line="277" w:lineRule="auto"/>
        <w:tabs>
          <w:tab w:leader="none" w:pos="16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16"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10"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ectPr>
          <w:pgSz w:w="11900" w:h="16838" w:orient="portrait"/>
          <w:cols w:equalWidth="0" w:num="1">
            <w:col w:w="11240"/>
          </w:cols>
          <w:pgMar w:left="320" w:top="746" w:right="339" w:bottom="1440" w:gutter="0" w:footer="0" w:header="0"/>
        </w:sectPr>
      </w:pPr>
    </w:p>
    <w:bookmarkStart w:id="106" w:name="page107"/>
    <w:bookmarkEnd w:id="106"/>
    <w:p>
      <w:pPr>
        <w:ind w:firstLine="864"/>
        <w:spacing w:after="0" w:line="28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w:t>
      </w:r>
    </w:p>
    <w:p>
      <w:pPr>
        <w:spacing w:after="0" w:line="1" w:lineRule="exact"/>
        <w:rPr>
          <w:sz w:val="20"/>
          <w:szCs w:val="20"/>
          <w:color w:val="auto"/>
        </w:rPr>
      </w:pPr>
    </w:p>
    <w:p>
      <w:pPr>
        <w:ind w:right="20" w:firstLine="8"/>
        <w:spacing w:after="0" w:line="25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37"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38"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33"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332" w:lineRule="exact"/>
        <w:rPr>
          <w:sz w:val="20"/>
          <w:szCs w:val="20"/>
          <w:color w:val="auto"/>
        </w:rPr>
      </w:pPr>
    </w:p>
    <w:p>
      <w:pPr>
        <w:ind w:right="100" w:firstLine="972"/>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by the affirmative vote of the holders of a majority of the shares of stock outstanding and entitled to vote thereon .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a different vote is required by statute or by the charter of the Corporation. Unless otherwise provided by statute or by the charter, each outstanding share, regardless of class, shall be entitled to one vote on each matter submitted to a vote at a meeting of stockholders.</w:t>
      </w:r>
    </w:p>
    <w:p>
      <w:pPr>
        <w:sectPr>
          <w:pgSz w:w="11900" w:h="16838" w:orient="portrait"/>
          <w:cols w:equalWidth="0" w:num="1">
            <w:col w:w="11240"/>
          </w:cols>
          <w:pgMar w:left="320" w:top="746" w:right="339" w:bottom="1440" w:gutter="0" w:footer="0" w:header="0"/>
        </w:sectPr>
      </w:pPr>
    </w:p>
    <w:bookmarkStart w:id="107" w:name="page108"/>
    <w:bookmarkEnd w:id="107"/>
    <w:p>
      <w:pPr>
        <w:ind w:right="60" w:firstLine="972"/>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33"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38" w:lineRule="exact"/>
        <w:rPr>
          <w:sz w:val="20"/>
          <w:szCs w:val="20"/>
          <w:color w:val="auto"/>
        </w:rPr>
      </w:pPr>
    </w:p>
    <w:p>
      <w:pPr>
        <w:jc w:val="both"/>
        <w:ind w:right="160" w:firstLine="864"/>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3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16"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38" w:lineRule="exact"/>
        <w:rPr>
          <w:sz w:val="20"/>
          <w:szCs w:val="20"/>
          <w:color w:val="auto"/>
        </w:rPr>
      </w:pPr>
    </w:p>
    <w:p>
      <w:pPr>
        <w:ind w:right="20" w:firstLine="864"/>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ectPr>
          <w:pgSz w:w="11900" w:h="16838" w:orient="portrait"/>
          <w:cols w:equalWidth="0" w:num="1">
            <w:col w:w="11240"/>
          </w:cols>
          <w:pgMar w:left="320" w:top="584" w:right="339" w:bottom="1440" w:gutter="0" w:footer="0" w:header="0"/>
        </w:sectPr>
      </w:pPr>
    </w:p>
    <w:bookmarkStart w:id="108" w:name="page109"/>
    <w:bookmarkEnd w:id="108"/>
    <w:p>
      <w:pPr>
        <w:ind w:left="900"/>
        <w:spacing w:after="0"/>
        <w:rPr>
          <w:sz w:val="20"/>
          <w:szCs w:val="20"/>
          <w:color w:val="auto"/>
        </w:rPr>
      </w:pPr>
      <w:r>
        <w:rPr>
          <w:rFonts w:ascii="Arial" w:cs="Arial" w:eastAsia="Arial" w:hAnsi="Arial"/>
          <w:sz w:val="17"/>
          <w:szCs w:val="17"/>
          <w:color w:val="auto"/>
        </w:rPr>
        <w:t>Section 11. ADVANCE NOTICE OF STOCKHOLDER NOMINEES FOR DIRECTOR AND OTHER STOCKHOLDER PROPOSALS.</w:t>
      </w:r>
    </w:p>
    <w:p>
      <w:pPr>
        <w:spacing w:after="0" w:line="102" w:lineRule="exact"/>
        <w:rPr>
          <w:sz w:val="20"/>
          <w:szCs w:val="20"/>
          <w:color w:val="auto"/>
        </w:rPr>
      </w:pPr>
    </w:p>
    <w:p>
      <w:pPr>
        <w:ind w:left="1120" w:hanging="248"/>
        <w:spacing w:after="0"/>
        <w:tabs>
          <w:tab w:leader="none" w:pos="112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1466"/>
        <w:spacing w:after="0" w:line="286" w:lineRule="auto"/>
        <w:tabs>
          <w:tab w:leader="none" w:pos="1713" w:val="left"/>
        </w:tabs>
        <w:numPr>
          <w:ilvl w:val="3"/>
          <w:numId w:val="66"/>
        </w:numPr>
        <w:rPr>
          <w:rFonts w:ascii="Arial" w:cs="Arial" w:eastAsia="Arial" w:hAnsi="Arial"/>
          <w:sz w:val="16"/>
          <w:szCs w:val="16"/>
          <w:color w:val="auto"/>
        </w:rPr>
      </w:pPr>
      <w:r>
        <w:rPr>
          <w:rFonts w:ascii="Arial" w:cs="Arial" w:eastAsia="Arial" w:hAnsi="Arial"/>
          <w:sz w:val="16"/>
          <w:szCs w:val="16"/>
          <w:color w:val="auto"/>
        </w:rPr>
        <w:t>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11(a).</w:t>
      </w:r>
    </w:p>
    <w:p>
      <w:pPr>
        <w:spacing w:after="0" w:line="156" w:lineRule="exact"/>
        <w:rPr>
          <w:rFonts w:ascii="Arial" w:cs="Arial" w:eastAsia="Arial" w:hAnsi="Arial"/>
          <w:sz w:val="16"/>
          <w:szCs w:val="16"/>
          <w:color w:val="auto"/>
        </w:rPr>
      </w:pPr>
    </w:p>
    <w:p>
      <w:pPr>
        <w:ind w:firstLine="1425"/>
        <w:spacing w:after="0" w:line="282" w:lineRule="auto"/>
        <w:tabs>
          <w:tab w:leader="none" w:pos="1672" w:val="left"/>
        </w:tabs>
        <w:numPr>
          <w:ilvl w:val="2"/>
          <w:numId w:val="66"/>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mailing of the notice for the preceding year's annual meeting nor later than 5:00 p.m., Eastern Time, on the 120th day prior to the first anniversary of the date of mailing of the notice for the preceding year's annual meeting; provided, however, that in the event that the date of the annual meeting is advanced or delayed by more than 30 days from the first anniversary of the date of the preceding year's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and the Stockholder Associated Person therefrom; (iii) as to the stockholder giving the notice and any Stockholder Associated Person, the class, series and number of all shares of stock of the Corporation which are owned by such stockholder and by such Stockholder Associated Person, if any, and the nominee holder for, and number of, shares owned beneficially but not of record by such stockholder and by any such Stockholder Associated Person; (iv) as to the stockholder giving the notice and any Stockholder Associated Person covered by clauses (ii) or (iii) of this paragraph (2) of this Section 11(a), the name and address of such stockholder, as they appear on the Corporation's stock ledger and current name and address, if different, and of such Stockholder Associated Person; and</w:t>
      </w:r>
    </w:p>
    <w:p>
      <w:pPr>
        <w:spacing w:after="0" w:line="9" w:lineRule="exact"/>
        <w:rPr>
          <w:rFonts w:ascii="Arial" w:cs="Arial" w:eastAsia="Arial" w:hAnsi="Arial"/>
          <w:sz w:val="16"/>
          <w:szCs w:val="16"/>
          <w:color w:val="auto"/>
        </w:rPr>
      </w:pPr>
    </w:p>
    <w:p>
      <w:pPr>
        <w:ind w:right="640" w:firstLine="8"/>
        <w:spacing w:after="0" w:line="260"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ectPr>
          <w:pgSz w:w="11900" w:h="16838" w:orient="portrait"/>
          <w:cols w:equalWidth="0" w:num="1">
            <w:col w:w="11200"/>
          </w:cols>
          <w:pgMar w:left="320" w:top="827" w:right="379" w:bottom="1440" w:gutter="0" w:footer="0" w:header="0"/>
        </w:sectPr>
      </w:pPr>
    </w:p>
    <w:bookmarkStart w:id="109" w:name="page110"/>
    <w:bookmarkEnd w:id="109"/>
    <w:p>
      <w:pPr>
        <w:ind w:left="-872" w:right="100" w:firstLine="1425"/>
        <w:spacing w:after="0" w:line="255" w:lineRule="auto"/>
        <w:tabs>
          <w:tab w:leader="none" w:pos="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mailing of the notice of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38" w:lineRule="exact"/>
        <w:rPr>
          <w:rFonts w:ascii="Arial" w:cs="Arial" w:eastAsia="Arial" w:hAnsi="Arial"/>
          <w:sz w:val="18"/>
          <w:szCs w:val="18"/>
          <w:color w:val="auto"/>
        </w:rPr>
      </w:pPr>
    </w:p>
    <w:p>
      <w:pPr>
        <w:jc w:val="both"/>
        <w:ind w:left="-872" w:right="120" w:firstLine="1425"/>
        <w:spacing w:after="0" w:line="286" w:lineRule="auto"/>
        <w:tabs>
          <w:tab w:leader="none" w:pos="8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11" w:lineRule="exact"/>
        <w:rPr>
          <w:rFonts w:ascii="Arial" w:cs="Arial" w:eastAsia="Arial" w:hAnsi="Arial"/>
          <w:sz w:val="17"/>
          <w:szCs w:val="17"/>
          <w:color w:val="auto"/>
        </w:rPr>
      </w:pPr>
    </w:p>
    <w:p>
      <w:pPr>
        <w:ind w:left="-872" w:right="60" w:firstLine="872"/>
        <w:spacing w:after="0" w:line="268" w:lineRule="auto"/>
        <w:tabs>
          <w:tab w:leader="none" w:pos="24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(2) of this Section 11(a) shall be delivered to the secretary at the principal executive office of the Corporation not earlier than the 150th day prior to such special meeting and not later than 5:00 p.m., Eastern Time, on the later of the 120th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32" w:lineRule="exact"/>
        <w:rPr>
          <w:rFonts w:ascii="Arial" w:cs="Arial" w:eastAsia="Arial" w:hAnsi="Arial"/>
          <w:sz w:val="17"/>
          <w:szCs w:val="17"/>
          <w:color w:val="auto"/>
        </w:rPr>
      </w:pPr>
    </w:p>
    <w:p>
      <w:pPr>
        <w:ind w:left="-872" w:firstLine="872"/>
        <w:spacing w:after="0" w:line="273" w:lineRule="auto"/>
        <w:tabs>
          <w:tab w:leader="none" w:pos="23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(1) 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123" w:lineRule="exact"/>
        <w:rPr>
          <w:rFonts w:ascii="Arial" w:cs="Arial" w:eastAsia="Arial" w:hAnsi="Arial"/>
          <w:sz w:val="17"/>
          <w:szCs w:val="17"/>
          <w:color w:val="auto"/>
        </w:rPr>
      </w:pPr>
    </w:p>
    <w:p>
      <w:pPr>
        <w:ind w:left="-872" w:right="160" w:firstLine="1425"/>
        <w:spacing w:after="0" w:line="259"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ectPr>
          <w:pgSz w:w="11900" w:h="16838" w:orient="portrait"/>
          <w:cols w:equalWidth="0" w:num="1">
            <w:col w:w="10368"/>
          </w:cols>
          <w:pgMar w:left="1192" w:top="746" w:right="339" w:bottom="1440" w:gutter="0" w:footer="0" w:header="0"/>
        </w:sectPr>
      </w:pPr>
    </w:p>
    <w:bookmarkStart w:id="110" w:name="page111"/>
    <w:bookmarkEnd w:id="110"/>
    <w:p>
      <w:pPr>
        <w:ind w:right="20" w:firstLine="1425"/>
        <w:spacing w:after="0" w:line="279" w:lineRule="auto"/>
        <w:tabs>
          <w:tab w:leader="none" w:pos="1672" w:val="left"/>
        </w:tabs>
        <w:numPr>
          <w:ilvl w:val="0"/>
          <w:numId w:val="70"/>
        </w:numPr>
        <w:rPr>
          <w:rFonts w:ascii="Arial" w:cs="Arial" w:eastAsia="Arial" w:hAnsi="Arial"/>
          <w:sz w:val="17"/>
          <w:szCs w:val="17"/>
          <w:color w:val="auto"/>
        </w:rPr>
      </w:pPr>
      <w:r>
        <w:rPr>
          <w:rFonts w:ascii="Arial" w:cs="Arial" w:eastAsia="Arial" w:hAnsi="Arial"/>
          <w:sz w:val="17"/>
          <w:szCs w:val="17"/>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Business Wire, PR Newswire or comparable news service or (ii) in a document publicly filed by the Corporation with the Securities and Exchange Commission, (the “SEC”) pursuant to the Exchange Act or the Investment Company Act.</w:t>
      </w:r>
    </w:p>
    <w:p>
      <w:pPr>
        <w:spacing w:after="0" w:line="171" w:lineRule="exact"/>
        <w:rPr>
          <w:rFonts w:ascii="Arial" w:cs="Arial" w:eastAsia="Arial" w:hAnsi="Arial"/>
          <w:sz w:val="17"/>
          <w:szCs w:val="17"/>
          <w:color w:val="auto"/>
        </w:rPr>
      </w:pPr>
    </w:p>
    <w:p>
      <w:pPr>
        <w:ind w:right="280" w:firstLine="1425"/>
        <w:spacing w:after="0" w:line="301" w:lineRule="auto"/>
        <w:tabs>
          <w:tab w:leader="none" w:pos="16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03"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16"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CONTROL SHARE ACQUISITION ACT</w:t>
      </w:r>
      <w:r>
        <w:rPr>
          <w:rFonts w:ascii="Arial" w:cs="Arial" w:eastAsia="Arial" w:hAnsi="Arial"/>
          <w:sz w:val="17"/>
          <w:szCs w:val="17"/>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Notwithstanding the forgoing, the Company must consult with the SEC prior to applying the MGCL provisions referenced in this section.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8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ind w:right="140" w:firstLine="864"/>
        <w:spacing w:after="0" w:line="31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w:t>
      </w:r>
    </w:p>
    <w:p>
      <w:pPr>
        <w:spacing w:after="0" w:line="95" w:lineRule="exact"/>
        <w:rPr>
          <w:sz w:val="20"/>
          <w:szCs w:val="20"/>
          <w:color w:val="auto"/>
        </w:rPr>
      </w:pPr>
    </w:p>
    <w:p>
      <w:pPr>
        <w:jc w:val="both"/>
        <w:ind w:right="160" w:firstLine="864"/>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ectPr>
          <w:pgSz w:w="11900" w:h="16838" w:orient="portrait"/>
          <w:cols w:equalWidth="0" w:num="1">
            <w:col w:w="11180"/>
          </w:cols>
          <w:pgMar w:left="320" w:top="746" w:right="399" w:bottom="1440" w:gutter="0" w:footer="0" w:header="0"/>
        </w:sectPr>
      </w:pPr>
    </w:p>
    <w:bookmarkStart w:id="111" w:name="page112"/>
    <w:bookmarkEnd w:id="111"/>
    <w:p>
      <w:pPr>
        <w:ind w:right="60" w:firstLine="864"/>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17"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28"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17" w:lineRule="exact"/>
        <w:rPr>
          <w:sz w:val="20"/>
          <w:szCs w:val="20"/>
          <w:color w:val="auto"/>
        </w:rPr>
      </w:pPr>
    </w:p>
    <w:p>
      <w:pPr>
        <w:ind w:right="1040" w:firstLine="864"/>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16"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34" w:lineRule="exact"/>
        <w:rPr>
          <w:sz w:val="20"/>
          <w:szCs w:val="20"/>
          <w:color w:val="auto"/>
        </w:rPr>
      </w:pPr>
    </w:p>
    <w:p>
      <w:pPr>
        <w:ind w:right="20" w:firstLine="864"/>
        <w:spacing w:after="0" w:line="27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ectPr>
          <w:pgSz w:w="11900" w:h="16838" w:orient="portrait"/>
          <w:cols w:equalWidth="0" w:num="1">
            <w:col w:w="11220"/>
          </w:cols>
          <w:pgMar w:left="320" w:top="746" w:right="359" w:bottom="1440" w:gutter="0" w:footer="0" w:header="0"/>
        </w:sectPr>
      </w:pPr>
    </w:p>
    <w:bookmarkStart w:id="112" w:name="page113"/>
    <w:bookmarkEnd w:id="112"/>
    <w:p>
      <w:pPr>
        <w:jc w:val="both"/>
        <w:ind w:right="20" w:firstLine="864"/>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33"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33" w:lineRule="exact"/>
        <w:rPr>
          <w:sz w:val="20"/>
          <w:szCs w:val="20"/>
          <w:color w:val="auto"/>
        </w:rPr>
      </w:pPr>
    </w:p>
    <w:p>
      <w:pPr>
        <w:ind w:right="60" w:firstLine="864"/>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VACANCIES</w:t>
      </w:r>
      <w:r>
        <w:rPr>
          <w:rFonts w:ascii="Arial" w:cs="Arial" w:eastAsia="Arial" w:hAnsi="Arial"/>
          <w:sz w:val="18"/>
          <w:szCs w:val="18"/>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 (a) 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38"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24"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03" w:lineRule="exact"/>
        <w:rPr>
          <w:sz w:val="20"/>
          <w:szCs w:val="20"/>
          <w:color w:val="auto"/>
        </w:rPr>
      </w:pPr>
    </w:p>
    <w:p>
      <w:pPr>
        <w:ind w:right="520" w:firstLine="86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16"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ectPr>
          <w:pgSz w:w="11900" w:h="16838" w:orient="portrait"/>
          <w:cols w:equalWidth="0" w:num="1">
            <w:col w:w="11200"/>
          </w:cols>
          <w:pgMar w:left="320" w:top="746" w:right="3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175"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30" w:lineRule="exact"/>
        <w:rPr>
          <w:sz w:val="20"/>
          <w:szCs w:val="20"/>
          <w:color w:val="auto"/>
        </w:rPr>
      </w:pPr>
    </w:p>
    <w:p>
      <w:pPr>
        <w:ind w:right="280"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16"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41"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30" w:lineRule="exact"/>
        <w:rPr>
          <w:sz w:val="20"/>
          <w:szCs w:val="20"/>
          <w:color w:val="auto"/>
        </w:rPr>
      </w:pPr>
    </w:p>
    <w:p>
      <w:pPr>
        <w:jc w:val="both"/>
        <w:ind w:right="380" w:firstLine="864"/>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30" w:lineRule="exact"/>
        <w:rPr>
          <w:sz w:val="20"/>
          <w:szCs w:val="20"/>
          <w:color w:val="auto"/>
        </w:rPr>
      </w:pPr>
    </w:p>
    <w:p>
      <w:pPr>
        <w:ind w:firstLine="864"/>
        <w:spacing w:after="0" w:line="31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ectPr>
          <w:pgSz w:w="11900" w:h="16838" w:orient="portrait"/>
          <w:cols w:equalWidth="0" w:num="1">
            <w:col w:w="11240"/>
          </w:cols>
          <w:pgMar w:left="320" w:top="904" w:right="339" w:bottom="1440" w:gutter="0" w:footer="0" w:header="0"/>
        </w:sectPr>
      </w:pPr>
    </w:p>
    <w:bookmarkStart w:id="114" w:name="page115"/>
    <w:bookmarkEnd w:id="114"/>
    <w:p>
      <w:pPr>
        <w:ind w:left="512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175" w:lineRule="exact"/>
        <w:rPr>
          <w:sz w:val="20"/>
          <w:szCs w:val="20"/>
          <w:color w:val="auto"/>
        </w:rPr>
      </w:pPr>
    </w:p>
    <w:p>
      <w:pPr>
        <w:ind w:right="120" w:firstLine="864"/>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12"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10"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16" w:lineRule="exact"/>
        <w:rPr>
          <w:sz w:val="20"/>
          <w:szCs w:val="20"/>
          <w:color w:val="auto"/>
        </w:rPr>
      </w:pPr>
    </w:p>
    <w:p>
      <w:pPr>
        <w:ind w:right="360" w:firstLine="864"/>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ectPr>
          <w:pgSz w:w="11900" w:h="16838" w:orient="portrait"/>
          <w:cols w:equalWidth="0" w:num="1">
            <w:col w:w="11220"/>
          </w:cols>
          <w:pgMar w:left="320" w:top="904" w:right="359" w:bottom="1440" w:gutter="0" w:footer="0" w:header="0"/>
        </w:sectPr>
      </w:pPr>
    </w:p>
    <w:bookmarkStart w:id="115" w:name="page116"/>
    <w:bookmarkEnd w:id="115"/>
    <w:p>
      <w:pPr>
        <w:ind w:right="140" w:firstLine="864"/>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34" w:lineRule="exact"/>
        <w:rPr>
          <w:sz w:val="20"/>
          <w:szCs w:val="20"/>
          <w:color w:val="auto"/>
        </w:rPr>
      </w:pPr>
    </w:p>
    <w:p>
      <w:pPr>
        <w:ind w:right="140" w:firstLine="864"/>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38"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25"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33"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30"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33"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ectPr>
          <w:pgSz w:w="11900" w:h="16838" w:orient="portrait"/>
          <w:cols w:equalWidth="0" w:num="1">
            <w:col w:w="11200"/>
          </w:cols>
          <w:pgMar w:left="320" w:top="746" w:right="37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5" w:lineRule="exact"/>
        <w:rPr>
          <w:sz w:val="20"/>
          <w:szCs w:val="20"/>
          <w:color w:val="auto"/>
        </w:rPr>
      </w:pPr>
    </w:p>
    <w:p>
      <w:pPr>
        <w:ind w:right="160" w:firstLine="864"/>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34"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16" w:lineRule="exact"/>
        <w:rPr>
          <w:sz w:val="20"/>
          <w:szCs w:val="20"/>
          <w:color w:val="auto"/>
        </w:rPr>
      </w:pPr>
    </w:p>
    <w:p>
      <w:pPr>
        <w:ind w:right="820" w:firstLine="864"/>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ind w:right="220" w:firstLine="864"/>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REQUIRED INFORMATION</w:t>
      </w:r>
      <w:r>
        <w:rPr>
          <w:rFonts w:ascii="Arial" w:cs="Arial" w:eastAsia="Arial" w:hAnsi="Arial"/>
          <w:sz w:val="16"/>
          <w:szCs w:val="16"/>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07" w:lineRule="exact"/>
        <w:rPr>
          <w:sz w:val="20"/>
          <w:szCs w:val="20"/>
          <w:color w:val="auto"/>
        </w:rPr>
      </w:pPr>
    </w:p>
    <w:p>
      <w:pPr>
        <w:ind w:right="260" w:firstLine="86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33"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3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ectPr>
          <w:pgSz w:w="11900" w:h="16838" w:orient="portrait"/>
          <w:cols w:equalWidth="0" w:num="1">
            <w:col w:w="11220"/>
          </w:cols>
          <w:pgMar w:left="320" w:top="904" w:right="359" w:bottom="1440" w:gutter="0" w:footer="0" w:header="0"/>
        </w:sectPr>
      </w:pPr>
    </w:p>
    <w:bookmarkStart w:id="117" w:name="page118"/>
    <w:bookmarkEnd w:id="117"/>
    <w:p>
      <w:pPr>
        <w:ind w:right="40" w:firstLine="864"/>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REPLACEMENT CERTIFICATE</w:t>
      </w:r>
      <w:r>
        <w:rPr>
          <w:rFonts w:ascii="Arial" w:cs="Arial" w:eastAsia="Arial" w:hAnsi="Arial"/>
          <w:sz w:val="17"/>
          <w:szCs w:val="17"/>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10" w:lineRule="exact"/>
        <w:rPr>
          <w:sz w:val="20"/>
          <w:szCs w:val="20"/>
          <w:color w:val="auto"/>
        </w:rPr>
      </w:pPr>
    </w:p>
    <w:p>
      <w:pPr>
        <w:ind w:right="60" w:firstLine="864"/>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CLOSING OF TRANSFER BOOKS OR FIXING OF RECORD DATE</w:t>
      </w:r>
      <w:r>
        <w:rPr>
          <w:rFonts w:ascii="Arial" w:cs="Arial" w:eastAsia="Arial" w:hAnsi="Arial"/>
          <w:sz w:val="18"/>
          <w:szCs w:val="18"/>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3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30"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34" w:lineRule="exact"/>
        <w:rPr>
          <w:sz w:val="20"/>
          <w:szCs w:val="20"/>
          <w:color w:val="auto"/>
        </w:rPr>
      </w:pPr>
    </w:p>
    <w:p>
      <w:pPr>
        <w:ind w:right="220" w:firstLine="864"/>
        <w:spacing w:after="0" w:line="259"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33" w:lineRule="exact"/>
        <w:rPr>
          <w:sz w:val="20"/>
          <w:szCs w:val="20"/>
          <w:color w:val="auto"/>
        </w:rPr>
      </w:pPr>
    </w:p>
    <w:p>
      <w:pPr>
        <w:jc w:val="both"/>
        <w:ind w:right="60" w:firstLine="864"/>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70"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ectPr>
          <w:pgSz w:w="11900" w:h="16838" w:orient="portrait"/>
          <w:cols w:equalWidth="0" w:num="1">
            <w:col w:w="11220"/>
          </w:cols>
          <w:pgMar w:left="320" w:top="746" w:right="3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30"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CONTINGENCIES</w:t>
      </w:r>
      <w:r>
        <w:rPr>
          <w:rFonts w:ascii="Arial" w:cs="Arial" w:eastAsia="Arial" w:hAnsi="Arial"/>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75"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30" w:lineRule="exact"/>
        <w:rPr>
          <w:sz w:val="20"/>
          <w:szCs w:val="20"/>
          <w:color w:val="auto"/>
        </w:rPr>
      </w:pPr>
    </w:p>
    <w:p>
      <w:pPr>
        <w:jc w:val="both"/>
        <w:ind w:right="240" w:firstLine="864"/>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ectPr>
          <w:pgSz w:w="11900" w:h="16838" w:orient="portrait"/>
          <w:cols w:equalWidth="0" w:num="1">
            <w:col w:w="11240"/>
          </w:cols>
          <w:pgMar w:left="320" w:top="580" w:right="3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5" w:lineRule="exact"/>
        <w:rPr>
          <w:sz w:val="20"/>
          <w:szCs w:val="20"/>
          <w:color w:val="auto"/>
        </w:rPr>
      </w:pPr>
    </w:p>
    <w:p>
      <w:pPr>
        <w:ind w:firstLine="864"/>
        <w:spacing w:after="0" w:line="284"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w:t>
      </w:r>
    </w:p>
    <w:p>
      <w:pPr>
        <w:spacing w:after="0" w:line="1" w:lineRule="exact"/>
        <w:rPr>
          <w:sz w:val="20"/>
          <w:szCs w:val="20"/>
          <w:color w:val="auto"/>
        </w:rPr>
      </w:pPr>
    </w:p>
    <w:p>
      <w:pPr>
        <w:ind w:right="60" w:firstLine="8"/>
        <w:spacing w:after="0" w:line="255"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36" w:lineRule="exact"/>
        <w:rPr>
          <w:sz w:val="20"/>
          <w:szCs w:val="20"/>
          <w:color w:val="auto"/>
        </w:rPr>
      </w:pPr>
    </w:p>
    <w:p>
      <w:pPr>
        <w:ind w:right="360" w:firstLine="864"/>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WAIVER OF NOTICE</w:t>
      </w:r>
    </w:p>
    <w:p>
      <w:pPr>
        <w:spacing w:after="0" w:line="175" w:lineRule="exact"/>
        <w:rPr>
          <w:sz w:val="20"/>
          <w:szCs w:val="20"/>
          <w:color w:val="auto"/>
        </w:rPr>
      </w:pPr>
    </w:p>
    <w:p>
      <w:pPr>
        <w:ind w:right="20" w:firstLine="864"/>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INSPECTION OF RECORDS</w:t>
      </w:r>
    </w:p>
    <w:p>
      <w:pPr>
        <w:spacing w:after="0" w:line="175"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ectPr>
          <w:pgSz w:w="11900" w:h="16838" w:orient="portrait"/>
          <w:cols w:equalWidth="0" w:num="1">
            <w:col w:w="11160"/>
          </w:cols>
          <w:pgMar w:left="320" w:top="904" w:right="41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COMPANY ACT</w:t>
      </w:r>
    </w:p>
    <w:p>
      <w:pPr>
        <w:spacing w:after="0" w:line="175"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OF BYLAWS</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ectPr>
          <w:pgSz w:w="11900" w:h="16838" w:orient="portrait"/>
          <w:cols w:equalWidth="0" w:num="1">
            <w:col w:w="11180"/>
          </w:cols>
          <w:pgMar w:left="320" w:top="580" w:right="399" w:bottom="1440" w:gutter="0" w:footer="0" w:header="0"/>
        </w:sectPr>
      </w:pPr>
    </w:p>
    <w:bookmarkStart w:id="121" w:name="page122"/>
    <w:bookmarkEnd w:id="121"/>
    <w:p>
      <w:pPr>
        <w:ind w:left="7140"/>
        <w:spacing w:after="0"/>
        <w:rPr>
          <w:sz w:val="20"/>
          <w:szCs w:val="20"/>
          <w:color w:val="auto"/>
        </w:rPr>
      </w:pPr>
      <w:r>
        <w:rPr>
          <w:rFonts w:ascii="Arial" w:cs="Arial" w:eastAsia="Arial" w:hAnsi="Arial"/>
          <w:sz w:val="18"/>
          <w:szCs w:val="18"/>
          <w:b w:val="1"/>
          <w:bCs w:val="1"/>
          <w:color w:val="auto"/>
        </w:rPr>
        <w:t>Exhibit 14.1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6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This Joint Code of Ethics (the “Code”) has been adopted by each of PennantPark Investment Corporation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8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Covered Personnel must read and retain this Code.</w:t>
      </w:r>
    </w:p>
    <w:p>
      <w:pPr>
        <w:sectPr>
          <w:pgSz w:w="11900" w:h="16838" w:orient="portrait"/>
          <w:cols w:equalWidth="0" w:num="1">
            <w:col w:w="11240"/>
          </w:cols>
          <w:pgMar w:left="320" w:top="58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Section II Definitions</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“Access Person” means any director, officer, general partner or Advisory Person (as defined below) of the Corporation or the</w:t>
      </w:r>
    </w:p>
    <w:p>
      <w:pPr>
        <w:spacing w:after="0" w:line="35" w:lineRule="exact"/>
        <w:rPr>
          <w:sz w:val="20"/>
          <w:szCs w:val="20"/>
          <w:color w:val="auto"/>
        </w:rPr>
      </w:pPr>
    </w:p>
    <w:p>
      <w:pPr>
        <w:ind w:left="1400" w:hanging="528"/>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Adviser.</w:t>
      </w:r>
    </w:p>
    <w:p>
      <w:pPr>
        <w:spacing w:after="0" w:line="48" w:lineRule="exact"/>
        <w:rPr>
          <w:rFonts w:ascii="Arial" w:cs="Arial" w:eastAsia="Arial" w:hAnsi="Arial"/>
          <w:sz w:val="18"/>
          <w:szCs w:val="18"/>
          <w:color w:val="auto"/>
        </w:rPr>
      </w:pPr>
    </w:p>
    <w:p>
      <w:pPr>
        <w:jc w:val="both"/>
        <w:ind w:left="1400"/>
        <w:spacing w:after="0" w:line="284" w:lineRule="auto"/>
        <w:rPr>
          <w:rFonts w:ascii="Arial" w:cs="Arial" w:eastAsia="Arial" w:hAnsi="Arial"/>
          <w:sz w:val="18"/>
          <w:szCs w:val="18"/>
          <w:color w:val="auto"/>
        </w:rPr>
      </w:pPr>
      <w:r>
        <w:rPr>
          <w:rFonts w:ascii="Arial" w:cs="Arial" w:eastAsia="Arial" w:hAnsi="Arial"/>
          <w:sz w:val="16"/>
          <w:szCs w:val="16"/>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w:t>
      </w:r>
    </w:p>
    <w:p>
      <w:pPr>
        <w:spacing w:after="0" w:line="4" w:lineRule="exact"/>
        <w:rPr>
          <w:rFonts w:ascii="Arial" w:cs="Arial" w:eastAsia="Arial" w:hAnsi="Arial"/>
          <w:sz w:val="18"/>
          <w:szCs w:val="18"/>
          <w:color w:val="auto"/>
        </w:rPr>
      </w:pPr>
    </w:p>
    <w:p>
      <w:pPr>
        <w:ind w:left="1400" w:hanging="528"/>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Corporation.</w:t>
      </w:r>
    </w:p>
    <w:p>
      <w:pPr>
        <w:spacing w:after="0" w:line="237" w:lineRule="exact"/>
        <w:rPr>
          <w:rFonts w:ascii="Arial" w:cs="Arial" w:eastAsia="Arial" w:hAnsi="Arial"/>
          <w:sz w:val="18"/>
          <w:szCs w:val="18"/>
          <w:color w:val="auto"/>
        </w:rPr>
      </w:pPr>
    </w:p>
    <w:p>
      <w:pPr>
        <w:jc w:val="both"/>
        <w:ind w:left="1400"/>
        <w:spacing w:after="0" w:line="291" w:lineRule="auto"/>
        <w:rPr>
          <w:rFonts w:ascii="Arial" w:cs="Arial" w:eastAsia="Arial" w:hAnsi="Arial"/>
          <w:sz w:val="18"/>
          <w:szCs w:val="18"/>
          <w:color w:val="auto"/>
        </w:rPr>
      </w:pPr>
      <w:r>
        <w:rPr>
          <w:rFonts w:ascii="Arial" w:cs="Arial" w:eastAsia="Arial" w:hAnsi="Arial"/>
          <w:sz w:val="16"/>
          <w:szCs w:val="16"/>
          <w:color w:val="auto"/>
        </w:rPr>
        <w:t>“Beneficial Ownership” is interpreted in the same manner as it would be under Rule 16a-1(a)(2) under the Securities Exchange Act of 1934 (the “1934 Act”) in determining whether a person is a beneficial owner of a security for purposes of Section 16 of the</w:t>
      </w:r>
    </w:p>
    <w:p>
      <w:pPr>
        <w:ind w:left="1400" w:hanging="528"/>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1934 Act and the rules and regulations thereunder.</w:t>
      </w:r>
    </w:p>
    <w:p>
      <w:pPr>
        <w:spacing w:after="0" w:line="237"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7"/>
          <w:szCs w:val="17"/>
          <w:color w:val="auto"/>
        </w:rPr>
        <w:t>“Chief Compliance Officer” means the Chief Compliance Officer of the Corporation (who also may serve as the compliance</w:t>
      </w:r>
    </w:p>
    <w:p>
      <w:pPr>
        <w:spacing w:after="0" w:line="34" w:lineRule="exact"/>
        <w:rPr>
          <w:rFonts w:ascii="Arial" w:cs="Arial" w:eastAsia="Arial" w:hAnsi="Arial"/>
          <w:sz w:val="18"/>
          <w:szCs w:val="18"/>
          <w:color w:val="auto"/>
        </w:rPr>
      </w:pPr>
    </w:p>
    <w:p>
      <w:pPr>
        <w:ind w:left="1400" w:hanging="528"/>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officer of the Adviser and/or one or more affiliates of the Adviser).</w:t>
      </w:r>
    </w:p>
    <w:p>
      <w:pPr>
        <w:spacing w:after="0" w:line="237" w:lineRule="exact"/>
        <w:rPr>
          <w:rFonts w:ascii="Arial" w:cs="Arial" w:eastAsia="Arial" w:hAnsi="Arial"/>
          <w:sz w:val="18"/>
          <w:szCs w:val="18"/>
          <w:color w:val="auto"/>
        </w:rPr>
      </w:pPr>
    </w:p>
    <w:p>
      <w:pPr>
        <w:ind w:left="1400" w:hanging="528"/>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306" w:lineRule="exact"/>
        <w:rPr>
          <w:sz w:val="20"/>
          <w:szCs w:val="20"/>
          <w:color w:val="auto"/>
        </w:rPr>
      </w:pPr>
    </w:p>
    <w:p>
      <w:pPr>
        <w:jc w:val="both"/>
        <w:ind w:left="1340" w:right="80"/>
        <w:spacing w:after="0" w:line="253" w:lineRule="auto"/>
        <w:rPr>
          <w:sz w:val="20"/>
          <w:szCs w:val="20"/>
          <w:color w:val="auto"/>
        </w:rPr>
      </w:pPr>
      <w:r>
        <w:rPr>
          <w:rFonts w:ascii="Arial" w:cs="Arial" w:eastAsia="Arial" w:hAnsi="Arial"/>
          <w:sz w:val="18"/>
          <w:szCs w:val="18"/>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34" w:lineRule="exact"/>
        <w:rPr>
          <w:sz w:val="20"/>
          <w:szCs w:val="20"/>
          <w:color w:val="auto"/>
        </w:rPr>
      </w:pPr>
    </w:p>
    <w:p>
      <w:pPr>
        <w:jc w:val="both"/>
        <w:ind w:left="1340" w:right="80"/>
        <w:spacing w:after="0" w:line="283" w:lineRule="auto"/>
        <w:rPr>
          <w:sz w:val="20"/>
          <w:szCs w:val="20"/>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w:t>
      </w:r>
    </w:p>
    <w:p>
      <w:pPr>
        <w:spacing w:after="0" w:line="6" w:lineRule="exact"/>
        <w:rPr>
          <w:sz w:val="20"/>
          <w:szCs w:val="20"/>
          <w:color w:val="auto"/>
        </w:rPr>
      </w:pPr>
    </w:p>
    <w:p>
      <w:pPr>
        <w:ind w:left="1340" w:hanging="401"/>
        <w:spacing w:after="0"/>
        <w:tabs>
          <w:tab w:leader="none" w:pos="1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also be applicable to the purchase or sale of a Covered Security relating to that Derivative.</w:t>
      </w:r>
    </w:p>
    <w:p>
      <w:pPr>
        <w:sectPr>
          <w:pgSz w:w="11900" w:h="16838" w:orient="portrait"/>
          <w:cols w:equalWidth="0" w:num="1">
            <w:col w:w="10800"/>
          </w:cols>
          <w:pgMar w:left="320" w:top="742" w:right="779" w:bottom="1440" w:gutter="0" w:footer="0" w:header="0"/>
        </w:sectPr>
      </w:pPr>
    </w:p>
    <w:bookmarkStart w:id="123" w:name="page124"/>
    <w:bookmarkEnd w:id="123"/>
    <w:p>
      <w:pPr>
        <w:ind w:left="1320"/>
        <w:spacing w:after="0"/>
        <w:rPr>
          <w:sz w:val="20"/>
          <w:szCs w:val="20"/>
          <w:color w:val="auto"/>
        </w:rPr>
      </w:pPr>
      <w:r>
        <w:rPr>
          <w:rFonts w:ascii="Arial" w:cs="Arial" w:eastAsia="Arial" w:hAnsi="Arial"/>
          <w:sz w:val="18"/>
          <w:szCs w:val="18"/>
          <w:color w:val="auto"/>
        </w:rPr>
        <w:t>“Independent Director” means a director of the Corporation who is not an “interested person” of the Corporation within the</w:t>
      </w:r>
    </w:p>
    <w:p>
      <w:pPr>
        <w:spacing w:after="0" w:line="23" w:lineRule="exact"/>
        <w:rPr>
          <w:sz w:val="20"/>
          <w:szCs w:val="20"/>
          <w:color w:val="auto"/>
        </w:rPr>
      </w:pPr>
    </w:p>
    <w:p>
      <w:pPr>
        <w:ind w:left="1320" w:hanging="52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meaning of Section 2(a)(19) of the Act.</w:t>
      </w:r>
    </w:p>
    <w:p>
      <w:pPr>
        <w:spacing w:after="0" w:line="23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7"/>
          <w:szCs w:val="17"/>
          <w:color w:val="auto"/>
        </w:rPr>
        <w:t>“Initial Public Offering” means an offering of securities registered under the Securities Act of 1933 (the “1933 Act”), the issuer of</w:t>
      </w:r>
    </w:p>
    <w:p>
      <w:pPr>
        <w:spacing w:after="0" w:line="34" w:lineRule="exact"/>
        <w:rPr>
          <w:rFonts w:ascii="Arial" w:cs="Arial" w:eastAsia="Arial" w:hAnsi="Arial"/>
          <w:sz w:val="18"/>
          <w:szCs w:val="18"/>
          <w:color w:val="auto"/>
        </w:rPr>
      </w:pPr>
    </w:p>
    <w:p>
      <w:pPr>
        <w:ind w:left="1340" w:hanging="414"/>
        <w:spacing w:after="0"/>
        <w:tabs>
          <w:tab w:leader="none" w:pos="13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which, immediately before the registration, was not subject to the reporting requirements of Sections 13 or 15(d) of the 1934 Act.</w:t>
      </w:r>
    </w:p>
    <w:p>
      <w:pPr>
        <w:spacing w:after="0" w:line="24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“Limited Offering” means an offering that is exempt from registration under the 1933 Act pursuant to Section 4(2) or Section 4(6)</w:t>
      </w:r>
    </w:p>
    <w:p>
      <w:pPr>
        <w:spacing w:after="0" w:line="35" w:lineRule="exact"/>
        <w:rPr>
          <w:sz w:val="20"/>
          <w:szCs w:val="20"/>
          <w:color w:val="auto"/>
        </w:rPr>
      </w:pPr>
    </w:p>
    <w:p>
      <w:pPr>
        <w:ind w:left="1340" w:hanging="401"/>
        <w:spacing w:after="0"/>
        <w:tabs>
          <w:tab w:leader="none" w:pos="1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thereof or pursuant to Rule 504, Rule 505, or Rule 506 thereunder.</w:t>
      </w:r>
    </w:p>
    <w:p>
      <w:pPr>
        <w:spacing w:after="0" w:line="23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“Security Held or to be Acquired” by the Corporation means: (i) any Covered Security which, within the most recent 15 days:</w:t>
      </w:r>
    </w:p>
    <w:p>
      <w:pPr>
        <w:spacing w:after="0" w:line="23" w:lineRule="exact"/>
        <w:rPr>
          <w:rFonts w:ascii="Arial" w:cs="Arial" w:eastAsia="Arial" w:hAnsi="Arial"/>
          <w:sz w:val="18"/>
          <w:szCs w:val="18"/>
          <w:color w:val="auto"/>
        </w:rPr>
      </w:pPr>
    </w:p>
    <w:p>
      <w:pPr>
        <w:jc w:val="both"/>
        <w:ind w:left="1340" w:right="520" w:firstLine="4"/>
        <w:spacing w:after="0" w:line="281" w:lineRule="auto"/>
        <w:tabs>
          <w:tab w:leader="none" w:pos="1639" w:val="left"/>
        </w:tabs>
        <w:numPr>
          <w:ilvl w:val="1"/>
          <w:numId w:val="75"/>
        </w:numPr>
        <w:rPr>
          <w:rFonts w:ascii="Arial" w:cs="Arial" w:eastAsia="Arial" w:hAnsi="Arial"/>
          <w:sz w:val="16"/>
          <w:szCs w:val="16"/>
          <w:color w:val="auto"/>
        </w:rPr>
      </w:pPr>
      <w:r>
        <w:rPr>
          <w:rFonts w:ascii="Arial" w:cs="Arial" w:eastAsia="Arial" w:hAnsi="Arial"/>
          <w:sz w:val="16"/>
          <w:szCs w:val="16"/>
          <w:color w:val="auto"/>
        </w:rPr>
        <w:t>is or has been held by the Corporation; or (B) is being or has been considered by the Corporation or the Adviser for purchase by the Corporation; and (ii) any option to purchase or sell, and any security convertible into or exchangeable for, a Covered</w:t>
      </w:r>
    </w:p>
    <w:p>
      <w:pPr>
        <w:spacing w:after="0" w:line="1" w:lineRule="exact"/>
        <w:rPr>
          <w:rFonts w:ascii="Arial" w:cs="Arial" w:eastAsia="Arial" w:hAnsi="Arial"/>
          <w:sz w:val="16"/>
          <w:szCs w:val="16"/>
          <w:color w:val="auto"/>
        </w:rPr>
      </w:pPr>
    </w:p>
    <w:p>
      <w:pPr>
        <w:ind w:left="1340" w:hanging="401"/>
        <w:spacing w:after="0"/>
        <w:tabs>
          <w:tab w:leader="none" w:pos="1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Security described in Section II (K)(i).</w:t>
      </w:r>
    </w:p>
    <w:p>
      <w:pPr>
        <w:spacing w:after="0" w:line="238" w:lineRule="exact"/>
        <w:rPr>
          <w:sz w:val="20"/>
          <w:szCs w:val="20"/>
          <w:color w:val="auto"/>
        </w:rPr>
      </w:pPr>
    </w:p>
    <w:p>
      <w:pPr>
        <w:ind w:left="1400" w:hanging="528"/>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6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71" w:lineRule="exact"/>
        <w:rPr>
          <w:sz w:val="20"/>
          <w:szCs w:val="20"/>
          <w:color w:val="auto"/>
        </w:rPr>
      </w:pPr>
    </w:p>
    <w:p>
      <w:pPr>
        <w:ind w:left="1860" w:hanging="516"/>
        <w:spacing w:after="0"/>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25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make any untrue statement of a material fact to the Corporation or omit to state to the Corporation a material fact</w:t>
      </w:r>
    </w:p>
    <w:p>
      <w:pPr>
        <w:spacing w:after="0" w:line="23" w:lineRule="exact"/>
        <w:rPr>
          <w:rFonts w:ascii="Arial" w:cs="Arial" w:eastAsia="Arial" w:hAnsi="Arial"/>
          <w:sz w:val="18"/>
          <w:szCs w:val="18"/>
          <w:color w:val="auto"/>
        </w:rPr>
      </w:pPr>
    </w:p>
    <w:p>
      <w:pPr>
        <w:ind w:left="1860" w:right="520" w:hanging="516"/>
        <w:spacing w:after="0" w:line="440" w:lineRule="auto"/>
        <w:tabs>
          <w:tab w:leader="none" w:pos="1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necessary in order to make the statements made, in light of the circumstances under which they are made, not misleading; engage in any act, practice or course of business that operates or would operate as a fraud or deceit upon the Corporation;</w:t>
      </w:r>
    </w:p>
    <w:p>
      <w:pPr>
        <w:ind w:left="1860" w:hanging="516"/>
        <w:spacing w:after="0"/>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or</w:t>
      </w:r>
    </w:p>
    <w:p>
      <w:pPr>
        <w:spacing w:after="0" w:line="237" w:lineRule="exact"/>
        <w:rPr>
          <w:rFonts w:ascii="Arial" w:cs="Arial" w:eastAsia="Arial" w:hAnsi="Arial"/>
          <w:sz w:val="18"/>
          <w:szCs w:val="18"/>
          <w:color w:val="auto"/>
        </w:rPr>
      </w:pPr>
    </w:p>
    <w:p>
      <w:pPr>
        <w:ind w:left="1860" w:hanging="516"/>
        <w:spacing w:after="0"/>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44"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ectPr>
          <w:pgSz w:w="11900" w:h="16838" w:orient="portrait"/>
          <w:cols w:equalWidth="0" w:num="1">
            <w:col w:w="11240"/>
          </w:cols>
          <w:pgMar w:left="320" w:top="746"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Section IV Prohibited Transactions</w:t>
      </w:r>
    </w:p>
    <w:p>
      <w:pPr>
        <w:spacing w:after="0" w:line="229" w:lineRule="exact"/>
        <w:rPr>
          <w:sz w:val="20"/>
          <w:szCs w:val="20"/>
          <w:color w:val="auto"/>
        </w:rPr>
      </w:pPr>
    </w:p>
    <w:p>
      <w:pPr>
        <w:jc w:val="both"/>
        <w:ind w:left="1400" w:right="440"/>
        <w:spacing w:after="0" w:line="284" w:lineRule="auto"/>
        <w:rPr>
          <w:sz w:val="20"/>
          <w:szCs w:val="20"/>
          <w:color w:val="auto"/>
        </w:rPr>
      </w:pPr>
      <w:r>
        <w:rPr>
          <w:rFonts w:ascii="Arial" w:cs="Arial" w:eastAsia="Arial" w:hAnsi="Arial"/>
          <w:sz w:val="16"/>
          <w:szCs w:val="16"/>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w:t>
      </w:r>
    </w:p>
    <w:p>
      <w:pPr>
        <w:spacing w:after="0" w:line="4" w:lineRule="exact"/>
        <w:rPr>
          <w:sz w:val="20"/>
          <w:szCs w:val="20"/>
          <w:color w:val="auto"/>
        </w:rPr>
      </w:pPr>
    </w:p>
    <w:p>
      <w:pPr>
        <w:ind w:left="1400" w:hanging="535"/>
        <w:spacing w:after="0"/>
        <w:tabs>
          <w:tab w:leader="none" w:pos="1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Corporation.</w:t>
      </w:r>
    </w:p>
    <w:p>
      <w:pPr>
        <w:spacing w:after="0" w:line="237" w:lineRule="exact"/>
        <w:rPr>
          <w:rFonts w:ascii="Arial" w:cs="Arial" w:eastAsia="Arial" w:hAnsi="Arial"/>
          <w:sz w:val="18"/>
          <w:szCs w:val="18"/>
          <w:color w:val="auto"/>
        </w:rPr>
      </w:pPr>
    </w:p>
    <w:p>
      <w:pPr>
        <w:jc w:val="both"/>
        <w:ind w:left="1400" w:right="440"/>
        <w:spacing w:after="0" w:line="287" w:lineRule="auto"/>
        <w:rPr>
          <w:rFonts w:ascii="Arial" w:cs="Arial" w:eastAsia="Arial" w:hAnsi="Arial"/>
          <w:sz w:val="18"/>
          <w:szCs w:val="18"/>
          <w:color w:val="auto"/>
        </w:rPr>
      </w:pPr>
      <w:r>
        <w:rPr>
          <w:rFonts w:ascii="Arial" w:cs="Arial" w:eastAsia="Arial" w:hAnsi="Arial"/>
          <w:sz w:val="16"/>
          <w:szCs w:val="16"/>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w:t>
      </w:r>
    </w:p>
    <w:p>
      <w:pPr>
        <w:spacing w:after="0" w:line="2" w:lineRule="exact"/>
        <w:rPr>
          <w:rFonts w:ascii="Arial" w:cs="Arial" w:eastAsia="Arial" w:hAnsi="Arial"/>
          <w:sz w:val="18"/>
          <w:szCs w:val="18"/>
          <w:color w:val="auto"/>
        </w:rPr>
      </w:pPr>
    </w:p>
    <w:p>
      <w:pPr>
        <w:ind w:left="1400" w:hanging="528"/>
        <w:spacing w:after="0"/>
        <w:tabs>
          <w:tab w:leader="none" w:pos="1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which case it must be obtained from the President of the 17j-1 Organization.</w:t>
      </w:r>
    </w:p>
    <w:p>
      <w:pPr>
        <w:spacing w:after="0" w:line="237" w:lineRule="exact"/>
        <w:rPr>
          <w:rFonts w:ascii="Arial" w:cs="Arial" w:eastAsia="Arial" w:hAnsi="Arial"/>
          <w:sz w:val="18"/>
          <w:szCs w:val="18"/>
          <w:color w:val="auto"/>
        </w:rPr>
      </w:pPr>
    </w:p>
    <w:p>
      <w:pPr>
        <w:jc w:val="both"/>
        <w:ind w:left="1400" w:right="440"/>
        <w:spacing w:after="0" w:line="286" w:lineRule="auto"/>
        <w:rPr>
          <w:rFonts w:ascii="Arial" w:cs="Arial" w:eastAsia="Arial" w:hAnsi="Arial"/>
          <w:sz w:val="18"/>
          <w:szCs w:val="18"/>
          <w:color w:val="auto"/>
        </w:rPr>
      </w:pPr>
      <w:r>
        <w:rPr>
          <w:rFonts w:ascii="Arial" w:cs="Arial" w:eastAsia="Arial" w:hAnsi="Arial"/>
          <w:sz w:val="16"/>
          <w:szCs w:val="16"/>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w:t>
      </w:r>
    </w:p>
    <w:p>
      <w:pPr>
        <w:spacing w:after="0" w:line="1" w:lineRule="exact"/>
        <w:rPr>
          <w:rFonts w:ascii="Arial" w:cs="Arial" w:eastAsia="Arial" w:hAnsi="Arial"/>
          <w:sz w:val="18"/>
          <w:szCs w:val="18"/>
          <w:color w:val="auto"/>
        </w:rPr>
      </w:pPr>
    </w:p>
    <w:p>
      <w:pPr>
        <w:ind w:left="1400" w:hanging="535"/>
        <w:spacing w:after="0"/>
        <w:tabs>
          <w:tab w:leader="none" w:pos="1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between such issuer and the Access Person (or a party which the Access Person has a significant interest).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Reports by Access Persons</w:t>
      </w:r>
    </w:p>
    <w:p>
      <w:pPr>
        <w:spacing w:after="0" w:line="229" w:lineRule="exact"/>
        <w:rPr>
          <w:sz w:val="20"/>
          <w:szCs w:val="20"/>
          <w:color w:val="auto"/>
        </w:rPr>
      </w:pPr>
    </w:p>
    <w:p>
      <w:pPr>
        <w:ind w:left="1400" w:hanging="535"/>
        <w:spacing w:after="0"/>
        <w:tabs>
          <w:tab w:leader="none" w:pos="1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9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312" w:lineRule="exact"/>
        <w:rPr>
          <w:sz w:val="20"/>
          <w:szCs w:val="20"/>
          <w:color w:val="auto"/>
        </w:rPr>
      </w:pPr>
    </w:p>
    <w:p>
      <w:pPr>
        <w:ind w:left="1400" w:hanging="528"/>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ectPr>
          <w:pgSz w:w="11900" w:h="16838" w:orient="portrait"/>
          <w:cols w:equalWidth="0" w:num="1">
            <w:col w:w="11240"/>
          </w:cols>
          <w:pgMar w:left="320" w:top="742" w:right="339" w:bottom="1440" w:gutter="0" w:footer="0" w:header="0"/>
        </w:sectPr>
      </w:pPr>
    </w:p>
    <w:bookmarkStart w:id="125" w:name="page126"/>
    <w:bookmarkEnd w:id="125"/>
    <w:p>
      <w:pPr>
        <w:ind w:firstLine="864"/>
        <w:spacing w:after="0" w:line="277"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8" w:lineRule="exact"/>
        <w:rPr>
          <w:sz w:val="20"/>
          <w:szCs w:val="20"/>
          <w:color w:val="auto"/>
        </w:rPr>
      </w:pPr>
    </w:p>
    <w:p>
      <w:pPr>
        <w:ind w:left="1120" w:hanging="24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17" w:lineRule="exact"/>
        <w:rPr>
          <w:rFonts w:ascii="Arial" w:cs="Arial" w:eastAsia="Arial" w:hAnsi="Arial"/>
          <w:sz w:val="18"/>
          <w:szCs w:val="18"/>
          <w:color w:val="auto"/>
        </w:rPr>
      </w:pPr>
    </w:p>
    <w:p>
      <w:pPr>
        <w:ind w:firstLine="872"/>
        <w:spacing w:after="0" w:line="277" w:lineRule="auto"/>
        <w:tabs>
          <w:tab w:leader="none" w:pos="11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57" w:lineRule="exact"/>
        <w:rPr>
          <w:rFonts w:ascii="Arial" w:cs="Arial" w:eastAsia="Arial" w:hAnsi="Arial"/>
          <w:sz w:val="18"/>
          <w:szCs w:val="18"/>
          <w:color w:val="auto"/>
        </w:rPr>
      </w:pPr>
    </w:p>
    <w:p>
      <w:pPr>
        <w:ind w:left="1120" w:hanging="24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360" w:lineRule="exact"/>
        <w:rPr>
          <w:rFonts w:ascii="Arial" w:cs="Arial" w:eastAsia="Arial" w:hAnsi="Arial"/>
          <w:sz w:val="18"/>
          <w:szCs w:val="18"/>
          <w:color w:val="auto"/>
        </w:rPr>
      </w:pPr>
    </w:p>
    <w:p>
      <w:pPr>
        <w:ind w:left="1420" w:hanging="535"/>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9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299" w:lineRule="exact"/>
        <w:rPr>
          <w:sz w:val="20"/>
          <w:szCs w:val="20"/>
          <w:color w:val="auto"/>
        </w:rPr>
      </w:pPr>
    </w:p>
    <w:p>
      <w:pPr>
        <w:ind w:left="1400" w:hanging="535"/>
        <w:spacing w:after="0"/>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90"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281" w:lineRule="exact"/>
        <w:rPr>
          <w:sz w:val="20"/>
          <w:szCs w:val="20"/>
          <w:color w:val="auto"/>
        </w:rPr>
      </w:pPr>
    </w:p>
    <w:p>
      <w:pPr>
        <w:ind w:left="940"/>
        <w:spacing w:after="0"/>
        <w:tabs>
          <w:tab w:leader="none" w:pos="13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Brokerage Accounts and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Access Persons, except Independent Directors, shall:</w:t>
      </w:r>
    </w:p>
    <w:p>
      <w:pPr>
        <w:spacing w:after="0" w:line="63" w:lineRule="exact"/>
        <w:rPr>
          <w:sz w:val="20"/>
          <w:szCs w:val="20"/>
          <w:color w:val="auto"/>
        </w:rPr>
      </w:pPr>
    </w:p>
    <w:p>
      <w:pPr>
        <w:jc w:val="both"/>
        <w:ind w:firstLine="872"/>
        <w:spacing w:after="0" w:line="311"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40" w:lineRule="exact"/>
        <w:rPr>
          <w:rFonts w:ascii="Arial" w:cs="Arial" w:eastAsia="Arial" w:hAnsi="Arial"/>
          <w:sz w:val="16"/>
          <w:szCs w:val="16"/>
          <w:color w:val="auto"/>
        </w:rPr>
      </w:pPr>
    </w:p>
    <w:p>
      <w:pPr>
        <w:ind w:firstLine="872"/>
        <w:spacing w:after="0" w:line="277"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360" w:lineRule="exact"/>
        <w:rPr>
          <w:rFonts w:ascii="Arial" w:cs="Arial" w:eastAsia="Arial" w:hAnsi="Arial"/>
          <w:sz w:val="18"/>
          <w:szCs w:val="18"/>
          <w:color w:val="auto"/>
        </w:rPr>
      </w:pPr>
    </w:p>
    <w:p>
      <w:pPr>
        <w:ind w:left="1340" w:hanging="401"/>
        <w:spacing w:after="0"/>
        <w:tabs>
          <w:tab w:leader="none" w:pos="13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ectPr>
          <w:pgSz w:w="11900" w:h="16838" w:orient="portrait"/>
          <w:cols w:equalWidth="0" w:num="1">
            <w:col w:w="11240"/>
          </w:cols>
          <w:pgMar w:left="320" w:top="692" w:right="339" w:bottom="1440" w:gutter="0" w:footer="0" w:header="0"/>
        </w:sectPr>
      </w:pPr>
    </w:p>
    <w:bookmarkStart w:id="126" w:name="page127"/>
    <w:bookmarkEnd w:id="126"/>
    <w:p>
      <w:pPr>
        <w:ind w:left="1400" w:hanging="535"/>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9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322" w:lineRule="exact"/>
        <w:rPr>
          <w:sz w:val="20"/>
          <w:szCs w:val="20"/>
          <w:color w:val="auto"/>
        </w:rPr>
      </w:pPr>
    </w:p>
    <w:p>
      <w:pPr>
        <w:ind w:left="1400" w:hanging="528"/>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to File Reports.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All Quarterly Securities Transaction Reports and Personal Securities Holdings Reports must be filed with the Chief Compliance Officer.</w:t>
      </w:r>
    </w:p>
    <w:p>
      <w:pPr>
        <w:spacing w:after="0" w:line="372" w:lineRule="exact"/>
        <w:rPr>
          <w:sz w:val="20"/>
          <w:szCs w:val="20"/>
          <w:color w:val="auto"/>
        </w:rPr>
      </w:pPr>
    </w:p>
    <w:p>
      <w:pPr>
        <w:ind w:left="1340" w:hanging="401"/>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9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Additional Prohibitions</w:t>
      </w:r>
    </w:p>
    <w:p>
      <w:pPr>
        <w:spacing w:after="0" w:line="229" w:lineRule="exact"/>
        <w:rPr>
          <w:sz w:val="20"/>
          <w:szCs w:val="20"/>
          <w:color w:val="auto"/>
        </w:rPr>
      </w:pPr>
    </w:p>
    <w:p>
      <w:pPr>
        <w:ind w:left="1420" w:hanging="535"/>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9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322" w:lineRule="exact"/>
        <w:rPr>
          <w:sz w:val="20"/>
          <w:szCs w:val="20"/>
          <w:color w:val="auto"/>
        </w:rPr>
      </w:pPr>
    </w:p>
    <w:p>
      <w:pPr>
        <w:ind w:left="1400" w:hanging="535"/>
        <w:spacing w:after="0"/>
        <w:tabs>
          <w:tab w:leader="none" w:pos="1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319" w:lineRule="exact"/>
        <w:rPr>
          <w:sz w:val="20"/>
          <w:szCs w:val="20"/>
          <w:color w:val="auto"/>
        </w:rPr>
      </w:pPr>
    </w:p>
    <w:p>
      <w:pPr>
        <w:ind w:left="1400" w:hanging="535"/>
        <w:spacing w:after="0"/>
        <w:tabs>
          <w:tab w:leader="none" w:pos="1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Gratuities.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ectPr>
          <w:pgSz w:w="11900" w:h="16838" w:orient="portrait"/>
          <w:cols w:equalWidth="0" w:num="1">
            <w:col w:w="11240"/>
          </w:cols>
          <w:pgMar w:left="320" w:top="89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Section VII Prohibition Against Insider Trading</w:t>
      </w:r>
    </w:p>
    <w:p>
      <w:pPr>
        <w:spacing w:after="0" w:line="6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95" w:lineRule="exact"/>
        <w:rPr>
          <w:sz w:val="20"/>
          <w:szCs w:val="20"/>
          <w:color w:val="auto"/>
        </w:rPr>
      </w:pPr>
    </w:p>
    <w:p>
      <w:pPr>
        <w:ind w:left="1400" w:right="440"/>
        <w:spacing w:after="0" w:line="274" w:lineRule="auto"/>
        <w:rPr>
          <w:sz w:val="20"/>
          <w:szCs w:val="20"/>
          <w:color w:val="auto"/>
        </w:rPr>
      </w:pPr>
      <w:r>
        <w:rPr>
          <w:rFonts w:ascii="Arial" w:cs="Arial" w:eastAsia="Arial" w:hAnsi="Arial"/>
          <w:sz w:val="17"/>
          <w:szCs w:val="17"/>
          <w:color w:val="auto"/>
        </w:rPr>
        <w:t>No Advisory Person may trade a security, either personally or on behalf of any other person or account (including any fund), while in possession of material, non-public information concerning that security or the issuer thereof, nor may any Advisory</w:t>
      </w:r>
    </w:p>
    <w:p>
      <w:pPr>
        <w:ind w:left="1400" w:hanging="528"/>
        <w:spacing w:after="0"/>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 communicate material, non-public information to others in violation of the law.</w:t>
      </w:r>
    </w:p>
    <w:p>
      <w:pPr>
        <w:spacing w:after="0" w:line="237" w:lineRule="exact"/>
        <w:rPr>
          <w:rFonts w:ascii="Arial" w:cs="Arial" w:eastAsia="Arial" w:hAnsi="Arial"/>
          <w:sz w:val="18"/>
          <w:szCs w:val="18"/>
          <w:color w:val="auto"/>
        </w:rPr>
      </w:pPr>
    </w:p>
    <w:p>
      <w:pPr>
        <w:jc w:val="both"/>
        <w:ind w:left="1400" w:right="440"/>
        <w:spacing w:after="0" w:line="284" w:lineRule="auto"/>
        <w:rPr>
          <w:rFonts w:ascii="Arial" w:cs="Arial" w:eastAsia="Arial" w:hAnsi="Arial"/>
          <w:sz w:val="18"/>
          <w:szCs w:val="18"/>
          <w:color w:val="auto"/>
        </w:rPr>
      </w:pPr>
      <w:r>
        <w:rPr>
          <w:rFonts w:ascii="Arial" w:cs="Arial" w:eastAsia="Arial" w:hAnsi="Arial"/>
          <w:sz w:val="16"/>
          <w:szCs w:val="16"/>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w:t>
      </w:r>
    </w:p>
    <w:p>
      <w:pPr>
        <w:ind w:left="1400" w:hanging="535"/>
        <w:spacing w:after="0"/>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some contexts, be material. Pre-publication information regarding reports in the financial press may also be material.</w:t>
      </w:r>
    </w:p>
    <w:p>
      <w:pPr>
        <w:spacing w:after="0" w:line="237" w:lineRule="exact"/>
        <w:rPr>
          <w:rFonts w:ascii="Arial" w:cs="Arial" w:eastAsia="Arial" w:hAnsi="Arial"/>
          <w:sz w:val="18"/>
          <w:szCs w:val="18"/>
          <w:color w:val="auto"/>
        </w:rPr>
      </w:pPr>
    </w:p>
    <w:p>
      <w:pPr>
        <w:jc w:val="both"/>
        <w:ind w:left="1400" w:right="44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some other publication of general circulation, and after sufficient time has passed</w:t>
      </w:r>
    </w:p>
    <w:p>
      <w:pPr>
        <w:spacing w:after="0" w:line="2" w:lineRule="exact"/>
        <w:rPr>
          <w:rFonts w:ascii="Arial" w:cs="Arial" w:eastAsia="Arial" w:hAnsi="Arial"/>
          <w:sz w:val="18"/>
          <w:szCs w:val="18"/>
          <w:color w:val="auto"/>
        </w:rPr>
      </w:pPr>
    </w:p>
    <w:p>
      <w:pPr>
        <w:ind w:left="1400" w:hanging="528"/>
        <w:spacing w:after="0"/>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 that the information has been disseminated widely.</w:t>
      </w:r>
    </w:p>
    <w:p>
      <w:pPr>
        <w:spacing w:after="0" w:line="237" w:lineRule="exact"/>
        <w:rPr>
          <w:rFonts w:ascii="Arial" w:cs="Arial" w:eastAsia="Arial" w:hAnsi="Arial"/>
          <w:sz w:val="18"/>
          <w:szCs w:val="18"/>
          <w:color w:val="auto"/>
        </w:rPr>
      </w:pPr>
    </w:p>
    <w:p>
      <w:pPr>
        <w:jc w:val="both"/>
        <w:ind w:left="1400" w:right="440"/>
        <w:spacing w:after="0" w:line="287" w:lineRule="auto"/>
        <w:rPr>
          <w:rFonts w:ascii="Arial" w:cs="Arial" w:eastAsia="Arial" w:hAnsi="Arial"/>
          <w:sz w:val="18"/>
          <w:szCs w:val="18"/>
          <w:color w:val="auto"/>
        </w:rPr>
      </w:pPr>
      <w:r>
        <w:rPr>
          <w:rFonts w:ascii="Arial" w:cs="Arial" w:eastAsia="Arial" w:hAnsi="Arial"/>
          <w:sz w:val="16"/>
          <w:szCs w:val="16"/>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w:t>
      </w:r>
    </w:p>
    <w:p>
      <w:pPr>
        <w:spacing w:after="0" w:line="2" w:lineRule="exact"/>
        <w:rPr>
          <w:rFonts w:ascii="Arial" w:cs="Arial" w:eastAsia="Arial" w:hAnsi="Arial"/>
          <w:sz w:val="18"/>
          <w:szCs w:val="18"/>
          <w:color w:val="auto"/>
        </w:rPr>
      </w:pPr>
    </w:p>
    <w:p>
      <w:pPr>
        <w:ind w:left="1400" w:hanging="535"/>
        <w:spacing w:after="0"/>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material, non-public information must take the following steps:</w:t>
      </w:r>
    </w:p>
    <w:p>
      <w:pPr>
        <w:spacing w:after="0" w:line="386" w:lineRule="exact"/>
        <w:rPr>
          <w:rFonts w:ascii="Arial" w:cs="Arial" w:eastAsia="Arial" w:hAnsi="Arial"/>
          <w:sz w:val="18"/>
          <w:szCs w:val="18"/>
          <w:color w:val="auto"/>
        </w:rPr>
      </w:pPr>
    </w:p>
    <w:p>
      <w:pPr>
        <w:ind w:left="1860" w:hanging="516"/>
        <w:spacing w:after="0"/>
        <w:tabs>
          <w:tab w:leader="none" w:pos="18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252" w:lineRule="exact"/>
        <w:rPr>
          <w:rFonts w:ascii="Arial" w:cs="Arial" w:eastAsia="Arial" w:hAnsi="Arial"/>
          <w:sz w:val="18"/>
          <w:szCs w:val="18"/>
          <w:color w:val="auto"/>
        </w:rPr>
      </w:pPr>
    </w:p>
    <w:p>
      <w:pPr>
        <w:ind w:left="1860" w:hanging="516"/>
        <w:spacing w:after="0"/>
        <w:tabs>
          <w:tab w:leader="none" w:pos="18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252" w:lineRule="exact"/>
        <w:rPr>
          <w:rFonts w:ascii="Arial" w:cs="Arial" w:eastAsia="Arial" w:hAnsi="Arial"/>
          <w:sz w:val="18"/>
          <w:szCs w:val="18"/>
          <w:color w:val="auto"/>
        </w:rPr>
      </w:pPr>
    </w:p>
    <w:p>
      <w:pPr>
        <w:ind w:left="1860" w:hanging="516"/>
        <w:spacing w:after="0"/>
        <w:tabs>
          <w:tab w:leader="none" w:pos="18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ectPr>
          <w:pgSz w:w="11900" w:h="16838" w:orient="portrait"/>
          <w:cols w:equalWidth="0" w:num="1">
            <w:col w:w="11240"/>
          </w:cols>
          <w:pgMar w:left="320" w:top="580" w:right="339" w:bottom="1440" w:gutter="0" w:footer="0" w:header="0"/>
        </w:sectPr>
      </w:pPr>
    </w:p>
    <w:bookmarkStart w:id="128" w:name="page129"/>
    <w:bookmarkEnd w:id="128"/>
    <w:p>
      <w:pPr>
        <w:jc w:val="both"/>
        <w:spacing w:after="0" w:line="263"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4" w:lineRule="exact"/>
        <w:rPr>
          <w:sz w:val="20"/>
          <w:szCs w:val="20"/>
          <w:color w:val="auto"/>
        </w:rPr>
      </w:pPr>
    </w:p>
    <w:p>
      <w:pPr>
        <w:jc w:val="both"/>
        <w:ind w:left="1340" w:right="520"/>
        <w:spacing w:after="0" w:line="283" w:lineRule="auto"/>
        <w:rPr>
          <w:sz w:val="20"/>
          <w:szCs w:val="20"/>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w:t>
      </w:r>
    </w:p>
    <w:p>
      <w:pPr>
        <w:spacing w:after="0" w:line="6" w:lineRule="exact"/>
        <w:rPr>
          <w:sz w:val="20"/>
          <w:szCs w:val="20"/>
          <w:color w:val="auto"/>
        </w:rPr>
      </w:pPr>
    </w:p>
    <w:p>
      <w:pPr>
        <w:ind w:left="1340" w:hanging="401"/>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Corporation.</w:t>
      </w:r>
    </w:p>
    <w:p>
      <w:pPr>
        <w:spacing w:after="0" w:line="237" w:lineRule="exact"/>
        <w:rPr>
          <w:rFonts w:ascii="Arial" w:cs="Arial" w:eastAsia="Arial" w:hAnsi="Arial"/>
          <w:sz w:val="18"/>
          <w:szCs w:val="18"/>
          <w:color w:val="auto"/>
        </w:rPr>
      </w:pPr>
    </w:p>
    <w:p>
      <w:pPr>
        <w:jc w:val="both"/>
        <w:ind w:left="1340" w:right="520"/>
        <w:spacing w:after="0" w:line="284" w:lineRule="auto"/>
        <w:rPr>
          <w:rFonts w:ascii="Arial" w:cs="Arial" w:eastAsia="Arial" w:hAnsi="Arial"/>
          <w:sz w:val="18"/>
          <w:szCs w:val="18"/>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w:t>
      </w:r>
    </w:p>
    <w:p>
      <w:pPr>
        <w:spacing w:after="0" w:line="2" w:lineRule="exact"/>
        <w:rPr>
          <w:rFonts w:ascii="Arial" w:cs="Arial" w:eastAsia="Arial" w:hAnsi="Arial"/>
          <w:sz w:val="18"/>
          <w:szCs w:val="18"/>
          <w:color w:val="auto"/>
        </w:rPr>
      </w:pPr>
    </w:p>
    <w:p>
      <w:pPr>
        <w:ind w:left="1340" w:hanging="401"/>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material, non-public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Annual Certification</w:t>
      </w:r>
    </w:p>
    <w:p>
      <w:pPr>
        <w:spacing w:after="0" w:line="229" w:lineRule="exact"/>
        <w:rPr>
          <w:sz w:val="20"/>
          <w:szCs w:val="20"/>
          <w:color w:val="auto"/>
        </w:rPr>
      </w:pPr>
    </w:p>
    <w:p>
      <w:pPr>
        <w:ind w:left="1400" w:hanging="528"/>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9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319" w:lineRule="exact"/>
        <w:rPr>
          <w:sz w:val="20"/>
          <w:szCs w:val="20"/>
          <w:color w:val="auto"/>
        </w:rPr>
      </w:pPr>
    </w:p>
    <w:p>
      <w:pPr>
        <w:ind w:left="1400" w:hanging="528"/>
        <w:spacing w:after="0"/>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9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ectPr>
          <w:pgSz w:w="11900" w:h="16838" w:orient="portrait"/>
          <w:cols w:equalWidth="0" w:num="1">
            <w:col w:w="11240"/>
          </w:cols>
          <w:pgMar w:left="320" w:top="692"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Section IX Sanctions</w:t>
      </w:r>
    </w:p>
    <w:p>
      <w:pPr>
        <w:spacing w:after="0" w:line="6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Administration and Construction</w:t>
      </w:r>
    </w:p>
    <w:p>
      <w:pPr>
        <w:spacing w:after="0" w:line="229" w:lineRule="exact"/>
        <w:rPr>
          <w:sz w:val="20"/>
          <w:szCs w:val="20"/>
          <w:color w:val="auto"/>
        </w:rPr>
      </w:pPr>
    </w:p>
    <w:p>
      <w:pPr>
        <w:ind w:left="1400" w:hanging="535"/>
        <w:spacing w:after="0"/>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252" w:lineRule="exact"/>
        <w:rPr>
          <w:rFonts w:ascii="Arial" w:cs="Arial" w:eastAsia="Arial" w:hAnsi="Arial"/>
          <w:sz w:val="18"/>
          <w:szCs w:val="18"/>
          <w:color w:val="auto"/>
        </w:rPr>
      </w:pPr>
    </w:p>
    <w:p>
      <w:pPr>
        <w:ind w:left="1400" w:hanging="528"/>
        <w:spacing w:after="0"/>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90" w:lineRule="exact"/>
        <w:rPr>
          <w:sz w:val="20"/>
          <w:szCs w:val="20"/>
          <w:color w:val="auto"/>
        </w:rPr>
      </w:pPr>
    </w:p>
    <w:p>
      <w:pPr>
        <w:jc w:val="both"/>
        <w:ind w:firstLine="872"/>
        <w:spacing w:after="0" w:line="263" w:lineRule="auto"/>
        <w:tabs>
          <w:tab w:leader="none" w:pos="11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5" w:lineRule="exact"/>
        <w:rPr>
          <w:rFonts w:ascii="Arial" w:cs="Arial" w:eastAsia="Arial" w:hAnsi="Arial"/>
          <w:sz w:val="18"/>
          <w:szCs w:val="18"/>
          <w:color w:val="auto"/>
        </w:rPr>
      </w:pPr>
    </w:p>
    <w:p>
      <w:pPr>
        <w:ind w:firstLine="872"/>
        <w:spacing w:after="0" w:line="277" w:lineRule="auto"/>
        <w:tabs>
          <w:tab w:leader="none" w:pos="11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62" w:lineRule="exact"/>
        <w:rPr>
          <w:rFonts w:ascii="Arial" w:cs="Arial" w:eastAsia="Arial" w:hAnsi="Arial"/>
          <w:sz w:val="18"/>
          <w:szCs w:val="18"/>
          <w:color w:val="auto"/>
        </w:rPr>
      </w:pPr>
    </w:p>
    <w:p>
      <w:pPr>
        <w:ind w:left="1120" w:hanging="248"/>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17" w:lineRule="exact"/>
        <w:rPr>
          <w:rFonts w:ascii="Arial" w:cs="Arial" w:eastAsia="Arial" w:hAnsi="Arial"/>
          <w:sz w:val="18"/>
          <w:szCs w:val="18"/>
          <w:color w:val="auto"/>
        </w:rPr>
      </w:pPr>
    </w:p>
    <w:p>
      <w:pPr>
        <w:ind w:firstLine="872"/>
        <w:spacing w:after="0" w:line="277" w:lineRule="auto"/>
        <w:tabs>
          <w:tab w:leader="none" w:pos="11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2" w:lineRule="exact"/>
        <w:rPr>
          <w:rFonts w:ascii="Arial" w:cs="Arial" w:eastAsia="Arial" w:hAnsi="Arial"/>
          <w:sz w:val="18"/>
          <w:szCs w:val="18"/>
          <w:color w:val="auto"/>
        </w:rPr>
      </w:pPr>
    </w:p>
    <w:p>
      <w:pPr>
        <w:ind w:firstLine="872"/>
        <w:spacing w:after="0" w:line="277" w:lineRule="auto"/>
        <w:tabs>
          <w:tab w:leader="none" w:pos="11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62" w:lineRule="exact"/>
        <w:rPr>
          <w:rFonts w:ascii="Arial" w:cs="Arial" w:eastAsia="Arial" w:hAnsi="Arial"/>
          <w:sz w:val="18"/>
          <w:szCs w:val="18"/>
          <w:color w:val="auto"/>
        </w:rPr>
      </w:pPr>
    </w:p>
    <w:p>
      <w:pPr>
        <w:ind w:firstLine="872"/>
        <w:spacing w:after="0" w:line="277" w:lineRule="auto"/>
        <w:tabs>
          <w:tab w:leader="none" w:pos="11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62" w:lineRule="exact"/>
        <w:rPr>
          <w:rFonts w:ascii="Arial" w:cs="Arial" w:eastAsia="Arial" w:hAnsi="Arial"/>
          <w:sz w:val="18"/>
          <w:szCs w:val="18"/>
          <w:color w:val="auto"/>
        </w:rPr>
      </w:pPr>
    </w:p>
    <w:p>
      <w:pPr>
        <w:ind w:firstLine="872"/>
        <w:spacing w:after="0" w:line="308" w:lineRule="auto"/>
        <w:tabs>
          <w:tab w:leader="none" w:pos="1137"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Chief Financial Officer shall maintain and cause to be maintained in an easily accessible place at the principal place of</w:t>
      </w:r>
    </w:p>
    <w:p>
      <w:pPr>
        <w:spacing w:after="0" w:line="23" w:lineRule="exact"/>
        <w:rPr>
          <w:sz w:val="20"/>
          <w:szCs w:val="20"/>
          <w:color w:val="auto"/>
        </w:rPr>
      </w:pPr>
    </w:p>
    <w:p>
      <w:pPr>
        <w:ind w:left="1420" w:hanging="535"/>
        <w:spacing w:after="0"/>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business of the 17j-1 Organization, the following records:</w:t>
      </w:r>
    </w:p>
    <w:p>
      <w:pPr>
        <w:spacing w:after="0" w:line="75" w:lineRule="exact"/>
        <w:rPr>
          <w:rFonts w:ascii="Arial" w:cs="Arial" w:eastAsia="Arial" w:hAnsi="Arial"/>
          <w:sz w:val="18"/>
          <w:szCs w:val="18"/>
          <w:color w:val="auto"/>
        </w:rPr>
      </w:pPr>
    </w:p>
    <w:p>
      <w:pPr>
        <w:ind w:right="20" w:firstLine="872"/>
        <w:spacing w:after="0" w:line="277" w:lineRule="auto"/>
        <w:tabs>
          <w:tab w:leader="none" w:pos="11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62" w:lineRule="exact"/>
        <w:rPr>
          <w:rFonts w:ascii="Arial" w:cs="Arial" w:eastAsia="Arial" w:hAnsi="Arial"/>
          <w:sz w:val="18"/>
          <w:szCs w:val="18"/>
          <w:color w:val="auto"/>
        </w:rPr>
      </w:pPr>
    </w:p>
    <w:p>
      <w:pPr>
        <w:ind w:firstLine="872"/>
        <w:spacing w:after="0" w:line="277"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62" w:lineRule="exact"/>
        <w:rPr>
          <w:rFonts w:ascii="Arial" w:cs="Arial" w:eastAsia="Arial" w:hAnsi="Arial"/>
          <w:sz w:val="18"/>
          <w:szCs w:val="18"/>
          <w:color w:val="auto"/>
        </w:rPr>
      </w:pPr>
    </w:p>
    <w:p>
      <w:pPr>
        <w:ind w:firstLine="872"/>
        <w:spacing w:after="0" w:line="277" w:lineRule="auto"/>
        <w:tabs>
          <w:tab w:leader="none" w:pos="11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ectPr>
          <w:pgSz w:w="11900" w:h="16838" w:orient="portrait"/>
          <w:cols w:equalWidth="0" w:num="1">
            <w:col w:w="11240"/>
          </w:cols>
          <w:pgMar w:left="320" w:top="742" w:right="339" w:bottom="1440" w:gutter="0" w:footer="0" w:header="0"/>
        </w:sectPr>
      </w:pPr>
    </w:p>
    <w:bookmarkStart w:id="130" w:name="page131"/>
    <w:bookmarkEnd w:id="130"/>
    <w:p>
      <w:pPr>
        <w:ind w:firstLine="872"/>
        <w:spacing w:after="0" w:line="308" w:lineRule="auto"/>
        <w:tabs>
          <w:tab w:leader="none" w:pos="1119"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38" w:lineRule="exact"/>
        <w:rPr>
          <w:rFonts w:ascii="Arial" w:cs="Arial" w:eastAsia="Arial" w:hAnsi="Arial"/>
          <w:sz w:val="17"/>
          <w:szCs w:val="17"/>
          <w:color w:val="auto"/>
        </w:rPr>
      </w:pPr>
    </w:p>
    <w:p>
      <w:pPr>
        <w:ind w:firstLine="872"/>
        <w:spacing w:after="0" w:line="277" w:lineRule="auto"/>
        <w:tabs>
          <w:tab w:leader="none" w:pos="11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62" w:lineRule="exact"/>
        <w:rPr>
          <w:rFonts w:ascii="Arial" w:cs="Arial" w:eastAsia="Arial" w:hAnsi="Arial"/>
          <w:sz w:val="18"/>
          <w:szCs w:val="18"/>
          <w:color w:val="auto"/>
        </w:rPr>
      </w:pPr>
    </w:p>
    <w:p>
      <w:pPr>
        <w:ind w:firstLine="872"/>
        <w:spacing w:after="0" w:line="277"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62" w:lineRule="exact"/>
        <w:rPr>
          <w:rFonts w:ascii="Arial" w:cs="Arial" w:eastAsia="Arial" w:hAnsi="Arial"/>
          <w:sz w:val="18"/>
          <w:szCs w:val="18"/>
          <w:color w:val="auto"/>
        </w:rPr>
      </w:pPr>
    </w:p>
    <w:p>
      <w:pPr>
        <w:ind w:firstLine="872"/>
        <w:spacing w:after="0" w:line="308" w:lineRule="auto"/>
        <w:tabs>
          <w:tab w:leader="none" w:pos="1138"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This Code may not be amended or modified except in a written form that is specifically approved by majority vote of the</w:t>
      </w:r>
    </w:p>
    <w:p>
      <w:pPr>
        <w:spacing w:after="0" w:line="23" w:lineRule="exact"/>
        <w:rPr>
          <w:sz w:val="20"/>
          <w:szCs w:val="20"/>
          <w:color w:val="auto"/>
        </w:rPr>
      </w:pPr>
    </w:p>
    <w:p>
      <w:pPr>
        <w:ind w:left="1420" w:hanging="535"/>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13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This Joint Code of Ethics, originally adopted December 12, 2007, is annually reviewed and approved by the Board of Directors of the Corporation, including a majority of the Independent Directors.</w:t>
      </w:r>
    </w:p>
    <w:p>
      <w:pPr>
        <w:sectPr>
          <w:pgSz w:w="11900" w:h="16838" w:orient="portrait"/>
          <w:cols w:equalWidth="0" w:num="1">
            <w:col w:w="11240"/>
          </w:cols>
          <w:pgMar w:left="320" w:top="692"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760" w:type="dxa"/>
            <w:vAlign w:val="bottom"/>
          </w:tcPr>
          <w:p>
            <w:pPr>
              <w:jc w:val="right"/>
              <w:ind w:right="1474"/>
              <w:spacing w:after="0"/>
              <w:rPr>
                <w:sz w:val="20"/>
                <w:szCs w:val="20"/>
                <w:color w:val="auto"/>
              </w:rPr>
            </w:pPr>
            <w:r>
              <w:rPr>
                <w:rFonts w:ascii="Arial" w:cs="Arial" w:eastAsia="Arial" w:hAnsi="Arial"/>
                <w:sz w:val="14"/>
                <w:szCs w:val="14"/>
                <w:b w:val="1"/>
                <w:bCs w:val="1"/>
                <w:color w:val="auto"/>
              </w:rPr>
              <w:t>Exhibit 21.1</w:t>
            </w:r>
          </w:p>
        </w:tc>
        <w:tc>
          <w:tcPr>
            <w:tcW w:w="1600" w:type="dxa"/>
            <w:vAlign w:val="bottom"/>
          </w:tcPr>
          <w:p>
            <w:pPr>
              <w:spacing w:after="0"/>
              <w:rPr>
                <w:sz w:val="16"/>
                <w:szCs w:val="16"/>
                <w:color w:val="auto"/>
              </w:rPr>
            </w:pPr>
          </w:p>
        </w:tc>
      </w:tr>
      <w:tr>
        <w:trPr>
          <w:trHeight w:val="823"/>
        </w:trPr>
        <w:tc>
          <w:tcPr>
            <w:tcW w:w="5600" w:type="dxa"/>
            <w:vAlign w:val="bottom"/>
            <w:gridSpan w:val="2"/>
          </w:tcPr>
          <w:p>
            <w:pPr>
              <w:spacing w:after="0"/>
              <w:rPr>
                <w:sz w:val="20"/>
                <w:szCs w:val="20"/>
                <w:color w:val="auto"/>
              </w:rPr>
            </w:pPr>
            <w:r>
              <w:rPr>
                <w:rFonts w:ascii="Arial" w:cs="Arial" w:eastAsia="Arial" w:hAnsi="Arial"/>
                <w:sz w:val="14"/>
                <w:szCs w:val="14"/>
                <w:color w:val="auto"/>
              </w:rPr>
              <w:t>The following lists sets forth each of our subsidiaries:</w:t>
            </w:r>
          </w:p>
        </w:tc>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60"/>
        </w:trPr>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760" w:type="dxa"/>
            <w:vAlign w:val="bottom"/>
          </w:tcPr>
          <w:p>
            <w:pPr>
              <w:jc w:val="right"/>
              <w:ind w:right="914"/>
              <w:spacing w:after="0"/>
              <w:rPr>
                <w:sz w:val="20"/>
                <w:szCs w:val="20"/>
                <w:color w:val="auto"/>
              </w:rPr>
            </w:pPr>
            <w:r>
              <w:rPr>
                <w:rFonts w:ascii="Arial" w:cs="Arial" w:eastAsia="Arial" w:hAnsi="Arial"/>
                <w:sz w:val="11"/>
                <w:szCs w:val="11"/>
                <w:b w:val="1"/>
                <w:bCs w:val="1"/>
                <w:color w:val="auto"/>
              </w:rPr>
              <w:t>Voting Securities</w:t>
            </w:r>
          </w:p>
        </w:tc>
        <w:tc>
          <w:tcPr>
            <w:tcW w:w="1600" w:type="dxa"/>
            <w:vAlign w:val="bottom"/>
          </w:tcPr>
          <w:p>
            <w:pPr>
              <w:spacing w:after="0"/>
              <w:rPr>
                <w:sz w:val="24"/>
                <w:szCs w:val="24"/>
                <w:color w:val="auto"/>
              </w:rPr>
            </w:pPr>
          </w:p>
        </w:tc>
      </w:tr>
      <w:tr>
        <w:trPr>
          <w:trHeight w:val="140"/>
        </w:trPr>
        <w:tc>
          <w:tcPr>
            <w:tcW w:w="440" w:type="dxa"/>
            <w:vAlign w:val="bottom"/>
          </w:tcPr>
          <w:p>
            <w:pPr>
              <w:spacing w:after="0"/>
              <w:rPr>
                <w:sz w:val="12"/>
                <w:szCs w:val="12"/>
                <w:color w:val="auto"/>
              </w:rPr>
            </w:pPr>
          </w:p>
        </w:tc>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Name of entity and place of jurisdiction</w:t>
            </w:r>
          </w:p>
        </w:tc>
        <w:tc>
          <w:tcPr>
            <w:tcW w:w="2760" w:type="dxa"/>
            <w:vAlign w:val="bottom"/>
          </w:tcPr>
          <w:p>
            <w:pPr>
              <w:jc w:val="right"/>
              <w:ind w:right="854"/>
              <w:spacing w:after="0"/>
              <w:rPr>
                <w:sz w:val="20"/>
                <w:szCs w:val="20"/>
                <w:color w:val="auto"/>
              </w:rPr>
            </w:pPr>
            <w:r>
              <w:rPr>
                <w:rFonts w:ascii="Arial" w:cs="Arial" w:eastAsia="Arial" w:hAnsi="Arial"/>
                <w:sz w:val="11"/>
                <w:szCs w:val="11"/>
                <w:b w:val="1"/>
                <w:bCs w:val="1"/>
                <w:color w:val="auto"/>
              </w:rPr>
              <w:t>Owned Percentage</w:t>
            </w:r>
          </w:p>
        </w:tc>
        <w:tc>
          <w:tcPr>
            <w:tcW w:w="1600" w:type="dxa"/>
            <w:vAlign w:val="bottom"/>
          </w:tcPr>
          <w:p>
            <w:pPr>
              <w:spacing w:after="0"/>
              <w:rPr>
                <w:sz w:val="12"/>
                <w:szCs w:val="12"/>
                <w:color w:val="auto"/>
              </w:rPr>
            </w:pPr>
          </w:p>
        </w:tc>
      </w:tr>
      <w:tr>
        <w:trPr>
          <w:trHeight w:val="22"/>
        </w:trPr>
        <w:tc>
          <w:tcPr>
            <w:tcW w:w="440" w:type="dxa"/>
            <w:vAlign w:val="bottom"/>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PennantPark SBIC LP (Delaware)</w:t>
            </w:r>
          </w:p>
        </w:tc>
        <w:tc>
          <w:tcPr>
            <w:tcW w:w="2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100</w:t>
            </w:r>
          </w:p>
        </w:tc>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auto"/>
                <w:vertAlign w:val="superscript"/>
              </w:rPr>
              <w:t>(</w:t>
            </w:r>
            <w:r>
              <w:rPr>
                <w:rFonts w:ascii="Arial" w:cs="Arial" w:eastAsia="Arial" w:hAnsi="Arial"/>
                <w:sz w:val="8"/>
                <w:szCs w:val="8"/>
                <w:color w:val="auto"/>
              </w:rPr>
              <w:t>1)</w:t>
            </w:r>
          </w:p>
        </w:tc>
      </w:tr>
      <w:tr>
        <w:trPr>
          <w:trHeight w:val="210"/>
        </w:trPr>
        <w:tc>
          <w:tcPr>
            <w:tcW w:w="44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4"/>
                <w:szCs w:val="14"/>
                <w:color w:val="auto"/>
              </w:rPr>
              <w:t>PennantPark GP, LLC (Delaware)</w:t>
            </w:r>
          </w:p>
        </w:tc>
        <w:tc>
          <w:tcPr>
            <w:tcW w:w="2760" w:type="dxa"/>
            <w:vAlign w:val="bottom"/>
          </w:tcPr>
          <w:p>
            <w:pPr>
              <w:jc w:val="right"/>
              <w:ind w:right="34"/>
              <w:spacing w:after="0"/>
              <w:rPr>
                <w:sz w:val="20"/>
                <w:szCs w:val="20"/>
                <w:color w:val="auto"/>
              </w:rPr>
            </w:pPr>
            <w:r>
              <w:rPr>
                <w:rFonts w:ascii="Arial" w:cs="Arial" w:eastAsia="Arial" w:hAnsi="Arial"/>
                <w:sz w:val="14"/>
                <w:szCs w:val="14"/>
                <w:color w:val="auto"/>
              </w:rPr>
              <w:t>100</w:t>
            </w:r>
          </w:p>
        </w:tc>
        <w:tc>
          <w:tcPr>
            <w:tcW w:w="160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222"/>
        </w:trPr>
        <w:tc>
          <w:tcPr>
            <w:tcW w:w="44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PNNT Alabama Holdings Inc. (Delaware)</w:t>
            </w:r>
          </w:p>
        </w:tc>
        <w:tc>
          <w:tcPr>
            <w:tcW w:w="2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100</w:t>
            </w:r>
          </w:p>
        </w:tc>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auto"/>
                <w:vertAlign w:val="superscript"/>
              </w:rPr>
              <w:t>(</w:t>
            </w:r>
            <w:r>
              <w:rPr>
                <w:rFonts w:ascii="Arial" w:cs="Arial" w:eastAsia="Arial" w:hAnsi="Arial"/>
                <w:sz w:val="8"/>
                <w:szCs w:val="8"/>
                <w:color w:val="auto"/>
              </w:rPr>
              <w:t>2)</w:t>
            </w:r>
          </w:p>
        </w:tc>
      </w:tr>
      <w:tr>
        <w:trPr>
          <w:trHeight w:val="190"/>
        </w:trPr>
        <w:tc>
          <w:tcPr>
            <w:tcW w:w="5600" w:type="dxa"/>
            <w:vAlign w:val="bottom"/>
            <w:gridSpan w:val="2"/>
          </w:tcPr>
          <w:p>
            <w:pPr>
              <w:ind w:left="460"/>
              <w:spacing w:after="0"/>
              <w:rPr>
                <w:sz w:val="20"/>
                <w:szCs w:val="20"/>
                <w:color w:val="auto"/>
              </w:rPr>
            </w:pPr>
            <w:r>
              <w:rPr>
                <w:rFonts w:ascii="Arial" w:cs="Arial" w:eastAsia="Arial" w:hAnsi="Arial"/>
                <w:sz w:val="14"/>
                <w:szCs w:val="14"/>
                <w:color w:val="auto"/>
              </w:rPr>
              <w:t>_____  _______________________________________________</w:t>
            </w:r>
          </w:p>
        </w:tc>
        <w:tc>
          <w:tcPr>
            <w:tcW w:w="276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20" w:lineRule="exact"/>
        <w:rPr>
          <w:sz w:val="20"/>
          <w:szCs w:val="20"/>
          <w:color w:val="auto"/>
        </w:rPr>
      </w:pPr>
    </w:p>
    <w:p>
      <w:pPr>
        <w:ind w:left="960" w:hanging="362"/>
        <w:spacing w:after="0"/>
        <w:tabs>
          <w:tab w:leader="none" w:pos="9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entity is directly owned 99% by us and 1% by PennantPark GP, LLC, which is effectively wholly-owned by us.</w:t>
      </w:r>
    </w:p>
    <w:p>
      <w:pPr>
        <w:spacing w:after="0" w:line="109" w:lineRule="exact"/>
        <w:rPr>
          <w:rFonts w:ascii="Arial" w:cs="Arial" w:eastAsia="Arial" w:hAnsi="Arial"/>
          <w:sz w:val="14"/>
          <w:szCs w:val="14"/>
          <w:color w:val="auto"/>
        </w:rPr>
      </w:pPr>
    </w:p>
    <w:p>
      <w:pPr>
        <w:ind w:left="960" w:hanging="362"/>
        <w:spacing w:after="0"/>
        <w:tabs>
          <w:tab w:leader="none" w:pos="9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entity is non-operational.</w:t>
      </w:r>
    </w:p>
    <w:p>
      <w:pPr>
        <w:sectPr>
          <w:pgSz w:w="11900" w:h="16838" w:orient="portrait"/>
          <w:cols w:equalWidth="0" w:num="1">
            <w:col w:w="9960"/>
          </w:cols>
          <w:pgMar w:left="740" w:top="670" w:right="11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EXHIBIT 31.1</w:t>
      </w:r>
    </w:p>
    <w:p>
      <w:pPr>
        <w:spacing w:after="0" w:line="16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Chairman of the Board and Chief Executive Officer of PennantPark Investment Corporation, certify that:</w:t>
      </w:r>
    </w:p>
    <w:p>
      <w:pPr>
        <w:spacing w:after="0" w:line="163" w:lineRule="exact"/>
        <w:rPr>
          <w:sz w:val="20"/>
          <w:szCs w:val="20"/>
          <w:color w:val="auto"/>
        </w:rPr>
      </w:pPr>
    </w:p>
    <w:p>
      <w:pPr>
        <w:ind w:left="580" w:hanging="140"/>
        <w:spacing w:after="0"/>
        <w:tabs>
          <w:tab w:leader="none" w:pos="5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63" w:lineRule="exact"/>
        <w:rPr>
          <w:rFonts w:ascii="Arial" w:cs="Arial" w:eastAsia="Arial" w:hAnsi="Arial"/>
          <w:sz w:val="14"/>
          <w:szCs w:val="14"/>
          <w:color w:val="auto"/>
        </w:rPr>
      </w:pPr>
    </w:p>
    <w:p>
      <w:pPr>
        <w:ind w:right="440" w:firstLine="440"/>
        <w:spacing w:after="0" w:line="273" w:lineRule="auto"/>
        <w:tabs>
          <w:tab w:leader="none" w:pos="5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540" w:firstLine="440"/>
        <w:spacing w:after="0" w:line="273" w:lineRule="auto"/>
        <w:tabs>
          <w:tab w:leader="none" w:pos="5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100" w:firstLine="440"/>
        <w:spacing w:after="0" w:line="273" w:lineRule="auto"/>
        <w:tabs>
          <w:tab w:leader="none" w:pos="5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4"/>
          <w:szCs w:val="14"/>
          <w:color w:val="auto"/>
        </w:rPr>
      </w:pPr>
    </w:p>
    <w:p>
      <w:pPr>
        <w:jc w:val="both"/>
        <w:ind w:left="440" w:right="160" w:firstLine="432"/>
        <w:spacing w:after="0" w:line="257" w:lineRule="auto"/>
        <w:tabs>
          <w:tab w:leader="none" w:pos="10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9" w:lineRule="exact"/>
        <w:rPr>
          <w:rFonts w:ascii="Arial" w:cs="Arial" w:eastAsia="Arial" w:hAnsi="Arial"/>
          <w:sz w:val="14"/>
          <w:szCs w:val="14"/>
          <w:color w:val="auto"/>
        </w:rPr>
      </w:pPr>
    </w:p>
    <w:p>
      <w:pPr>
        <w:ind w:left="440" w:right="60" w:firstLine="432"/>
        <w:spacing w:after="0" w:line="312" w:lineRule="auto"/>
        <w:tabs>
          <w:tab w:leader="none" w:pos="1028"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 w:lineRule="exact"/>
        <w:rPr>
          <w:rFonts w:ascii="Arial" w:cs="Arial" w:eastAsia="Arial" w:hAnsi="Arial"/>
          <w:sz w:val="13"/>
          <w:szCs w:val="13"/>
          <w:color w:val="auto"/>
        </w:rPr>
      </w:pPr>
    </w:p>
    <w:p>
      <w:pPr>
        <w:ind w:left="440" w:right="200" w:firstLine="432"/>
        <w:spacing w:after="0" w:line="273" w:lineRule="auto"/>
        <w:tabs>
          <w:tab w:leader="none" w:pos="10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4"/>
          <w:szCs w:val="14"/>
          <w:color w:val="auto"/>
        </w:rPr>
      </w:pPr>
    </w:p>
    <w:p>
      <w:pPr>
        <w:ind w:left="440" w:right="260" w:firstLine="432"/>
        <w:spacing w:after="0" w:line="312" w:lineRule="auto"/>
        <w:tabs>
          <w:tab w:leader="none" w:pos="1028"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0"/>
        <w:spacing w:after="0" w:line="273" w:lineRule="auto"/>
        <w:tabs>
          <w:tab w:leader="none" w:pos="5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left="440" w:right="300" w:firstLine="432"/>
        <w:spacing w:after="0" w:line="273" w:lineRule="auto"/>
        <w:tabs>
          <w:tab w:leader="none" w:pos="10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020" w:hanging="148"/>
        <w:spacing w:after="0"/>
        <w:tabs>
          <w:tab w:leader="none" w:pos="102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16, 2011</w:t>
      </w:r>
    </w:p>
    <w:p>
      <w:pPr>
        <w:spacing w:after="0" w:line="97" w:lineRule="exact"/>
        <w:rPr>
          <w:sz w:val="20"/>
          <w:szCs w:val="20"/>
          <w:color w:val="auto"/>
        </w:rPr>
      </w:pPr>
    </w:p>
    <w:p>
      <w:pPr>
        <w:ind w:left="40"/>
        <w:spacing w:after="0"/>
        <w:tabs>
          <w:tab w:leader="none" w:pos="2160" w:val="left"/>
          <w:tab w:leader="none" w:pos="250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RTHUR</w:t>
      </w:r>
      <w:r>
        <w:rPr>
          <w:rFonts w:ascii="Arial" w:cs="Arial" w:eastAsia="Arial" w:hAnsi="Arial"/>
          <w:sz w:val="17"/>
          <w:szCs w:val="17"/>
          <w:color w:val="auto"/>
        </w:rPr>
        <w:t xml:space="preserve"> H. P</w:t>
      </w:r>
      <w:r>
        <w:rPr>
          <w:rFonts w:ascii="Arial" w:cs="Arial" w:eastAsia="Arial" w:hAnsi="Arial"/>
          <w:sz w:val="11"/>
          <w:szCs w:val="11"/>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99060</wp:posOffset>
            </wp:positionV>
            <wp:extent cx="33604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26"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auto"/>
        </w:rPr>
        <w:t>Arthur H. Penn</w:t>
      </w:r>
    </w:p>
    <w:p>
      <w:pPr>
        <w:spacing w:after="0" w:line="39"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auto"/>
        </w:rPr>
        <w:t>Chairman of the Board and</w:t>
      </w:r>
    </w:p>
    <w:p>
      <w:pPr>
        <w:ind w:left="242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40"/>
          </w:cols>
          <w:pgMar w:left="320" w:top="75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31.2</w:t>
      </w:r>
    </w:p>
    <w:p>
      <w:pPr>
        <w:spacing w:after="0" w:line="16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and Treasurer of PennantPark Investment Corporation, certify that:</w:t>
      </w:r>
    </w:p>
    <w:p>
      <w:pPr>
        <w:spacing w:after="0" w:line="163" w:lineRule="exact"/>
        <w:rPr>
          <w:sz w:val="20"/>
          <w:szCs w:val="20"/>
          <w:color w:val="auto"/>
        </w:rPr>
      </w:pPr>
    </w:p>
    <w:p>
      <w:pPr>
        <w:ind w:left="580" w:hanging="140"/>
        <w:spacing w:after="0"/>
        <w:tabs>
          <w:tab w:leader="none" w:pos="5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63" w:lineRule="exact"/>
        <w:rPr>
          <w:rFonts w:ascii="Arial" w:cs="Arial" w:eastAsia="Arial" w:hAnsi="Arial"/>
          <w:sz w:val="14"/>
          <w:szCs w:val="14"/>
          <w:color w:val="auto"/>
        </w:rPr>
      </w:pPr>
    </w:p>
    <w:p>
      <w:pPr>
        <w:ind w:right="440" w:firstLine="440"/>
        <w:spacing w:after="0" w:line="273" w:lineRule="auto"/>
        <w:tabs>
          <w:tab w:leader="none" w:pos="5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540" w:firstLine="440"/>
        <w:spacing w:after="0" w:line="273" w:lineRule="auto"/>
        <w:tabs>
          <w:tab w:leader="none" w:pos="5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100" w:firstLine="440"/>
        <w:spacing w:after="0" w:line="273" w:lineRule="auto"/>
        <w:tabs>
          <w:tab w:leader="none" w:pos="5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4"/>
          <w:szCs w:val="14"/>
          <w:color w:val="auto"/>
        </w:rPr>
      </w:pPr>
    </w:p>
    <w:p>
      <w:pPr>
        <w:jc w:val="both"/>
        <w:ind w:left="440" w:right="160" w:firstLine="432"/>
        <w:spacing w:after="0" w:line="257" w:lineRule="auto"/>
        <w:tabs>
          <w:tab w:leader="none" w:pos="10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9" w:lineRule="exact"/>
        <w:rPr>
          <w:rFonts w:ascii="Arial" w:cs="Arial" w:eastAsia="Arial" w:hAnsi="Arial"/>
          <w:sz w:val="14"/>
          <w:szCs w:val="14"/>
          <w:color w:val="auto"/>
        </w:rPr>
      </w:pPr>
    </w:p>
    <w:p>
      <w:pPr>
        <w:ind w:left="440" w:right="60" w:firstLine="432"/>
        <w:spacing w:after="0" w:line="312" w:lineRule="auto"/>
        <w:tabs>
          <w:tab w:leader="none" w:pos="1028"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 w:lineRule="exact"/>
        <w:rPr>
          <w:rFonts w:ascii="Arial" w:cs="Arial" w:eastAsia="Arial" w:hAnsi="Arial"/>
          <w:sz w:val="13"/>
          <w:szCs w:val="13"/>
          <w:color w:val="auto"/>
        </w:rPr>
      </w:pPr>
    </w:p>
    <w:p>
      <w:pPr>
        <w:ind w:left="440" w:right="200" w:firstLine="432"/>
        <w:spacing w:after="0" w:line="273" w:lineRule="auto"/>
        <w:tabs>
          <w:tab w:leader="none" w:pos="10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4"/>
          <w:szCs w:val="14"/>
          <w:color w:val="auto"/>
        </w:rPr>
      </w:pPr>
    </w:p>
    <w:p>
      <w:pPr>
        <w:ind w:left="440" w:right="260" w:firstLine="432"/>
        <w:spacing w:after="0" w:line="312" w:lineRule="auto"/>
        <w:tabs>
          <w:tab w:leader="none" w:pos="1028"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0"/>
        <w:spacing w:after="0" w:line="273" w:lineRule="auto"/>
        <w:tabs>
          <w:tab w:leader="none" w:pos="5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left="440" w:right="300" w:firstLine="432"/>
        <w:spacing w:after="0" w:line="273" w:lineRule="auto"/>
        <w:tabs>
          <w:tab w:leader="none" w:pos="10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020" w:hanging="148"/>
        <w:spacing w:after="0"/>
        <w:tabs>
          <w:tab w:leader="none" w:pos="10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16, 2011</w:t>
      </w:r>
    </w:p>
    <w:p>
      <w:pPr>
        <w:spacing w:after="0" w:line="325" w:lineRule="exact"/>
        <w:rPr>
          <w:sz w:val="20"/>
          <w:szCs w:val="20"/>
          <w:color w:val="auto"/>
        </w:rPr>
      </w:pPr>
    </w:p>
    <w:p>
      <w:pPr>
        <w:ind w:left="40"/>
        <w:spacing w:after="0"/>
        <w:tabs>
          <w:tab w:leader="none" w:pos="2340" w:val="left"/>
          <w:tab w:leader="none" w:pos="2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33604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5"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Aviv Efrat</w:t>
      </w:r>
    </w:p>
    <w:p>
      <w:pPr>
        <w:spacing w:after="0" w:line="109"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240"/>
          </w:cols>
          <w:pgMar w:left="320" w:top="90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51" w:lineRule="exact"/>
        <w:rPr>
          <w:sz w:val="20"/>
          <w:szCs w:val="20"/>
          <w:color w:val="auto"/>
        </w:rPr>
      </w:pPr>
    </w:p>
    <w:p>
      <w:pPr>
        <w:ind w:right="40" w:firstLine="432"/>
        <w:spacing w:after="0" w:line="257" w:lineRule="auto"/>
        <w:rPr>
          <w:sz w:val="20"/>
          <w:szCs w:val="20"/>
          <w:color w:val="auto"/>
        </w:rPr>
      </w:pPr>
      <w:r>
        <w:rPr>
          <w:rFonts w:ascii="Arial" w:cs="Arial" w:eastAsia="Arial" w:hAnsi="Arial"/>
          <w:sz w:val="14"/>
          <w:szCs w:val="14"/>
          <w:color w:val="auto"/>
        </w:rPr>
        <w:t>In connection with the Annual Report on Form 10-K of PennantPark Investment Corporation (the “Company”) for the annual period ended September 30, 2011 as filed with the Securities and Exchange Commission on the date hereof (the “Report”), I, Arthur H. Penn, as Chairman of the Board and Chief Executive Officer of the Registrant hereby certify, to the best of my knowledge that:</w:t>
      </w:r>
    </w:p>
    <w:p>
      <w:pPr>
        <w:spacing w:after="0" w:line="50" w:lineRule="exact"/>
        <w:rPr>
          <w:sz w:val="20"/>
          <w:szCs w:val="20"/>
          <w:color w:val="auto"/>
        </w:rPr>
      </w:pPr>
    </w:p>
    <w:p>
      <w:pPr>
        <w:ind w:left="640" w:hanging="200"/>
        <w:spacing w:after="0"/>
        <w:tabs>
          <w:tab w:leader="none" w:pos="6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640" w:hanging="200"/>
        <w:spacing w:after="0"/>
        <w:tabs>
          <w:tab w:leader="none" w:pos="6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/S/  ARTHUR H. PENN</w:t>
            </w:r>
          </w:p>
        </w:tc>
      </w:tr>
      <w:tr>
        <w:trPr>
          <w:trHeight w:val="190"/>
        </w:trPr>
        <w:tc>
          <w:tcPr>
            <w:tcW w:w="440" w:type="dxa"/>
            <w:vAlign w:val="bottom"/>
          </w:tcPr>
          <w:p>
            <w:pPr>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6"/>
                <w:szCs w:val="16"/>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9"/>
              </w:rPr>
              <w:t>Arthur H. Penn</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40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4"/>
              </w:rPr>
              <w:t>Chairman of the Board and Chief Executive Officer</w:t>
            </w:r>
          </w:p>
        </w:tc>
      </w:tr>
      <w:tr>
        <w:trPr>
          <w:trHeight w:val="473"/>
        </w:trPr>
        <w:tc>
          <w:tcPr>
            <w:tcW w:w="440" w:type="dxa"/>
            <w:vAlign w:val="bottom"/>
          </w:tcPr>
          <w:p>
            <w:pPr>
              <w:spacing w:after="0"/>
              <w:rPr>
                <w:sz w:val="24"/>
                <w:szCs w:val="24"/>
                <w:color w:val="auto"/>
              </w:rPr>
            </w:pPr>
          </w:p>
        </w:tc>
        <w:tc>
          <w:tcPr>
            <w:tcW w:w="5260" w:type="dxa"/>
            <w:vAlign w:val="bottom"/>
            <w:gridSpan w:val="2"/>
          </w:tcPr>
          <w:p>
            <w:pPr>
              <w:ind w:left="60"/>
              <w:spacing w:after="0"/>
              <w:rPr>
                <w:sz w:val="20"/>
                <w:szCs w:val="20"/>
                <w:color w:val="auto"/>
              </w:rPr>
            </w:pPr>
            <w:r>
              <w:rPr>
                <w:rFonts w:ascii="Arial" w:cs="Arial" w:eastAsia="Arial" w:hAnsi="Arial"/>
                <w:sz w:val="14"/>
                <w:szCs w:val="14"/>
                <w:color w:val="auto"/>
              </w:rPr>
              <w:t>Date: November 16, 2011</w:t>
            </w:r>
          </w:p>
        </w:tc>
      </w:tr>
    </w:tbl>
    <w:p>
      <w:pPr>
        <w:sectPr>
          <w:pgSz w:w="11900" w:h="16838" w:orient="portrait"/>
          <w:cols w:equalWidth="0" w:num="1">
            <w:col w:w="11240"/>
          </w:cols>
          <w:pgMar w:left="320" w:top="90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51" w:lineRule="exact"/>
        <w:rPr>
          <w:sz w:val="20"/>
          <w:szCs w:val="20"/>
          <w:color w:val="auto"/>
        </w:rPr>
      </w:pPr>
    </w:p>
    <w:p>
      <w:pPr>
        <w:ind w:right="40" w:firstLine="432"/>
        <w:spacing w:after="0" w:line="312" w:lineRule="auto"/>
        <w:rPr>
          <w:sz w:val="20"/>
          <w:szCs w:val="20"/>
          <w:color w:val="auto"/>
        </w:rPr>
      </w:pPr>
      <w:r>
        <w:rPr>
          <w:rFonts w:ascii="Arial" w:cs="Arial" w:eastAsia="Arial" w:hAnsi="Arial"/>
          <w:sz w:val="13"/>
          <w:szCs w:val="13"/>
          <w:color w:val="auto"/>
        </w:rPr>
        <w:t>In connection with the Annual Report on Form 10-K of PennantPark Investment Corporation (the “Company”) for the annual period ended September 30, 2011 as filed with the Securities and Exchange Commission on the date hereof (the “Report”), I, Aviv Efrat, as Chief Financial Officer and Treasurer of the Registrant hereby certify, to the best of my knowledge that:</w:t>
      </w:r>
    </w:p>
    <w:p>
      <w:pPr>
        <w:spacing w:after="0" w:line="16" w:lineRule="exact"/>
        <w:rPr>
          <w:sz w:val="20"/>
          <w:szCs w:val="20"/>
          <w:color w:val="auto"/>
        </w:rPr>
      </w:pPr>
    </w:p>
    <w:p>
      <w:pPr>
        <w:ind w:left="640" w:hanging="200"/>
        <w:spacing w:after="0"/>
        <w:tabs>
          <w:tab w:leader="none" w:pos="6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640" w:hanging="200"/>
        <w:spacing w:after="0"/>
        <w:tabs>
          <w:tab w:leader="none" w:pos="6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/S/  AVIV EFRAT</w:t>
            </w:r>
          </w:p>
        </w:tc>
      </w:tr>
      <w:tr>
        <w:trPr>
          <w:trHeight w:val="190"/>
        </w:trPr>
        <w:tc>
          <w:tcPr>
            <w:tcW w:w="440" w:type="dxa"/>
            <w:vAlign w:val="bottom"/>
          </w:tcPr>
          <w:p>
            <w:pPr>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6"/>
                <w:szCs w:val="16"/>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Title:</w:t>
            </w:r>
          </w:p>
        </w:tc>
        <w:tc>
          <w:tcPr>
            <w:tcW w:w="40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r>
      <w:tr>
        <w:trPr>
          <w:trHeight w:val="473"/>
        </w:trPr>
        <w:tc>
          <w:tcPr>
            <w:tcW w:w="440" w:type="dxa"/>
            <w:vAlign w:val="bottom"/>
          </w:tcPr>
          <w:p>
            <w:pPr>
              <w:spacing w:after="0"/>
              <w:rPr>
                <w:sz w:val="24"/>
                <w:szCs w:val="24"/>
                <w:color w:val="auto"/>
              </w:rPr>
            </w:pPr>
          </w:p>
        </w:tc>
        <w:tc>
          <w:tcPr>
            <w:tcW w:w="5260" w:type="dxa"/>
            <w:vAlign w:val="bottom"/>
            <w:gridSpan w:val="2"/>
          </w:tcPr>
          <w:p>
            <w:pPr>
              <w:ind w:left="60"/>
              <w:spacing w:after="0"/>
              <w:rPr>
                <w:sz w:val="20"/>
                <w:szCs w:val="20"/>
                <w:color w:val="auto"/>
              </w:rPr>
            </w:pPr>
            <w:r>
              <w:rPr>
                <w:rFonts w:ascii="Arial" w:cs="Arial" w:eastAsia="Arial" w:hAnsi="Arial"/>
                <w:sz w:val="14"/>
                <w:szCs w:val="14"/>
                <w:color w:val="auto"/>
              </w:rPr>
              <w:t>Date: November 16, 2011</w:t>
            </w:r>
          </w:p>
        </w:tc>
      </w:tr>
    </w:tbl>
    <w:p>
      <w:pPr>
        <w:sectPr>
          <w:pgSz w:w="11900" w:h="16838" w:orient="portrait"/>
          <w:cols w:equalWidth="0" w:num="1">
            <w:col w:w="11240"/>
          </w:cols>
          <w:pgMar w:left="320" w:top="90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PennantPark Investment Corporation Investors: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Investment Corporation (the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kind of personal information do we have about you and where did we get it?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collect nonpublic personal information about you from the following sources: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we may receive from you in subscription agreements or other related documents or forms; and</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about your transactions with our affiliates and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we protect your personal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any nonpublic personal information about our investors or former investors to anyone, except as permitted by law.</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we do with personal information about our former investors?</w:t>
      </w:r>
    </w:p>
    <w:p>
      <w:pPr>
        <w:spacing w:after="0" w:line="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an investor decides to no longer do business with us, we will continue to follow this privacy policy with respect to the information we have in our possession about such investor and his/her account.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our privacy policies, please contact our Chief Financial Officer at (212) 905-1000.</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lowerLetter"/>
      <w:start w:val="1"/>
    </w:lvl>
  </w:abstractNum>
  <w:abstractNum w:abstractNumId="4">
    <w:nsid w:val="4F4EF005"/>
    <w:multiLevelType w:val="hybridMultilevel"/>
    <w:lvl w:ilvl="0">
      <w:lvlJc w:val="left"/>
      <w:lvlText w:val="%1."/>
      <w:numFmt w:val="lowerLetter"/>
      <w:start w:val="2"/>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lowerLetter"/>
      <w:start w:val="3"/>
    </w:lvl>
  </w:abstractNum>
  <w:abstractNum w:abstractNumId="7">
    <w:nsid w:val="275AC794"/>
    <w:multiLevelType w:val="hybridMultilevel"/>
    <w:lvl w:ilvl="0">
      <w:lvlJc w:val="left"/>
      <w:lvlText w:val="%1."/>
      <w:numFmt w:val="lowerLetter"/>
      <w:start w:val="4"/>
    </w:lvl>
  </w:abstractNum>
  <w:abstractNum w:abstractNumId="8">
    <w:nsid w:val="39386575"/>
    <w:multiLevelType w:val="hybridMultilevel"/>
    <w:lvl w:ilvl="0">
      <w:lvlJc w:val="left"/>
      <w:lvlText w:val="%1."/>
      <w:numFmt w:val="lowerLetter"/>
      <w:start w:val="5"/>
    </w:lvl>
  </w:abstractNum>
  <w:abstractNum w:abstractNumId="9">
    <w:nsid w:val="1CF10FD8"/>
    <w:multiLevelType w:val="hybridMultilevel"/>
    <w:lvl w:ilvl="0">
      <w:lvlJc w:val="left"/>
      <w:lvlText w:val="%1."/>
      <w:numFmt w:val="lowerLetter"/>
      <w:start w:val="1"/>
    </w:lvl>
  </w:abstractNum>
  <w:abstractNum w:abstractNumId="10">
    <w:nsid w:val="180115BE"/>
    <w:multiLevelType w:val="hybridMultilevel"/>
    <w:lvl w:ilvl="0">
      <w:lvlJc w:val="left"/>
      <w:lvlText w:val="%1."/>
      <w:numFmt w:val="lowerLetter"/>
      <w:start w:val="2"/>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1"/>
    </w:lvl>
  </w:abstractNum>
  <w:abstractNum w:abstractNumId="18">
    <w:nsid w:val="3F6AB60F"/>
    <w:multiLevelType w:val="hybridMultilevel"/>
    <w:lvl w:ilvl="0">
      <w:lvlJc w:val="left"/>
      <w:lvlText w:val="(%1)"/>
      <w:numFmt w:val="decimal"/>
      <w:start w:val="1"/>
    </w:lvl>
    <w:lvl w:ilvl="1">
      <w:lvlJc w:val="left"/>
      <w:lvlText w:val="(%2)"/>
      <w:numFmt w:val="lowerLetter"/>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3"/>
    </w:lvl>
  </w:abstractNum>
  <w:abstractNum w:abstractNumId="21">
    <w:nsid w:val="77AE35EB"/>
    <w:multiLevelType w:val="hybridMultilevel"/>
    <w:lvl w:ilvl="0">
      <w:lvlJc w:val="left"/>
      <w:lvlText w:val="•"/>
      <w:numFmt w:val="bullet"/>
      <w:start w:val="1"/>
    </w:lvl>
    <w:lvl w:ilvl="1">
      <w:lvlJc w:val="left"/>
      <w:lvlText w:val="%2."/>
      <w:numFmt w:val="decimal"/>
      <w:start w:val="1"/>
    </w:lvl>
  </w:abstractNum>
  <w:abstractNum w:abstractNumId="22">
    <w:nsid w:val="579BE4F1"/>
    <w:multiLevelType w:val="hybridMultilevel"/>
    <w:lvl w:ilvl="0">
      <w:lvlJc w:val="left"/>
      <w:lvlText w:val="(%1)"/>
      <w:numFmt w:val="decimal"/>
      <w:start w:val="2"/>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2"/>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2"/>
    </w:lvl>
  </w:abstractNum>
  <w:abstractNum w:abstractNumId="57">
    <w:nsid w:val="60B6DF70"/>
    <w:multiLevelType w:val="hybridMultilevel"/>
    <w:lvl w:ilvl="0">
      <w:lvlJc w:val="left"/>
      <w:lvlText w:val="(%1)"/>
      <w:numFmt w:val="lowerLetter"/>
      <w:start w:val="3"/>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lowerLetter"/>
      <w:start w:val="1"/>
    </w:lvl>
    <w:lvl w:ilvl="1">
      <w:lvlJc w:val="left"/>
      <w:lvlText w:val="(%2)"/>
      <w:numFmt w:val="decimal"/>
      <w:start w:val="1"/>
    </w:lvl>
  </w:abstractNum>
  <w:abstractNum w:abstractNumId="61">
    <w:nsid w:val="1A27709E"/>
    <w:multiLevelType w:val="hybridMultilevel"/>
    <w:lvl w:ilvl="0">
      <w:lvlJc w:val="left"/>
      <w:lvlText w:val="%1"/>
      <w:numFmt w:val="lowerLetter"/>
      <w:start w:val="1"/>
    </w:lvl>
    <w:lvl w:ilvl="1">
      <w:lvlJc w:val="left"/>
      <w:lvlText w:val="(%2)"/>
      <w:numFmt w:val="decimal"/>
      <w:start w:val="2"/>
    </w:lvl>
  </w:abstractNum>
  <w:abstractNum w:abstractNumId="62">
    <w:nsid w:val="71EA1109"/>
    <w:multiLevelType w:val="hybridMultilevel"/>
    <w:lvl w:ilvl="0">
      <w:lvlJc w:val="left"/>
      <w:lvlText w:val="(%1)"/>
      <w:numFmt w:val="lowerLetter"/>
      <w:start w:val="4"/>
    </w:lvl>
    <w:lvl w:ilvl="1">
      <w:lvlJc w:val="left"/>
      <w:lvlText w:val="(%2)"/>
      <w:numFmt w:val="decimal"/>
      <w:start w:val="3"/>
    </w:lvl>
  </w:abstractNum>
  <w:abstractNum w:abstractNumId="63">
    <w:nsid w:val="100F59DC"/>
    <w:multiLevelType w:val="hybridMultilevel"/>
    <w:lvl w:ilvl="0">
      <w:lvlJc w:val="left"/>
      <w:lvlText w:val="(%1)"/>
      <w:numFmt w:val="decimal"/>
      <w:start w:val="5"/>
    </w:lvl>
  </w:abstractNum>
  <w:abstractNum w:abstractNumId="64">
    <w:nsid w:val="7FB7E0AA"/>
    <w:multiLevelType w:val="hybridMultilevel"/>
    <w:lvl w:ilvl="0">
      <w:lvlJc w:val="left"/>
      <w:lvlText w:val="(%1)"/>
      <w:numFmt w:val="lowerLetter"/>
      <w:start w:val="4"/>
    </w:lvl>
  </w:abstractNum>
  <w:abstractNum w:abstractNumId="65">
    <w:nsid w:val="6EB5B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6">
    <w:nsid w:val="6F6DD9AC"/>
    <w:multiLevelType w:val="hybridMultilevel"/>
    <w:lvl w:ilvl="0">
      <w:lvlJc w:val="left"/>
      <w:lvlText w:val="(%1)"/>
      <w:numFmt w:val="lowerLetter"/>
      <w:start w:val="22"/>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7">
    <w:nsid w:val="94211F2"/>
    <w:multiLevelType w:val="hybridMultilevel"/>
    <w:lvl w:ilvl="0">
      <w:lvlJc w:val="left"/>
      <w:lvlText w:val="%1"/>
      <w:numFmt w:val="lowerLetter"/>
      <w:start w:val="1"/>
    </w:lvl>
    <w:lvl w:ilvl="1">
      <w:lvlJc w:val="left"/>
      <w:lvlText w:val="(%2)"/>
      <w:numFmt w:val="decimal"/>
      <w:start w:val="3"/>
    </w:lvl>
  </w:abstractNum>
  <w:abstractNum w:abstractNumId="68">
    <w:nsid w:val="885E1B"/>
    <w:multiLevelType w:val="hybridMultilevel"/>
    <w:lvl w:ilvl="0">
      <w:lvlJc w:val="left"/>
      <w:lvlText w:val="(%1)"/>
      <w:numFmt w:val="lowerLetter"/>
      <w:start w:val="2"/>
    </w:lvl>
    <w:lvl w:ilvl="1">
      <w:lvlJc w:val="left"/>
      <w:lvlText w:val="(%2)"/>
      <w:numFmt w:val="decimal"/>
      <w:start w:val="2"/>
    </w:lvl>
  </w:abstractNum>
  <w:abstractNum w:abstractNumId="69">
    <w:nsid w:val="76272110"/>
    <w:multiLevelType w:val="hybridMultilevel"/>
    <w:lvl w:ilvl="0">
      <w:lvlJc w:val="left"/>
      <w:lvlText w:val="(%1)"/>
      <w:numFmt w:val="decimal"/>
      <w:start w:val="3"/>
    </w:lvl>
  </w:abstractNum>
  <w:abstractNum w:abstractNumId="70">
    <w:nsid w:val="4C04A8AF"/>
    <w:multiLevelType w:val="hybridMultilevel"/>
    <w:lvl w:ilvl="0">
      <w:lvlJc w:val="left"/>
      <w:lvlText w:val="(%1)"/>
      <w:numFmt w:val="lowerLetter"/>
      <w:start w:val="2"/>
    </w:lvl>
  </w:abstractNum>
  <w:abstractNum w:abstractNumId="71">
    <w:nsid w:val="1716703B"/>
    <w:multiLevelType w:val="hybridMultilevel"/>
    <w:lvl w:ilvl="0">
      <w:lvlJc w:val="left"/>
      <w:lvlText w:val="(%1)"/>
      <w:numFmt w:val="upperLetter"/>
      <w:start w:val="1"/>
    </w:lvl>
  </w:abstractNum>
  <w:abstractNum w:abstractNumId="72">
    <w:nsid w:val="14E17E33"/>
    <w:multiLevelType w:val="hybridMultilevel"/>
    <w:lvl w:ilvl="0">
      <w:lvlJc w:val="left"/>
      <w:lvlText w:val="(%1)"/>
      <w:numFmt w:val="upperLetter"/>
      <w:start w:val="6"/>
    </w:lvl>
  </w:abstractNum>
  <w:abstractNum w:abstractNumId="73">
    <w:nsid w:val="3222E7CD"/>
    <w:multiLevelType w:val="hybridMultilevel"/>
    <w:lvl w:ilvl="0">
      <w:lvlJc w:val="left"/>
      <w:lvlText w:val="(%1)"/>
      <w:numFmt w:val="upperLetter"/>
      <w:start w:val="7"/>
    </w:lvl>
    <w:lvl w:ilvl="1">
      <w:lvlJc w:val="left"/>
      <w:lvlText w:val="(%2)"/>
      <w:numFmt w:val="upperLetter"/>
      <w:start w:val="8"/>
    </w:lvl>
  </w:abstractNum>
  <w:abstractNum w:abstractNumId="74">
    <w:nsid w:val="74DE0EE3"/>
    <w:multiLevelType w:val="hybridMultilevel"/>
    <w:lvl w:ilvl="0">
      <w:lvlJc w:val="left"/>
      <w:lvlText w:val="(%1)"/>
      <w:numFmt w:val="upperLetter"/>
      <w:start w:val="9"/>
    </w:lvl>
    <w:lvl w:ilvl="1">
      <w:lvlJc w:val="left"/>
      <w:lvlText w:val="(%2)"/>
      <w:numFmt w:val="upperLetter"/>
      <w:start w:val="1"/>
    </w:lvl>
  </w:abstractNum>
  <w:abstractNum w:abstractNumId="75">
    <w:nsid w:val="68EBC550"/>
    <w:multiLevelType w:val="hybridMultilevel"/>
    <w:lvl w:ilvl="0">
      <w:lvlJc w:val="left"/>
      <w:lvlText w:val="(%1)"/>
      <w:numFmt w:val="upperLetter"/>
      <w:start w:val="11"/>
    </w:lvl>
  </w:abstractNum>
  <w:abstractNum w:abstractNumId="76">
    <w:nsid w:val="2DF6D648"/>
    <w:multiLevelType w:val="hybridMultilevel"/>
    <w:lvl w:ilvl="0">
      <w:lvlJc w:val="left"/>
      <w:lvlText w:val="(%1)"/>
      <w:numFmt w:val="lowerRoman"/>
      <w:start w:val="1"/>
    </w:lvl>
  </w:abstractNum>
  <w:abstractNum w:abstractNumId="77">
    <w:nsid w:val="46B7D447"/>
    <w:multiLevelType w:val="hybridMultilevel"/>
    <w:lvl w:ilvl="0">
      <w:lvlJc w:val="left"/>
      <w:lvlText w:val="(%1)"/>
      <w:numFmt w:val="upperLetter"/>
      <w:start w:val="1"/>
    </w:lvl>
  </w:abstractNum>
  <w:abstractNum w:abstractNumId="78">
    <w:nsid w:val="4A2AC315"/>
    <w:multiLevelType w:val="hybridMultilevel"/>
    <w:lvl w:ilvl="0">
      <w:lvlJc w:val="left"/>
      <w:lvlText w:val="(%1)"/>
      <w:numFmt w:val="upperLetter"/>
      <w:start w:val="1"/>
    </w:lvl>
  </w:abstractNum>
  <w:abstractNum w:abstractNumId="79">
    <w:nsid w:val="39EE015C"/>
    <w:multiLevelType w:val="hybridMultilevel"/>
    <w:lvl w:ilvl="0">
      <w:lvlJc w:val="left"/>
      <w:lvlText w:val="(%1)"/>
      <w:numFmt w:val="upperLetter"/>
      <w:start w:val="2"/>
    </w:lvl>
  </w:abstractNum>
  <w:abstractNum w:abstractNumId="80">
    <w:nsid w:val="57FC4FBB"/>
    <w:multiLevelType w:val="hybridMultilevel"/>
    <w:lvl w:ilvl="0">
      <w:lvlJc w:val="left"/>
      <w:lvlText w:val="(%1)"/>
      <w:numFmt w:val="decimal"/>
      <w:start w:val="1"/>
    </w:lvl>
    <w:lvl w:ilvl="1">
      <w:lvlJc w:val="left"/>
      <w:lvlText w:val="(%2)"/>
      <w:numFmt w:val="upperLetter"/>
      <w:start w:val="3"/>
    </w:lvl>
  </w:abstractNum>
  <w:abstractNum w:abstractNumId="81">
    <w:nsid w:val="CC1016F"/>
    <w:multiLevelType w:val="hybridMultilevel"/>
    <w:lvl w:ilvl="0">
      <w:lvlJc w:val="left"/>
      <w:lvlText w:val="(%1)"/>
      <w:numFmt w:val="upperLetter"/>
      <w:start w:val="4"/>
    </w:lvl>
  </w:abstractNum>
  <w:abstractNum w:abstractNumId="82">
    <w:nsid w:val="43F18422"/>
    <w:multiLevelType w:val="hybridMultilevel"/>
    <w:lvl w:ilvl="0">
      <w:lvlJc w:val="left"/>
      <w:lvlText w:val="(%1)"/>
      <w:numFmt w:val="decimal"/>
      <w:start w:val="1"/>
    </w:lvl>
    <w:lvl w:ilvl="1">
      <w:lvlJc w:val="left"/>
      <w:lvlText w:val="(%2)"/>
      <w:numFmt w:val="upperLetter"/>
      <w:start w:val="6"/>
    </w:lvl>
  </w:abstractNum>
  <w:abstractNum w:abstractNumId="83">
    <w:nsid w:val="60EF0119"/>
    <w:multiLevelType w:val="hybridMultilevel"/>
    <w:lvl w:ilvl="0">
      <w:lvlJc w:val="left"/>
      <w:lvlText w:val="(%1)"/>
      <w:numFmt w:val="upperLetter"/>
      <w:start w:val="7"/>
    </w:lvl>
  </w:abstractNum>
  <w:abstractNum w:abstractNumId="84">
    <w:nsid w:val="26F324BA"/>
    <w:multiLevelType w:val="hybridMultilevel"/>
    <w:lvl w:ilvl="0">
      <w:lvlJc w:val="left"/>
      <w:lvlText w:val="(%1)"/>
      <w:numFmt w:val="upperLetter"/>
      <w:start w:val="8"/>
    </w:lvl>
  </w:abstractNum>
  <w:abstractNum w:abstractNumId="85">
    <w:nsid w:val="7F01579B"/>
    <w:multiLevelType w:val="hybridMultilevel"/>
    <w:lvl w:ilvl="0">
      <w:lvlJc w:val="left"/>
      <w:lvlText w:val="(%1)"/>
      <w:numFmt w:val="upperLetter"/>
      <w:start w:val="9"/>
    </w:lvl>
  </w:abstractNum>
  <w:abstractNum w:abstractNumId="86">
    <w:nsid w:val="49DA307D"/>
    <w:multiLevelType w:val="hybridMultilevel"/>
    <w:lvl w:ilvl="0">
      <w:lvlJc w:val="left"/>
      <w:lvlText w:val="(%1)"/>
      <w:numFmt w:val="upperLetter"/>
      <w:start w:val="1"/>
    </w:lvl>
  </w:abstractNum>
  <w:abstractNum w:abstractNumId="87">
    <w:nsid w:val="7055A5F5"/>
    <w:multiLevelType w:val="hybridMultilevel"/>
    <w:lvl w:ilvl="0">
      <w:lvlJc w:val="left"/>
      <w:lvlText w:val="(%1)"/>
      <w:numFmt w:val="upperLetter"/>
      <w:start w:val="2"/>
    </w:lvl>
  </w:abstractNum>
  <w:abstractNum w:abstractNumId="88">
    <w:nsid w:val="5FB8370B"/>
    <w:multiLevelType w:val="hybridMultilevel"/>
    <w:lvl w:ilvl="0">
      <w:lvlJc w:val="left"/>
      <w:lvlText w:val="(%1)"/>
      <w:numFmt w:val="upperLetter"/>
      <w:start w:val="3"/>
    </w:lvl>
  </w:abstractNum>
  <w:abstractNum w:abstractNumId="89">
    <w:nsid w:val="50801EE1"/>
    <w:multiLevelType w:val="hybridMultilevel"/>
    <w:lvl w:ilvl="0">
      <w:lvlJc w:val="left"/>
      <w:lvlText w:val="(%1)"/>
      <w:numFmt w:val="upperLetter"/>
      <w:start w:val="1"/>
    </w:lvl>
    <w:lvl w:ilvl="1">
      <w:lvlJc w:val="left"/>
      <w:lvlText w:val="(%2)"/>
      <w:numFmt w:val="decimal"/>
      <w:start w:val="1"/>
    </w:lvl>
  </w:abstractNum>
  <w:abstractNum w:abstractNumId="90">
    <w:nsid w:val="488AC1A"/>
    <w:multiLevelType w:val="hybridMultilevel"/>
    <w:lvl w:ilvl="0">
      <w:lvlJc w:val="left"/>
      <w:lvlText w:val="(%1)"/>
      <w:numFmt w:val="upperLetter"/>
      <w:start w:val="5"/>
    </w:lvl>
  </w:abstractNum>
  <w:abstractNum w:abstractNumId="91">
    <w:nsid w:val="5FB8011C"/>
    <w:multiLevelType w:val="hybridMultilevel"/>
    <w:lvl w:ilvl="0">
      <w:lvlJc w:val="left"/>
      <w:lvlText w:val="(%1)"/>
      <w:numFmt w:val="upperLetter"/>
      <w:start w:val="1"/>
    </w:lvl>
  </w:abstractNum>
  <w:abstractNum w:abstractNumId="92">
    <w:nsid w:val="6AA78F7F"/>
    <w:multiLevelType w:val="hybridMultilevel"/>
    <w:lvl w:ilvl="0">
      <w:lvlJc w:val="left"/>
      <w:lvlText w:val="(%1)"/>
      <w:numFmt w:val="upperLetter"/>
      <w:start w:val="2"/>
    </w:lvl>
  </w:abstractNum>
  <w:abstractNum w:abstractNumId="93">
    <w:nsid w:val="7672BD23"/>
    <w:multiLevelType w:val="hybridMultilevel"/>
    <w:lvl w:ilvl="0">
      <w:lvlJc w:val="left"/>
      <w:lvlText w:val="(%1)"/>
      <w:numFmt w:val="upperLetter"/>
      <w:start w:val="1"/>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decimal"/>
      <w:start w:val="1"/>
    </w:lvl>
    <w:lvl w:ilvl="1">
      <w:lvlJc w:val="left"/>
      <w:lvlText w:val="(%2)"/>
      <w:numFmt w:val="upperLetter"/>
      <w:start w:val="3"/>
    </w:lvl>
  </w:abstractNum>
  <w:abstractNum w:abstractNumId="96">
    <w:nsid w:val="7D5E18F8"/>
    <w:multiLevelType w:val="hybridMultilevel"/>
    <w:lvl w:ilvl="0">
      <w:lvlJc w:val="left"/>
      <w:lvlText w:val="(%1)"/>
      <w:numFmt w:val="decimal"/>
      <w:start w:val="1"/>
    </w:lvl>
    <w:lvl w:ilvl="1">
      <w:lvlJc w:val="left"/>
      <w:lvlText w:val="%2"/>
      <w:numFmt w:val="upperLetter"/>
      <w:start w:val="1"/>
    </w:lvl>
  </w:abstractNum>
  <w:abstractNum w:abstractNumId="97">
    <w:nsid w:val="5F3534A4"/>
    <w:multiLevelType w:val="hybridMultilevel"/>
    <w:lvl w:ilvl="0">
      <w:lvlJc w:val="left"/>
      <w:lvlText w:val="(%1)"/>
      <w:numFmt w:val="decimal"/>
      <w:start w:val="4"/>
    </w:lvl>
  </w:abstractNum>
  <w:abstractNum w:abstractNumId="98">
    <w:nsid w:val="73A1821B"/>
    <w:multiLevelType w:val="hybridMultilevel"/>
    <w:lvl w:ilvl="0">
      <w:lvlJc w:val="left"/>
      <w:lvlText w:val="(%1)"/>
      <w:numFmt w:val="upperLetter"/>
      <w:start w:val="4"/>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2020-05-05T15:20:39Z</dcterms:created>
  <dcterms:modified xsi:type="dcterms:W3CDTF">2020-05-05T15:20:39Z</dcterms:modified>
</cp:coreProperties>
</file>